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F123EE">
      <w:pPr>
        <w:divId w:val="1599942163"/>
        <w:rPr>
          <w:rFonts w:eastAsia="Times New Roman"/>
          <w:vanish/>
        </w:rPr>
      </w:pPr>
      <w:r>
        <w:rPr>
          <w:rFonts w:eastAsia="Times New Roman"/>
          <w:vanish/>
        </w:rPr>
        <w:t>TRACTOR SUPPLY CO /DE/0000916365110,072,6582022FYfalsehttp://fasb.org/us-gaap/2022#SellingGeneralAndAdministrativeExpenseP2YP7YP10YP10YP1YP3YP2YP4YP5Y</w:t>
      </w:r>
      <w:r>
        <w:rPr>
          <w:rFonts w:eastAsia="Times New Roman"/>
          <w:vanish/>
        </w:rPr>
        <w:t>http://fasb.org/us-gaap/2022#PropertyPlantAndEquipmentNethttp://fasb.org/us-gaap/2022#PropertyPlantAndEquipmentNet00009163652021-12-262022-12-3100009163652022-06-25iso4217:USD00009163652023-01-28xbrli:shares0000916365tsco:WorkersCompensationReserveMember20</w:t>
      </w:r>
      <w:r>
        <w:rPr>
          <w:rFonts w:eastAsia="Times New Roman"/>
          <w:vanish/>
        </w:rPr>
        <w:t>22-12-3100009163652020-12-272021-12-2500009163652020-09-272020-12-2600009163652019-12-292020-12-26iso4217:USDxbrli:shares00009163652022-12-3100009163652021-12-250000916365us-gaap:CommonStockMember2019-12-280000916365us-gaap:AdditionalPaidInCapitalMember201</w:t>
      </w:r>
      <w:r>
        <w:rPr>
          <w:rFonts w:eastAsia="Times New Roman"/>
          <w:vanish/>
        </w:rPr>
        <w:t>9-12-280000916365us-gaap:TreasuryStockMember2019-12-280000916365us-gaap:AccumulatedOtherComprehensiveIncomeMember2019-12-280000916365us-gaap:RetainedEarningsMember2019-12-2800009163652019-12-280000916365us-gaap:CommonStockMember2019-12-292020-12-2600009163</w:t>
      </w:r>
      <w:r>
        <w:rPr>
          <w:rFonts w:eastAsia="Times New Roman"/>
          <w:vanish/>
        </w:rPr>
        <w:t>65us-gaap:AdditionalPaidInCapitalMember2019-12-292020-12-260000916365us-gaap:RestrictedStockUnitsRSUMember2019-12-292020-12-260000916365us-gaap:TreasuryStockMember2019-12-292020-12-260000916365us-gaap:RetainedEarningsMember2019-12-292020-12-260000916365us-</w:t>
      </w:r>
      <w:r>
        <w:rPr>
          <w:rFonts w:eastAsia="Times New Roman"/>
          <w:vanish/>
        </w:rPr>
        <w:t>gaap:AccumulatedOtherComprehensiveIncomeMember2019-12-292020-12-260000916365us-gaap:CommonStockMember2020-12-260000916365us-gaap:AdditionalPaidInCapitalMember2020-12-260000916365us-gaap:TreasuryStockMember2020-12-260000916365us-gaap:AccumulatedOtherCompreh</w:t>
      </w:r>
      <w:r>
        <w:rPr>
          <w:rFonts w:eastAsia="Times New Roman"/>
          <w:vanish/>
        </w:rPr>
        <w:t>ensiveIncomeMember2020-12-260000916365us-gaap:RetainedEarningsMember2020-12-2600009163652020-12-260000916365us-gaap:CommonStockMember2020-12-272021-12-250000916365us-gaap:AdditionalPaidInCapitalMember2020-12-272021-12-250000916365us-gaap:RestrictedStockUni</w:t>
      </w:r>
      <w:r>
        <w:rPr>
          <w:rFonts w:eastAsia="Times New Roman"/>
          <w:vanish/>
        </w:rPr>
        <w:t>tsRSUMember2020-12-272021-12-250000916365us-gaap:TreasuryStockMember2020-12-272021-12-250000916365us-gaap:RetainedEarningsMember2020-12-272021-12-250000916365us-gaap:AccumulatedOtherComprehensiveIncomeMember2020-12-272021-12-250000916365us-gaap:CommonStock</w:t>
      </w:r>
      <w:r>
        <w:rPr>
          <w:rFonts w:eastAsia="Times New Roman"/>
          <w:vanish/>
        </w:rPr>
        <w:t>Member2021-12-250000916365us-gaap:AdditionalPaidInCapitalMember2021-12-250000916365us-gaap:TreasuryStockMember2021-12-250000916365us-gaap:AccumulatedOtherComprehensiveIncomeMember2021-12-250000916365us-gaap:RetainedEarningsMember2021-12-250000916365us-gaap</w:t>
      </w:r>
      <w:r>
        <w:rPr>
          <w:rFonts w:eastAsia="Times New Roman"/>
          <w:vanish/>
        </w:rPr>
        <w:t>:CommonStockMember2021-12-262022-12-310000916365us-gaap:AdditionalPaidInCapitalMember2021-12-262022-12-310000916365us-gaap:RestrictedStockUnitsRSUMember2021-12-262022-12-310000916365us-gaap:TreasuryStockMember2021-12-262022-12-310000916365us-gaap:RetainedE</w:t>
      </w:r>
      <w:r>
        <w:rPr>
          <w:rFonts w:eastAsia="Times New Roman"/>
          <w:vanish/>
        </w:rPr>
        <w:t>arningsMember2021-12-262022-12-310000916365us-gaap:AccumulatedOtherComprehensiveIncomeMember2021-12-262022-12-310000916365us-gaap:CommonStockMember2022-12-310000916365us-gaap:AdditionalPaidInCapitalMember2022-12-310000916365us-gaap:TreasuryStockMember2022-</w:t>
      </w:r>
      <w:r>
        <w:rPr>
          <w:rFonts w:eastAsia="Times New Roman"/>
          <w:vanish/>
        </w:rPr>
        <w:t>12-310000916365us-gaap:AccumulatedOtherComprehensiveIncomeMember2022-12-310000916365us-gaap:RetainedEarningsMember2022-12-310000916365srt:ParentCompanyMember2022-12-31tsco:storetsco:state0000916365tsco:TSCOstoresDomain2022-12-310000916365tsco:Petsensestore</w:t>
      </w:r>
      <w:r>
        <w:rPr>
          <w:rFonts w:eastAsia="Times New Roman"/>
          <w:vanish/>
        </w:rPr>
        <w:t>sDomain2022-12-310000916365tsco:OrschelnStoresDomain2022-12-310000916365tsco:OrschelnFarmAndHomeLLCMember2022-10-122022-10-120000916365tsco:OrschelnStoresDomain2022-10-120000916365tsco:OrschelnDistributionCenterAndHeadquartersMember2022-10-120000916365stpr</w:t>
      </w:r>
      <w:r>
        <w:rPr>
          <w:rFonts w:eastAsia="Times New Roman"/>
          <w:vanish/>
        </w:rPr>
        <w:t>:TX2021-12-262022-12-310000916365tsco:WorkersCompensationReserveMember2021-12-250000916365tsco:GeneralLiabilityReserveMember2022-12-310000916365tsco:GeneralLiabilityReserveMember2021-12-250000916365tsco:SelfInsuranceClaimsMember2022-12-310000916365tsco:Sel</w:t>
      </w:r>
      <w:r>
        <w:rPr>
          <w:rFonts w:eastAsia="Times New Roman"/>
          <w:vanish/>
        </w:rPr>
        <w:t>fInsuranceClaimsMember2021-12-25utr:H0000916365us-gaap:NotesPayableToBanksMember2022-12-310000916365tsco:November2020TermLoanMember2021-12-250000916365tsco:A2022SeniorCreditFacilityMember2021-12-262022-12-310000916365tsco:A1750SeniorNotesMember2022-12-3100</w:t>
      </w:r>
      <w:r>
        <w:rPr>
          <w:rFonts w:eastAsia="Times New Roman"/>
          <w:vanish/>
        </w:rPr>
        <w:t>00916365tsco:A1750SeniorNotesMember2021-12-250000916365tsco:SoftwareMinimumMember2021-12-262022-12-310000916365tsco:SoftwareMaximumMember2021-12-262022-12-31xbrli:pure0000916365us-gaap:EmployeeStockOptionMember2021-12-262022-12-310000916365us-gaap:Employee</w:t>
      </w:r>
      <w:r>
        <w:rPr>
          <w:rFonts w:eastAsia="Times New Roman"/>
          <w:vanish/>
        </w:rPr>
        <w:t>StockOptionMember2020-12-272021-12-250000916365us-gaap:EmployeeStockOptionMember2019-12-292020-12-260000916365us-gaap:EmployeeStockOptionMember2021-12-250000916365us-gaap:EmployeeStockOptionMember2022-12-310000916365us-gaap:RestrictedStockUnitsRSUMember202</w:t>
      </w:r>
      <w:r>
        <w:rPr>
          <w:rFonts w:eastAsia="Times New Roman"/>
          <w:vanish/>
        </w:rPr>
        <w:t>1-12-250000916365us-gaap:RestrictedStockUnitsRSUMember2022-12-310000916365us-gaap:PerformanceSharesMember2021-12-262022-12-310000916365us-gaap:PerformanceSharesMember2020-12-272021-12-250000916365us-gaap:PerformanceSharesMember2021-12-250000916365us-gaap:S</w:t>
      </w:r>
      <w:r>
        <w:rPr>
          <w:rFonts w:eastAsia="Times New Roman"/>
          <w:vanish/>
        </w:rPr>
        <w:t>hareBasedCompensationAwardTrancheOneMember2021-12-262022-12-310000916365us-gaap:PerformanceSharesMember2022-12-310000916365us-gaap:PerformanceSharesMember2019-12-292020-12-260000916365us-gaap:EmployeeStockMember2021-12-262022-12-310000916365us-gaap:Employe</w:t>
      </w:r>
      <w:r>
        <w:rPr>
          <w:rFonts w:eastAsia="Times New Roman"/>
          <w:vanish/>
        </w:rPr>
        <w:t>eStockMember2020-12-272021-12-250000916365us-gaap:EmployeeStockMember2019-12-292020-12-260000916365us-gaap:EmployeeStockMembersrt:MaximumMember2022-12-310000916365us-gaap:EmployeeStockMember2022-12-310000916365tsco:OrschelnFarmAndHomeLLCMember2022-12-31000</w:t>
      </w:r>
      <w:r>
        <w:rPr>
          <w:rFonts w:eastAsia="Times New Roman"/>
          <w:vanish/>
        </w:rPr>
        <w:t>0916365tsco:TractorSupplyCompanyMember2021-12-250000916365tsco:PetsenseMember2021-12-250000916365tsco:TractorSupplyCompanyAndPetsenseMember2021-12-250000916365tsco:PetsenseMember2020-12-260000916365tsco:TractorSupplyCompanyAndPetsenseMember2020-12-26000091</w:t>
      </w:r>
      <w:r>
        <w:rPr>
          <w:rFonts w:eastAsia="Times New Roman"/>
          <w:vanish/>
        </w:rPr>
        <w:t>6365tsco:TractorSupplyCompanyMember2022-12-310000916365tsco:PetsenseMember2022-12-310000916365tsco:TractorSupplyCompanyAndPetsenseMember2022-12-3100009163652021-12-252021-12-250000916365us-gaap:NotesPayableToBanksMember2021-12-250000916365tsco:November2020</w:t>
      </w:r>
      <w:r>
        <w:rPr>
          <w:rFonts w:eastAsia="Times New Roman"/>
          <w:vanish/>
        </w:rPr>
        <w:t>TermLoanMember2022-12-310000916365tsco:A2016SeniorCreditFacilityMember2020-12-272021-12-250000916365tsco:A1750SeniorNotesMember2020-10-302020-10-300000916365tsco:A1750SeniorNotesMember2021-12-262022-12-31utr:Rate00009163652020-10-302020-10-300000916365us-g</w:t>
      </w:r>
      <w:r>
        <w:rPr>
          <w:rFonts w:eastAsia="Times New Roman"/>
          <w:vanish/>
        </w:rPr>
        <w:t>aap:SeniorNotesMember2017-08-142017-08-1400009163652022-12-312022-12-310000916365us-gaap:NotesPayableToBanksMember2022-12-310000916365tsco:A2022SeniorCreditFacilityMember2022-12-310000916365us-gaap:BaseRateMembertsco:A2022SeniorCreditFacilityMember2022-12-</w:t>
      </w:r>
      <w:r>
        <w:rPr>
          <w:rFonts w:eastAsia="Times New Roman"/>
          <w:vanish/>
        </w:rPr>
        <w:t>310000916365us-gaap:BaseRateMembertsco:A2022SeniorCreditFacilityMembersrt:MinimumMember2021-12-262022-12-310000916365us-gaap:BaseRateMembertsco:A2022SeniorCreditFacilityMembersrt:MaximumMember2021-12-262022-12-310000916365us-gaap:SecuredOvernightFinancingR</w:t>
      </w:r>
      <w:r>
        <w:rPr>
          <w:rFonts w:eastAsia="Times New Roman"/>
          <w:vanish/>
        </w:rPr>
        <w:t>ateSofrOvernightIndexSwapRateMembertsco:A2022SeniorCreditFacilityMember2022-12-310000916365us-gaap:SecuredOvernightFinancingRateSofrOvernightIndexSwapRateMembertsco:A2022SeniorCreditFacilityMembersrt:MinimumMember2021-12-262022-12-310000916365us-gaap:Secur</w:t>
      </w:r>
      <w:r>
        <w:rPr>
          <w:rFonts w:eastAsia="Times New Roman"/>
          <w:vanish/>
        </w:rPr>
        <w:t>edOvernightFinancingRateSofrOvernightIndexSwapRateMembertsco:A2022SeniorCreditFacilityMembersrt:MaximumMember2021-12-262022-12-310000916365us-gaap:SecuredOvernightFinancingRateSofrOvernightIndexSwapRateMembertsco:A2022SeniorCreditFacilityMember2021-12-2620</w:t>
      </w:r>
      <w:r>
        <w:rPr>
          <w:rFonts w:eastAsia="Times New Roman"/>
          <w:vanish/>
        </w:rPr>
        <w:t>22-12-310000916365tsco:A2022SeniorCreditFacilityMembersrt:MinimumMember2021-12-262022-12-310000916365tsco:A2022SeniorCreditFacilityMembersrt:MaximumMember2021-12-262022-12-310000916365tsco:NumberofFinancialCovenantsMember2021-12-262022-12-310000916365tsco:</w:t>
      </w:r>
      <w:r>
        <w:rPr>
          <w:rFonts w:eastAsia="Times New Roman"/>
          <w:vanish/>
        </w:rPr>
        <w:t>FixedChargeCoverageRatioMinimumRequirementMember2021-12-262022-12-310000916365tsco:LeverageRatioMaximumRequirementMember2021-12-262022-12-310000916365srt:MinimumMember2022-12-310000916365srt:MaximumMember2022-12-3100009163652022-01-262022-01-260000916365ts</w:t>
      </w:r>
      <w:r>
        <w:rPr>
          <w:rFonts w:eastAsia="Times New Roman"/>
          <w:vanish/>
        </w:rPr>
        <w:t>co:RepurchaseProgramIncreaseMember2022-01-260000916365tsco:NewDistributionCenterConstructionMember2022-12-31tsco:segment0000916365tsco:LivestockAndPetMember2021-12-262022-12-310000916365tsco:LivestockAndPetMember2020-12-272021-12-250000916365tsco:Livestock</w:t>
      </w:r>
      <w:r>
        <w:rPr>
          <w:rFonts w:eastAsia="Times New Roman"/>
          <w:vanish/>
        </w:rPr>
        <w:t>AndPetMember2019-12-292020-12-260000916365tsco:SeasonalGiftAndToyProductsMember2021-12-262022-12-310000916365tsco:SeasonalGiftAndToyProductsMember2020-12-272021-12-250000916365tsco:SeasonalGiftAndToyProductsMember2019-12-292020-12-260000916365tsco:Hardware</w:t>
      </w:r>
      <w:r>
        <w:rPr>
          <w:rFonts w:eastAsia="Times New Roman"/>
          <w:vanish/>
        </w:rPr>
        <w:t>ToolsAndTruckMember2021-12-262022-12-310000916365tsco:HardwareToolsAndTruckMember2020-12-272021-12-250000916365tsco:HardwareToolsAndTruckMember2019-12-292020-12-260000916365tsco:ClothingAndFootwareMember2021-12-262022-12-310000916365tsco:ClothingAndFootwar</w:t>
      </w:r>
      <w:r>
        <w:rPr>
          <w:rFonts w:eastAsia="Times New Roman"/>
          <w:vanish/>
        </w:rPr>
        <w:t>eMember2020-12-272021-12-250000916365tsco:ClothingAndFootwareMember2019-12-292020-12-260000916365tsco:AgricultureMember2021-12-262022-12-310000916365tsco:AgricultureMember2020-12-272021-12-250000916365tsco:AgricultureMember2019-12-292020-12-26</w:t>
      </w:r>
    </w:p>
    <w:p w:rsidR="00000000" w:rsidRDefault="00F123EE">
      <w:pPr>
        <w:divId w:val="788204263"/>
        <w:rPr>
          <w:rFonts w:eastAsia="Times New Roman"/>
        </w:rPr>
      </w:pPr>
    </w:p>
    <w:p w:rsidR="00000000" w:rsidRDefault="00F123EE">
      <w:pPr>
        <w:jc w:val="center"/>
        <w:rPr>
          <w:rFonts w:eastAsia="Times New Roman"/>
        </w:rPr>
      </w:pPr>
      <w:r>
        <w:rPr>
          <w:rFonts w:eastAsia="Times New Roman"/>
          <w:b/>
          <w:bCs/>
          <w:color w:val="000000"/>
          <w:sz w:val="20"/>
          <w:szCs w:val="20"/>
        </w:rPr>
        <w:t>UNITED STA</w:t>
      </w:r>
      <w:r>
        <w:rPr>
          <w:rFonts w:eastAsia="Times New Roman"/>
          <w:b/>
          <w:bCs/>
          <w:color w:val="000000"/>
          <w:sz w:val="20"/>
          <w:szCs w:val="20"/>
        </w:rPr>
        <w:t>TES</w:t>
      </w:r>
    </w:p>
    <w:p w:rsidR="00000000" w:rsidRDefault="00F123EE">
      <w:pPr>
        <w:jc w:val="center"/>
        <w:rPr>
          <w:rFonts w:eastAsia="Times New Roman"/>
        </w:rPr>
      </w:pPr>
      <w:r>
        <w:rPr>
          <w:rFonts w:eastAsia="Times New Roman"/>
          <w:b/>
          <w:bCs/>
          <w:color w:val="000000"/>
          <w:sz w:val="20"/>
          <w:szCs w:val="20"/>
        </w:rPr>
        <w:t>SECURITIES AND EXCHANGE COMMISSION</w:t>
      </w:r>
    </w:p>
    <w:p w:rsidR="00000000" w:rsidRDefault="00F123EE">
      <w:pPr>
        <w:jc w:val="center"/>
        <w:rPr>
          <w:rFonts w:eastAsia="Times New Roman"/>
        </w:rPr>
      </w:pPr>
      <w:r>
        <w:rPr>
          <w:rFonts w:eastAsia="Times New Roman"/>
          <w:b/>
          <w:bCs/>
          <w:color w:val="000000"/>
          <w:sz w:val="20"/>
          <w:szCs w:val="20"/>
        </w:rPr>
        <w:t>WASHINGTON, D.C. 20549</w:t>
      </w:r>
    </w:p>
    <w:p w:rsidR="00000000" w:rsidRDefault="00F123EE">
      <w:pPr>
        <w:divId w:val="1470321384"/>
        <w:rPr>
          <w:rFonts w:eastAsia="Times New Roman"/>
        </w:rPr>
      </w:pPr>
    </w:p>
    <w:p w:rsidR="00000000" w:rsidRDefault="00F123EE">
      <w:pPr>
        <w:jc w:val="center"/>
        <w:rPr>
          <w:rFonts w:eastAsia="Times New Roman"/>
        </w:rPr>
      </w:pPr>
      <w:r>
        <w:rPr>
          <w:rFonts w:eastAsia="Times New Roman"/>
          <w:b/>
          <w:bCs/>
          <w:color w:val="000000"/>
          <w:sz w:val="20"/>
          <w:szCs w:val="20"/>
        </w:rPr>
        <w:t>FORM 10-K</w:t>
      </w:r>
    </w:p>
    <w:p w:rsidR="00000000" w:rsidRDefault="00F123EE">
      <w:pPr>
        <w:divId w:val="1520385760"/>
        <w:rPr>
          <w:rFonts w:eastAsia="Times New Roman"/>
        </w:rPr>
      </w:pPr>
      <w:r>
        <w:rPr>
          <w:rFonts w:eastAsia="Times New Roman"/>
          <w:color w:val="000000"/>
          <w:sz w:val="16"/>
          <w:szCs w:val="16"/>
        </w:rPr>
        <w:t>(Mark One)</w:t>
      </w:r>
    </w:p>
    <w:tbl>
      <w:tblPr>
        <w:tblW w:w="5000" w:type="pct"/>
        <w:tblCellMar>
          <w:top w:w="15" w:type="dxa"/>
          <w:left w:w="15" w:type="dxa"/>
          <w:bottom w:w="15" w:type="dxa"/>
          <w:right w:w="15" w:type="dxa"/>
        </w:tblCellMar>
        <w:tblLook w:val="04A0" w:firstRow="1" w:lastRow="0" w:firstColumn="1" w:lastColumn="0" w:noHBand="0" w:noVBand="1"/>
      </w:tblPr>
      <w:tblGrid>
        <w:gridCol w:w="69"/>
        <w:gridCol w:w="222"/>
        <w:gridCol w:w="36"/>
        <w:gridCol w:w="69"/>
        <w:gridCol w:w="7874"/>
        <w:gridCol w:w="36"/>
      </w:tblGrid>
      <w:tr w:rsidR="00000000">
        <w:trPr>
          <w:divId w:val="1520385760"/>
        </w:trPr>
        <w:tc>
          <w:tcPr>
            <w:tcW w:w="50" w:type="pct"/>
            <w:vAlign w:val="center"/>
            <w:hideMark/>
          </w:tcPr>
          <w:p w:rsidR="00000000" w:rsidRDefault="00F123EE">
            <w:pPr>
              <w:rPr>
                <w:rFonts w:eastAsia="Times New Roman"/>
              </w:rPr>
            </w:pPr>
          </w:p>
        </w:tc>
        <w:tc>
          <w:tcPr>
            <w:tcW w:w="142"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4747"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rPr>
          <w:divId w:val="1520385760"/>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ascii="Wingdings" w:eastAsia="Times New Roman" w:hAnsi="Wingdings"/>
                <w:color w:val="000000"/>
              </w:rPr>
              <w:t>☒</w:t>
            </w:r>
          </w:p>
        </w:tc>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ANNUAL REPORT PURSUANT TO SECTION 13 OR 15(d) OF THE SECURITIES EXCHANGE ACT OF 1934</w:t>
            </w:r>
          </w:p>
        </w:tc>
      </w:tr>
    </w:tbl>
    <w:p w:rsidR="00000000" w:rsidRDefault="00F123EE">
      <w:pPr>
        <w:jc w:val="center"/>
        <w:rPr>
          <w:rFonts w:eastAsia="Times New Roman"/>
        </w:rPr>
      </w:pPr>
      <w:r>
        <w:rPr>
          <w:rFonts w:eastAsia="Times New Roman"/>
          <w:color w:val="000000"/>
          <w:sz w:val="20"/>
          <w:szCs w:val="20"/>
        </w:rPr>
        <w:t xml:space="preserve">For the fiscal year ended December 31, 2022 </w:t>
      </w:r>
    </w:p>
    <w:p w:rsidR="00000000" w:rsidRDefault="00F123EE">
      <w:pPr>
        <w:jc w:val="center"/>
        <w:rPr>
          <w:rFonts w:eastAsia="Times New Roman"/>
        </w:rPr>
      </w:pPr>
      <w:r>
        <w:rPr>
          <w:rFonts w:eastAsia="Times New Roman"/>
          <w:color w:val="000000"/>
          <w:sz w:val="20"/>
          <w:szCs w:val="20"/>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22"/>
        <w:gridCol w:w="36"/>
        <w:gridCol w:w="69"/>
        <w:gridCol w:w="7874"/>
        <w:gridCol w:w="36"/>
      </w:tblGrid>
      <w:tr w:rsidR="00000000">
        <w:trPr>
          <w:jc w:val="center"/>
        </w:trPr>
        <w:tc>
          <w:tcPr>
            <w:tcW w:w="50" w:type="pct"/>
            <w:vAlign w:val="center"/>
            <w:hideMark/>
          </w:tcPr>
          <w:p w:rsidR="00000000" w:rsidRDefault="00F123EE">
            <w:pPr>
              <w:jc w:val="center"/>
              <w:rPr>
                <w:rFonts w:eastAsia="Times New Roman"/>
              </w:rPr>
            </w:pPr>
          </w:p>
        </w:tc>
        <w:tc>
          <w:tcPr>
            <w:tcW w:w="142"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4747"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ascii="Wingdings" w:eastAsia="Times New Roman" w:hAnsi="Wingdings"/>
                <w:color w:val="000000"/>
                <w:sz w:val="20"/>
                <w:szCs w:val="20"/>
              </w:rPr>
              <w:t>☐</w:t>
            </w:r>
          </w:p>
        </w:tc>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TRANSITION REPORT PURSUANT TO SECTION 13 OR 15(d) OF THE SECURITIES EXCHANGE ACT OF 1934</w:t>
            </w:r>
          </w:p>
        </w:tc>
      </w:tr>
    </w:tbl>
    <w:p w:rsidR="00000000" w:rsidRDefault="00F123EE">
      <w:pPr>
        <w:jc w:val="center"/>
        <w:rPr>
          <w:rFonts w:eastAsia="Times New Roman"/>
        </w:rPr>
      </w:pPr>
      <w:r>
        <w:rPr>
          <w:rFonts w:eastAsia="Times New Roman"/>
          <w:color w:val="000000"/>
          <w:sz w:val="20"/>
          <w:szCs w:val="20"/>
        </w:rPr>
        <w:t>For the transition period from________to________.</w:t>
      </w:r>
    </w:p>
    <w:p w:rsidR="00000000" w:rsidRDefault="00F123EE">
      <w:pPr>
        <w:jc w:val="center"/>
        <w:rPr>
          <w:rFonts w:eastAsia="Times New Roman"/>
        </w:rPr>
      </w:pPr>
      <w:r>
        <w:rPr>
          <w:rFonts w:eastAsia="Times New Roman"/>
          <w:color w:val="000000"/>
          <w:sz w:val="20"/>
          <w:szCs w:val="20"/>
        </w:rPr>
        <w:t xml:space="preserve">Commission file number </w:t>
      </w:r>
      <w:r>
        <w:rPr>
          <w:rFonts w:eastAsia="Times New Roman"/>
          <w:color w:val="000000"/>
          <w:sz w:val="20"/>
          <w:szCs w:val="20"/>
          <w:u w:val="single"/>
        </w:rPr>
        <w:t>000-23314</w:t>
      </w:r>
    </w:p>
    <w:p w:rsidR="00000000" w:rsidRDefault="00F123EE">
      <w:pPr>
        <w:jc w:val="center"/>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123EE">
      <w:pPr>
        <w:jc w:val="center"/>
        <w:rPr>
          <w:rFonts w:eastAsia="Times New Roman"/>
        </w:rPr>
      </w:pPr>
      <w:r>
        <w:rPr>
          <w:rFonts w:eastAsia="Times New Roman"/>
          <w:b/>
          <w:bCs/>
          <w:color w:val="000000"/>
          <w:sz w:val="20"/>
          <w:szCs w:val="20"/>
        </w:rPr>
        <w:t>TRACTOR SUPPLY COMPANY</w:t>
      </w:r>
    </w:p>
    <w:p w:rsidR="00000000" w:rsidRDefault="00F123EE">
      <w:pPr>
        <w:jc w:val="center"/>
        <w:rPr>
          <w:rFonts w:eastAsia="Times New Roman"/>
        </w:rPr>
      </w:pPr>
      <w:r>
        <w:rPr>
          <w:rFonts w:eastAsia="Times New Roman"/>
          <w:color w:val="000000"/>
          <w:sz w:val="20"/>
          <w:szCs w:val="20"/>
        </w:rPr>
        <w:t>(Exact name of registrant as specified in its charter)</w:t>
      </w:r>
    </w:p>
    <w:tbl>
      <w:tblPr>
        <w:tblW w:w="5000" w:type="pct"/>
        <w:jc w:val="center"/>
        <w:tblCellMar>
          <w:top w:w="15" w:type="dxa"/>
          <w:left w:w="15" w:type="dxa"/>
          <w:bottom w:w="15" w:type="dxa"/>
          <w:right w:w="15" w:type="dxa"/>
        </w:tblCellMar>
        <w:tblLook w:val="04A0" w:firstRow="1" w:lastRow="0" w:firstColumn="1" w:lastColumn="0" w:noHBand="0" w:noVBand="1"/>
      </w:tblPr>
      <w:tblGrid>
        <w:gridCol w:w="61"/>
        <w:gridCol w:w="4003"/>
        <w:gridCol w:w="36"/>
        <w:gridCol w:w="36"/>
        <w:gridCol w:w="36"/>
        <w:gridCol w:w="36"/>
        <w:gridCol w:w="46"/>
        <w:gridCol w:w="4016"/>
        <w:gridCol w:w="36"/>
      </w:tblGrid>
      <w:tr w:rsidR="00000000">
        <w:trPr>
          <w:jc w:val="center"/>
        </w:trPr>
        <w:tc>
          <w:tcPr>
            <w:tcW w:w="50" w:type="pct"/>
            <w:vAlign w:val="center"/>
            <w:hideMark/>
          </w:tcPr>
          <w:p w:rsidR="00000000" w:rsidRDefault="00F123EE">
            <w:pPr>
              <w:jc w:val="center"/>
              <w:rPr>
                <w:rFonts w:eastAsia="Times New Roman"/>
              </w:rPr>
            </w:pPr>
          </w:p>
        </w:tc>
        <w:tc>
          <w:tcPr>
            <w:tcW w:w="2423"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2430"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color w:val="000000"/>
                <w:sz w:val="16"/>
                <w:szCs w:val="16"/>
                <w:u w:val="single"/>
              </w:rPr>
              <w:t>Delaware</w:t>
            </w:r>
          </w:p>
        </w:tc>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color w:val="000000"/>
                <w:sz w:val="16"/>
                <w:szCs w:val="16"/>
                <w:u w:val="single"/>
              </w:rPr>
              <w:t>13-3139732</w:t>
            </w:r>
          </w:p>
        </w:tc>
      </w:tr>
      <w:tr w:rsidR="00000000">
        <w:trPr>
          <w:jc w:val="center"/>
        </w:trPr>
        <w:tc>
          <w:tcPr>
            <w:tcW w:w="0" w:type="auto"/>
            <w:gridSpan w:val="3"/>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color w:val="000000"/>
                <w:sz w:val="16"/>
                <w:szCs w:val="16"/>
              </w:rPr>
              <w:t>(State or Other Jurisdiction of</w:t>
            </w:r>
          </w:p>
          <w:p w:rsidR="00000000" w:rsidRDefault="00F123EE">
            <w:pPr>
              <w:spacing w:after="100"/>
              <w:jc w:val="center"/>
              <w:rPr>
                <w:rFonts w:eastAsia="Times New Roman"/>
              </w:rPr>
            </w:pPr>
            <w:r>
              <w:rPr>
                <w:rFonts w:eastAsia="Times New Roman"/>
                <w:color w:val="000000"/>
                <w:sz w:val="16"/>
                <w:szCs w:val="16"/>
              </w:rPr>
              <w:t>Incorporation or Organization)</w:t>
            </w:r>
          </w:p>
        </w:tc>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color w:val="000000"/>
                <w:sz w:val="16"/>
                <w:szCs w:val="16"/>
              </w:rPr>
              <w:t>(I.R.S. Employer Identification No.)</w:t>
            </w:r>
          </w:p>
        </w:tc>
      </w:tr>
      <w:tr w:rsidR="00000000">
        <w:trPr>
          <w:jc w:val="center"/>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16"/>
                <w:szCs w:val="16"/>
              </w:rPr>
              <w:t> </w:t>
            </w:r>
          </w:p>
        </w:tc>
      </w:tr>
      <w:tr w:rsidR="00000000">
        <w:trPr>
          <w:jc w:val="center"/>
        </w:trPr>
        <w:tc>
          <w:tcPr>
            <w:tcW w:w="0" w:type="auto"/>
            <w:gridSpan w:val="3"/>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color w:val="000000"/>
                <w:sz w:val="16"/>
                <w:szCs w:val="16"/>
                <w:u w:val="single"/>
              </w:rPr>
              <w:t>5401 Virginia Way, Brentwood, Tennessee</w:t>
            </w:r>
          </w:p>
        </w:tc>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color w:val="000000"/>
                <w:sz w:val="16"/>
                <w:szCs w:val="16"/>
                <w:u w:val="single"/>
              </w:rPr>
              <w:t>37027</w:t>
            </w:r>
          </w:p>
        </w:tc>
      </w:tr>
      <w:tr w:rsidR="00000000">
        <w:trPr>
          <w:jc w:val="center"/>
        </w:trPr>
        <w:tc>
          <w:tcPr>
            <w:tcW w:w="0" w:type="auto"/>
            <w:gridSpan w:val="3"/>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color w:val="000000"/>
                <w:sz w:val="16"/>
                <w:szCs w:val="16"/>
              </w:rPr>
              <w:t>(Address of Principal Executive Offices)</w:t>
            </w:r>
          </w:p>
        </w:tc>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color w:val="000000"/>
                <w:sz w:val="16"/>
                <w:szCs w:val="16"/>
              </w:rPr>
              <w:t>(Zip Code)</w:t>
            </w:r>
          </w:p>
        </w:tc>
      </w:tr>
      <w:tr w:rsidR="00000000">
        <w:trPr>
          <w:jc w:val="center"/>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16"/>
                <w:szCs w:val="16"/>
              </w:rPr>
              <w:t> </w:t>
            </w:r>
          </w:p>
        </w:tc>
      </w:tr>
      <w:tr w:rsidR="00000000">
        <w:trPr>
          <w:jc w:val="center"/>
        </w:trPr>
        <w:tc>
          <w:tcPr>
            <w:tcW w:w="0" w:type="auto"/>
            <w:gridSpan w:val="3"/>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color w:val="000000"/>
                <w:sz w:val="16"/>
                <w:szCs w:val="16"/>
              </w:rPr>
              <w:t>Registrant’s Telephone Number, Including Area Code:</w:t>
            </w:r>
          </w:p>
        </w:tc>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color w:val="000000"/>
                <w:sz w:val="16"/>
                <w:szCs w:val="16"/>
                <w:u w:val="single"/>
              </w:rPr>
              <w:t>(615) 440-4000</w:t>
            </w:r>
          </w:p>
        </w:tc>
      </w:tr>
    </w:tbl>
    <w:p w:rsidR="00000000" w:rsidRDefault="00F123EE">
      <w:pPr>
        <w:jc w:val="center"/>
        <w:divId w:val="509181061"/>
        <w:rPr>
          <w:rFonts w:eastAsia="Times New Roman"/>
        </w:rPr>
      </w:pPr>
      <w:r>
        <w:rPr>
          <w:rFonts w:eastAsia="Times New Roman"/>
          <w:color w:val="000000"/>
          <w:sz w:val="16"/>
          <w:szCs w:val="16"/>
        </w:rPr>
        <w:t>Securities Registered Pursuant to Section 12(b) of the Act:</w:t>
      </w:r>
    </w:p>
    <w:tbl>
      <w:tblPr>
        <w:tblW w:w="4576" w:type="pct"/>
        <w:jc w:val="center"/>
        <w:tblCellMar>
          <w:top w:w="15" w:type="dxa"/>
          <w:left w:w="15" w:type="dxa"/>
          <w:bottom w:w="15" w:type="dxa"/>
          <w:right w:w="15" w:type="dxa"/>
        </w:tblCellMar>
        <w:tblLook w:val="04A0" w:firstRow="1" w:lastRow="0" w:firstColumn="1" w:lastColumn="0" w:noHBand="0" w:noVBand="1"/>
      </w:tblPr>
      <w:tblGrid>
        <w:gridCol w:w="47"/>
        <w:gridCol w:w="3422"/>
        <w:gridCol w:w="37"/>
        <w:gridCol w:w="36"/>
        <w:gridCol w:w="36"/>
        <w:gridCol w:w="36"/>
        <w:gridCol w:w="45"/>
        <w:gridCol w:w="1069"/>
        <w:gridCol w:w="36"/>
        <w:gridCol w:w="36"/>
        <w:gridCol w:w="36"/>
        <w:gridCol w:w="36"/>
        <w:gridCol w:w="48"/>
        <w:gridCol w:w="2646"/>
        <w:gridCol w:w="36"/>
      </w:tblGrid>
      <w:tr w:rsidR="00000000">
        <w:trPr>
          <w:divId w:val="509181061"/>
          <w:jc w:val="center"/>
        </w:trPr>
        <w:tc>
          <w:tcPr>
            <w:tcW w:w="50" w:type="pct"/>
            <w:vAlign w:val="center"/>
            <w:hideMark/>
          </w:tcPr>
          <w:p w:rsidR="00000000" w:rsidRDefault="00F123EE">
            <w:pPr>
              <w:jc w:val="center"/>
              <w:rPr>
                <w:rFonts w:eastAsia="Times New Roman"/>
              </w:rPr>
            </w:pPr>
          </w:p>
        </w:tc>
        <w:tc>
          <w:tcPr>
            <w:tcW w:w="2269"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9"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73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1"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1758"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rPr>
          <w:divId w:val="509181061"/>
          <w:jc w:val="center"/>
        </w:trPr>
        <w:tc>
          <w:tcPr>
            <w:tcW w:w="0" w:type="auto"/>
            <w:gridSpan w:val="3"/>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color w:val="000000"/>
                <w:sz w:val="16"/>
                <w:szCs w:val="16"/>
                <w:u w:val="single"/>
              </w:rPr>
              <w:t>Title of each class</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color w:val="000000"/>
                <w:sz w:val="16"/>
                <w:szCs w:val="16"/>
                <w:u w:val="single"/>
              </w:rPr>
              <w:t>Trading Symbol(s)</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color w:val="000000"/>
                <w:sz w:val="16"/>
                <w:szCs w:val="16"/>
                <w:u w:val="single"/>
              </w:rPr>
              <w:t>Name of each exchange on which registered</w:t>
            </w:r>
          </w:p>
        </w:tc>
      </w:tr>
      <w:tr w:rsidR="00000000">
        <w:trPr>
          <w:divId w:val="509181061"/>
          <w:jc w:val="center"/>
        </w:trPr>
        <w:tc>
          <w:tcPr>
            <w:tcW w:w="0" w:type="auto"/>
            <w:gridSpan w:val="3"/>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color w:val="000000"/>
                <w:sz w:val="16"/>
                <w:szCs w:val="16"/>
              </w:rPr>
              <w:t>Common Stock, $.008 par value</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color w:val="000000"/>
                <w:sz w:val="16"/>
                <w:szCs w:val="16"/>
              </w:rPr>
              <w:t>TSCO</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color w:val="000000"/>
                <w:sz w:val="16"/>
                <w:szCs w:val="16"/>
              </w:rPr>
              <w:t>NASDAQ Global Select Market</w:t>
            </w:r>
          </w:p>
        </w:tc>
      </w:tr>
    </w:tbl>
    <w:p w:rsidR="00000000" w:rsidRDefault="00F123EE">
      <w:pPr>
        <w:divId w:val="554778133"/>
        <w:rPr>
          <w:rFonts w:eastAsia="Times New Roman"/>
        </w:rPr>
      </w:pPr>
    </w:p>
    <w:p w:rsidR="00000000" w:rsidRDefault="00F123EE">
      <w:pPr>
        <w:divId w:val="1804040170"/>
        <w:rPr>
          <w:rFonts w:eastAsia="Times New Roman"/>
        </w:rPr>
      </w:pPr>
      <w:r>
        <w:rPr>
          <w:rFonts w:eastAsia="Times New Roman"/>
          <w:color w:val="000000"/>
          <w:sz w:val="16"/>
          <w:szCs w:val="16"/>
        </w:rPr>
        <w:t>Securities Registered Pursuant to Section 12(g) of the Act: None</w:t>
      </w:r>
    </w:p>
    <w:tbl>
      <w:tblPr>
        <w:tblW w:w="5000" w:type="pct"/>
        <w:tblCellMar>
          <w:top w:w="15" w:type="dxa"/>
          <w:left w:w="15" w:type="dxa"/>
          <w:bottom w:w="15" w:type="dxa"/>
          <w:right w:w="15" w:type="dxa"/>
        </w:tblCellMar>
        <w:tblLook w:val="04A0" w:firstRow="1" w:lastRow="0" w:firstColumn="1" w:lastColumn="0" w:noHBand="0" w:noVBand="1"/>
      </w:tblPr>
      <w:tblGrid>
        <w:gridCol w:w="53"/>
        <w:gridCol w:w="1816"/>
        <w:gridCol w:w="36"/>
        <w:gridCol w:w="53"/>
        <w:gridCol w:w="1816"/>
        <w:gridCol w:w="36"/>
        <w:gridCol w:w="36"/>
        <w:gridCol w:w="36"/>
        <w:gridCol w:w="36"/>
        <w:gridCol w:w="54"/>
        <w:gridCol w:w="1817"/>
        <w:gridCol w:w="36"/>
        <w:gridCol w:w="36"/>
        <w:gridCol w:w="36"/>
        <w:gridCol w:w="36"/>
        <w:gridCol w:w="54"/>
        <w:gridCol w:w="2283"/>
        <w:gridCol w:w="36"/>
      </w:tblGrid>
      <w:tr w:rsidR="00000000">
        <w:trPr>
          <w:divId w:val="1804040170"/>
        </w:trPr>
        <w:tc>
          <w:tcPr>
            <w:tcW w:w="50" w:type="pct"/>
            <w:vAlign w:val="center"/>
            <w:hideMark/>
          </w:tcPr>
          <w:p w:rsidR="00000000" w:rsidRDefault="00F123EE">
            <w:pPr>
              <w:rPr>
                <w:rFonts w:eastAsia="Times New Roman"/>
              </w:rPr>
            </w:pPr>
          </w:p>
        </w:tc>
        <w:tc>
          <w:tcPr>
            <w:tcW w:w="1110"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1110"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18"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1110"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18"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1391"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rPr>
          <w:divId w:val="1804040170"/>
          <w:trHeight w:val="10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bl>
    <w:p w:rsidR="00000000" w:rsidRDefault="00F123EE">
      <w:pPr>
        <w:divId w:val="1786970144"/>
        <w:rPr>
          <w:rFonts w:eastAsia="Times New Roman"/>
        </w:rPr>
      </w:pPr>
      <w:r>
        <w:rPr>
          <w:rFonts w:eastAsia="Times New Roman"/>
          <w:color w:val="000000"/>
          <w:sz w:val="16"/>
          <w:szCs w:val="16"/>
        </w:rPr>
        <w:t>Indicate by check mark if the registrant is a well-known seasoned issuer, as defined in Rule 405 of the Securities Act.</w:t>
      </w:r>
    </w:p>
    <w:p w:rsidR="00000000" w:rsidRDefault="00F123EE">
      <w:pPr>
        <w:jc w:val="center"/>
        <w:rPr>
          <w:rFonts w:eastAsia="Times New Roman"/>
        </w:rPr>
      </w:pPr>
      <w:r>
        <w:rPr>
          <w:rFonts w:eastAsia="Times New Roman"/>
          <w:color w:val="000000"/>
          <w:sz w:val="16"/>
          <w:szCs w:val="16"/>
        </w:rPr>
        <w:t>Yes  </w:t>
      </w:r>
      <w:r>
        <w:rPr>
          <w:rFonts w:ascii="Wingdings" w:eastAsia="Times New Roman" w:hAnsi="Wingdings"/>
          <w:color w:val="000000"/>
          <w:sz w:val="16"/>
          <w:szCs w:val="16"/>
        </w:rPr>
        <w:t>☑</w:t>
      </w:r>
      <w:r>
        <w:rPr>
          <w:rFonts w:eastAsia="Times New Roman"/>
          <w:color w:val="000000"/>
          <w:sz w:val="16"/>
          <w:szCs w:val="16"/>
        </w:rPr>
        <w:t xml:space="preserve">    No </w:t>
      </w:r>
      <w:r>
        <w:rPr>
          <w:rFonts w:ascii="Wingdings" w:eastAsia="Times New Roman" w:hAnsi="Wingdings"/>
          <w:color w:val="000000"/>
          <w:sz w:val="16"/>
          <w:szCs w:val="16"/>
        </w:rPr>
        <w:t>☐</w:t>
      </w:r>
    </w:p>
    <w:p w:rsidR="00000000" w:rsidRDefault="00F123EE">
      <w:pPr>
        <w:divId w:val="1649868986"/>
        <w:rPr>
          <w:rFonts w:eastAsia="Times New Roman"/>
        </w:rPr>
      </w:pPr>
      <w:r>
        <w:rPr>
          <w:rFonts w:eastAsia="Times New Roman"/>
          <w:color w:val="000000"/>
          <w:sz w:val="16"/>
          <w:szCs w:val="16"/>
        </w:rPr>
        <w:t>Indicate by check mark if the registrant is not required to file reports pursuant to Section 13 or Section 15(d) of the A</w:t>
      </w:r>
      <w:r>
        <w:rPr>
          <w:rFonts w:eastAsia="Times New Roman"/>
          <w:color w:val="000000"/>
          <w:sz w:val="16"/>
          <w:szCs w:val="16"/>
        </w:rPr>
        <w:t>ct.</w:t>
      </w:r>
    </w:p>
    <w:p w:rsidR="00000000" w:rsidRDefault="00F123EE">
      <w:pPr>
        <w:jc w:val="center"/>
        <w:rPr>
          <w:rFonts w:eastAsia="Times New Roman"/>
        </w:rPr>
      </w:pPr>
      <w:r>
        <w:rPr>
          <w:rFonts w:eastAsia="Times New Roman"/>
          <w:color w:val="000000"/>
          <w:sz w:val="16"/>
          <w:szCs w:val="16"/>
        </w:rPr>
        <w:t>Yes  </w:t>
      </w:r>
      <w:r>
        <w:rPr>
          <w:rFonts w:ascii="Wingdings" w:eastAsia="Times New Roman" w:hAnsi="Wingdings"/>
          <w:color w:val="000000"/>
          <w:sz w:val="16"/>
          <w:szCs w:val="16"/>
        </w:rPr>
        <w:t>☐</w:t>
      </w:r>
      <w:r>
        <w:rPr>
          <w:rFonts w:eastAsia="Times New Roman"/>
          <w:color w:val="000000"/>
          <w:sz w:val="16"/>
          <w:szCs w:val="16"/>
        </w:rPr>
        <w:t xml:space="preserve">    No </w:t>
      </w:r>
      <w:r>
        <w:rPr>
          <w:rFonts w:ascii="Wingdings" w:eastAsia="Times New Roman" w:hAnsi="Wingdings"/>
          <w:color w:val="000000"/>
          <w:sz w:val="16"/>
          <w:szCs w:val="16"/>
        </w:rPr>
        <w:t>☑</w:t>
      </w:r>
    </w:p>
    <w:p w:rsidR="00000000" w:rsidRDefault="00F123EE">
      <w:pPr>
        <w:jc w:val="both"/>
        <w:rPr>
          <w:rFonts w:eastAsia="Times New Roman"/>
        </w:rPr>
      </w:pPr>
      <w:r>
        <w:rPr>
          <w:rFonts w:eastAsia="Times New Roman"/>
          <w:color w:val="000000"/>
          <w:sz w:val="16"/>
          <w:szCs w:val="16"/>
        </w:rPr>
        <w:t>Indicate by check mark whether the registrant (1) has filed all reports required to be filed by Section 13 or 15(d) of the Securities Exchange Act of 1934 during the preceding 12 months (or for such shorter period that the registrant was</w:t>
      </w:r>
      <w:r>
        <w:rPr>
          <w:rFonts w:eastAsia="Times New Roman"/>
          <w:color w:val="000000"/>
          <w:sz w:val="16"/>
          <w:szCs w:val="16"/>
        </w:rPr>
        <w:t xml:space="preserve"> required to file such reports), and (2) has been subject to such filing requirements for the past 90 days.</w:t>
      </w:r>
    </w:p>
    <w:p w:rsidR="00000000" w:rsidRDefault="00F123EE">
      <w:pPr>
        <w:jc w:val="center"/>
        <w:rPr>
          <w:rFonts w:eastAsia="Times New Roman"/>
        </w:rPr>
      </w:pPr>
      <w:r>
        <w:rPr>
          <w:rFonts w:eastAsia="Times New Roman"/>
          <w:color w:val="000000"/>
          <w:sz w:val="16"/>
          <w:szCs w:val="16"/>
        </w:rPr>
        <w:t>Yes  </w:t>
      </w:r>
      <w:r>
        <w:rPr>
          <w:rFonts w:ascii="Wingdings" w:eastAsia="Times New Roman" w:hAnsi="Wingdings"/>
          <w:color w:val="000000"/>
          <w:sz w:val="16"/>
          <w:szCs w:val="16"/>
        </w:rPr>
        <w:t>☑</w:t>
      </w:r>
      <w:r>
        <w:rPr>
          <w:rFonts w:eastAsia="Times New Roman"/>
          <w:color w:val="000000"/>
          <w:sz w:val="16"/>
          <w:szCs w:val="16"/>
        </w:rPr>
        <w:t xml:space="preserve">    No </w:t>
      </w:r>
      <w:r>
        <w:rPr>
          <w:rFonts w:ascii="Wingdings" w:eastAsia="Times New Roman" w:hAnsi="Wingdings"/>
          <w:color w:val="000000"/>
          <w:sz w:val="16"/>
          <w:szCs w:val="16"/>
        </w:rPr>
        <w:t>☐</w:t>
      </w:r>
    </w:p>
    <w:p w:rsidR="00000000" w:rsidRDefault="00F123EE">
      <w:pPr>
        <w:jc w:val="both"/>
        <w:rPr>
          <w:rFonts w:eastAsia="Times New Roman"/>
        </w:rPr>
      </w:pPr>
      <w:r>
        <w:rPr>
          <w:rFonts w:eastAsia="Times New Roman"/>
          <w:color w:val="000000"/>
          <w:sz w:val="16"/>
          <w:szCs w:val="16"/>
        </w:rPr>
        <w:t>Indicate by check mark whether the registrant has submitted electronically every Interactive Data File required to be submitted pursu</w:t>
      </w:r>
      <w:r>
        <w:rPr>
          <w:rFonts w:eastAsia="Times New Roman"/>
          <w:color w:val="000000"/>
          <w:sz w:val="16"/>
          <w:szCs w:val="16"/>
        </w:rPr>
        <w:t>ant to Rule 405 of Regulation S-T (§232.405 of this chapter) during the preceding 12 months (or for such shorter period that the registrant was required to submit such files).</w:t>
      </w:r>
    </w:p>
    <w:p w:rsidR="00000000" w:rsidRDefault="00F123EE">
      <w:pPr>
        <w:jc w:val="center"/>
        <w:rPr>
          <w:rFonts w:eastAsia="Times New Roman"/>
        </w:rPr>
      </w:pPr>
      <w:r>
        <w:rPr>
          <w:rFonts w:eastAsia="Times New Roman"/>
          <w:color w:val="000000"/>
          <w:sz w:val="16"/>
          <w:szCs w:val="16"/>
        </w:rPr>
        <w:t>Yes  </w:t>
      </w:r>
      <w:r>
        <w:rPr>
          <w:rFonts w:ascii="Wingdings" w:eastAsia="Times New Roman" w:hAnsi="Wingdings"/>
          <w:color w:val="000000"/>
          <w:sz w:val="16"/>
          <w:szCs w:val="16"/>
        </w:rPr>
        <w:t>☑</w:t>
      </w:r>
      <w:r>
        <w:rPr>
          <w:rFonts w:eastAsia="Times New Roman"/>
          <w:color w:val="000000"/>
          <w:sz w:val="16"/>
          <w:szCs w:val="16"/>
        </w:rPr>
        <w:t xml:space="preserve">    No </w:t>
      </w:r>
      <w:r>
        <w:rPr>
          <w:rFonts w:ascii="Wingdings" w:eastAsia="Times New Roman" w:hAnsi="Wingdings"/>
          <w:color w:val="000000"/>
          <w:sz w:val="16"/>
          <w:szCs w:val="16"/>
        </w:rPr>
        <w:t>☐</w:t>
      </w:r>
    </w:p>
    <w:p w:rsidR="00000000" w:rsidRDefault="00F123EE">
      <w:pPr>
        <w:jc w:val="both"/>
        <w:rPr>
          <w:rFonts w:eastAsia="Times New Roman"/>
        </w:rPr>
      </w:pPr>
      <w:r>
        <w:rPr>
          <w:rFonts w:eastAsia="Times New Roman"/>
          <w:color w:val="000000"/>
          <w:sz w:val="16"/>
          <w:szCs w:val="16"/>
        </w:rPr>
        <w:t>Indicate by check mark whether the registrant is a large accelera</w:t>
      </w:r>
      <w:r>
        <w:rPr>
          <w:rFonts w:eastAsia="Times New Roman"/>
          <w:color w:val="000000"/>
          <w:sz w:val="16"/>
          <w:szCs w:val="16"/>
        </w:rPr>
        <w:t xml:space="preserve">ted filer, an accelerated filer, a non-accelerated filer, a smaller reporting company, or an emerging growth company.  See the definitions of “large accelerated filer,” “accelerated filer,” “smaller reporting company” and “emerging growth company” in Rule </w:t>
      </w:r>
      <w:r>
        <w:rPr>
          <w:rFonts w:eastAsia="Times New Roman"/>
          <w:color w:val="000000"/>
          <w:sz w:val="16"/>
          <w:szCs w:val="16"/>
        </w:rPr>
        <w:t xml:space="preserve">12b-2 of the Exchange Act: </w:t>
      </w:r>
    </w:p>
    <w:tbl>
      <w:tblPr>
        <w:tblW w:w="4985" w:type="pct"/>
        <w:tblCellMar>
          <w:top w:w="15" w:type="dxa"/>
          <w:left w:w="15" w:type="dxa"/>
          <w:bottom w:w="15" w:type="dxa"/>
          <w:right w:w="15" w:type="dxa"/>
        </w:tblCellMar>
        <w:tblLook w:val="04A0" w:firstRow="1" w:lastRow="0" w:firstColumn="1" w:lastColumn="0" w:noHBand="0" w:noVBand="1"/>
      </w:tblPr>
      <w:tblGrid>
        <w:gridCol w:w="69"/>
        <w:gridCol w:w="198"/>
        <w:gridCol w:w="36"/>
        <w:gridCol w:w="69"/>
        <w:gridCol w:w="1594"/>
        <w:gridCol w:w="36"/>
        <w:gridCol w:w="69"/>
        <w:gridCol w:w="3441"/>
        <w:gridCol w:w="36"/>
        <w:gridCol w:w="69"/>
        <w:gridCol w:w="1886"/>
        <w:gridCol w:w="36"/>
        <w:gridCol w:w="70"/>
        <w:gridCol w:w="636"/>
        <w:gridCol w:w="36"/>
      </w:tblGrid>
      <w:tr w:rsidR="00000000">
        <w:tc>
          <w:tcPr>
            <w:tcW w:w="50" w:type="pct"/>
            <w:vAlign w:val="center"/>
            <w:hideMark/>
          </w:tcPr>
          <w:p w:rsidR="00000000" w:rsidRDefault="00F123EE">
            <w:pPr>
              <w:jc w:val="both"/>
              <w:rPr>
                <w:rFonts w:eastAsia="Times New Roman"/>
              </w:rPr>
            </w:pPr>
          </w:p>
        </w:tc>
        <w:tc>
          <w:tcPr>
            <w:tcW w:w="128"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971"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208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1147"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392"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16"/>
                <w:szCs w:val="16"/>
              </w:rPr>
              <w:t>Large accelerated filer</w:t>
            </w:r>
          </w:p>
        </w:tc>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ascii="Wingdings" w:eastAsia="Times New Roman" w:hAnsi="Wingdings"/>
                <w:color w:val="000000"/>
                <w:sz w:val="16"/>
                <w:szCs w:val="16"/>
              </w:rPr>
              <w:t>☑</w:t>
            </w:r>
          </w:p>
        </w:tc>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16"/>
                <w:szCs w:val="16"/>
              </w:rPr>
              <w:t>Accelerated filer</w:t>
            </w:r>
          </w:p>
        </w:tc>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ascii="Wingdings" w:eastAsia="Times New Roman" w:hAnsi="Wingdings"/>
                <w:color w:val="000000"/>
                <w:sz w:val="16"/>
                <w:szCs w:val="16"/>
              </w:rPr>
              <w:t>☐</w:t>
            </w:r>
          </w:p>
        </w:tc>
      </w:tr>
      <w:tr w:rsidR="00000000">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16"/>
                <w:szCs w:val="16"/>
              </w:rPr>
              <w:t>Non-accelerated filer</w:t>
            </w:r>
          </w:p>
        </w:tc>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ascii="Wingdings" w:eastAsia="Times New Roman" w:hAnsi="Wingdings"/>
                <w:color w:val="000000"/>
                <w:sz w:val="16"/>
                <w:szCs w:val="16"/>
              </w:rPr>
              <w:t>☐</w:t>
            </w:r>
          </w:p>
        </w:tc>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16"/>
                <w:szCs w:val="16"/>
              </w:rPr>
              <w:t>Smaller reporting company</w:t>
            </w:r>
          </w:p>
        </w:tc>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ascii="Wingdings" w:eastAsia="Times New Roman" w:hAnsi="Wingdings"/>
                <w:color w:val="000000"/>
                <w:sz w:val="16"/>
                <w:szCs w:val="16"/>
              </w:rPr>
              <w:t>☐</w:t>
            </w:r>
          </w:p>
        </w:tc>
      </w:tr>
      <w:tr w:rsidR="00000000">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16"/>
                <w:szCs w:val="16"/>
              </w:rPr>
              <w:t>Emerging growth company</w:t>
            </w:r>
          </w:p>
        </w:tc>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ascii="Wingdings" w:eastAsia="Times New Roman" w:hAnsi="Wingdings"/>
                <w:color w:val="000000"/>
                <w:sz w:val="16"/>
                <w:szCs w:val="16"/>
              </w:rPr>
              <w:t>☐</w:t>
            </w:r>
          </w:p>
        </w:tc>
      </w:tr>
    </w:tbl>
    <w:p w:rsidR="00000000" w:rsidRDefault="00F123EE">
      <w:pPr>
        <w:divId w:val="662702729"/>
        <w:rPr>
          <w:rFonts w:eastAsia="Times New Roman"/>
        </w:rPr>
      </w:pPr>
      <w:r>
        <w:rPr>
          <w:rFonts w:eastAsia="Times New Roman"/>
          <w:color w:val="000000"/>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16"/>
          <w:szCs w:val="16"/>
        </w:rPr>
        <w:t>☐</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16"/>
          <w:szCs w:val="16"/>
        </w:rPr>
        <w:lastRenderedPageBreak/>
        <w:t>I</w:t>
      </w:r>
      <w:r>
        <w:rPr>
          <w:rFonts w:eastAsia="Times New Roman"/>
          <w:color w:val="000000"/>
          <w:sz w:val="16"/>
          <w:szCs w:val="16"/>
        </w:rPr>
        <w:t>ndicate by check mark whether the registrant has filed a report on and attestation to its management's assessment of effectiveness of its internal control over financial reporting under section 404(b) of Sarbanes-Oxley Act (15 U.S.C. 7262(b)) by the regist</w:t>
      </w:r>
      <w:r>
        <w:rPr>
          <w:rFonts w:eastAsia="Times New Roman"/>
          <w:color w:val="000000"/>
          <w:sz w:val="16"/>
          <w:szCs w:val="16"/>
        </w:rPr>
        <w:t xml:space="preserve">ered public accounting firm that prepared or issued its audit report. </w:t>
      </w:r>
      <w:r>
        <w:rPr>
          <w:rFonts w:ascii="Wingdings" w:eastAsia="Times New Roman" w:hAnsi="Wingdings"/>
          <w:color w:val="000000"/>
          <w:sz w:val="16"/>
          <w:szCs w:val="16"/>
        </w:rPr>
        <w:t>☑</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16"/>
          <w:szCs w:val="16"/>
        </w:rPr>
        <w:t>If securities are registered pursuant to Section 12(b) of the Act, indicate by check mark whether the financial statements of the registrant included in the filing reflect the correc</w:t>
      </w:r>
      <w:r>
        <w:rPr>
          <w:rFonts w:eastAsia="Times New Roman"/>
          <w:color w:val="000000"/>
          <w:sz w:val="16"/>
          <w:szCs w:val="16"/>
        </w:rPr>
        <w:t xml:space="preserve">tion of an error to previously issued financial statements. </w:t>
      </w:r>
      <w:r>
        <w:rPr>
          <w:rFonts w:ascii="Wingdings" w:eastAsia="Times New Roman" w:hAnsi="Wingdings"/>
          <w:color w:val="000000"/>
          <w:sz w:val="16"/>
          <w:szCs w:val="16"/>
        </w:rPr>
        <w:t>☐</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16"/>
          <w:szCs w:val="16"/>
        </w:rPr>
        <w:t>Indicate by check mark whether any of those error corrections are restatements that required a recovery analysis of incentive-based compensation received by any of the registrant’s executive o</w:t>
      </w:r>
      <w:r>
        <w:rPr>
          <w:rFonts w:eastAsia="Times New Roman"/>
          <w:color w:val="000000"/>
          <w:sz w:val="16"/>
          <w:szCs w:val="16"/>
        </w:rPr>
        <w:t xml:space="preserve">fficers during the relevant recovery period pursuant to §240.10D-1(b). </w:t>
      </w:r>
      <w:r>
        <w:rPr>
          <w:rFonts w:ascii="Wingdings" w:eastAsia="Times New Roman" w:hAnsi="Wingdings"/>
          <w:color w:val="000000"/>
          <w:sz w:val="16"/>
          <w:szCs w:val="16"/>
        </w:rPr>
        <w:t>☐</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16"/>
          <w:szCs w:val="16"/>
        </w:rPr>
        <w:t>Indicate by check mark whether the registrant is a shell company (as defined in Rule 12b-2 of the Act.)</w:t>
      </w:r>
    </w:p>
    <w:p w:rsidR="00000000" w:rsidRDefault="00F123EE">
      <w:pPr>
        <w:jc w:val="center"/>
        <w:rPr>
          <w:rFonts w:eastAsia="Times New Roman"/>
        </w:rPr>
      </w:pPr>
      <w:r>
        <w:rPr>
          <w:rFonts w:eastAsia="Times New Roman"/>
          <w:color w:val="000000"/>
          <w:sz w:val="16"/>
          <w:szCs w:val="16"/>
        </w:rPr>
        <w:t>Yes  </w:t>
      </w:r>
      <w:r>
        <w:rPr>
          <w:rFonts w:ascii="Wingdings" w:eastAsia="Times New Roman" w:hAnsi="Wingdings"/>
          <w:color w:val="000000"/>
          <w:sz w:val="16"/>
          <w:szCs w:val="16"/>
        </w:rPr>
        <w:t>☐</w:t>
      </w:r>
      <w:r>
        <w:rPr>
          <w:rFonts w:eastAsia="Times New Roman"/>
          <w:color w:val="000000"/>
          <w:sz w:val="16"/>
          <w:szCs w:val="16"/>
        </w:rPr>
        <w:t xml:space="preserve">    No </w:t>
      </w:r>
      <w:r>
        <w:rPr>
          <w:rFonts w:ascii="Wingdings" w:eastAsia="Times New Roman" w:hAnsi="Wingdings"/>
          <w:color w:val="000000"/>
          <w:sz w:val="16"/>
          <w:szCs w:val="16"/>
        </w:rPr>
        <w:t>☑</w:t>
      </w:r>
    </w:p>
    <w:p w:rsidR="00000000" w:rsidRDefault="00F123EE">
      <w:pPr>
        <w:jc w:val="both"/>
        <w:rPr>
          <w:rFonts w:eastAsia="Times New Roman"/>
        </w:rPr>
      </w:pPr>
      <w:r>
        <w:rPr>
          <w:rFonts w:eastAsia="Times New Roman"/>
          <w:color w:val="000000"/>
          <w:sz w:val="16"/>
          <w:szCs w:val="16"/>
        </w:rPr>
        <w:t>The aggregate market value of the Common Stock held by non-aff</w:t>
      </w:r>
      <w:r>
        <w:rPr>
          <w:rFonts w:eastAsia="Times New Roman"/>
          <w:color w:val="000000"/>
          <w:sz w:val="16"/>
          <w:szCs w:val="16"/>
        </w:rPr>
        <w:t>iliates of the registrant, based on the closing price of the Common Stock on The NASDAQ Global Select Market on June 25, 2022, the last business day of the registrant’s most recently completed second fiscal quarter, was approximately $18.6 billion.  For pu</w:t>
      </w:r>
      <w:r>
        <w:rPr>
          <w:rFonts w:eastAsia="Times New Roman"/>
          <w:color w:val="000000"/>
          <w:sz w:val="16"/>
          <w:szCs w:val="16"/>
        </w:rPr>
        <w:t>rposes of this response, the registrant has assumed that its directors, executive officers, and beneficial owners of 5% or more of its Common Stock are affiliates of the registrant.</w:t>
      </w:r>
    </w:p>
    <w:p w:rsidR="00000000" w:rsidRDefault="00F123EE">
      <w:pPr>
        <w:divId w:val="864443567"/>
        <w:rPr>
          <w:rFonts w:eastAsia="Times New Roman"/>
        </w:rPr>
      </w:pPr>
    </w:p>
    <w:p w:rsidR="00000000" w:rsidRDefault="00F123EE">
      <w:pPr>
        <w:divId w:val="915356650"/>
        <w:rPr>
          <w:rFonts w:eastAsia="Times New Roman"/>
        </w:rPr>
      </w:pPr>
    </w:p>
    <w:p w:rsidR="00000000" w:rsidRDefault="00F123EE">
      <w:pPr>
        <w:rPr>
          <w:rFonts w:eastAsia="Times New Roman"/>
        </w:rPr>
      </w:pPr>
      <w:r>
        <w:rPr>
          <w:rFonts w:eastAsia="Times New Roman"/>
        </w:rPr>
        <w:pict>
          <v:rect id="_x0000_i1026" style="width:0;height:1.5pt" o:hralign="center" o:hrstd="t" o:hr="t" fillcolor="#a0a0a0" stroked="f"/>
        </w:pict>
      </w:r>
    </w:p>
    <w:p w:rsidR="00000000" w:rsidRDefault="00F123EE">
      <w:pPr>
        <w:divId w:val="1866358011"/>
        <w:rPr>
          <w:rFonts w:eastAsia="Times New Roman"/>
        </w:rPr>
      </w:pPr>
    </w:p>
    <w:p w:rsidR="00000000" w:rsidRDefault="00F123EE">
      <w:pPr>
        <w:jc w:val="both"/>
        <w:rPr>
          <w:rFonts w:eastAsia="Times New Roman"/>
        </w:rPr>
      </w:pPr>
      <w:r>
        <w:rPr>
          <w:rFonts w:eastAsia="Times New Roman"/>
          <w:color w:val="000000"/>
          <w:sz w:val="16"/>
          <w:szCs w:val="16"/>
        </w:rPr>
        <w:t>Indicate the number of shares ou</w:t>
      </w:r>
      <w:r>
        <w:rPr>
          <w:rFonts w:eastAsia="Times New Roman"/>
          <w:color w:val="000000"/>
          <w:sz w:val="16"/>
          <w:szCs w:val="16"/>
        </w:rPr>
        <w:t>tstanding of each of the registrant’s classes of common stock as of the latest practicable date.</w:t>
      </w:r>
    </w:p>
    <w:tbl>
      <w:tblPr>
        <w:tblW w:w="4992" w:type="pct"/>
        <w:tblCellMar>
          <w:top w:w="15" w:type="dxa"/>
          <w:left w:w="15" w:type="dxa"/>
          <w:bottom w:w="15" w:type="dxa"/>
          <w:right w:w="15" w:type="dxa"/>
        </w:tblCellMar>
        <w:tblLook w:val="04A0" w:firstRow="1" w:lastRow="0" w:firstColumn="1" w:lastColumn="0" w:noHBand="0" w:noVBand="1"/>
      </w:tblPr>
      <w:tblGrid>
        <w:gridCol w:w="61"/>
        <w:gridCol w:w="5703"/>
        <w:gridCol w:w="36"/>
        <w:gridCol w:w="36"/>
        <w:gridCol w:w="36"/>
        <w:gridCol w:w="36"/>
        <w:gridCol w:w="46"/>
        <w:gridCol w:w="2303"/>
        <w:gridCol w:w="36"/>
      </w:tblGrid>
      <w:tr w:rsidR="00000000">
        <w:tc>
          <w:tcPr>
            <w:tcW w:w="50" w:type="pct"/>
            <w:vAlign w:val="center"/>
            <w:hideMark/>
          </w:tcPr>
          <w:p w:rsidR="00000000" w:rsidRDefault="00F123EE">
            <w:pPr>
              <w:jc w:val="both"/>
              <w:rPr>
                <w:rFonts w:eastAsia="Times New Roman"/>
              </w:rPr>
            </w:pPr>
          </w:p>
        </w:tc>
        <w:tc>
          <w:tcPr>
            <w:tcW w:w="3451"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1401"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16"/>
                <w:szCs w:val="16"/>
              </w:rPr>
              <w:t>Class</w:t>
            </w:r>
          </w:p>
        </w:tc>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16"/>
                <w:szCs w:val="16"/>
              </w:rPr>
              <w:t>Outstanding at January 28, 2023</w:t>
            </w:r>
          </w:p>
        </w:tc>
      </w:tr>
      <w:tr w:rsidR="00000000">
        <w:tc>
          <w:tcPr>
            <w:tcW w:w="0" w:type="auto"/>
            <w:gridSpan w:val="3"/>
            <w:tcBorders>
              <w:top w:val="single" w:sz="1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16"/>
                <w:szCs w:val="16"/>
              </w:rPr>
              <w:t>Common Stock, $.008 par value</w:t>
            </w:r>
          </w:p>
        </w:tc>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16"/>
                <w:szCs w:val="16"/>
              </w:rPr>
              <w:t> </w:t>
            </w:r>
          </w:p>
        </w:tc>
        <w:tc>
          <w:tcPr>
            <w:tcW w:w="0" w:type="auto"/>
            <w:gridSpan w:val="3"/>
            <w:tcBorders>
              <w:top w:val="single" w:sz="1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16"/>
                <w:szCs w:val="16"/>
              </w:rPr>
              <w:t>110,072,658</w:t>
            </w:r>
          </w:p>
        </w:tc>
      </w:tr>
    </w:tbl>
    <w:p w:rsidR="00000000" w:rsidRDefault="00F123EE">
      <w:pPr>
        <w:divId w:val="1744110136"/>
        <w:rPr>
          <w:rFonts w:eastAsia="Times New Roman"/>
        </w:rPr>
      </w:pPr>
      <w:r>
        <w:rPr>
          <w:rFonts w:eastAsia="Times New Roman"/>
          <w:b/>
          <w:bCs/>
          <w:color w:val="000000"/>
          <w:sz w:val="16"/>
          <w:szCs w:val="16"/>
        </w:rPr>
        <w:t>Documents Incorporated by Reference:</w:t>
      </w:r>
    </w:p>
    <w:p w:rsidR="00000000" w:rsidRDefault="00F123EE">
      <w:pPr>
        <w:jc w:val="both"/>
        <w:rPr>
          <w:rFonts w:eastAsia="Times New Roman"/>
        </w:rPr>
      </w:pPr>
      <w:r>
        <w:rPr>
          <w:rFonts w:eastAsia="Times New Roman"/>
          <w:b/>
          <w:bCs/>
          <w:color w:val="000000"/>
          <w:sz w:val="16"/>
          <w:szCs w:val="16"/>
        </w:rPr>
        <w:t>Portions of the Registrant’s definitive Proxy Statement for its 2023 Annual Meeting of Stockholders are incorporated by reference into Part III hereof.</w:t>
      </w:r>
    </w:p>
    <w:p w:rsidR="00000000" w:rsidRDefault="00F123EE">
      <w:pPr>
        <w:divId w:val="598879826"/>
        <w:rPr>
          <w:rFonts w:eastAsia="Times New Roman"/>
        </w:rPr>
      </w:pPr>
    </w:p>
    <w:p w:rsidR="00000000" w:rsidRDefault="00F123EE">
      <w:pPr>
        <w:rPr>
          <w:rFonts w:eastAsia="Times New Roman"/>
        </w:rPr>
      </w:pPr>
      <w:r>
        <w:rPr>
          <w:rFonts w:eastAsia="Times New Roman"/>
        </w:rPr>
        <w:pict>
          <v:rect id="_x0000_i1027" style="width:0;height:1.5pt" o:hralign="center" o:hrstd="t" o:hr="t" fillcolor="#a0a0a0" stroked="f"/>
        </w:pict>
      </w:r>
    </w:p>
    <w:p w:rsidR="00000000" w:rsidRDefault="00F123EE">
      <w:pPr>
        <w:divId w:val="1461537403"/>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68"/>
        <w:gridCol w:w="464"/>
        <w:gridCol w:w="38"/>
        <w:gridCol w:w="68"/>
        <w:gridCol w:w="6562"/>
        <w:gridCol w:w="38"/>
        <w:gridCol w:w="69"/>
        <w:gridCol w:w="950"/>
        <w:gridCol w:w="36"/>
      </w:tblGrid>
      <w:tr w:rsidR="00000000">
        <w:trPr>
          <w:divId w:val="1244608625"/>
        </w:trPr>
        <w:tc>
          <w:tcPr>
            <w:tcW w:w="50" w:type="pct"/>
            <w:vAlign w:val="center"/>
            <w:hideMark/>
          </w:tcPr>
          <w:p w:rsidR="00000000" w:rsidRDefault="00F123EE">
            <w:pPr>
              <w:rPr>
                <w:rFonts w:eastAsia="Times New Roman"/>
              </w:rPr>
            </w:pPr>
          </w:p>
        </w:tc>
        <w:tc>
          <w:tcPr>
            <w:tcW w:w="289"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3964"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81"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rPr>
          <w:divId w:val="1244608625"/>
        </w:trPr>
        <w:tc>
          <w:tcPr>
            <w:tcW w:w="0" w:type="auto"/>
            <w:gridSpan w:val="6"/>
            <w:shd w:val="clear" w:color="auto" w:fill="FFFFFF"/>
            <w:tcMar>
              <w:top w:w="30" w:type="dxa"/>
              <w:left w:w="20" w:type="dxa"/>
              <w:bottom w:w="30" w:type="dxa"/>
              <w:right w:w="20" w:type="dxa"/>
            </w:tcMar>
            <w:vAlign w:val="bottom"/>
            <w:hideMark/>
          </w:tcPr>
          <w:p w:rsidR="00000000" w:rsidRDefault="00F123EE">
            <w:pPr>
              <w:spacing w:after="100"/>
              <w:divId w:val="79330722"/>
              <w:rPr>
                <w:rFonts w:eastAsia="Times New Roman"/>
              </w:rPr>
            </w:pPr>
            <w:r>
              <w:rPr>
                <w:rFonts w:eastAsia="Times New Roman"/>
                <w:b/>
                <w:bCs/>
                <w:color w:val="000000"/>
                <w:sz w:val="20"/>
                <w:szCs w:val="20"/>
                <w:u w:val="single"/>
              </w:rPr>
              <w:t>Item No.</w:t>
            </w:r>
            <w:r>
              <w:rPr>
                <w:rFonts w:eastAsia="Times New Roman"/>
                <w:b/>
                <w:bCs/>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 </w:t>
            </w:r>
            <w:r>
              <w:rPr>
                <w:rFonts w:eastAsia="Times New Roman"/>
                <w:b/>
                <w:bCs/>
                <w:color w:val="000000"/>
                <w:sz w:val="20"/>
                <w:szCs w:val="20"/>
              </w:rPr>
              <w:t>Form 10-K Report Page</w:t>
            </w:r>
          </w:p>
        </w:tc>
      </w:tr>
      <w:tr w:rsidR="00000000">
        <w:trPr>
          <w:divId w:val="1244608625"/>
        </w:trPr>
        <w:tc>
          <w:tcPr>
            <w:tcW w:w="0" w:type="auto"/>
            <w:gridSpan w:val="6"/>
            <w:shd w:val="clear" w:color="auto" w:fill="CCEEFF"/>
            <w:tcMar>
              <w:top w:w="30" w:type="dxa"/>
              <w:left w:w="20" w:type="dxa"/>
              <w:bottom w:w="30" w:type="dxa"/>
              <w:right w:w="20" w:type="dxa"/>
            </w:tcMar>
            <w:vAlign w:val="bottom"/>
            <w:hideMark/>
          </w:tcPr>
          <w:p w:rsidR="00000000" w:rsidRDefault="00F123EE">
            <w:pPr>
              <w:spacing w:after="100"/>
              <w:divId w:val="1443762987"/>
              <w:rPr>
                <w:rFonts w:eastAsia="Times New Roman"/>
              </w:rPr>
            </w:pPr>
            <w:hyperlink w:anchor="i38696b5cc01146d68b9c6b33327cf890_10" w:history="1">
              <w:r>
                <w:rPr>
                  <w:rStyle w:val="a3"/>
                  <w:rFonts w:eastAsia="Times New Roman"/>
                  <w:sz w:val="20"/>
                  <w:szCs w:val="20"/>
                </w:rPr>
                <w:t>Forward-Looking Statements</w:t>
              </w:r>
            </w:hyperlink>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hyperlink w:anchor="i38696b5cc01146d68b9c6b33327cf890_10" w:history="1">
              <w:r>
                <w:rPr>
                  <w:rStyle w:val="a3"/>
                  <w:rFonts w:eastAsia="Times New Roman"/>
                  <w:sz w:val="20"/>
                  <w:szCs w:val="20"/>
                </w:rPr>
                <w:t>ii</w:t>
              </w:r>
            </w:hyperlink>
          </w:p>
        </w:tc>
      </w:tr>
      <w:tr w:rsidR="00000000">
        <w:trPr>
          <w:divId w:val="1244608625"/>
          <w:trHeight w:val="300"/>
        </w:trPr>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1244608625"/>
        </w:trPr>
        <w:tc>
          <w:tcPr>
            <w:tcW w:w="0" w:type="auto"/>
            <w:gridSpan w:val="6"/>
            <w:shd w:val="clear" w:color="auto" w:fill="CCEEFF"/>
            <w:tcMar>
              <w:top w:w="30" w:type="dxa"/>
              <w:left w:w="20" w:type="dxa"/>
              <w:bottom w:w="30" w:type="dxa"/>
              <w:right w:w="20" w:type="dxa"/>
            </w:tcMar>
            <w:vAlign w:val="bottom"/>
            <w:hideMark/>
          </w:tcPr>
          <w:p w:rsidR="00000000" w:rsidRDefault="00F123EE">
            <w:pPr>
              <w:spacing w:after="100"/>
              <w:divId w:val="1802307568"/>
              <w:rPr>
                <w:rFonts w:eastAsia="Times New Roman"/>
              </w:rPr>
            </w:pPr>
            <w:hyperlink w:anchor="i38696b5cc01146d68b9c6b33327cf890_13" w:history="1">
              <w:r>
                <w:rPr>
                  <w:rStyle w:val="a3"/>
                  <w:rFonts w:eastAsia="Times New Roman"/>
                  <w:sz w:val="20"/>
                  <w:szCs w:val="20"/>
                </w:rPr>
                <w:t>PART I</w:t>
              </w:r>
            </w:hyperlink>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hyperlink w:anchor="i38696b5cc01146d68b9c6b33327cf890_13" w:history="1">
              <w:r>
                <w:rPr>
                  <w:rStyle w:val="a3"/>
                  <w:rFonts w:eastAsia="Times New Roman"/>
                  <w:sz w:val="20"/>
                  <w:szCs w:val="20"/>
                </w:rPr>
                <w:t>1</w:t>
              </w:r>
            </w:hyperlink>
          </w:p>
        </w:tc>
      </w:tr>
      <w:tr w:rsidR="00000000">
        <w:trPr>
          <w:divId w:val="1244608625"/>
        </w:trPr>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divId w:val="349915509"/>
              <w:rPr>
                <w:rFonts w:eastAsia="Times New Roman"/>
              </w:rPr>
            </w:pPr>
            <w:hyperlink w:anchor="i38696b5cc01146d68b9c6b33327cf890_16" w:history="1">
              <w:r>
                <w:rPr>
                  <w:rStyle w:val="a3"/>
                  <w:rFonts w:eastAsia="Times New Roman"/>
                  <w:sz w:val="20"/>
                  <w:szCs w:val="20"/>
                </w:rPr>
                <w:t>1.</w:t>
              </w:r>
            </w:hyperlink>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divId w:val="828979366"/>
              <w:rPr>
                <w:rFonts w:eastAsia="Times New Roman"/>
              </w:rPr>
            </w:pPr>
            <w:hyperlink w:anchor="i38696b5cc01146d68b9c6b33327cf890_16" w:history="1">
              <w:r>
                <w:rPr>
                  <w:rStyle w:val="a3"/>
                  <w:rFonts w:eastAsia="Times New Roman"/>
                  <w:sz w:val="20"/>
                  <w:szCs w:val="20"/>
                </w:rPr>
                <w:t>Business</w:t>
              </w:r>
            </w:hyperlink>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right"/>
              <w:rPr>
                <w:rFonts w:eastAsia="Times New Roman"/>
              </w:rPr>
            </w:pPr>
            <w:hyperlink w:anchor="i38696b5cc01146d68b9c6b33327cf890_16" w:history="1">
              <w:r>
                <w:rPr>
                  <w:rStyle w:val="a3"/>
                  <w:rFonts w:eastAsia="Times New Roman"/>
                  <w:sz w:val="20"/>
                  <w:szCs w:val="20"/>
                </w:rPr>
                <w:t>1</w:t>
              </w:r>
            </w:hyperlink>
          </w:p>
        </w:tc>
      </w:tr>
      <w:tr w:rsidR="00000000">
        <w:trPr>
          <w:divId w:val="1244608625"/>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divId w:val="1630932601"/>
              <w:rPr>
                <w:rFonts w:eastAsia="Times New Roman"/>
              </w:rPr>
            </w:pPr>
            <w:hyperlink w:anchor="i38696b5cc01146d68b9c6b33327cf890_19" w:history="1">
              <w:r>
                <w:rPr>
                  <w:rStyle w:val="a3"/>
                  <w:rFonts w:eastAsia="Times New Roman"/>
                  <w:sz w:val="20"/>
                  <w:szCs w:val="20"/>
                </w:rPr>
                <w:t>1A.</w:t>
              </w:r>
            </w:hyperlink>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divId w:val="988174666"/>
              <w:rPr>
                <w:rFonts w:eastAsia="Times New Roman"/>
              </w:rPr>
            </w:pPr>
            <w:hyperlink w:anchor="i38696b5cc01146d68b9c6b33327cf890_19" w:history="1">
              <w:r>
                <w:rPr>
                  <w:rStyle w:val="a3"/>
                  <w:rFonts w:eastAsia="Times New Roman"/>
                  <w:sz w:val="20"/>
                  <w:szCs w:val="20"/>
                </w:rPr>
                <w:t>Risk Factors</w:t>
              </w:r>
            </w:hyperlink>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hyperlink w:anchor="i38696b5cc01146d68b9c6b33327cf890_19" w:history="1">
              <w:r>
                <w:rPr>
                  <w:rStyle w:val="a3"/>
                  <w:rFonts w:eastAsia="Times New Roman"/>
                  <w:sz w:val="20"/>
                  <w:szCs w:val="20"/>
                </w:rPr>
                <w:t>12</w:t>
              </w:r>
            </w:hyperlink>
          </w:p>
        </w:tc>
      </w:tr>
      <w:tr w:rsidR="00000000">
        <w:trPr>
          <w:divId w:val="1244608625"/>
        </w:trPr>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divId w:val="171456531"/>
              <w:rPr>
                <w:rFonts w:eastAsia="Times New Roman"/>
              </w:rPr>
            </w:pPr>
            <w:hyperlink w:anchor="i38696b5cc01146d68b9c6b33327cf890_22" w:history="1">
              <w:r>
                <w:rPr>
                  <w:rStyle w:val="a3"/>
                  <w:rFonts w:eastAsia="Times New Roman"/>
                  <w:sz w:val="20"/>
                  <w:szCs w:val="20"/>
                </w:rPr>
                <w:t>1B.</w:t>
              </w:r>
            </w:hyperlink>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divId w:val="1132944534"/>
              <w:rPr>
                <w:rFonts w:eastAsia="Times New Roman"/>
              </w:rPr>
            </w:pPr>
            <w:hyperlink w:anchor="i38696b5cc01146d68b9c6b33327cf890_22" w:history="1">
              <w:r>
                <w:rPr>
                  <w:rStyle w:val="a3"/>
                  <w:rFonts w:eastAsia="Times New Roman"/>
                  <w:sz w:val="20"/>
                  <w:szCs w:val="20"/>
                </w:rPr>
                <w:t>Unresolved Staff Comments</w:t>
              </w:r>
            </w:hyperlink>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right"/>
              <w:rPr>
                <w:rFonts w:eastAsia="Times New Roman"/>
              </w:rPr>
            </w:pPr>
            <w:hyperlink w:anchor="i38696b5cc01146d68b9c6b33327cf890_22" w:history="1">
              <w:r>
                <w:rPr>
                  <w:rStyle w:val="a3"/>
                  <w:rFonts w:eastAsia="Times New Roman"/>
                  <w:sz w:val="20"/>
                  <w:szCs w:val="20"/>
                </w:rPr>
                <w:t>24</w:t>
              </w:r>
            </w:hyperlink>
          </w:p>
        </w:tc>
      </w:tr>
      <w:tr w:rsidR="00000000">
        <w:trPr>
          <w:divId w:val="1244608625"/>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divId w:val="2139907595"/>
              <w:rPr>
                <w:rFonts w:eastAsia="Times New Roman"/>
              </w:rPr>
            </w:pPr>
            <w:hyperlink w:anchor="i38696b5cc01146d68b9c6b33327cf890_25" w:history="1">
              <w:r>
                <w:rPr>
                  <w:rStyle w:val="a3"/>
                  <w:rFonts w:eastAsia="Times New Roman"/>
                  <w:sz w:val="20"/>
                  <w:szCs w:val="20"/>
                </w:rPr>
                <w:t>2.</w:t>
              </w:r>
            </w:hyperlink>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divId w:val="1207714496"/>
              <w:rPr>
                <w:rFonts w:eastAsia="Times New Roman"/>
              </w:rPr>
            </w:pPr>
            <w:hyperlink w:anchor="i38696b5cc01146d68b9c6b33327cf890_25" w:history="1">
              <w:r>
                <w:rPr>
                  <w:rStyle w:val="a3"/>
                  <w:rFonts w:eastAsia="Times New Roman"/>
                  <w:sz w:val="20"/>
                  <w:szCs w:val="20"/>
                </w:rPr>
                <w:t>Properties</w:t>
              </w:r>
            </w:hyperlink>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hyperlink w:anchor="i38696b5cc01146d68b9c6b33327cf890_25" w:history="1">
              <w:r>
                <w:rPr>
                  <w:rStyle w:val="a3"/>
                  <w:rFonts w:eastAsia="Times New Roman"/>
                  <w:sz w:val="20"/>
                  <w:szCs w:val="20"/>
                </w:rPr>
                <w:t>25</w:t>
              </w:r>
            </w:hyperlink>
          </w:p>
        </w:tc>
      </w:tr>
      <w:tr w:rsidR="00000000">
        <w:trPr>
          <w:divId w:val="1244608625"/>
        </w:trPr>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divId w:val="1575316355"/>
              <w:rPr>
                <w:rFonts w:eastAsia="Times New Roman"/>
              </w:rPr>
            </w:pPr>
            <w:hyperlink w:anchor="i38696b5cc01146d68b9c6b33327cf890_28" w:history="1">
              <w:r>
                <w:rPr>
                  <w:rStyle w:val="a3"/>
                  <w:rFonts w:eastAsia="Times New Roman"/>
                  <w:sz w:val="20"/>
                  <w:szCs w:val="20"/>
                </w:rPr>
                <w:t>3.</w:t>
              </w:r>
            </w:hyperlink>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divId w:val="420568284"/>
              <w:rPr>
                <w:rFonts w:eastAsia="Times New Roman"/>
              </w:rPr>
            </w:pPr>
            <w:hyperlink w:anchor="i38696b5cc01146d68b9c6b33327cf890_28" w:history="1">
              <w:r>
                <w:rPr>
                  <w:rStyle w:val="a3"/>
                  <w:rFonts w:eastAsia="Times New Roman"/>
                  <w:sz w:val="20"/>
                  <w:szCs w:val="20"/>
                </w:rPr>
                <w:t>Legal Proceedings</w:t>
              </w:r>
            </w:hyperlink>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right"/>
              <w:rPr>
                <w:rFonts w:eastAsia="Times New Roman"/>
              </w:rPr>
            </w:pPr>
            <w:hyperlink w:anchor="i38696b5cc01146d68b9c6b33327cf890_28" w:history="1">
              <w:r>
                <w:rPr>
                  <w:rStyle w:val="a3"/>
                  <w:rFonts w:eastAsia="Times New Roman"/>
                  <w:sz w:val="20"/>
                  <w:szCs w:val="20"/>
                </w:rPr>
                <w:t>26</w:t>
              </w:r>
            </w:hyperlink>
          </w:p>
        </w:tc>
      </w:tr>
      <w:tr w:rsidR="00000000">
        <w:trPr>
          <w:divId w:val="1244608625"/>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divId w:val="31615484"/>
              <w:rPr>
                <w:rFonts w:eastAsia="Times New Roman"/>
              </w:rPr>
            </w:pPr>
            <w:hyperlink w:anchor="i38696b5cc01146d68b9c6b33327cf890_31" w:history="1">
              <w:r>
                <w:rPr>
                  <w:rStyle w:val="a3"/>
                  <w:rFonts w:eastAsia="Times New Roman"/>
                  <w:sz w:val="20"/>
                  <w:szCs w:val="20"/>
                </w:rPr>
                <w:t>4.</w:t>
              </w:r>
            </w:hyperlink>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divId w:val="368649663"/>
              <w:rPr>
                <w:rFonts w:eastAsia="Times New Roman"/>
              </w:rPr>
            </w:pPr>
            <w:hyperlink w:anchor="i38696b5cc01146d68b9c6b33327cf890_31" w:history="1">
              <w:r>
                <w:rPr>
                  <w:rStyle w:val="a3"/>
                  <w:rFonts w:eastAsia="Times New Roman"/>
                  <w:sz w:val="20"/>
                  <w:szCs w:val="20"/>
                </w:rPr>
                <w:t>Mine Safety Disclosures</w:t>
              </w:r>
            </w:hyperlink>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hyperlink w:anchor="i38696b5cc01146d68b9c6b33327cf890_31" w:history="1">
              <w:r>
                <w:rPr>
                  <w:rStyle w:val="a3"/>
                  <w:rFonts w:eastAsia="Times New Roman"/>
                  <w:sz w:val="20"/>
                  <w:szCs w:val="20"/>
                </w:rPr>
                <w:t>26</w:t>
              </w:r>
            </w:hyperlink>
          </w:p>
        </w:tc>
      </w:tr>
      <w:tr w:rsidR="00000000">
        <w:trPr>
          <w:divId w:val="1244608625"/>
          <w:trHeight w:val="300"/>
        </w:trPr>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1244608625"/>
        </w:trPr>
        <w:tc>
          <w:tcPr>
            <w:tcW w:w="0" w:type="auto"/>
            <w:gridSpan w:val="6"/>
            <w:shd w:val="clear" w:color="auto" w:fill="CCEEFF"/>
            <w:tcMar>
              <w:top w:w="30" w:type="dxa"/>
              <w:left w:w="20" w:type="dxa"/>
              <w:bottom w:w="30" w:type="dxa"/>
              <w:right w:w="20" w:type="dxa"/>
            </w:tcMar>
            <w:vAlign w:val="bottom"/>
            <w:hideMark/>
          </w:tcPr>
          <w:p w:rsidR="00000000" w:rsidRDefault="00F123EE">
            <w:pPr>
              <w:spacing w:after="100"/>
              <w:divId w:val="638874807"/>
              <w:rPr>
                <w:rFonts w:eastAsia="Times New Roman"/>
              </w:rPr>
            </w:pPr>
            <w:hyperlink w:anchor="i38696b5cc01146d68b9c6b33327cf890_34" w:history="1">
              <w:r>
                <w:rPr>
                  <w:rStyle w:val="a3"/>
                  <w:rFonts w:eastAsia="Times New Roman"/>
                  <w:sz w:val="20"/>
                  <w:szCs w:val="20"/>
                </w:rPr>
                <w:t>PART II</w:t>
              </w:r>
            </w:hyperlink>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hyperlink w:anchor="i38696b5cc01146d68b9c6b33327cf890_34" w:history="1">
              <w:r>
                <w:rPr>
                  <w:rStyle w:val="a3"/>
                  <w:rFonts w:eastAsia="Times New Roman"/>
                  <w:sz w:val="20"/>
                  <w:szCs w:val="20"/>
                </w:rPr>
                <w:t>27</w:t>
              </w:r>
            </w:hyperlink>
          </w:p>
        </w:tc>
      </w:tr>
      <w:tr w:rsidR="00000000">
        <w:trPr>
          <w:divId w:val="1244608625"/>
        </w:trPr>
        <w:tc>
          <w:tcPr>
            <w:tcW w:w="0" w:type="auto"/>
            <w:gridSpan w:val="3"/>
            <w:shd w:val="clear" w:color="auto" w:fill="FFFFFF"/>
            <w:tcMar>
              <w:top w:w="30" w:type="dxa"/>
              <w:left w:w="20" w:type="dxa"/>
              <w:bottom w:w="30" w:type="dxa"/>
              <w:right w:w="20" w:type="dxa"/>
            </w:tcMar>
            <w:vAlign w:val="center"/>
            <w:hideMark/>
          </w:tcPr>
          <w:p w:rsidR="00000000" w:rsidRDefault="00F123EE">
            <w:pPr>
              <w:spacing w:after="100"/>
              <w:divId w:val="968819743"/>
              <w:rPr>
                <w:rFonts w:eastAsia="Times New Roman"/>
              </w:rPr>
            </w:pPr>
            <w:hyperlink w:anchor="i38696b5cc01146d68b9c6b33327cf890_37" w:history="1">
              <w:r>
                <w:rPr>
                  <w:rStyle w:val="a3"/>
                  <w:rFonts w:eastAsia="Times New Roman"/>
                  <w:sz w:val="20"/>
                  <w:szCs w:val="20"/>
                </w:rPr>
                <w:t>5.</w:t>
              </w:r>
            </w:hyperlink>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divId w:val="739645020"/>
              <w:rPr>
                <w:rFonts w:eastAsia="Times New Roman"/>
              </w:rPr>
            </w:pPr>
            <w:hyperlink w:anchor="i38696b5cc01146d68b9c6b33327cf890_37" w:history="1">
              <w:r>
                <w:rPr>
                  <w:rStyle w:val="a3"/>
                  <w:rFonts w:eastAsia="Times New Roman"/>
                  <w:sz w:val="20"/>
                  <w:szCs w:val="20"/>
                </w:rPr>
                <w:t>Market for Registrant’s Common Equity, Related Stockholder Matters, and Issuer Purchases of Equity Securities</w:t>
              </w:r>
            </w:hyperlink>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right"/>
              <w:rPr>
                <w:rFonts w:eastAsia="Times New Roman"/>
              </w:rPr>
            </w:pPr>
            <w:hyperlink w:anchor="i38696b5cc01146d68b9c6b33327cf890_37" w:history="1">
              <w:r>
                <w:rPr>
                  <w:rStyle w:val="a3"/>
                  <w:rFonts w:eastAsia="Times New Roman"/>
                  <w:sz w:val="20"/>
                  <w:szCs w:val="20"/>
                </w:rPr>
                <w:t>27</w:t>
              </w:r>
            </w:hyperlink>
          </w:p>
        </w:tc>
      </w:tr>
      <w:tr w:rsidR="00000000">
        <w:trPr>
          <w:divId w:val="1244608625"/>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divId w:val="1249971460"/>
              <w:rPr>
                <w:rFonts w:eastAsia="Times New Roman"/>
              </w:rPr>
            </w:pPr>
            <w:hyperlink w:anchor="i38696b5cc01146d68b9c6b33327cf890_40" w:history="1">
              <w:r>
                <w:rPr>
                  <w:rStyle w:val="a3"/>
                  <w:rFonts w:eastAsia="Times New Roman"/>
                  <w:sz w:val="20"/>
                  <w:szCs w:val="20"/>
                </w:rPr>
                <w:t>6.</w:t>
              </w:r>
            </w:hyperlink>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divId w:val="1538618411"/>
              <w:rPr>
                <w:rFonts w:eastAsia="Times New Roman"/>
              </w:rPr>
            </w:pPr>
            <w:hyperlink w:anchor="i38696b5cc01146d68b9c6b33327cf890_40" w:history="1">
              <w:r>
                <w:rPr>
                  <w:rStyle w:val="a3"/>
                  <w:rFonts w:eastAsia="Times New Roman"/>
                  <w:sz w:val="20"/>
                  <w:szCs w:val="20"/>
                </w:rPr>
                <w:t>[Reserved]</w:t>
              </w:r>
            </w:hyperlink>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hyperlink w:anchor="i38696b5cc01146d68b9c6b33327cf890_40" w:history="1">
              <w:r>
                <w:rPr>
                  <w:rStyle w:val="a3"/>
                  <w:rFonts w:eastAsia="Times New Roman"/>
                  <w:sz w:val="20"/>
                  <w:szCs w:val="20"/>
                </w:rPr>
                <w:t>29</w:t>
              </w:r>
            </w:hyperlink>
          </w:p>
        </w:tc>
      </w:tr>
      <w:tr w:rsidR="00000000">
        <w:trPr>
          <w:divId w:val="1244608625"/>
        </w:trPr>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divId w:val="795028078"/>
              <w:rPr>
                <w:rFonts w:eastAsia="Times New Roman"/>
              </w:rPr>
            </w:pPr>
            <w:hyperlink w:anchor="i38696b5cc01146d68b9c6b33327cf890_43" w:history="1">
              <w:r>
                <w:rPr>
                  <w:rStyle w:val="a3"/>
                  <w:rFonts w:eastAsia="Times New Roman"/>
                  <w:sz w:val="20"/>
                  <w:szCs w:val="20"/>
                </w:rPr>
                <w:t>7.</w:t>
              </w:r>
            </w:hyperlink>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divId w:val="1565412665"/>
              <w:rPr>
                <w:rFonts w:eastAsia="Times New Roman"/>
              </w:rPr>
            </w:pPr>
            <w:hyperlink w:anchor="i38696b5cc01146d68b9c6b33327cf890_43" w:history="1">
              <w:r>
                <w:rPr>
                  <w:rStyle w:val="a3"/>
                  <w:rFonts w:eastAsia="Times New Roman"/>
                  <w:sz w:val="20"/>
                  <w:szCs w:val="20"/>
                </w:rPr>
                <w:t>Management’s Discussion and Analysis of Financial Condition and Results of Operations</w:t>
              </w:r>
            </w:hyperlink>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right"/>
              <w:rPr>
                <w:rFonts w:eastAsia="Times New Roman"/>
              </w:rPr>
            </w:pPr>
            <w:hyperlink w:anchor="i38696b5cc01146d68b9c6b33327cf890_43" w:history="1">
              <w:r>
                <w:rPr>
                  <w:rStyle w:val="a3"/>
                  <w:rFonts w:eastAsia="Times New Roman"/>
                  <w:sz w:val="20"/>
                  <w:szCs w:val="20"/>
                </w:rPr>
                <w:t>30</w:t>
              </w:r>
            </w:hyperlink>
          </w:p>
        </w:tc>
      </w:tr>
      <w:tr w:rsidR="00000000">
        <w:trPr>
          <w:divId w:val="1244608625"/>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divId w:val="716708305"/>
              <w:rPr>
                <w:rFonts w:eastAsia="Times New Roman"/>
              </w:rPr>
            </w:pPr>
            <w:hyperlink w:anchor="i38696b5cc01146d68b9c6b33327cf890_61" w:history="1">
              <w:r>
                <w:rPr>
                  <w:rStyle w:val="a3"/>
                  <w:rFonts w:eastAsia="Times New Roman"/>
                  <w:sz w:val="20"/>
                  <w:szCs w:val="20"/>
                </w:rPr>
                <w:t>7A.</w:t>
              </w:r>
            </w:hyperlink>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divId w:val="1925868930"/>
              <w:rPr>
                <w:rFonts w:eastAsia="Times New Roman"/>
              </w:rPr>
            </w:pPr>
            <w:hyperlink w:anchor="i38696b5cc01146d68b9c6b33327cf890_61" w:history="1">
              <w:r>
                <w:rPr>
                  <w:rStyle w:val="a3"/>
                  <w:rFonts w:eastAsia="Times New Roman"/>
                  <w:sz w:val="20"/>
                  <w:szCs w:val="20"/>
                </w:rPr>
                <w:t>Quantitative and Qualitative Disclosures About Market Risk</w:t>
              </w:r>
            </w:hyperlink>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hyperlink w:anchor="i38696b5cc01146d68b9c6b33327cf890_61" w:history="1">
              <w:r>
                <w:rPr>
                  <w:rStyle w:val="a3"/>
                  <w:rFonts w:eastAsia="Times New Roman"/>
                  <w:sz w:val="20"/>
                  <w:szCs w:val="20"/>
                </w:rPr>
                <w:t>42</w:t>
              </w:r>
            </w:hyperlink>
          </w:p>
        </w:tc>
      </w:tr>
      <w:tr w:rsidR="00000000">
        <w:trPr>
          <w:divId w:val="1244608625"/>
        </w:trPr>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divId w:val="1005284081"/>
              <w:rPr>
                <w:rFonts w:eastAsia="Times New Roman"/>
              </w:rPr>
            </w:pPr>
            <w:hyperlink w:anchor="i38696b5cc01146d68b9c6b33327cf890_64" w:history="1">
              <w:r>
                <w:rPr>
                  <w:rStyle w:val="a3"/>
                  <w:rFonts w:eastAsia="Times New Roman"/>
                  <w:sz w:val="20"/>
                  <w:szCs w:val="20"/>
                </w:rPr>
                <w:t>8.</w:t>
              </w:r>
            </w:hyperlink>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divId w:val="1417022236"/>
              <w:rPr>
                <w:rFonts w:eastAsia="Times New Roman"/>
              </w:rPr>
            </w:pPr>
            <w:hyperlink w:anchor="i38696b5cc01146d68b9c6b33327cf890_64" w:history="1">
              <w:r>
                <w:rPr>
                  <w:rStyle w:val="a3"/>
                  <w:rFonts w:eastAsia="Times New Roman"/>
                  <w:sz w:val="20"/>
                  <w:szCs w:val="20"/>
                </w:rPr>
                <w:t>Financial Statements and Supplementary Data</w:t>
              </w:r>
            </w:hyperlink>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right"/>
              <w:rPr>
                <w:rFonts w:eastAsia="Times New Roman"/>
              </w:rPr>
            </w:pPr>
            <w:hyperlink w:anchor="i38696b5cc01146d68b9c6b33327cf890_64" w:history="1">
              <w:r>
                <w:rPr>
                  <w:rStyle w:val="a3"/>
                  <w:rFonts w:eastAsia="Times New Roman"/>
                  <w:sz w:val="20"/>
                  <w:szCs w:val="20"/>
                </w:rPr>
                <w:t>43</w:t>
              </w:r>
            </w:hyperlink>
          </w:p>
        </w:tc>
      </w:tr>
      <w:tr w:rsidR="00000000">
        <w:trPr>
          <w:divId w:val="1244608625"/>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divId w:val="729113585"/>
              <w:rPr>
                <w:rFonts w:eastAsia="Times New Roman"/>
              </w:rPr>
            </w:pPr>
            <w:hyperlink w:anchor="i38696b5cc01146d68b9c6b33327cf890_133" w:history="1">
              <w:r>
                <w:rPr>
                  <w:rStyle w:val="a3"/>
                  <w:rFonts w:eastAsia="Times New Roman"/>
                  <w:sz w:val="20"/>
                  <w:szCs w:val="20"/>
                </w:rPr>
                <w:t>9.</w:t>
              </w:r>
            </w:hyperlink>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divId w:val="724259143"/>
              <w:rPr>
                <w:rFonts w:eastAsia="Times New Roman"/>
              </w:rPr>
            </w:pPr>
            <w:hyperlink w:anchor="i38696b5cc01146d68b9c6b33327cf890_133" w:history="1">
              <w:r>
                <w:rPr>
                  <w:rStyle w:val="a3"/>
                  <w:rFonts w:eastAsia="Times New Roman"/>
                  <w:sz w:val="20"/>
                  <w:szCs w:val="20"/>
                </w:rPr>
                <w:t>Changes in and Disagreements with Accountants on Accounting and Financial Disclosure</w:t>
              </w:r>
            </w:hyperlink>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hyperlink w:anchor="i38696b5cc01146d68b9c6b33327cf890_133" w:history="1">
              <w:r>
                <w:rPr>
                  <w:rStyle w:val="a3"/>
                  <w:rFonts w:eastAsia="Times New Roman"/>
                  <w:sz w:val="20"/>
                  <w:szCs w:val="20"/>
                </w:rPr>
                <w:t>76</w:t>
              </w:r>
            </w:hyperlink>
          </w:p>
        </w:tc>
      </w:tr>
      <w:tr w:rsidR="00000000">
        <w:trPr>
          <w:divId w:val="1244608625"/>
        </w:trPr>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divId w:val="607276007"/>
              <w:rPr>
                <w:rFonts w:eastAsia="Times New Roman"/>
              </w:rPr>
            </w:pPr>
            <w:hyperlink w:anchor="i38696b5cc01146d68b9c6b33327cf890_136" w:history="1">
              <w:r>
                <w:rPr>
                  <w:rStyle w:val="a3"/>
                  <w:rFonts w:eastAsia="Times New Roman"/>
                  <w:sz w:val="20"/>
                  <w:szCs w:val="20"/>
                </w:rPr>
                <w:t>9A.</w:t>
              </w:r>
            </w:hyperlink>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divId w:val="94401230"/>
              <w:rPr>
                <w:rFonts w:eastAsia="Times New Roman"/>
              </w:rPr>
            </w:pPr>
            <w:hyperlink w:anchor="i38696b5cc01146d68b9c6b33327cf890_136" w:history="1">
              <w:r>
                <w:rPr>
                  <w:rStyle w:val="a3"/>
                  <w:rFonts w:eastAsia="Times New Roman"/>
                  <w:sz w:val="20"/>
                  <w:szCs w:val="20"/>
                </w:rPr>
                <w:t>Controls and Procedures</w:t>
              </w:r>
            </w:hyperlink>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right"/>
              <w:rPr>
                <w:rFonts w:eastAsia="Times New Roman"/>
              </w:rPr>
            </w:pPr>
            <w:hyperlink w:anchor="i38696b5cc01146d68b9c6b33327cf890_136" w:history="1">
              <w:r>
                <w:rPr>
                  <w:rStyle w:val="a3"/>
                  <w:rFonts w:eastAsia="Times New Roman"/>
                  <w:sz w:val="20"/>
                  <w:szCs w:val="20"/>
                </w:rPr>
                <w:t>76</w:t>
              </w:r>
            </w:hyperlink>
          </w:p>
        </w:tc>
      </w:tr>
      <w:tr w:rsidR="00000000">
        <w:trPr>
          <w:divId w:val="1244608625"/>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divId w:val="1894581302"/>
              <w:rPr>
                <w:rFonts w:eastAsia="Times New Roman"/>
              </w:rPr>
            </w:pPr>
            <w:hyperlink w:anchor="i38696b5cc01146d68b9c6b33327cf890_139" w:history="1">
              <w:r>
                <w:rPr>
                  <w:rStyle w:val="a3"/>
                  <w:rFonts w:eastAsia="Times New Roman"/>
                  <w:sz w:val="20"/>
                  <w:szCs w:val="20"/>
                </w:rPr>
                <w:t>9B.</w:t>
              </w:r>
            </w:hyperlink>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divId w:val="635065146"/>
              <w:rPr>
                <w:rFonts w:eastAsia="Times New Roman"/>
              </w:rPr>
            </w:pPr>
            <w:hyperlink w:anchor="i38696b5cc01146d68b9c6b33327cf890_139" w:history="1">
              <w:r>
                <w:rPr>
                  <w:rStyle w:val="a3"/>
                  <w:rFonts w:eastAsia="Times New Roman"/>
                  <w:sz w:val="20"/>
                  <w:szCs w:val="20"/>
                </w:rPr>
                <w:t>Other Information</w:t>
              </w:r>
            </w:hyperlink>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hyperlink w:anchor="i38696b5cc01146d68b9c6b33327cf890_139" w:history="1">
              <w:r>
                <w:rPr>
                  <w:rStyle w:val="a3"/>
                  <w:rFonts w:eastAsia="Times New Roman"/>
                  <w:sz w:val="20"/>
                  <w:szCs w:val="20"/>
                </w:rPr>
                <w:t>77</w:t>
              </w:r>
            </w:hyperlink>
          </w:p>
        </w:tc>
      </w:tr>
      <w:tr w:rsidR="00000000">
        <w:trPr>
          <w:divId w:val="1244608625"/>
        </w:trPr>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divId w:val="161701220"/>
              <w:rPr>
                <w:rFonts w:eastAsia="Times New Roman"/>
              </w:rPr>
            </w:pPr>
            <w:hyperlink w:anchor="i38696b5cc01146d68b9c6b33327cf890_10995" w:history="1">
              <w:r>
                <w:rPr>
                  <w:rStyle w:val="a3"/>
                  <w:rFonts w:eastAsia="Times New Roman"/>
                  <w:sz w:val="20"/>
                  <w:szCs w:val="20"/>
                </w:rPr>
                <w:t>9C.</w:t>
              </w:r>
            </w:hyperlink>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divId w:val="1938906763"/>
              <w:rPr>
                <w:rFonts w:eastAsia="Times New Roman"/>
              </w:rPr>
            </w:pPr>
            <w:hyperlink w:anchor="i38696b5cc01146d68b9c6b33327cf890_10995" w:history="1">
              <w:r>
                <w:rPr>
                  <w:rStyle w:val="a3"/>
                  <w:rFonts w:eastAsia="Times New Roman"/>
                  <w:sz w:val="20"/>
                  <w:szCs w:val="20"/>
                </w:rPr>
                <w:t>Disclosure Regarding Foreign Jurisdictions that Prevent Inspections</w:t>
              </w:r>
            </w:hyperlink>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right"/>
              <w:rPr>
                <w:rFonts w:eastAsia="Times New Roman"/>
              </w:rPr>
            </w:pPr>
            <w:hyperlink w:anchor="i38696b5cc01146d68b9c6b33327cf890_10995" w:history="1">
              <w:r>
                <w:rPr>
                  <w:rStyle w:val="a3"/>
                  <w:rFonts w:eastAsia="Times New Roman"/>
                  <w:sz w:val="20"/>
                  <w:szCs w:val="20"/>
                </w:rPr>
                <w:t>77</w:t>
              </w:r>
            </w:hyperlink>
          </w:p>
        </w:tc>
      </w:tr>
      <w:tr w:rsidR="00000000">
        <w:trPr>
          <w:divId w:val="1244608625"/>
          <w:trHeight w:val="300"/>
        </w:trPr>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1244608625"/>
        </w:trPr>
        <w:tc>
          <w:tcPr>
            <w:tcW w:w="0" w:type="auto"/>
            <w:gridSpan w:val="6"/>
            <w:shd w:val="clear" w:color="auto" w:fill="FFFFFF"/>
            <w:tcMar>
              <w:top w:w="30" w:type="dxa"/>
              <w:left w:w="20" w:type="dxa"/>
              <w:bottom w:w="30" w:type="dxa"/>
              <w:right w:w="20" w:type="dxa"/>
            </w:tcMar>
            <w:vAlign w:val="bottom"/>
            <w:hideMark/>
          </w:tcPr>
          <w:p w:rsidR="00000000" w:rsidRDefault="00F123EE">
            <w:pPr>
              <w:spacing w:after="100"/>
              <w:divId w:val="723603798"/>
              <w:rPr>
                <w:rFonts w:eastAsia="Times New Roman"/>
              </w:rPr>
            </w:pPr>
            <w:hyperlink w:anchor="i38696b5cc01146d68b9c6b33327cf890_142" w:history="1">
              <w:r>
                <w:rPr>
                  <w:rStyle w:val="a3"/>
                  <w:rFonts w:eastAsia="Times New Roman"/>
                  <w:sz w:val="20"/>
                  <w:szCs w:val="20"/>
                </w:rPr>
                <w:t>PART III</w:t>
              </w:r>
            </w:hyperlink>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right"/>
              <w:rPr>
                <w:rFonts w:eastAsia="Times New Roman"/>
              </w:rPr>
            </w:pPr>
            <w:hyperlink w:anchor="i38696b5cc01146d68b9c6b33327cf890_142" w:history="1">
              <w:r>
                <w:rPr>
                  <w:rStyle w:val="a3"/>
                  <w:rFonts w:eastAsia="Times New Roman"/>
                  <w:sz w:val="20"/>
                  <w:szCs w:val="20"/>
                </w:rPr>
                <w:t>77</w:t>
              </w:r>
            </w:hyperlink>
          </w:p>
        </w:tc>
      </w:tr>
      <w:tr w:rsidR="00000000">
        <w:trPr>
          <w:divId w:val="1244608625"/>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divId w:val="1999994099"/>
              <w:rPr>
                <w:rFonts w:eastAsia="Times New Roman"/>
              </w:rPr>
            </w:pPr>
            <w:hyperlink w:anchor="i38696b5cc01146d68b9c6b33327cf890_145" w:history="1">
              <w:r>
                <w:rPr>
                  <w:rStyle w:val="a3"/>
                  <w:rFonts w:eastAsia="Times New Roman"/>
                  <w:sz w:val="20"/>
                  <w:szCs w:val="20"/>
                </w:rPr>
                <w:t>10.</w:t>
              </w:r>
            </w:hyperlink>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divId w:val="395981990"/>
              <w:rPr>
                <w:rFonts w:eastAsia="Times New Roman"/>
              </w:rPr>
            </w:pPr>
            <w:hyperlink w:anchor="i38696b5cc01146d68b9c6b33327cf890_145" w:history="1">
              <w:r>
                <w:rPr>
                  <w:rStyle w:val="a3"/>
                  <w:rFonts w:eastAsia="Times New Roman"/>
                  <w:sz w:val="20"/>
                  <w:szCs w:val="20"/>
                </w:rPr>
                <w:t>Directors, Executive Officers, and Corporate Governance</w:t>
              </w:r>
            </w:hyperlink>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hyperlink w:anchor="i38696b5cc01146d68b9c6b33327cf890_145" w:history="1">
              <w:r>
                <w:rPr>
                  <w:rStyle w:val="a3"/>
                  <w:rFonts w:eastAsia="Times New Roman"/>
                  <w:sz w:val="20"/>
                  <w:szCs w:val="20"/>
                </w:rPr>
                <w:t>77</w:t>
              </w:r>
            </w:hyperlink>
          </w:p>
        </w:tc>
      </w:tr>
      <w:tr w:rsidR="00000000">
        <w:trPr>
          <w:divId w:val="1244608625"/>
        </w:trPr>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divId w:val="1436098478"/>
              <w:rPr>
                <w:rFonts w:eastAsia="Times New Roman"/>
              </w:rPr>
            </w:pPr>
            <w:hyperlink w:anchor="i38696b5cc01146d68b9c6b33327cf890_148" w:history="1">
              <w:r>
                <w:rPr>
                  <w:rStyle w:val="a3"/>
                  <w:rFonts w:eastAsia="Times New Roman"/>
                  <w:sz w:val="20"/>
                  <w:szCs w:val="20"/>
                </w:rPr>
                <w:t>11.</w:t>
              </w:r>
            </w:hyperlink>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divId w:val="1798835933"/>
              <w:rPr>
                <w:rFonts w:eastAsia="Times New Roman"/>
              </w:rPr>
            </w:pPr>
            <w:hyperlink w:anchor="i38696b5cc01146d68b9c6b33327cf890_148" w:history="1">
              <w:r>
                <w:rPr>
                  <w:rStyle w:val="a3"/>
                  <w:rFonts w:eastAsia="Times New Roman"/>
                  <w:sz w:val="20"/>
                  <w:szCs w:val="20"/>
                </w:rPr>
                <w:t>Executive Compensation</w:t>
              </w:r>
            </w:hyperlink>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right"/>
              <w:rPr>
                <w:rFonts w:eastAsia="Times New Roman"/>
              </w:rPr>
            </w:pPr>
            <w:hyperlink w:anchor="i38696b5cc01146d68b9c6b33327cf890_148" w:history="1">
              <w:r>
                <w:rPr>
                  <w:rStyle w:val="a3"/>
                  <w:rFonts w:eastAsia="Times New Roman"/>
                  <w:sz w:val="20"/>
                  <w:szCs w:val="20"/>
                </w:rPr>
                <w:t>77</w:t>
              </w:r>
            </w:hyperlink>
          </w:p>
        </w:tc>
      </w:tr>
      <w:tr w:rsidR="00000000">
        <w:trPr>
          <w:divId w:val="1244608625"/>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divId w:val="959065340"/>
              <w:rPr>
                <w:rFonts w:eastAsia="Times New Roman"/>
              </w:rPr>
            </w:pPr>
            <w:hyperlink w:anchor="i38696b5cc01146d68b9c6b33327cf890_151" w:history="1">
              <w:r>
                <w:rPr>
                  <w:rStyle w:val="a3"/>
                  <w:rFonts w:eastAsia="Times New Roman"/>
                  <w:sz w:val="20"/>
                  <w:szCs w:val="20"/>
                </w:rPr>
                <w:t>12.</w:t>
              </w:r>
            </w:hyperlink>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divId w:val="1563060377"/>
              <w:rPr>
                <w:rFonts w:eastAsia="Times New Roman"/>
              </w:rPr>
            </w:pPr>
            <w:hyperlink w:anchor="i38696b5cc01146d68b9c6b33327cf890_151" w:history="1">
              <w:r>
                <w:rPr>
                  <w:rStyle w:val="a3"/>
                  <w:rFonts w:eastAsia="Times New Roman"/>
                  <w:sz w:val="20"/>
                  <w:szCs w:val="20"/>
                </w:rPr>
                <w:t>Security Ownership of Certain Beneficial Owners and Management and Related Stockholder Matters</w:t>
              </w:r>
            </w:hyperlink>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hyperlink w:anchor="i38696b5cc01146d68b9c6b33327cf890_151" w:history="1">
              <w:r>
                <w:rPr>
                  <w:rStyle w:val="a3"/>
                  <w:rFonts w:eastAsia="Times New Roman"/>
                  <w:sz w:val="20"/>
                  <w:szCs w:val="20"/>
                </w:rPr>
                <w:t>77</w:t>
              </w:r>
            </w:hyperlink>
          </w:p>
        </w:tc>
      </w:tr>
      <w:tr w:rsidR="00000000">
        <w:trPr>
          <w:divId w:val="1244608625"/>
        </w:trPr>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divId w:val="1549955237"/>
              <w:rPr>
                <w:rFonts w:eastAsia="Times New Roman"/>
              </w:rPr>
            </w:pPr>
            <w:hyperlink w:anchor="i38696b5cc01146d68b9c6b33327cf890_154" w:history="1">
              <w:r>
                <w:rPr>
                  <w:rStyle w:val="a3"/>
                  <w:rFonts w:eastAsia="Times New Roman"/>
                  <w:sz w:val="20"/>
                  <w:szCs w:val="20"/>
                </w:rPr>
                <w:t>13.</w:t>
              </w:r>
            </w:hyperlink>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divId w:val="218787949"/>
              <w:rPr>
                <w:rFonts w:eastAsia="Times New Roman"/>
              </w:rPr>
            </w:pPr>
            <w:hyperlink w:anchor="i38696b5cc01146d68b9c6b33327cf890_154" w:history="1">
              <w:r>
                <w:rPr>
                  <w:rStyle w:val="a3"/>
                  <w:rFonts w:eastAsia="Times New Roman"/>
                  <w:sz w:val="20"/>
                  <w:szCs w:val="20"/>
                </w:rPr>
                <w:t>Certain Relationships and Related Transactions, and Director Independence</w:t>
              </w:r>
            </w:hyperlink>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right"/>
              <w:rPr>
                <w:rFonts w:eastAsia="Times New Roman"/>
              </w:rPr>
            </w:pPr>
            <w:hyperlink w:anchor="i38696b5cc01146d68b9c6b33327cf890_154" w:history="1">
              <w:r>
                <w:rPr>
                  <w:rStyle w:val="a3"/>
                  <w:rFonts w:eastAsia="Times New Roman"/>
                  <w:sz w:val="20"/>
                  <w:szCs w:val="20"/>
                </w:rPr>
                <w:t>78</w:t>
              </w:r>
            </w:hyperlink>
          </w:p>
        </w:tc>
      </w:tr>
      <w:tr w:rsidR="00000000">
        <w:trPr>
          <w:divId w:val="1244608625"/>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divId w:val="882136762"/>
              <w:rPr>
                <w:rFonts w:eastAsia="Times New Roman"/>
              </w:rPr>
            </w:pPr>
            <w:hyperlink w:anchor="i38696b5cc01146d68b9c6b33327cf890_157" w:history="1">
              <w:r>
                <w:rPr>
                  <w:rStyle w:val="a3"/>
                  <w:rFonts w:eastAsia="Times New Roman"/>
                  <w:sz w:val="20"/>
                  <w:szCs w:val="20"/>
                </w:rPr>
                <w:t>14.</w:t>
              </w:r>
            </w:hyperlink>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divId w:val="1319385865"/>
              <w:rPr>
                <w:rFonts w:eastAsia="Times New Roman"/>
              </w:rPr>
            </w:pPr>
            <w:hyperlink w:anchor="i38696b5cc01146d68b9c6b33327cf890_157" w:history="1">
              <w:r>
                <w:rPr>
                  <w:rStyle w:val="a3"/>
                  <w:rFonts w:eastAsia="Times New Roman"/>
                  <w:sz w:val="20"/>
                  <w:szCs w:val="20"/>
                </w:rPr>
                <w:t>Principal Accountant Fees and Services</w:t>
              </w:r>
            </w:hyperlink>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hyperlink w:anchor="i38696b5cc01146d68b9c6b33327cf890_157" w:history="1">
              <w:r>
                <w:rPr>
                  <w:rStyle w:val="a3"/>
                  <w:rFonts w:eastAsia="Times New Roman"/>
                  <w:sz w:val="20"/>
                  <w:szCs w:val="20"/>
                </w:rPr>
                <w:t>78</w:t>
              </w:r>
            </w:hyperlink>
          </w:p>
        </w:tc>
      </w:tr>
      <w:tr w:rsidR="00000000">
        <w:trPr>
          <w:divId w:val="1244608625"/>
          <w:trHeight w:val="300"/>
        </w:trPr>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1244608625"/>
        </w:trPr>
        <w:tc>
          <w:tcPr>
            <w:tcW w:w="0" w:type="auto"/>
            <w:gridSpan w:val="6"/>
            <w:shd w:val="clear" w:color="auto" w:fill="CCEEFF"/>
            <w:tcMar>
              <w:top w:w="30" w:type="dxa"/>
              <w:left w:w="20" w:type="dxa"/>
              <w:bottom w:w="30" w:type="dxa"/>
              <w:right w:w="20" w:type="dxa"/>
            </w:tcMar>
            <w:vAlign w:val="bottom"/>
            <w:hideMark/>
          </w:tcPr>
          <w:p w:rsidR="00000000" w:rsidRDefault="00F123EE">
            <w:pPr>
              <w:spacing w:after="100"/>
              <w:divId w:val="1894385104"/>
              <w:rPr>
                <w:rFonts w:eastAsia="Times New Roman"/>
              </w:rPr>
            </w:pPr>
            <w:hyperlink w:anchor="i38696b5cc01146d68b9c6b33327cf890_160" w:history="1">
              <w:r>
                <w:rPr>
                  <w:rStyle w:val="a3"/>
                  <w:rFonts w:eastAsia="Times New Roman"/>
                  <w:sz w:val="20"/>
                  <w:szCs w:val="20"/>
                </w:rPr>
                <w:t>PART IV</w:t>
              </w:r>
            </w:hyperlink>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hyperlink w:anchor="i38696b5cc01146d68b9c6b33327cf890_160" w:history="1">
              <w:r>
                <w:rPr>
                  <w:rStyle w:val="a3"/>
                  <w:rFonts w:eastAsia="Times New Roman"/>
                  <w:sz w:val="20"/>
                  <w:szCs w:val="20"/>
                </w:rPr>
                <w:t>78</w:t>
              </w:r>
            </w:hyperlink>
          </w:p>
        </w:tc>
      </w:tr>
      <w:tr w:rsidR="00000000">
        <w:trPr>
          <w:divId w:val="1244608625"/>
        </w:trPr>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divId w:val="168104545"/>
              <w:rPr>
                <w:rFonts w:eastAsia="Times New Roman"/>
              </w:rPr>
            </w:pPr>
            <w:hyperlink w:anchor="i38696b5cc01146d68b9c6b33327cf890_163" w:history="1">
              <w:r>
                <w:rPr>
                  <w:rStyle w:val="a3"/>
                  <w:rFonts w:eastAsia="Times New Roman"/>
                  <w:sz w:val="20"/>
                  <w:szCs w:val="20"/>
                </w:rPr>
                <w:t>15.</w:t>
              </w:r>
            </w:hyperlink>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divId w:val="846558128"/>
              <w:rPr>
                <w:rFonts w:eastAsia="Times New Roman"/>
              </w:rPr>
            </w:pPr>
            <w:hyperlink w:anchor="i38696b5cc01146d68b9c6b33327cf890_163" w:history="1">
              <w:r>
                <w:rPr>
                  <w:rStyle w:val="a3"/>
                  <w:rFonts w:eastAsia="Times New Roman"/>
                  <w:sz w:val="20"/>
                  <w:szCs w:val="20"/>
                </w:rPr>
                <w:t>Exhibits and Financial Statement Schedules</w:t>
              </w:r>
            </w:hyperlink>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right"/>
              <w:rPr>
                <w:rFonts w:eastAsia="Times New Roman"/>
              </w:rPr>
            </w:pPr>
            <w:hyperlink w:anchor="i38696b5cc01146d68b9c6b33327cf890_163" w:history="1">
              <w:r>
                <w:rPr>
                  <w:rStyle w:val="a3"/>
                  <w:rFonts w:eastAsia="Times New Roman"/>
                  <w:sz w:val="20"/>
                  <w:szCs w:val="20"/>
                </w:rPr>
                <w:t>78</w:t>
              </w:r>
            </w:hyperlink>
          </w:p>
        </w:tc>
      </w:tr>
      <w:tr w:rsidR="00000000">
        <w:trPr>
          <w:divId w:val="1244608625"/>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divId w:val="1113668897"/>
              <w:rPr>
                <w:rFonts w:eastAsia="Times New Roman"/>
              </w:rPr>
            </w:pPr>
            <w:hyperlink w:anchor="i38696b5cc01146d68b9c6b33327cf890_166" w:history="1">
              <w:r>
                <w:rPr>
                  <w:rStyle w:val="a3"/>
                  <w:rFonts w:eastAsia="Times New Roman"/>
                  <w:sz w:val="20"/>
                  <w:szCs w:val="20"/>
                </w:rPr>
                <w:t>16.</w:t>
              </w:r>
            </w:hyperlink>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divId w:val="987781076"/>
              <w:rPr>
                <w:rFonts w:eastAsia="Times New Roman"/>
              </w:rPr>
            </w:pPr>
            <w:hyperlink w:anchor="i38696b5cc01146d68b9c6b33327cf890_166" w:history="1">
              <w:r>
                <w:rPr>
                  <w:rStyle w:val="a3"/>
                  <w:rFonts w:eastAsia="Times New Roman"/>
                  <w:sz w:val="20"/>
                  <w:szCs w:val="20"/>
                </w:rPr>
                <w:t>Form 10-K Summary</w:t>
              </w:r>
            </w:hyperlink>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hyperlink w:anchor="i38696b5cc01146d68b9c6b33327cf890_166" w:history="1">
              <w:r>
                <w:rPr>
                  <w:rStyle w:val="a3"/>
                  <w:rFonts w:eastAsia="Times New Roman"/>
                  <w:sz w:val="20"/>
                  <w:szCs w:val="20"/>
                </w:rPr>
                <w:t>78</w:t>
              </w:r>
            </w:hyperlink>
          </w:p>
        </w:tc>
      </w:tr>
    </w:tbl>
    <w:p w:rsidR="00000000" w:rsidRDefault="00F123EE">
      <w:pPr>
        <w:divId w:val="1413351249"/>
        <w:rPr>
          <w:rFonts w:eastAsia="Times New Roman"/>
        </w:rPr>
      </w:pPr>
    </w:p>
    <w:p w:rsidR="00000000" w:rsidRDefault="00F123EE">
      <w:pPr>
        <w:jc w:val="center"/>
        <w:divId w:val="979262884"/>
        <w:rPr>
          <w:rFonts w:eastAsia="Times New Roman"/>
        </w:rPr>
      </w:pPr>
      <w:r>
        <w:rPr>
          <w:rFonts w:eastAsia="Times New Roman"/>
          <w:color w:val="000000"/>
          <w:sz w:val="20"/>
          <w:szCs w:val="20"/>
        </w:rPr>
        <w:t>i</w:t>
      </w:r>
    </w:p>
    <w:p w:rsidR="00000000" w:rsidRDefault="00F123EE">
      <w:pPr>
        <w:rPr>
          <w:rFonts w:eastAsia="Times New Roman"/>
        </w:rPr>
      </w:pPr>
      <w:r>
        <w:rPr>
          <w:rFonts w:eastAsia="Times New Roman"/>
        </w:rPr>
        <w:pict>
          <v:rect id="_x0000_i1028" style="width:0;height:1.5pt" o:hralign="center" o:hrstd="t" o:hr="t" fillcolor="#a0a0a0" stroked="f"/>
        </w:pict>
      </w:r>
    </w:p>
    <w:p w:rsidR="00000000" w:rsidRDefault="00F123EE">
      <w:pPr>
        <w:divId w:val="412438442"/>
        <w:rPr>
          <w:rFonts w:eastAsia="Times New Roman"/>
        </w:rPr>
      </w:pPr>
      <w:hyperlink w:anchor="i38696b5cc01146d68b9c6b33327cf890_7" w:history="1">
        <w:r>
          <w:rPr>
            <w:rStyle w:val="a3"/>
            <w:rFonts w:eastAsia="Times New Roman"/>
            <w:sz w:val="18"/>
            <w:szCs w:val="18"/>
          </w:rPr>
          <w:t>Index</w:t>
        </w:r>
      </w:hyperlink>
    </w:p>
    <w:p w:rsidR="00000000" w:rsidRDefault="00F123EE">
      <w:pPr>
        <w:jc w:val="center"/>
        <w:rPr>
          <w:rFonts w:eastAsia="Times New Roman"/>
        </w:rPr>
      </w:pPr>
      <w:r>
        <w:rPr>
          <w:rFonts w:eastAsia="Times New Roman"/>
          <w:b/>
          <w:bCs/>
          <w:color w:val="000000"/>
          <w:sz w:val="20"/>
          <w:szCs w:val="20"/>
        </w:rPr>
        <w:t>FORWARD-LOOKING STATEMENTS OR INFORMATION</w:t>
      </w:r>
    </w:p>
    <w:p w:rsidR="00000000" w:rsidRDefault="00F123EE">
      <w:pPr>
        <w:divId w:val="969752389"/>
        <w:rPr>
          <w:rFonts w:eastAsia="Times New Roman"/>
        </w:rPr>
      </w:pPr>
    </w:p>
    <w:p w:rsidR="00000000" w:rsidRDefault="00F123EE">
      <w:pPr>
        <w:jc w:val="both"/>
        <w:rPr>
          <w:rFonts w:eastAsia="Times New Roman"/>
        </w:rPr>
      </w:pPr>
      <w:r>
        <w:rPr>
          <w:rFonts w:eastAsia="Times New Roman"/>
          <w:color w:val="000000"/>
          <w:sz w:val="20"/>
          <w:szCs w:val="20"/>
        </w:rPr>
        <w:t>This Annual Report on Form 10-K and statements included or incorporated by reference in this Annual Report on Form 10-K include certain forward-looking statements, which are made pursuant to the safe harbor provisions of the Private Securities Litigation R</w:t>
      </w:r>
      <w:r>
        <w:rPr>
          <w:rFonts w:eastAsia="Times New Roman"/>
          <w:color w:val="000000"/>
          <w:sz w:val="20"/>
          <w:szCs w:val="20"/>
        </w:rPr>
        <w:t>eform Act of 1995 (the “Act”).  All statements, other than statements of historical facts, which address activities, events, or developments that we expect or anticipate will or may occur in the future, including such things as sales and earnings growth, n</w:t>
      </w:r>
      <w:r>
        <w:rPr>
          <w:rFonts w:eastAsia="Times New Roman"/>
          <w:color w:val="000000"/>
          <w:sz w:val="20"/>
          <w:szCs w:val="20"/>
        </w:rPr>
        <w:t>ew store growth, estimated results of operations in future periods (including, but not limited to, net sales, comparable store sales, operating margins or operating margin rates, net income, and earnings per diluted share), the declaration and payment of d</w:t>
      </w:r>
      <w:r>
        <w:rPr>
          <w:rFonts w:eastAsia="Times New Roman"/>
          <w:color w:val="000000"/>
          <w:sz w:val="20"/>
          <w:szCs w:val="20"/>
        </w:rPr>
        <w:t>ividends, the timing and amount of share repurchases, future capital expenditures (including their amount and nature) and acquisitions, business strategy, expansion and growth of our business operations, and other such matters are forward-looking statement</w:t>
      </w:r>
      <w:r>
        <w:rPr>
          <w:rFonts w:eastAsia="Times New Roman"/>
          <w:color w:val="000000"/>
          <w:sz w:val="20"/>
          <w:szCs w:val="20"/>
        </w:rPr>
        <w:t>s.  Forward-looking statements are usually identified by or are associated with such words as “will,” “intend,” “expect,” “believe,” “anticipate,” “optimistic,” “forecasted,” and similar terminology. To take advantage of the safe harbor provided by the Act</w:t>
      </w:r>
      <w:r>
        <w:rPr>
          <w:rFonts w:eastAsia="Times New Roman"/>
          <w:color w:val="000000"/>
          <w:sz w:val="20"/>
          <w:szCs w:val="20"/>
        </w:rPr>
        <w:t>, we have identified certain factors, in Item 1A. “Risk Factors” in this Annual Report on Form 10-K which may cause actual results to differ materially from those expressed in any forward-looking statements.  These “Risk Factors” may be updated from time t</w:t>
      </w:r>
      <w:r>
        <w:rPr>
          <w:rFonts w:eastAsia="Times New Roman"/>
          <w:color w:val="000000"/>
          <w:sz w:val="20"/>
          <w:szCs w:val="20"/>
        </w:rPr>
        <w:t>o time in our quarterly reports on Form 10-Q or other subsequent filings with the SEC.</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Forward-looking statements made by or on behalf of the Company are based on our knowledge of our business and the environments in which we operate and currently availa</w:t>
      </w:r>
      <w:r>
        <w:rPr>
          <w:rFonts w:eastAsia="Times New Roman"/>
          <w:color w:val="000000"/>
          <w:sz w:val="20"/>
          <w:szCs w:val="20"/>
        </w:rPr>
        <w:t xml:space="preserve">ble information and are based on our current expectations and projections about future events.  We undertake no obligation to release publicly any revisions to these forward-looking statements to reflect events or circumstances after the date hereof or to </w:t>
      </w:r>
      <w:r>
        <w:rPr>
          <w:rFonts w:eastAsia="Times New Roman"/>
          <w:color w:val="000000"/>
          <w:sz w:val="20"/>
          <w:szCs w:val="20"/>
        </w:rPr>
        <w:t xml:space="preserve">reflect the occurrence of unanticipated events, except as required by law. </w:t>
      </w:r>
    </w:p>
    <w:p w:rsidR="00000000" w:rsidRDefault="00F123EE">
      <w:pPr>
        <w:divId w:val="1191528771"/>
        <w:rPr>
          <w:rFonts w:eastAsia="Times New Roman"/>
        </w:rPr>
      </w:pPr>
    </w:p>
    <w:p w:rsidR="00000000" w:rsidRDefault="00F123EE">
      <w:pPr>
        <w:rPr>
          <w:rFonts w:eastAsia="Times New Roman"/>
        </w:rPr>
      </w:pPr>
      <w:r>
        <w:rPr>
          <w:rFonts w:eastAsia="Times New Roman"/>
        </w:rPr>
        <w:pict>
          <v:rect id="_x0000_i1029" style="width:0;height:1.5pt" o:hralign="center" o:hrstd="t" o:hr="t" fillcolor="#a0a0a0" stroked="f"/>
        </w:pict>
      </w:r>
    </w:p>
    <w:p w:rsidR="00000000" w:rsidRDefault="00F123EE">
      <w:pPr>
        <w:divId w:val="2021353782"/>
        <w:rPr>
          <w:rFonts w:eastAsia="Times New Roman"/>
        </w:rPr>
      </w:pPr>
      <w:hyperlink w:anchor="i38696b5cc01146d68b9c6b33327cf890_7" w:history="1">
        <w:r>
          <w:rPr>
            <w:rStyle w:val="a3"/>
            <w:rFonts w:eastAsia="Times New Roman"/>
            <w:sz w:val="18"/>
            <w:szCs w:val="18"/>
          </w:rPr>
          <w:t>Index</w:t>
        </w:r>
      </w:hyperlink>
    </w:p>
    <w:p w:rsidR="00000000" w:rsidRDefault="00F123EE">
      <w:pPr>
        <w:jc w:val="center"/>
        <w:rPr>
          <w:rFonts w:eastAsia="Times New Roman"/>
        </w:rPr>
      </w:pPr>
      <w:r>
        <w:rPr>
          <w:rFonts w:eastAsia="Times New Roman"/>
          <w:b/>
          <w:bCs/>
          <w:color w:val="000000"/>
          <w:sz w:val="20"/>
          <w:szCs w:val="20"/>
        </w:rPr>
        <w:lastRenderedPageBreak/>
        <w:t>PART I</w:t>
      </w:r>
    </w:p>
    <w:p w:rsidR="00000000" w:rsidRDefault="00F123EE">
      <w:pPr>
        <w:divId w:val="179972203"/>
        <w:rPr>
          <w:rFonts w:eastAsia="Times New Roman"/>
        </w:rPr>
      </w:pPr>
    </w:p>
    <w:p w:rsidR="00000000" w:rsidRDefault="00F123EE">
      <w:pPr>
        <w:ind w:hanging="1440"/>
        <w:jc w:val="both"/>
        <w:rPr>
          <w:rFonts w:eastAsia="Times New Roman"/>
        </w:rPr>
      </w:pPr>
      <w:r>
        <w:rPr>
          <w:rFonts w:eastAsia="Times New Roman"/>
          <w:b/>
          <w:bCs/>
          <w:color w:val="000000"/>
          <w:sz w:val="20"/>
          <w:szCs w:val="20"/>
          <w:u w:val="single"/>
        </w:rPr>
        <w:t>Item 1</w:t>
      </w:r>
      <w:r>
        <w:rPr>
          <w:rFonts w:eastAsia="Times New Roman"/>
          <w:b/>
          <w:bCs/>
          <w:color w:val="000000"/>
          <w:sz w:val="20"/>
          <w:szCs w:val="20"/>
        </w:rPr>
        <w:t>.        </w:t>
      </w:r>
      <w:r>
        <w:rPr>
          <w:rFonts w:eastAsia="Times New Roman"/>
          <w:b/>
          <w:bCs/>
          <w:color w:val="000000"/>
          <w:sz w:val="20"/>
          <w:szCs w:val="20"/>
          <w:u w:val="single"/>
        </w:rPr>
        <w:t>Business</w:t>
      </w:r>
    </w:p>
    <w:p w:rsidR="00000000" w:rsidRDefault="00F123EE">
      <w:pPr>
        <w:divId w:val="445319281"/>
        <w:rPr>
          <w:rFonts w:eastAsia="Times New Roman"/>
        </w:rPr>
      </w:pPr>
    </w:p>
    <w:p w:rsidR="00000000" w:rsidRDefault="00F123EE">
      <w:pPr>
        <w:jc w:val="both"/>
        <w:rPr>
          <w:rFonts w:eastAsia="Times New Roman"/>
        </w:rPr>
      </w:pPr>
      <w:r>
        <w:rPr>
          <w:rFonts w:eastAsia="Times New Roman"/>
          <w:b/>
          <w:bCs/>
          <w:color w:val="000000"/>
          <w:sz w:val="20"/>
          <w:szCs w:val="20"/>
        </w:rPr>
        <w:t>Overview</w:t>
      </w:r>
    </w:p>
    <w:p w:rsidR="00000000" w:rsidRDefault="00F123EE">
      <w:pPr>
        <w:divId w:val="1313294636"/>
        <w:rPr>
          <w:rFonts w:eastAsia="Times New Roman"/>
        </w:rPr>
      </w:pPr>
    </w:p>
    <w:p w:rsidR="00000000" w:rsidRDefault="00F123EE">
      <w:pPr>
        <w:jc w:val="both"/>
        <w:rPr>
          <w:rFonts w:eastAsia="Times New Roman"/>
        </w:rPr>
      </w:pPr>
      <w:r>
        <w:rPr>
          <w:rFonts w:eastAsia="Times New Roman"/>
          <w:color w:val="000000"/>
          <w:sz w:val="20"/>
          <w:szCs w:val="20"/>
        </w:rPr>
        <w:t>Tractor Supply Company (the “Company” or “Tractor Supply” or “we” or “our” or “us”) is the largest rural lifestyle retailer in the United States (“U.S.”). The Company is focused on supplying the needs of recreational farmers, ranchers, and all those who en</w:t>
      </w:r>
      <w:r>
        <w:rPr>
          <w:rFonts w:eastAsia="Times New Roman"/>
          <w:color w:val="000000"/>
          <w:sz w:val="20"/>
          <w:szCs w:val="20"/>
        </w:rPr>
        <w:t>joy living the rural lifestyle (which we refer to as the “</w:t>
      </w:r>
      <w:r>
        <w:rPr>
          <w:rFonts w:eastAsia="Times New Roman"/>
          <w:i/>
          <w:iCs/>
          <w:color w:val="000000"/>
          <w:sz w:val="20"/>
          <w:szCs w:val="20"/>
        </w:rPr>
        <w:t>Out Here</w:t>
      </w:r>
      <w:r>
        <w:rPr>
          <w:rFonts w:eastAsia="Times New Roman"/>
          <w:color w:val="000000"/>
          <w:sz w:val="20"/>
          <w:szCs w:val="20"/>
        </w:rPr>
        <w:t xml:space="preserve">” lifestyle).  We operate retail stores under the names </w:t>
      </w:r>
      <w:r>
        <w:rPr>
          <w:rFonts w:eastAsia="Times New Roman"/>
          <w:i/>
          <w:iCs/>
          <w:color w:val="000000"/>
          <w:sz w:val="20"/>
          <w:szCs w:val="20"/>
        </w:rPr>
        <w:t xml:space="preserve">Tractor Supply Company, Petsense by Tractor Supply, and Orscheln Farm and Home. </w:t>
      </w:r>
      <w:r>
        <w:rPr>
          <w:rFonts w:eastAsia="Times New Roman"/>
          <w:color w:val="000000"/>
          <w:sz w:val="20"/>
          <w:szCs w:val="20"/>
        </w:rPr>
        <w:t>Our stores are located primarily in towns outlying maj</w:t>
      </w:r>
      <w:r>
        <w:rPr>
          <w:rFonts w:eastAsia="Times New Roman"/>
          <w:color w:val="000000"/>
          <w:sz w:val="20"/>
          <w:szCs w:val="20"/>
        </w:rPr>
        <w:t xml:space="preserve">or metropolitan markets and in rural communities. We also offer an expanded assortment of products through the Tractor Supply mobile application and online at </w:t>
      </w:r>
      <w:r>
        <w:rPr>
          <w:rFonts w:eastAsia="Times New Roman"/>
          <w:i/>
          <w:iCs/>
          <w:color w:val="000000"/>
          <w:sz w:val="20"/>
          <w:szCs w:val="20"/>
          <w:u w:val="single"/>
        </w:rPr>
        <w:t>TractorSupply.com</w:t>
      </w:r>
      <w:r>
        <w:rPr>
          <w:rFonts w:eastAsia="Times New Roman"/>
          <w:color w:val="000000"/>
          <w:sz w:val="20"/>
          <w:szCs w:val="20"/>
        </w:rPr>
        <w:t xml:space="preserve"> and </w:t>
      </w:r>
      <w:r>
        <w:rPr>
          <w:rFonts w:eastAsia="Times New Roman"/>
          <w:i/>
          <w:iCs/>
          <w:color w:val="000000"/>
          <w:sz w:val="20"/>
          <w:szCs w:val="20"/>
          <w:u w:val="single"/>
        </w:rPr>
        <w:t>Petsense.com</w:t>
      </w:r>
      <w:r>
        <w:rPr>
          <w:rFonts w:eastAsia="Times New Roman"/>
          <w:i/>
          <w:iCs/>
          <w:color w:val="000000"/>
          <w:sz w:val="20"/>
          <w:szCs w:val="20"/>
        </w:rPr>
        <w:t>.</w:t>
      </w:r>
      <w:r>
        <w:rPr>
          <w:rFonts w:eastAsia="Times New Roman"/>
          <w:color w:val="000000"/>
          <w:sz w:val="20"/>
          <w:szCs w:val="20"/>
        </w:rPr>
        <w:t xml:space="preserve">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 xml:space="preserve">The Company has one reportable industry segment which is </w:t>
      </w:r>
      <w:r>
        <w:rPr>
          <w:rFonts w:eastAsia="Times New Roman"/>
          <w:color w:val="000000"/>
          <w:sz w:val="20"/>
          <w:szCs w:val="20"/>
        </w:rPr>
        <w:t>the retail sale of products that support the rural lifestyle. At December 31, 2022, we operated 2,333 retail stores in 49 states (2,066 Tractor Supply retail stores, 186 Petsense by Tractor Supply retail stores, and 81 Orscheln Farm and Home retail stores)</w:t>
      </w:r>
      <w:r>
        <w:rPr>
          <w:rFonts w:eastAsia="Times New Roman"/>
          <w:color w:val="000000"/>
          <w:sz w:val="20"/>
          <w:szCs w:val="20"/>
        </w:rPr>
        <w:t>. Our Tractor Supply stores typically range in size from 15,000 to 20,000 square feet of inside selling space, along with additional outside selling space (“Side Lot”), and our Petsense by Tractor Supply stores have approximately 5,500 square feet of insid</w:t>
      </w:r>
      <w:r>
        <w:rPr>
          <w:rFonts w:eastAsia="Times New Roman"/>
          <w:color w:val="000000"/>
          <w:sz w:val="20"/>
          <w:szCs w:val="20"/>
        </w:rPr>
        <w:t>e selling space. For Tractor Supply retail locations, we use a standard design for most new built-to-suit locations that includes approximately 15,500 square feet of inside selling space. Our online selling websites and our mobile application offer an exte</w:t>
      </w:r>
      <w:r>
        <w:rPr>
          <w:rFonts w:eastAsia="Times New Roman"/>
          <w:color w:val="000000"/>
          <w:sz w:val="20"/>
          <w:szCs w:val="20"/>
        </w:rPr>
        <w:t>nded assortment of products beyond those offered in-store and drive traffic into our stores through our buy online and pickup in-store and ship to store programs. Our retail store locations and digital capabilities provide the convenience to allow our cust</w:t>
      </w:r>
      <w:r>
        <w:rPr>
          <w:rFonts w:eastAsia="Times New Roman"/>
          <w:color w:val="000000"/>
          <w:sz w:val="20"/>
          <w:szCs w:val="20"/>
        </w:rPr>
        <w:t xml:space="preserve">omers to engage with us anytime, anywhere and in any way they choose.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On October 12, 2022, the Company completed its acquisition of Orscheln Farm and Home, LLC (“Orscheln” or “Orscheln Farm and Home”). The Company acquired 166 Orscheln stores for approx</w:t>
      </w:r>
      <w:r>
        <w:rPr>
          <w:rFonts w:eastAsia="Times New Roman"/>
          <w:color w:val="000000"/>
          <w:sz w:val="20"/>
          <w:szCs w:val="20"/>
        </w:rPr>
        <w:t>imately $397.7 million, exclusive of cash acquired. Consistent with the remedy reached with the Federal Trade Commission (“FTC”), the Company divested 85 store locations to two buyers, Bomgaars Supply, Inc. (73 stores) and Buchheit Enterprises, Inc. (12 st</w:t>
      </w:r>
      <w:r>
        <w:rPr>
          <w:rFonts w:eastAsia="Times New Roman"/>
          <w:color w:val="000000"/>
          <w:sz w:val="20"/>
          <w:szCs w:val="20"/>
        </w:rPr>
        <w:t>ores), concurrently with the closing of the acquisition. Net proceeds from the store divestitures were approximately $69.4 million. In addition, Tractor Supply has agreed to sell the Orscheln corporate headquarters and distribution center to Bomgaars Suppl</w:t>
      </w:r>
      <w:r>
        <w:rPr>
          <w:rFonts w:eastAsia="Times New Roman"/>
          <w:color w:val="000000"/>
          <w:sz w:val="20"/>
          <w:szCs w:val="20"/>
        </w:rPr>
        <w:t>y, Inc. for approximately $10 million within 15 months after the closing of the acquisition. The acquisition was financed with cash-on-hand and borrowings under the 2022 Senior Credit Facility (as defined below). The Company plans to rebrand all Orscheln s</w:t>
      </w:r>
      <w:r>
        <w:rPr>
          <w:rFonts w:eastAsia="Times New Roman"/>
          <w:color w:val="000000"/>
          <w:sz w:val="20"/>
          <w:szCs w:val="20"/>
        </w:rPr>
        <w:t>tores to Tractor Supply stores by the end of fiscal 2023. Therefore, disclosure of the Company's non-financial, normal course business activities are presented without Orscheln unless otherwise noted.</w:t>
      </w:r>
    </w:p>
    <w:p w:rsidR="00000000" w:rsidRDefault="00F123EE">
      <w:pPr>
        <w:jc w:val="both"/>
        <w:rPr>
          <w:rFonts w:eastAsia="Times New Roman"/>
        </w:rPr>
      </w:pPr>
    </w:p>
    <w:p w:rsidR="00000000" w:rsidRDefault="00F123EE">
      <w:pPr>
        <w:jc w:val="both"/>
        <w:rPr>
          <w:rFonts w:eastAsia="Times New Roman"/>
        </w:rPr>
      </w:pPr>
      <w:r>
        <w:rPr>
          <w:rFonts w:eastAsia="Times New Roman"/>
          <w:b/>
          <w:bCs/>
          <w:color w:val="000000"/>
          <w:sz w:val="20"/>
          <w:szCs w:val="20"/>
        </w:rPr>
        <w:t xml:space="preserve">Business Strategy for Tractor Supply Company </w:t>
      </w:r>
    </w:p>
    <w:p w:rsidR="00000000" w:rsidRDefault="00F123EE">
      <w:pPr>
        <w:divId w:val="1172797250"/>
        <w:rPr>
          <w:rFonts w:eastAsia="Times New Roman"/>
        </w:rPr>
      </w:pPr>
    </w:p>
    <w:p w:rsidR="00000000" w:rsidRDefault="00F123EE">
      <w:pPr>
        <w:jc w:val="both"/>
        <w:rPr>
          <w:rFonts w:eastAsia="Times New Roman"/>
        </w:rPr>
      </w:pPr>
      <w:r>
        <w:rPr>
          <w:rFonts w:eastAsia="Times New Roman"/>
          <w:color w:val="000000"/>
          <w:sz w:val="20"/>
          <w:szCs w:val="20"/>
        </w:rPr>
        <w:t>We be</w:t>
      </w:r>
      <w:r>
        <w:rPr>
          <w:rFonts w:eastAsia="Times New Roman"/>
          <w:color w:val="000000"/>
          <w:sz w:val="20"/>
          <w:szCs w:val="20"/>
        </w:rPr>
        <w:t>lieve our sales and earnings growth is the result of executing our multi-year strategy, which includes the following key components:</w:t>
      </w:r>
    </w:p>
    <w:p w:rsidR="00000000" w:rsidRDefault="00F123EE">
      <w:pPr>
        <w:jc w:val="both"/>
        <w:rPr>
          <w:rFonts w:eastAsia="Times New Roman"/>
        </w:rPr>
      </w:pPr>
      <w:r>
        <w:rPr>
          <w:rFonts w:eastAsia="Times New Roman"/>
          <w:color w:val="000000"/>
          <w:sz w:val="20"/>
          <w:szCs w:val="20"/>
        </w:rPr>
        <w:t> </w:t>
      </w:r>
    </w:p>
    <w:p w:rsidR="00000000" w:rsidRDefault="00F123EE">
      <w:pPr>
        <w:jc w:val="both"/>
        <w:rPr>
          <w:rFonts w:eastAsia="Times New Roman"/>
        </w:rPr>
      </w:pPr>
      <w:r>
        <w:rPr>
          <w:rFonts w:eastAsia="Times New Roman"/>
          <w:i/>
          <w:iCs/>
          <w:color w:val="000000"/>
          <w:sz w:val="20"/>
          <w:szCs w:val="20"/>
        </w:rPr>
        <w:t>Market Niche</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have identified a specialized market niche: supplying the lifestyle needs of recreational farmers, ranc</w:t>
      </w:r>
      <w:r>
        <w:rPr>
          <w:rFonts w:eastAsia="Times New Roman"/>
          <w:color w:val="000000"/>
          <w:sz w:val="20"/>
          <w:szCs w:val="20"/>
        </w:rPr>
        <w:t>hers, and all those who enjoy living the rural lifestyle.  By focusing our product assortment on these core customers, we believe we are differentiated from general merchandise, home center, and other specialty retailers. We cater to the rural lifestyle an</w:t>
      </w:r>
      <w:r>
        <w:rPr>
          <w:rFonts w:eastAsia="Times New Roman"/>
          <w:color w:val="000000"/>
          <w:sz w:val="20"/>
          <w:szCs w:val="20"/>
        </w:rPr>
        <w:t>d often serve a market by being a trip consolidator for many basic maintenance needs for farm, ranch, and rural customers through convenient shopping options both in-store and online.</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Customers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Our target customers are home, land, pet, and livestock owners who generally have above average income and below average cost of living. We seek to serve a customer base that primarily lives in towns outlying major metropolitan markets and in rural communi</w:t>
      </w:r>
      <w:r>
        <w:rPr>
          <w:rFonts w:eastAsia="Times New Roman"/>
          <w:color w:val="000000"/>
          <w:sz w:val="20"/>
          <w:szCs w:val="20"/>
        </w:rPr>
        <w:t xml:space="preserve">ties. This customer base includes recreational </w:t>
      </w:r>
      <w:r>
        <w:rPr>
          <w:rFonts w:eastAsia="Times New Roman"/>
          <w:color w:val="000000"/>
          <w:sz w:val="20"/>
          <w:szCs w:val="20"/>
        </w:rPr>
        <w:lastRenderedPageBreak/>
        <w:t>farmers, ranchers, and all those who enjoy living the rural lifestyle. We have seen a trend of consumers migrating to more rural areas and a continuation of shifting consumer behavior trends due to the COVID-1</w:t>
      </w:r>
      <w:r>
        <w:rPr>
          <w:rFonts w:eastAsia="Times New Roman"/>
          <w:color w:val="000000"/>
          <w:sz w:val="20"/>
          <w:szCs w:val="20"/>
        </w:rPr>
        <w:t xml:space="preserve">9 pandemic as customers focused on the care of their homes, land, and animals, which resulted in a growing demand in everyday merchandise, including consumable, usable, and edible (“C.U.E.”) products and seasonal categories. </w:t>
      </w:r>
    </w:p>
    <w:p w:rsidR="00000000" w:rsidRDefault="00F123EE">
      <w:pPr>
        <w:divId w:val="1000500415"/>
        <w:rPr>
          <w:rFonts w:eastAsia="Times New Roman"/>
        </w:rPr>
      </w:pPr>
    </w:p>
    <w:p w:rsidR="00000000" w:rsidRDefault="00F123EE">
      <w:pPr>
        <w:jc w:val="center"/>
        <w:divId w:val="146097455"/>
        <w:rPr>
          <w:rFonts w:eastAsia="Times New Roman"/>
        </w:rPr>
      </w:pPr>
      <w:r>
        <w:rPr>
          <w:rFonts w:eastAsia="Times New Roman"/>
          <w:color w:val="000000"/>
          <w:sz w:val="20"/>
          <w:szCs w:val="20"/>
        </w:rPr>
        <w:t>1</w:t>
      </w:r>
    </w:p>
    <w:p w:rsidR="00000000" w:rsidRDefault="00F123EE">
      <w:pPr>
        <w:rPr>
          <w:rFonts w:eastAsia="Times New Roman"/>
        </w:rPr>
      </w:pPr>
      <w:r>
        <w:rPr>
          <w:rFonts w:eastAsia="Times New Roman"/>
        </w:rPr>
        <w:pict>
          <v:rect id="_x0000_i1030" style="width:0;height:1.5pt" o:hralign="center" o:hrstd="t" o:hr="t" fillcolor="#a0a0a0" stroked="f"/>
        </w:pict>
      </w:r>
    </w:p>
    <w:p w:rsidR="00000000" w:rsidRDefault="00F123EE">
      <w:pPr>
        <w:divId w:val="731928436"/>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r>
        <w:rPr>
          <w:rFonts w:eastAsia="Times New Roman"/>
          <w:i/>
          <w:iCs/>
          <w:color w:val="000000"/>
          <w:sz w:val="20"/>
          <w:szCs w:val="20"/>
        </w:rPr>
        <w:t>Customer Service</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are committed to providing our customers reliable product availability and a convenient, customer-centric experience across shopping channels. In our stores, we</w:t>
      </w:r>
      <w:r>
        <w:rPr>
          <w:rFonts w:eastAsia="Times New Roman"/>
          <w:color w:val="000000"/>
          <w:sz w:val="20"/>
          <w:szCs w:val="20"/>
        </w:rPr>
        <w:t xml:space="preserve"> believe the ability of our motivated, well-trained team members to provide friendly, responsive and seasoned advice helps our customers find the right products to satisfy their everyday needs, as well as the specialty items needed to complete their rural </w:t>
      </w:r>
      <w:r>
        <w:rPr>
          <w:rFonts w:eastAsia="Times New Roman"/>
          <w:color w:val="000000"/>
          <w:sz w:val="20"/>
          <w:szCs w:val="20"/>
        </w:rPr>
        <w:t>lifestyle projects. We also engage with our customers through our e-commerce websites and mobile application, which provide the opportunity to allow customers to shop anytime, anywhere, and in any way they choose, while delivering enhanced product informat</w:t>
      </w:r>
      <w:r>
        <w:rPr>
          <w:rFonts w:eastAsia="Times New Roman"/>
          <w:color w:val="000000"/>
          <w:sz w:val="20"/>
          <w:szCs w:val="20"/>
        </w:rPr>
        <w:t>ion, research, and decision tools that support product selection and informational needs in specific subject areas. Additionally, we maintain a Customer Solutions Center at our Store Support Center located in Brentwood, Tennessee, to support our in-store a</w:t>
      </w:r>
      <w:r>
        <w:rPr>
          <w:rFonts w:eastAsia="Times New Roman"/>
          <w:color w:val="000000"/>
          <w:sz w:val="20"/>
          <w:szCs w:val="20"/>
        </w:rPr>
        <w:t>nd online customers, as well as our store team members. We believe this commitment to customer service promotes strong customer loyalty through personalized experiences and provides convenience that our customers expect, which drives repeat shopping experi</w:t>
      </w:r>
      <w:r>
        <w:rPr>
          <w:rFonts w:eastAsia="Times New Roman"/>
          <w:color w:val="000000"/>
          <w:sz w:val="20"/>
          <w:szCs w:val="20"/>
        </w:rPr>
        <w:t xml:space="preserve">ences. </w:t>
      </w:r>
    </w:p>
    <w:p w:rsidR="00000000" w:rsidRDefault="00F123EE">
      <w:pPr>
        <w:divId w:val="1863013498"/>
        <w:rPr>
          <w:rFonts w:eastAsia="Times New Roman"/>
        </w:rPr>
      </w:pPr>
    </w:p>
    <w:p w:rsidR="00000000" w:rsidRDefault="00F123EE">
      <w:pPr>
        <w:jc w:val="both"/>
        <w:rPr>
          <w:rFonts w:eastAsia="Times New Roman"/>
        </w:rPr>
      </w:pPr>
      <w:r>
        <w:rPr>
          <w:rFonts w:eastAsia="Times New Roman"/>
          <w:color w:val="000000"/>
          <w:sz w:val="20"/>
          <w:szCs w:val="20"/>
        </w:rPr>
        <w:t>We use a third-party provider to survey and measure our level of customer service.  This process allows customers to provide feedback on their shopping experience.  Based on the third-party provider’s data, we believe our customer satisfaction sc</w:t>
      </w:r>
      <w:r>
        <w:rPr>
          <w:rFonts w:eastAsia="Times New Roman"/>
          <w:color w:val="000000"/>
          <w:sz w:val="20"/>
          <w:szCs w:val="20"/>
        </w:rPr>
        <w:t>ores are among the best-in-class.  We carefully evaluate the feedback we receive from our customers and implement improvements at both the Company and the individual store level based on that feedback.</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Store Environment</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 xml:space="preserve">Our stores are designed and managed to make shopping an enjoyable experience and to maximize sales and operating efficiencies.  Stores are strategically arranged to provide an open environment for optimal product placement and visual display. In addition, </w:t>
      </w:r>
      <w:r>
        <w:rPr>
          <w:rFonts w:eastAsia="Times New Roman"/>
          <w:color w:val="000000"/>
          <w:sz w:val="20"/>
          <w:szCs w:val="20"/>
        </w:rPr>
        <w:t>these layouts allow for departmental space to be easily reallocated and visual displays to be changed for seasonal products and promotions. Display and product placement information is routinely sent to stores to ensure quality and uniformity among the sto</w:t>
      </w:r>
      <w:r>
        <w:rPr>
          <w:rFonts w:eastAsia="Times New Roman"/>
          <w:color w:val="000000"/>
          <w:sz w:val="20"/>
          <w:szCs w:val="20"/>
        </w:rPr>
        <w:t>res, and our Field Activity Support Teams (“FAST”) are dedicated to support the stores in creating an enhanced in-store experience for our customers through best-in-class merchandising execution. Our store layouts and visual displays are designed to provid</w:t>
      </w:r>
      <w:r>
        <w:rPr>
          <w:rFonts w:eastAsia="Times New Roman"/>
          <w:color w:val="000000"/>
          <w:sz w:val="20"/>
          <w:szCs w:val="20"/>
        </w:rPr>
        <w:t>e our customers a feeling of familiarity and convenience to enhance the shopping experience. Informative signs are located in key product categories to conveniently assist customers with purchasing decisions and merchandise location.  These signs provide c</w:t>
      </w:r>
      <w:r>
        <w:rPr>
          <w:rFonts w:eastAsia="Times New Roman"/>
          <w:color w:val="000000"/>
          <w:sz w:val="20"/>
          <w:szCs w:val="20"/>
        </w:rPr>
        <w:t>ustomers with a comparison of product qualities, clear pricing, useful information regarding product benefits, and suggestions for appropriate accessories. Also, our store team members wear highly visible red vests or aprons with name tags, and our custome</w:t>
      </w:r>
      <w:r>
        <w:rPr>
          <w:rFonts w:eastAsia="Times New Roman"/>
          <w:color w:val="000000"/>
          <w:sz w:val="20"/>
          <w:szCs w:val="20"/>
        </w:rPr>
        <w:t xml:space="preserve">r service and checkout counters are conveniently located near the front of the store. </w:t>
      </w:r>
      <w:r>
        <w:rPr>
          <w:rFonts w:eastAsia="Times New Roman"/>
          <w:color w:val="000000"/>
          <w:sz w:val="20"/>
          <w:szCs w:val="20"/>
          <w:shd w:val="clear" w:color="auto" w:fill="FFFFFF"/>
        </w:rPr>
        <w:t>Our stores have been equipped with tools such as team member communication devices, wireless internet, and mobile point-of-sale devices that enable our team members to pr</w:t>
      </w:r>
      <w:r>
        <w:rPr>
          <w:rFonts w:eastAsia="Times New Roman"/>
          <w:color w:val="000000"/>
          <w:sz w:val="20"/>
          <w:szCs w:val="20"/>
          <w:shd w:val="clear" w:color="auto" w:fill="FFFFFF"/>
        </w:rPr>
        <w:t>ovide an enhanced shopping experience to our customers.</w:t>
      </w:r>
      <w:r>
        <w:rPr>
          <w:rFonts w:eastAsia="Times New Roman"/>
          <w:color w:val="000000"/>
          <w:sz w:val="20"/>
          <w:szCs w:val="20"/>
        </w:rPr>
        <w:t xml:space="preserve"> In addition, our buy online and pickup in-store and ship to store programs, including curbside pickup, provide convenient access for customers to pick up merchandise from our store locations. We also </w:t>
      </w:r>
      <w:r>
        <w:rPr>
          <w:rFonts w:eastAsia="Times New Roman"/>
          <w:color w:val="000000"/>
          <w:sz w:val="20"/>
          <w:szCs w:val="20"/>
        </w:rPr>
        <w:t>offer delivery in all of our stores, as well as rentable trailers and store delivery in the portion of our stores with delivery trucks and trailers, all to meet our customers' needs.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are in the midst of a multi-year project that began in 2020 to remod</w:t>
      </w:r>
      <w:r>
        <w:rPr>
          <w:rFonts w:eastAsia="Times New Roman"/>
          <w:color w:val="000000"/>
          <w:sz w:val="20"/>
          <w:szCs w:val="20"/>
        </w:rPr>
        <w:t>el our existing store base, bringing programs to life with new fixtures, layouts and products that truly enhance the customer shopping experience. The site level space is analyzed category by category and reallocated as needed to align with current merchan</w:t>
      </w:r>
      <w:r>
        <w:rPr>
          <w:rFonts w:eastAsia="Times New Roman"/>
          <w:color w:val="000000"/>
          <w:sz w:val="20"/>
          <w:szCs w:val="20"/>
        </w:rPr>
        <w:t>dising strategies and to drive space productivity. Another space productivity initiative is to transform our Side Lot with an expanded product offering and an enhanced shopping experience. With this investment, the Side Lot space is leveraged to offer a wi</w:t>
      </w:r>
      <w:r>
        <w:rPr>
          <w:rFonts w:eastAsia="Times New Roman"/>
          <w:color w:val="000000"/>
          <w:sz w:val="20"/>
          <w:szCs w:val="20"/>
        </w:rPr>
        <w:t xml:space="preserve">der product offering in the lawn and garden </w:t>
      </w:r>
      <w:r>
        <w:rPr>
          <w:rFonts w:eastAsia="Times New Roman"/>
          <w:color w:val="000000"/>
          <w:sz w:val="20"/>
          <w:szCs w:val="20"/>
        </w:rPr>
        <w:lastRenderedPageBreak/>
        <w:t>categories and our new categories within the garden center, and offer greater convenience through the expansion of our buy online and pickup in-store and ship to store capabilities for drive-thru pickup.</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Mercha</w:t>
      </w:r>
      <w:r>
        <w:rPr>
          <w:rFonts w:eastAsia="Times New Roman"/>
          <w:i/>
          <w:iCs/>
          <w:color w:val="000000"/>
          <w:sz w:val="20"/>
          <w:szCs w:val="20"/>
        </w:rPr>
        <w:t>ndising and Purchasing</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offer an extensive assortment of products for all those seeking to enjoy the “</w:t>
      </w:r>
      <w:r>
        <w:rPr>
          <w:rFonts w:eastAsia="Times New Roman"/>
          <w:i/>
          <w:iCs/>
          <w:color w:val="000000"/>
          <w:sz w:val="20"/>
          <w:szCs w:val="20"/>
        </w:rPr>
        <w:t>Out Here”</w:t>
      </w:r>
      <w:r>
        <w:rPr>
          <w:rFonts w:eastAsia="Times New Roman"/>
          <w:color w:val="000000"/>
          <w:sz w:val="20"/>
          <w:szCs w:val="20"/>
        </w:rPr>
        <w:t xml:space="preserve"> lifestyle.  Our product assortment is tailored to meet the needs of our customers in various geographic markets.  Our full line of product o</w:t>
      </w:r>
      <w:r>
        <w:rPr>
          <w:rFonts w:eastAsia="Times New Roman"/>
          <w:color w:val="000000"/>
          <w:sz w:val="20"/>
          <w:szCs w:val="20"/>
        </w:rPr>
        <w:t>fferings includes a broad selection of high quality, reputable brand name and exclusive brand products with approximately 17,000 to 23,000 products per store as well as over 250,000 products online.  No single product accounted for more than 10% of our sal</w:t>
      </w:r>
      <w:r>
        <w:rPr>
          <w:rFonts w:eastAsia="Times New Roman"/>
          <w:color w:val="000000"/>
          <w:sz w:val="20"/>
          <w:szCs w:val="20"/>
        </w:rPr>
        <w:t>es during fiscal 2022. Our comprehensive selection of merchandise is comprised of the following major product categories:</w:t>
      </w:r>
    </w:p>
    <w:p w:rsidR="00000000" w:rsidRDefault="00F123EE">
      <w:pPr>
        <w:divId w:val="1321727"/>
        <w:rPr>
          <w:rFonts w:eastAsia="Times New Roman"/>
        </w:rPr>
      </w:pPr>
    </w:p>
    <w:p w:rsidR="00000000" w:rsidRDefault="00F123EE">
      <w:pPr>
        <w:ind w:hanging="360"/>
        <w:divId w:val="293022270"/>
        <w:rPr>
          <w:rFonts w:eastAsia="Times New Roman"/>
        </w:rPr>
      </w:pPr>
      <w:r>
        <w:rPr>
          <w:rFonts w:eastAsia="Times New Roman"/>
          <w:color w:val="000000"/>
          <w:sz w:val="20"/>
          <w:szCs w:val="20"/>
        </w:rPr>
        <w:t>•Equine, livestock, pet, and small animal products, including items necessary for their health, care, growth, and containment (i.e.,</w:t>
      </w:r>
      <w:r>
        <w:rPr>
          <w:rFonts w:eastAsia="Times New Roman"/>
          <w:color w:val="000000"/>
          <w:sz w:val="20"/>
          <w:szCs w:val="20"/>
        </w:rPr>
        <w:t xml:space="preserve"> fencing);</w:t>
      </w:r>
    </w:p>
    <w:p w:rsidR="00000000" w:rsidRDefault="00F123EE">
      <w:pPr>
        <w:ind w:hanging="360"/>
        <w:divId w:val="615254356"/>
        <w:rPr>
          <w:rFonts w:eastAsia="Times New Roman"/>
        </w:rPr>
      </w:pPr>
      <w:r>
        <w:rPr>
          <w:rFonts w:eastAsia="Times New Roman"/>
          <w:color w:val="000000"/>
          <w:sz w:val="20"/>
          <w:szCs w:val="20"/>
        </w:rPr>
        <w:t>•Hardware, truck, towing, and tool products;</w:t>
      </w:r>
    </w:p>
    <w:p w:rsidR="00000000" w:rsidRDefault="00F123EE">
      <w:pPr>
        <w:ind w:hanging="360"/>
        <w:divId w:val="1916357578"/>
        <w:rPr>
          <w:rFonts w:eastAsia="Times New Roman"/>
        </w:rPr>
      </w:pPr>
      <w:r>
        <w:rPr>
          <w:rFonts w:eastAsia="Times New Roman"/>
          <w:color w:val="000000"/>
          <w:sz w:val="20"/>
          <w:szCs w:val="20"/>
        </w:rPr>
        <w:t>•Seasonal products, including heating, lawn and garden items, power equipment, gifts, and toys;</w:t>
      </w:r>
    </w:p>
    <w:p w:rsidR="00000000" w:rsidRDefault="00F123EE">
      <w:pPr>
        <w:ind w:hanging="360"/>
        <w:divId w:val="346375233"/>
        <w:rPr>
          <w:rFonts w:eastAsia="Times New Roman"/>
        </w:rPr>
      </w:pPr>
      <w:r>
        <w:rPr>
          <w:rFonts w:eastAsia="Times New Roman"/>
          <w:color w:val="000000"/>
          <w:sz w:val="20"/>
          <w:szCs w:val="20"/>
        </w:rPr>
        <w:t>•Work/recreational clothing and footwear; and</w:t>
      </w:r>
    </w:p>
    <w:p w:rsidR="00000000" w:rsidRDefault="00F123EE">
      <w:pPr>
        <w:ind w:hanging="360"/>
        <w:divId w:val="125969416"/>
        <w:rPr>
          <w:rFonts w:eastAsia="Times New Roman"/>
        </w:rPr>
      </w:pPr>
      <w:r>
        <w:rPr>
          <w:rFonts w:eastAsia="Times New Roman"/>
          <w:color w:val="000000"/>
          <w:sz w:val="20"/>
          <w:szCs w:val="20"/>
        </w:rPr>
        <w:t>•Maintenance products for agricultural and rural use.</w:t>
      </w:r>
    </w:p>
    <w:p w:rsidR="00000000" w:rsidRDefault="00F123EE">
      <w:pPr>
        <w:jc w:val="center"/>
        <w:divId w:val="1355614033"/>
        <w:rPr>
          <w:rFonts w:eastAsia="Times New Roman"/>
        </w:rPr>
      </w:pPr>
      <w:r>
        <w:rPr>
          <w:rFonts w:eastAsia="Times New Roman"/>
          <w:color w:val="000000"/>
          <w:sz w:val="20"/>
          <w:szCs w:val="20"/>
        </w:rPr>
        <w:t>2</w:t>
      </w:r>
    </w:p>
    <w:p w:rsidR="00000000" w:rsidRDefault="00F123EE">
      <w:pPr>
        <w:rPr>
          <w:rFonts w:eastAsia="Times New Roman"/>
        </w:rPr>
      </w:pPr>
      <w:r>
        <w:rPr>
          <w:rFonts w:eastAsia="Times New Roman"/>
        </w:rPr>
        <w:pict>
          <v:rect id="_x0000_i1031" style="width:0;height:1.5pt" o:hralign="center" o:hrstd="t" o:hr="t" fillcolor="#a0a0a0" stroked="f"/>
        </w:pict>
      </w:r>
    </w:p>
    <w:p w:rsidR="00000000" w:rsidRDefault="00F123EE">
      <w:pPr>
        <w:divId w:val="756366404"/>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following table indicates the percentage of net sales represented by each of our major product categories during fiscal 2022, 2021, and 2020:</w:t>
      </w:r>
    </w:p>
    <w:tbl>
      <w:tblPr>
        <w:tblW w:w="4992" w:type="pct"/>
        <w:tblCellMar>
          <w:top w:w="15" w:type="dxa"/>
          <w:left w:w="15" w:type="dxa"/>
          <w:bottom w:w="15" w:type="dxa"/>
          <w:right w:w="15" w:type="dxa"/>
        </w:tblCellMar>
        <w:tblLook w:val="04A0" w:firstRow="1" w:lastRow="0" w:firstColumn="1" w:lastColumn="0" w:noHBand="0" w:noVBand="1"/>
      </w:tblPr>
      <w:tblGrid>
        <w:gridCol w:w="39"/>
        <w:gridCol w:w="4822"/>
        <w:gridCol w:w="38"/>
        <w:gridCol w:w="37"/>
        <w:gridCol w:w="874"/>
        <w:gridCol w:w="188"/>
        <w:gridCol w:w="36"/>
        <w:gridCol w:w="36"/>
        <w:gridCol w:w="36"/>
        <w:gridCol w:w="37"/>
        <w:gridCol w:w="813"/>
        <w:gridCol w:w="188"/>
        <w:gridCol w:w="36"/>
        <w:gridCol w:w="36"/>
        <w:gridCol w:w="36"/>
        <w:gridCol w:w="37"/>
        <w:gridCol w:w="816"/>
        <w:gridCol w:w="188"/>
      </w:tblGrid>
      <w:tr w:rsidR="00000000">
        <w:tc>
          <w:tcPr>
            <w:tcW w:w="50" w:type="pct"/>
            <w:vAlign w:val="center"/>
            <w:hideMark/>
          </w:tcPr>
          <w:p w:rsidR="00000000" w:rsidRDefault="00F123EE">
            <w:pPr>
              <w:jc w:val="both"/>
              <w:rPr>
                <w:rFonts w:eastAsia="Times New Roman"/>
              </w:rPr>
            </w:pPr>
          </w:p>
        </w:tc>
        <w:tc>
          <w:tcPr>
            <w:tcW w:w="2961"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81"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81"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82"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Percent of Net Sales</w:t>
            </w:r>
          </w:p>
        </w:tc>
      </w:tr>
      <w:tr w:rsidR="00000000">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Fiscal Year</w:t>
            </w: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b/>
                <w:bCs/>
                <w:color w:val="000000"/>
                <w:sz w:val="20"/>
                <w:szCs w:val="20"/>
              </w:rPr>
              <w:t>Product Category:</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2020</w:t>
            </w: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Livestock and Pet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w:t>
            </w:r>
          </w:p>
        </w:tc>
      </w:tr>
      <w:tr w:rsidR="00000000">
        <w:tc>
          <w:tcPr>
            <w:tcW w:w="0" w:type="auto"/>
            <w:gridSpan w:val="3"/>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Seasonal, Gift and Toy Products</w:t>
            </w: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21 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21 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21 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Hardware, Tools and Truck</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Clothing and Footwear</w:t>
            </w: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8 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Agriculture</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tcMar>
              <w:top w:w="30" w:type="dxa"/>
              <w:left w:w="24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w:t>
            </w:r>
          </w:p>
        </w:tc>
      </w:tr>
    </w:tbl>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Our buying team continuously reviews and updates our product assortment as necessary to respond to customer needs and to offer new, relevant products.  We are focused on providing key products that our customers use on a regular basis for their lifestyle a</w:t>
      </w:r>
      <w:r>
        <w:rPr>
          <w:rFonts w:eastAsia="Times New Roman"/>
          <w:color w:val="000000"/>
          <w:sz w:val="20"/>
          <w:szCs w:val="20"/>
        </w:rPr>
        <w:t>nd maintenance needs with emphasis on C.U.E. products.  Examples of C.U.E. product categories include, but are not limited to, livestock feed and bedding, pet food, bird seed, lubricants, propane, and various seasonal products, such as fertilizer, weed con</w:t>
      </w:r>
      <w:r>
        <w:rPr>
          <w:rFonts w:eastAsia="Times New Roman"/>
          <w:color w:val="000000"/>
          <w:sz w:val="20"/>
          <w:szCs w:val="20"/>
        </w:rPr>
        <w:t xml:space="preserve">trol, mulch, pest control, and twine.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 xml:space="preserve">Our products are sourced through both domestic and international vendors, each of whom are expected to adhere to a code of conduct that guides our relationship.  Our business is not dependent upon any single vendor </w:t>
      </w:r>
      <w:r>
        <w:rPr>
          <w:rFonts w:eastAsia="Times New Roman"/>
          <w:color w:val="000000"/>
          <w:sz w:val="20"/>
          <w:szCs w:val="20"/>
        </w:rPr>
        <w:t>or particular group of vendors.  We purchase our products from a group of approximately 1,000 vendors, with no one vendor representing more than 10% of our purchases during fiscal 2022.  Approximately 400 core vendors accounted for 90% of our merchandise p</w:t>
      </w:r>
      <w:r>
        <w:rPr>
          <w:rFonts w:eastAsia="Times New Roman"/>
          <w:color w:val="000000"/>
          <w:sz w:val="20"/>
          <w:szCs w:val="20"/>
        </w:rPr>
        <w:t>urchases during fiscal 2022. We have not experienced any significant difficulty in obtaining satisfactory alternative sources of supply for our products to meet customer demands despite the global supply chain disruptions and delays. We believe that adequa</w:t>
      </w:r>
      <w:r>
        <w:rPr>
          <w:rFonts w:eastAsia="Times New Roman"/>
          <w:color w:val="000000"/>
          <w:sz w:val="20"/>
          <w:szCs w:val="20"/>
        </w:rPr>
        <w:t xml:space="preserve">te sources of supply exist, but they may cost more or require us to incur higher transportation costs.  </w:t>
      </w:r>
    </w:p>
    <w:p w:rsidR="00000000" w:rsidRDefault="00F123EE">
      <w:pPr>
        <w:divId w:val="1976174296"/>
        <w:rPr>
          <w:rFonts w:eastAsia="Times New Roman"/>
        </w:rPr>
      </w:pPr>
    </w:p>
    <w:p w:rsidR="00000000" w:rsidRDefault="00F123EE">
      <w:pPr>
        <w:jc w:val="both"/>
        <w:rPr>
          <w:rFonts w:eastAsia="Times New Roman"/>
        </w:rPr>
      </w:pPr>
      <w:r>
        <w:rPr>
          <w:rFonts w:eastAsia="Times New Roman"/>
          <w:color w:val="000000"/>
          <w:sz w:val="20"/>
          <w:szCs w:val="20"/>
        </w:rPr>
        <w:t>Our buying teams focus on merchandise procurement, vendor line reviews, and testing of new products and programs.  We also employ a dedicated invento</w:t>
      </w:r>
      <w:r>
        <w:rPr>
          <w:rFonts w:eastAsia="Times New Roman"/>
          <w:color w:val="000000"/>
          <w:sz w:val="20"/>
          <w:szCs w:val="20"/>
        </w:rPr>
        <w:t>ry management team that focuses exclusively on forecasting and inventory replenishment, a committed merchandise planning team that concentrates on assortment planning, and a specialized pricing team that seeks to optimize market-specific pricing for our pr</w:t>
      </w:r>
      <w:r>
        <w:rPr>
          <w:rFonts w:eastAsia="Times New Roman"/>
          <w:color w:val="000000"/>
          <w:sz w:val="20"/>
          <w:szCs w:val="20"/>
        </w:rPr>
        <w:t>oducts.  Through the combined efforts of these teams, we continue to focus on improving our overall inventory productivity and in-stock inventory position.</w:t>
      </w:r>
    </w:p>
    <w:p w:rsidR="00000000" w:rsidRDefault="00F123EE">
      <w:pPr>
        <w:divId w:val="533807689"/>
        <w:rPr>
          <w:rFonts w:eastAsia="Times New Roman"/>
        </w:rPr>
      </w:pPr>
    </w:p>
    <w:p w:rsidR="00000000" w:rsidRDefault="00F123EE">
      <w:pPr>
        <w:jc w:val="both"/>
        <w:rPr>
          <w:rFonts w:eastAsia="Times New Roman"/>
        </w:rPr>
      </w:pPr>
      <w:r>
        <w:rPr>
          <w:rFonts w:eastAsia="Times New Roman"/>
          <w:i/>
          <w:iCs/>
          <w:color w:val="000000"/>
          <w:sz w:val="20"/>
          <w:szCs w:val="20"/>
        </w:rPr>
        <w:t xml:space="preserve">Intellectual Property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Our subsidiary, Tractor Supply Co. of Texas, LP (“TSCT”), owns registrati</w:t>
      </w:r>
      <w:r>
        <w:rPr>
          <w:rFonts w:eastAsia="Times New Roman"/>
          <w:color w:val="000000"/>
          <w:sz w:val="20"/>
          <w:szCs w:val="20"/>
        </w:rPr>
        <w:t xml:space="preserve">ons with the U.S. Patent and Trademark Office (“USPTO”) for various service marks including </w:t>
      </w:r>
      <w:r>
        <w:rPr>
          <w:rFonts w:eastAsia="Times New Roman"/>
          <w:i/>
          <w:iCs/>
          <w:color w:val="000000"/>
          <w:sz w:val="20"/>
          <w:szCs w:val="20"/>
        </w:rPr>
        <w:t>TS</w:t>
      </w:r>
      <w:r>
        <w:rPr>
          <w:rFonts w:eastAsia="Times New Roman"/>
          <w:i/>
          <w:iCs/>
          <w:color w:val="000000"/>
          <w:sz w:val="20"/>
          <w:szCs w:val="20"/>
        </w:rPr>
        <w:t>C</w:t>
      </w:r>
      <w:r>
        <w:rPr>
          <w:rFonts w:eastAsia="Times New Roman"/>
          <w:color w:val="000000"/>
          <w:sz w:val="13"/>
          <w:szCs w:val="13"/>
        </w:rPr>
        <w:t>®</w:t>
      </w:r>
      <w:r>
        <w:rPr>
          <w:rFonts w:eastAsia="Times New Roman"/>
          <w:color w:val="000000"/>
          <w:sz w:val="20"/>
          <w:szCs w:val="20"/>
        </w:rPr>
        <w:t xml:space="preserve">, </w:t>
      </w:r>
      <w:r>
        <w:rPr>
          <w:rFonts w:eastAsia="Times New Roman"/>
          <w:i/>
          <w:iCs/>
          <w:color w:val="000000"/>
          <w:sz w:val="20"/>
          <w:szCs w:val="20"/>
        </w:rPr>
        <w:t>Tractor Supply Co</w:t>
      </w:r>
      <w:r>
        <w:rPr>
          <w:rFonts w:eastAsia="Times New Roman"/>
          <w:i/>
          <w:iCs/>
          <w:color w:val="000000"/>
          <w:sz w:val="20"/>
          <w:szCs w:val="20"/>
        </w:rPr>
        <w:t>.</w:t>
      </w:r>
      <w:r>
        <w:rPr>
          <w:rFonts w:eastAsia="Times New Roman"/>
          <w:color w:val="000000"/>
          <w:sz w:val="13"/>
          <w:szCs w:val="13"/>
        </w:rPr>
        <w:t>®</w:t>
      </w:r>
      <w:r>
        <w:rPr>
          <w:rFonts w:eastAsia="Times New Roman"/>
          <w:color w:val="000000"/>
          <w:sz w:val="20"/>
          <w:szCs w:val="20"/>
        </w:rPr>
        <w:t xml:space="preserve">, </w:t>
      </w:r>
      <w:r>
        <w:rPr>
          <w:rFonts w:eastAsia="Times New Roman"/>
          <w:i/>
          <w:iCs/>
          <w:color w:val="000000"/>
          <w:sz w:val="20"/>
          <w:szCs w:val="20"/>
        </w:rPr>
        <w:t>TSC Tractor Supply Co</w:t>
      </w:r>
      <w:r>
        <w:rPr>
          <w:rFonts w:eastAsia="Times New Roman"/>
          <w:i/>
          <w:iCs/>
          <w:color w:val="000000"/>
          <w:sz w:val="20"/>
          <w:szCs w:val="20"/>
        </w:rPr>
        <w:t>.</w:t>
      </w:r>
      <w:r>
        <w:rPr>
          <w:rFonts w:eastAsia="Times New Roman"/>
          <w:color w:val="000000"/>
          <w:sz w:val="13"/>
          <w:szCs w:val="13"/>
        </w:rPr>
        <w:t>®</w:t>
      </w:r>
      <w:r>
        <w:rPr>
          <w:rFonts w:eastAsia="Times New Roman"/>
          <w:color w:val="000000"/>
          <w:sz w:val="20"/>
          <w:szCs w:val="20"/>
        </w:rPr>
        <w:t>, and the trapezium design for retail services. We consider these service marks, and the accompanying goodwill and</w:t>
      </w:r>
      <w:r>
        <w:rPr>
          <w:rFonts w:eastAsia="Times New Roman"/>
          <w:color w:val="000000"/>
          <w:sz w:val="20"/>
          <w:szCs w:val="20"/>
        </w:rPr>
        <w:t xml:space="preserve"> name recognition, to be valuable assets of our business. TSCT also owns several other service marks for retail services, some of which have been registered with the USPTO and some of which are the subject of applications for registration pending before th</w:t>
      </w:r>
      <w:r>
        <w:rPr>
          <w:rFonts w:eastAsia="Times New Roman"/>
          <w:color w:val="000000"/>
          <w:sz w:val="20"/>
          <w:szCs w:val="20"/>
        </w:rPr>
        <w:t xml:space="preserve">e USPTO.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In addition to selling products that bear nationally-known manufacturer brands, we also sell products manufactured for us under a number of exclusive brands that we consider to be important to our business. These exclusive brands are manufactur</w:t>
      </w:r>
      <w:r>
        <w:rPr>
          <w:rFonts w:eastAsia="Times New Roman"/>
          <w:color w:val="000000"/>
          <w:sz w:val="20"/>
          <w:szCs w:val="20"/>
        </w:rPr>
        <w:t xml:space="preserve">ed for us by a number of vendors and provide an alternative to the national brands, which helps provide value for our customers and positions us as a destination retailer. </w:t>
      </w:r>
    </w:p>
    <w:p w:rsidR="00000000" w:rsidRDefault="00F123EE">
      <w:pPr>
        <w:jc w:val="both"/>
        <w:rPr>
          <w:rFonts w:eastAsia="Times New Roman"/>
        </w:rPr>
      </w:pPr>
    </w:p>
    <w:p w:rsidR="00000000" w:rsidRDefault="00F123EE">
      <w:pPr>
        <w:jc w:val="center"/>
        <w:divId w:val="62526649"/>
        <w:rPr>
          <w:rFonts w:eastAsia="Times New Roman"/>
        </w:rPr>
      </w:pPr>
      <w:r>
        <w:rPr>
          <w:rFonts w:eastAsia="Times New Roman"/>
          <w:color w:val="000000"/>
          <w:sz w:val="20"/>
          <w:szCs w:val="20"/>
        </w:rPr>
        <w:t>3</w:t>
      </w:r>
    </w:p>
    <w:p w:rsidR="00000000" w:rsidRDefault="00F123EE">
      <w:pPr>
        <w:rPr>
          <w:rFonts w:eastAsia="Times New Roman"/>
        </w:rPr>
      </w:pPr>
      <w:r>
        <w:rPr>
          <w:rFonts w:eastAsia="Times New Roman"/>
        </w:rPr>
        <w:pict>
          <v:rect id="_x0000_i1032" style="width:0;height:1.5pt" o:hralign="center" o:hrstd="t" o:hr="t" fillcolor="#a0a0a0" stroked="f"/>
        </w:pict>
      </w:r>
    </w:p>
    <w:p w:rsidR="00000000" w:rsidRDefault="00F123EE">
      <w:pPr>
        <w:divId w:val="238247284"/>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r>
        <w:rPr>
          <w:rFonts w:eastAsia="Times New Roman"/>
          <w:color w:val="000000"/>
          <w:sz w:val="20"/>
          <w:szCs w:val="20"/>
        </w:rPr>
        <w:t>Excluding Orscheln Farm and Home, our exclusive brands represented approximately 30% of our total sales in fiscal 2022, and 29% of our total sales in each of fiscal 2021 and fiscal 2020. Our exclusive brands include:</w:t>
      </w:r>
    </w:p>
    <w:p w:rsidR="00000000" w:rsidRDefault="00F123EE">
      <w:pPr>
        <w:jc w:val="both"/>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3718"/>
        <w:gridCol w:w="38"/>
        <w:gridCol w:w="68"/>
        <w:gridCol w:w="4376"/>
        <w:gridCol w:w="38"/>
      </w:tblGrid>
      <w:tr w:rsidR="00000000">
        <w:trPr>
          <w:jc w:val="center"/>
        </w:trPr>
        <w:tc>
          <w:tcPr>
            <w:tcW w:w="50" w:type="pct"/>
            <w:vAlign w:val="center"/>
            <w:hideMark/>
          </w:tcPr>
          <w:p w:rsidR="00000000" w:rsidRDefault="00F123EE">
            <w:pPr>
              <w:jc w:val="both"/>
              <w:rPr>
                <w:rFonts w:eastAsia="Times New Roman"/>
              </w:rPr>
            </w:pPr>
          </w:p>
        </w:tc>
        <w:tc>
          <w:tcPr>
            <w:tcW w:w="2247"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2642"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F123EE">
            <w:pPr>
              <w:spacing w:after="100"/>
              <w:divId w:val="2105149425"/>
              <w:rPr>
                <w:rFonts w:eastAsia="Times New Roman"/>
              </w:rPr>
            </w:pPr>
            <w:r>
              <w:rPr>
                <w:rFonts w:eastAsia="Times New Roman"/>
                <w:i/>
                <w:iCs/>
                <w:color w:val="000000"/>
                <w:sz w:val="20"/>
                <w:szCs w:val="20"/>
              </w:rPr>
              <w:t>4healt</w:t>
            </w:r>
            <w:r>
              <w:rPr>
                <w:rFonts w:eastAsia="Times New Roman"/>
                <w:i/>
                <w:iCs/>
                <w:color w:val="000000"/>
                <w:sz w:val="20"/>
                <w:szCs w:val="20"/>
              </w:rPr>
              <w:t>h</w:t>
            </w:r>
            <w:r>
              <w:rPr>
                <w:rFonts w:eastAsia="Times New Roman"/>
                <w:color w:val="000000"/>
                <w:sz w:val="13"/>
                <w:szCs w:val="13"/>
              </w:rPr>
              <w:t>®</w:t>
            </w:r>
            <w:r>
              <w:rPr>
                <w:rFonts w:eastAsia="Times New Roman"/>
                <w:color w:val="000000"/>
                <w:sz w:val="20"/>
                <w:szCs w:val="20"/>
              </w:rPr>
              <w:t xml:space="preserve"> (pet foods and supplies)</w:t>
            </w:r>
          </w:p>
        </w:tc>
        <w:tc>
          <w:tcPr>
            <w:tcW w:w="0" w:type="auto"/>
            <w:gridSpan w:val="3"/>
            <w:shd w:val="clear" w:color="auto" w:fill="CCEEFF"/>
            <w:tcMar>
              <w:top w:w="30" w:type="dxa"/>
              <w:left w:w="20" w:type="dxa"/>
              <w:bottom w:w="30" w:type="dxa"/>
              <w:right w:w="20" w:type="dxa"/>
            </w:tcMar>
            <w:hideMark/>
          </w:tcPr>
          <w:p w:rsidR="00000000" w:rsidRDefault="00F123EE">
            <w:pPr>
              <w:spacing w:after="100"/>
              <w:ind w:hanging="270"/>
              <w:divId w:val="992685587"/>
              <w:rPr>
                <w:rFonts w:eastAsia="Times New Roman"/>
              </w:rPr>
            </w:pPr>
            <w:r>
              <w:rPr>
                <w:rFonts w:eastAsia="Times New Roman"/>
                <w:i/>
                <w:iCs/>
                <w:color w:val="000000"/>
                <w:sz w:val="20"/>
                <w:szCs w:val="20"/>
              </w:rPr>
              <w:t>Producer’s Prid</w:t>
            </w:r>
            <w:r>
              <w:rPr>
                <w:rFonts w:eastAsia="Times New Roman"/>
                <w:i/>
                <w:iCs/>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(livestock and horse feed and supplies)</w:t>
            </w: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F123EE">
            <w:pPr>
              <w:spacing w:after="100"/>
              <w:divId w:val="716126869"/>
              <w:rPr>
                <w:rFonts w:eastAsia="Times New Roman"/>
              </w:rPr>
            </w:pPr>
            <w:r>
              <w:rPr>
                <w:rFonts w:eastAsia="Times New Roman"/>
                <w:i/>
                <w:iCs/>
                <w:color w:val="000000"/>
                <w:sz w:val="20"/>
                <w:szCs w:val="20"/>
              </w:rPr>
              <w:t>American Farmwork</w:t>
            </w:r>
            <w:r>
              <w:rPr>
                <w:rFonts w:eastAsia="Times New Roman"/>
                <w:i/>
                <w:iCs/>
                <w:color w:val="000000"/>
                <w:sz w:val="20"/>
                <w:szCs w:val="20"/>
              </w:rPr>
              <w:t>s</w:t>
            </w:r>
            <w:r>
              <w:rPr>
                <w:rFonts w:eastAsia="Times New Roman"/>
                <w:color w:val="000000"/>
                <w:sz w:val="13"/>
                <w:szCs w:val="13"/>
              </w:rPr>
              <w:t>®</w:t>
            </w:r>
            <w:r>
              <w:rPr>
                <w:rFonts w:eastAsia="Times New Roman"/>
                <w:color w:val="000000"/>
                <w:sz w:val="20"/>
                <w:szCs w:val="20"/>
              </w:rPr>
              <w:t xml:space="preserve"> (livestock, farm and ranch</w:t>
            </w:r>
          </w:p>
        </w:tc>
        <w:tc>
          <w:tcPr>
            <w:tcW w:w="0" w:type="auto"/>
            <w:gridSpan w:val="3"/>
            <w:shd w:val="clear" w:color="auto" w:fill="FFFFFF"/>
            <w:tcMar>
              <w:top w:w="30" w:type="dxa"/>
              <w:left w:w="20" w:type="dxa"/>
              <w:bottom w:w="30" w:type="dxa"/>
              <w:right w:w="20" w:type="dxa"/>
            </w:tcMar>
            <w:hideMark/>
          </w:tcPr>
          <w:p w:rsidR="00000000" w:rsidRDefault="00F123EE">
            <w:pPr>
              <w:spacing w:after="100"/>
              <w:divId w:val="170343780"/>
              <w:rPr>
                <w:rFonts w:eastAsia="Times New Roman"/>
              </w:rPr>
            </w:pPr>
            <w:r>
              <w:rPr>
                <w:rFonts w:eastAsia="Times New Roman"/>
                <w:i/>
                <w:iCs/>
                <w:color w:val="000000"/>
                <w:sz w:val="20"/>
                <w:szCs w:val="20"/>
              </w:rPr>
              <w:t>Red She</w:t>
            </w:r>
            <w:r>
              <w:rPr>
                <w:rFonts w:eastAsia="Times New Roman"/>
                <w:i/>
                <w:iCs/>
                <w:color w:val="000000"/>
                <w:sz w:val="20"/>
                <w:szCs w:val="20"/>
              </w:rPr>
              <w:t>d</w:t>
            </w:r>
            <w:r>
              <w:rPr>
                <w:rFonts w:eastAsia="Times New Roman"/>
                <w:color w:val="000000"/>
                <w:sz w:val="13"/>
                <w:szCs w:val="13"/>
              </w:rPr>
              <w:t>®</w:t>
            </w:r>
            <w:r>
              <w:rPr>
                <w:rFonts w:eastAsia="Times New Roman"/>
                <w:color w:val="000000"/>
                <w:sz w:val="20"/>
                <w:szCs w:val="20"/>
              </w:rPr>
              <w:t xml:space="preserve"> (gifts, collectibles, and outdoor furniture)</w:t>
            </w:r>
          </w:p>
        </w:tc>
      </w:tr>
      <w:tr w:rsidR="00000000">
        <w:trPr>
          <w:jc w:val="center"/>
        </w:trPr>
        <w:tc>
          <w:tcPr>
            <w:tcW w:w="0" w:type="auto"/>
            <w:gridSpan w:val="3"/>
            <w:tcMar>
              <w:top w:w="30" w:type="dxa"/>
              <w:left w:w="380" w:type="dxa"/>
              <w:bottom w:w="30" w:type="dxa"/>
              <w:right w:w="20" w:type="dxa"/>
            </w:tcMar>
            <w:hideMark/>
          </w:tcPr>
          <w:p w:rsidR="00000000" w:rsidRDefault="00F123EE">
            <w:pPr>
              <w:spacing w:after="100"/>
              <w:rPr>
                <w:rFonts w:eastAsia="Times New Roman"/>
              </w:rPr>
            </w:pPr>
            <w:r>
              <w:rPr>
                <w:rFonts w:eastAsia="Times New Roman"/>
                <w:color w:val="000000"/>
                <w:sz w:val="20"/>
                <w:szCs w:val="20"/>
              </w:rPr>
              <w:t>equipment)</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F123EE">
            <w:pPr>
              <w:spacing w:after="100"/>
              <w:divId w:val="1044212118"/>
              <w:rPr>
                <w:rFonts w:eastAsia="Times New Roman"/>
              </w:rPr>
            </w:pPr>
            <w:r>
              <w:rPr>
                <w:rFonts w:eastAsia="Times New Roman"/>
                <w:i/>
                <w:iCs/>
                <w:color w:val="000000"/>
                <w:sz w:val="20"/>
                <w:szCs w:val="20"/>
              </w:rPr>
              <w:t>Bit &amp; Bridl</w:t>
            </w:r>
            <w:r>
              <w:rPr>
                <w:rFonts w:eastAsia="Times New Roman"/>
                <w:i/>
                <w:iCs/>
                <w:color w:val="000000"/>
                <w:sz w:val="20"/>
                <w:szCs w:val="20"/>
              </w:rPr>
              <w:t>e</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20"/>
                <w:szCs w:val="20"/>
              </w:rPr>
              <w:t>(apparel and footwear)</w:t>
            </w:r>
          </w:p>
        </w:tc>
        <w:tc>
          <w:tcPr>
            <w:tcW w:w="0" w:type="auto"/>
            <w:gridSpan w:val="3"/>
            <w:shd w:val="clear" w:color="auto" w:fill="CCEEFF"/>
            <w:tcMar>
              <w:top w:w="30" w:type="dxa"/>
              <w:left w:w="20" w:type="dxa"/>
              <w:bottom w:w="30" w:type="dxa"/>
              <w:right w:w="20" w:type="dxa"/>
            </w:tcMar>
            <w:hideMark/>
          </w:tcPr>
          <w:p w:rsidR="00000000" w:rsidRDefault="00F123EE">
            <w:pPr>
              <w:spacing w:after="100"/>
              <w:divId w:val="1189216910"/>
              <w:rPr>
                <w:rFonts w:eastAsia="Times New Roman"/>
              </w:rPr>
            </w:pPr>
            <w:r>
              <w:rPr>
                <w:rFonts w:eastAsia="Times New Roman"/>
                <w:i/>
                <w:iCs/>
                <w:color w:val="000000"/>
                <w:sz w:val="20"/>
                <w:szCs w:val="20"/>
              </w:rPr>
              <w:t>Redston</w:t>
            </w:r>
            <w:r>
              <w:rPr>
                <w:rFonts w:eastAsia="Times New Roman"/>
                <w:i/>
                <w:iCs/>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(heating products)</w:t>
            </w: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F123EE">
            <w:pPr>
              <w:spacing w:after="100"/>
              <w:divId w:val="2120054506"/>
              <w:rPr>
                <w:rFonts w:eastAsia="Times New Roman"/>
              </w:rPr>
            </w:pPr>
            <w:r>
              <w:rPr>
                <w:rFonts w:eastAsia="Times New Roman"/>
                <w:i/>
                <w:iCs/>
                <w:color w:val="000000"/>
                <w:sz w:val="20"/>
                <w:szCs w:val="20"/>
              </w:rPr>
              <w:t>Blue Mountai</w:t>
            </w:r>
            <w:r>
              <w:rPr>
                <w:rFonts w:eastAsia="Times New Roman"/>
                <w:i/>
                <w:iCs/>
                <w:color w:val="000000"/>
                <w:sz w:val="20"/>
                <w:szCs w:val="20"/>
              </w:rPr>
              <w:t>n</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(apparel)</w:t>
            </w:r>
          </w:p>
        </w:tc>
        <w:tc>
          <w:tcPr>
            <w:tcW w:w="0" w:type="auto"/>
            <w:gridSpan w:val="3"/>
            <w:shd w:val="clear" w:color="auto" w:fill="FFFFFF"/>
            <w:tcMar>
              <w:top w:w="30" w:type="dxa"/>
              <w:left w:w="20" w:type="dxa"/>
              <w:bottom w:w="30" w:type="dxa"/>
              <w:right w:w="20" w:type="dxa"/>
            </w:tcMar>
            <w:hideMark/>
          </w:tcPr>
          <w:p w:rsidR="00000000" w:rsidRDefault="00F123EE">
            <w:pPr>
              <w:spacing w:after="100"/>
              <w:divId w:val="402605948"/>
              <w:rPr>
                <w:rFonts w:eastAsia="Times New Roman"/>
              </w:rPr>
            </w:pPr>
            <w:r>
              <w:rPr>
                <w:rFonts w:eastAsia="Times New Roman"/>
                <w:i/>
                <w:iCs/>
                <w:color w:val="000000"/>
                <w:sz w:val="20"/>
                <w:szCs w:val="20"/>
              </w:rPr>
              <w:t>Retrieve</w:t>
            </w:r>
            <w:r>
              <w:rPr>
                <w:rFonts w:eastAsia="Times New Roman"/>
                <w:i/>
                <w:iCs/>
                <w:color w:val="000000"/>
                <w:sz w:val="20"/>
                <w:szCs w:val="20"/>
              </w:rPr>
              <w:t>r</w:t>
            </w:r>
            <w:r>
              <w:rPr>
                <w:rFonts w:eastAsia="Times New Roman"/>
                <w:color w:val="000000"/>
                <w:sz w:val="13"/>
                <w:szCs w:val="13"/>
              </w:rPr>
              <w:t>®</w:t>
            </w:r>
            <w:r>
              <w:rPr>
                <w:rFonts w:eastAsia="Times New Roman"/>
                <w:color w:val="000000"/>
                <w:sz w:val="20"/>
                <w:szCs w:val="20"/>
              </w:rPr>
              <w:t xml:space="preserve"> (pet foods and supplies)</w:t>
            </w: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F123EE">
            <w:pPr>
              <w:spacing w:after="100"/>
              <w:divId w:val="114834163"/>
              <w:rPr>
                <w:rFonts w:eastAsia="Times New Roman"/>
              </w:rPr>
            </w:pPr>
            <w:r>
              <w:rPr>
                <w:rFonts w:eastAsia="Times New Roman"/>
                <w:i/>
                <w:iCs/>
                <w:color w:val="000000"/>
                <w:sz w:val="20"/>
                <w:szCs w:val="20"/>
              </w:rPr>
              <w:t>C.E. Schmid</w:t>
            </w:r>
            <w:r>
              <w:rPr>
                <w:rFonts w:eastAsia="Times New Roman"/>
                <w:i/>
                <w:iCs/>
                <w:color w:val="000000"/>
                <w:sz w:val="20"/>
                <w:szCs w:val="20"/>
              </w:rPr>
              <w:t>t</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(apparel and footwear)</w:t>
            </w:r>
          </w:p>
        </w:tc>
        <w:tc>
          <w:tcPr>
            <w:tcW w:w="0" w:type="auto"/>
            <w:gridSpan w:val="3"/>
            <w:shd w:val="clear" w:color="auto" w:fill="CCEEFF"/>
            <w:tcMar>
              <w:top w:w="30" w:type="dxa"/>
              <w:left w:w="20" w:type="dxa"/>
              <w:bottom w:w="30" w:type="dxa"/>
              <w:right w:w="20" w:type="dxa"/>
            </w:tcMar>
            <w:hideMark/>
          </w:tcPr>
          <w:p w:rsidR="00000000" w:rsidRDefault="00F123EE">
            <w:pPr>
              <w:spacing w:after="100"/>
              <w:divId w:val="420837754"/>
              <w:rPr>
                <w:rFonts w:eastAsia="Times New Roman"/>
              </w:rPr>
            </w:pPr>
            <w:r>
              <w:rPr>
                <w:rFonts w:eastAsia="Times New Roman"/>
                <w:i/>
                <w:iCs/>
                <w:color w:val="000000"/>
                <w:sz w:val="20"/>
                <w:szCs w:val="20"/>
              </w:rPr>
              <w:t>Ridgecu</w:t>
            </w:r>
            <w:r>
              <w:rPr>
                <w:rFonts w:eastAsia="Times New Roman"/>
                <w:i/>
                <w:iCs/>
                <w:color w:val="000000"/>
                <w:sz w:val="20"/>
                <w:szCs w:val="20"/>
              </w:rPr>
              <w:t>t</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(apparel)</w:t>
            </w: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F123EE">
            <w:pPr>
              <w:spacing w:after="100"/>
              <w:divId w:val="1582568431"/>
              <w:rPr>
                <w:rFonts w:eastAsia="Times New Roman"/>
              </w:rPr>
            </w:pPr>
            <w:r>
              <w:rPr>
                <w:rFonts w:eastAsia="Times New Roman"/>
                <w:i/>
                <w:iCs/>
                <w:color w:val="000000"/>
                <w:sz w:val="20"/>
                <w:szCs w:val="20"/>
              </w:rPr>
              <w:t>Countylin</w:t>
            </w:r>
            <w:r>
              <w:rPr>
                <w:rFonts w:eastAsia="Times New Roman"/>
                <w:i/>
                <w:iCs/>
                <w:color w:val="000000"/>
                <w:sz w:val="20"/>
                <w:szCs w:val="20"/>
              </w:rPr>
              <w:t>e</w:t>
            </w:r>
            <w:r>
              <w:rPr>
                <w:rFonts w:eastAsia="Times New Roman"/>
                <w:color w:val="000000"/>
                <w:sz w:val="13"/>
                <w:szCs w:val="13"/>
              </w:rPr>
              <w:t>®</w:t>
            </w:r>
            <w:r>
              <w:rPr>
                <w:rFonts w:eastAsia="Times New Roman"/>
                <w:color w:val="000000"/>
                <w:sz w:val="20"/>
                <w:szCs w:val="20"/>
              </w:rPr>
              <w:t xml:space="preserve"> (livestock, farm and ranch equipment)</w:t>
            </w:r>
          </w:p>
        </w:tc>
        <w:tc>
          <w:tcPr>
            <w:tcW w:w="0" w:type="auto"/>
            <w:gridSpan w:val="3"/>
            <w:shd w:val="clear" w:color="auto" w:fill="FFFFFF"/>
            <w:tcMar>
              <w:top w:w="30" w:type="dxa"/>
              <w:left w:w="20" w:type="dxa"/>
              <w:bottom w:w="30" w:type="dxa"/>
              <w:right w:w="20" w:type="dxa"/>
            </w:tcMar>
            <w:hideMark/>
          </w:tcPr>
          <w:p w:rsidR="00000000" w:rsidRDefault="00F123EE">
            <w:pPr>
              <w:spacing w:after="100"/>
              <w:divId w:val="1151673515"/>
              <w:rPr>
                <w:rFonts w:eastAsia="Times New Roman"/>
              </w:rPr>
            </w:pPr>
            <w:r>
              <w:rPr>
                <w:rFonts w:eastAsia="Times New Roman"/>
                <w:i/>
                <w:iCs/>
                <w:color w:val="000000"/>
                <w:sz w:val="20"/>
                <w:szCs w:val="20"/>
              </w:rPr>
              <w:t>Royal Win</w:t>
            </w:r>
            <w:r>
              <w:rPr>
                <w:rFonts w:eastAsia="Times New Roman"/>
                <w:i/>
                <w:iCs/>
                <w:color w:val="000000"/>
                <w:sz w:val="20"/>
                <w:szCs w:val="20"/>
              </w:rPr>
              <w:t>g</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(bird feed and supplies)</w:t>
            </w: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F123EE">
            <w:pPr>
              <w:spacing w:after="100"/>
              <w:divId w:val="1195461541"/>
              <w:rPr>
                <w:rFonts w:eastAsia="Times New Roman"/>
              </w:rPr>
            </w:pPr>
            <w:r>
              <w:rPr>
                <w:rFonts w:eastAsia="Times New Roman"/>
                <w:i/>
                <w:iCs/>
                <w:color w:val="000000"/>
                <w:sz w:val="20"/>
                <w:szCs w:val="20"/>
              </w:rPr>
              <w:t>Dumo</w:t>
            </w:r>
            <w:r>
              <w:rPr>
                <w:rFonts w:eastAsia="Times New Roman"/>
                <w:i/>
                <w:iCs/>
                <w:color w:val="000000"/>
                <w:sz w:val="20"/>
                <w:szCs w:val="20"/>
              </w:rPr>
              <w:t>r</w:t>
            </w:r>
            <w:r>
              <w:rPr>
                <w:rFonts w:eastAsia="Times New Roman"/>
                <w:color w:val="000000"/>
                <w:sz w:val="13"/>
                <w:szCs w:val="13"/>
              </w:rPr>
              <w:t>®</w:t>
            </w:r>
            <w:r>
              <w:rPr>
                <w:rFonts w:eastAsia="Times New Roman"/>
                <w:color w:val="000000"/>
                <w:sz w:val="20"/>
                <w:szCs w:val="20"/>
              </w:rPr>
              <w:t xml:space="preserve"> (livestock and horse feed and supplies)</w:t>
            </w:r>
          </w:p>
        </w:tc>
        <w:tc>
          <w:tcPr>
            <w:tcW w:w="0" w:type="auto"/>
            <w:gridSpan w:val="3"/>
            <w:shd w:val="clear" w:color="auto" w:fill="CCEEFF"/>
            <w:tcMar>
              <w:top w:w="30" w:type="dxa"/>
              <w:left w:w="20" w:type="dxa"/>
              <w:bottom w:w="30" w:type="dxa"/>
              <w:right w:w="20" w:type="dxa"/>
            </w:tcMar>
            <w:hideMark/>
          </w:tcPr>
          <w:p w:rsidR="00000000" w:rsidRDefault="00F123EE">
            <w:pPr>
              <w:spacing w:after="100"/>
              <w:divId w:val="194856108"/>
              <w:rPr>
                <w:rFonts w:eastAsia="Times New Roman"/>
              </w:rPr>
            </w:pPr>
            <w:r>
              <w:rPr>
                <w:rFonts w:eastAsia="Times New Roman"/>
                <w:i/>
                <w:iCs/>
                <w:color w:val="000000"/>
                <w:sz w:val="20"/>
                <w:szCs w:val="20"/>
              </w:rPr>
              <w:t>Striv</w:t>
            </w:r>
            <w:r>
              <w:rPr>
                <w:rFonts w:eastAsia="Times New Roman"/>
                <w:i/>
                <w:iCs/>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(pet foods)</w:t>
            </w: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F123EE">
            <w:pPr>
              <w:spacing w:after="100"/>
              <w:divId w:val="616638722"/>
              <w:rPr>
                <w:rFonts w:eastAsia="Times New Roman"/>
              </w:rPr>
            </w:pPr>
            <w:r>
              <w:rPr>
                <w:rFonts w:eastAsia="Times New Roman"/>
                <w:i/>
                <w:iCs/>
                <w:color w:val="000000"/>
                <w:sz w:val="20"/>
                <w:szCs w:val="20"/>
              </w:rPr>
              <w:t>Groundwor</w:t>
            </w:r>
            <w:r>
              <w:rPr>
                <w:rFonts w:eastAsia="Times New Roman"/>
                <w:i/>
                <w:iCs/>
                <w:color w:val="000000"/>
                <w:sz w:val="20"/>
                <w:szCs w:val="20"/>
              </w:rPr>
              <w:t>k</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(lawn and garden supplies)</w:t>
            </w:r>
          </w:p>
        </w:tc>
        <w:tc>
          <w:tcPr>
            <w:tcW w:w="0" w:type="auto"/>
            <w:gridSpan w:val="3"/>
            <w:shd w:val="clear" w:color="auto" w:fill="FFFFFF"/>
            <w:tcMar>
              <w:top w:w="30" w:type="dxa"/>
              <w:left w:w="20" w:type="dxa"/>
              <w:bottom w:w="30" w:type="dxa"/>
              <w:right w:w="20" w:type="dxa"/>
            </w:tcMar>
            <w:hideMark/>
          </w:tcPr>
          <w:p w:rsidR="00000000" w:rsidRDefault="00F123EE">
            <w:pPr>
              <w:spacing w:after="100"/>
              <w:divId w:val="893810170"/>
              <w:rPr>
                <w:rFonts w:eastAsia="Times New Roman"/>
              </w:rPr>
            </w:pPr>
            <w:r>
              <w:rPr>
                <w:rFonts w:eastAsia="Times New Roman"/>
                <w:i/>
                <w:iCs/>
                <w:color w:val="000000"/>
                <w:sz w:val="20"/>
                <w:szCs w:val="20"/>
              </w:rPr>
              <w:t>Travelle</w:t>
            </w:r>
            <w:r>
              <w:rPr>
                <w:rFonts w:eastAsia="Times New Roman"/>
                <w:i/>
                <w:iCs/>
                <w:color w:val="000000"/>
                <w:sz w:val="20"/>
                <w:szCs w:val="20"/>
              </w:rPr>
              <w:t>r</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(truck and automotive products)</w:t>
            </w: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F123EE">
            <w:pPr>
              <w:spacing w:after="100"/>
              <w:divId w:val="490100964"/>
              <w:rPr>
                <w:rFonts w:eastAsia="Times New Roman"/>
              </w:rPr>
            </w:pPr>
            <w:r>
              <w:rPr>
                <w:rFonts w:eastAsia="Times New Roman"/>
                <w:i/>
                <w:iCs/>
                <w:color w:val="000000"/>
                <w:sz w:val="20"/>
                <w:szCs w:val="20"/>
              </w:rPr>
              <w:t>Huske</w:t>
            </w:r>
            <w:r>
              <w:rPr>
                <w:rFonts w:eastAsia="Times New Roman"/>
                <w:i/>
                <w:iCs/>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(outdoor power equipment)</w:t>
            </w:r>
          </w:p>
        </w:tc>
        <w:tc>
          <w:tcPr>
            <w:tcW w:w="0" w:type="auto"/>
            <w:gridSpan w:val="3"/>
            <w:shd w:val="clear" w:color="auto" w:fill="CCEEFF"/>
            <w:tcMar>
              <w:top w:w="30" w:type="dxa"/>
              <w:left w:w="20" w:type="dxa"/>
              <w:bottom w:w="30" w:type="dxa"/>
              <w:right w:w="20" w:type="dxa"/>
            </w:tcMar>
            <w:hideMark/>
          </w:tcPr>
          <w:p w:rsidR="00000000" w:rsidRDefault="00F123EE">
            <w:pPr>
              <w:spacing w:after="100"/>
              <w:divId w:val="1014650347"/>
              <w:rPr>
                <w:rFonts w:eastAsia="Times New Roman"/>
              </w:rPr>
            </w:pPr>
            <w:r>
              <w:rPr>
                <w:rFonts w:eastAsia="Times New Roman"/>
                <w:i/>
                <w:iCs/>
                <w:color w:val="000000"/>
                <w:sz w:val="22"/>
                <w:szCs w:val="22"/>
              </w:rPr>
              <w:t>Treelin</w:t>
            </w:r>
            <w:r>
              <w:rPr>
                <w:rFonts w:eastAsia="Times New Roman"/>
                <w:i/>
                <w:iCs/>
                <w:color w:val="000000"/>
                <w:sz w:val="22"/>
                <w:szCs w:val="22"/>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(hunting gear and accessories)</w:t>
            </w: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F123EE">
            <w:pPr>
              <w:spacing w:after="100"/>
              <w:divId w:val="1271930447"/>
              <w:rPr>
                <w:rFonts w:eastAsia="Times New Roman"/>
              </w:rPr>
            </w:pPr>
            <w:r>
              <w:rPr>
                <w:rFonts w:eastAsia="Times New Roman"/>
                <w:i/>
                <w:iCs/>
                <w:color w:val="000000"/>
                <w:sz w:val="20"/>
                <w:szCs w:val="20"/>
              </w:rPr>
              <w:t>JobSmar</w:t>
            </w:r>
            <w:r>
              <w:rPr>
                <w:rFonts w:eastAsia="Times New Roman"/>
                <w:i/>
                <w:iCs/>
                <w:color w:val="000000"/>
                <w:sz w:val="20"/>
                <w:szCs w:val="20"/>
              </w:rPr>
              <w:t>t</w:t>
            </w:r>
            <w:r>
              <w:rPr>
                <w:rFonts w:eastAsia="Times New Roman"/>
                <w:color w:val="000000"/>
                <w:sz w:val="13"/>
                <w:szCs w:val="13"/>
              </w:rPr>
              <w:t>®</w:t>
            </w:r>
            <w:r>
              <w:rPr>
                <w:rFonts w:eastAsia="Times New Roman"/>
                <w:color w:val="000000"/>
                <w:sz w:val="20"/>
                <w:szCs w:val="20"/>
              </w:rPr>
              <w:t xml:space="preserve"> (tools)</w:t>
            </w:r>
          </w:p>
        </w:tc>
        <w:tc>
          <w:tcPr>
            <w:tcW w:w="0" w:type="auto"/>
            <w:gridSpan w:val="3"/>
            <w:shd w:val="clear" w:color="auto" w:fill="FFFFFF"/>
            <w:tcMar>
              <w:top w:w="30" w:type="dxa"/>
              <w:left w:w="20" w:type="dxa"/>
              <w:bottom w:w="30" w:type="dxa"/>
              <w:right w:w="20" w:type="dxa"/>
            </w:tcMar>
            <w:hideMark/>
          </w:tcPr>
          <w:p w:rsidR="00000000" w:rsidRDefault="00F123EE">
            <w:pPr>
              <w:spacing w:after="100"/>
              <w:divId w:val="997270781"/>
              <w:rPr>
                <w:rFonts w:eastAsia="Times New Roman"/>
              </w:rPr>
            </w:pPr>
            <w:r>
              <w:rPr>
                <w:rFonts w:eastAsia="Times New Roman"/>
                <w:i/>
                <w:iCs/>
                <w:color w:val="000000"/>
                <w:sz w:val="20"/>
                <w:szCs w:val="20"/>
              </w:rPr>
              <w:t>TSC Tractor Supply C</w:t>
            </w:r>
            <w:r>
              <w:rPr>
                <w:rFonts w:eastAsia="Times New Roman"/>
                <w:i/>
                <w:iCs/>
                <w:color w:val="000000"/>
                <w:sz w:val="20"/>
                <w:szCs w:val="20"/>
              </w:rPr>
              <w:t>o</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(trailers, truck tool boxes, and animal</w:t>
            </w:r>
          </w:p>
        </w:tc>
      </w:tr>
      <w:tr w:rsidR="00000000">
        <w:trPr>
          <w:jc w:val="center"/>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Mar>
              <w:top w:w="30" w:type="dxa"/>
              <w:left w:w="380" w:type="dxa"/>
              <w:bottom w:w="30" w:type="dxa"/>
              <w:right w:w="20" w:type="dxa"/>
            </w:tcMar>
            <w:hideMark/>
          </w:tcPr>
          <w:p w:rsidR="00000000" w:rsidRDefault="00F123EE">
            <w:pPr>
              <w:spacing w:after="100"/>
              <w:rPr>
                <w:rFonts w:eastAsia="Times New Roman"/>
              </w:rPr>
            </w:pPr>
            <w:r>
              <w:rPr>
                <w:rFonts w:eastAsia="Times New Roman"/>
                <w:color w:val="000000"/>
                <w:sz w:val="20"/>
                <w:szCs w:val="20"/>
              </w:rPr>
              <w:t>bedding)</w:t>
            </w: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F123EE">
            <w:pPr>
              <w:spacing w:after="100"/>
              <w:divId w:val="130099302"/>
              <w:rPr>
                <w:rFonts w:eastAsia="Times New Roman"/>
              </w:rPr>
            </w:pPr>
            <w:r>
              <w:rPr>
                <w:rFonts w:eastAsia="Times New Roman"/>
                <w:i/>
                <w:iCs/>
                <w:color w:val="000000"/>
                <w:sz w:val="20"/>
                <w:szCs w:val="20"/>
              </w:rPr>
              <w:t>Paws &amp; Claw</w:t>
            </w:r>
            <w:r>
              <w:rPr>
                <w:rFonts w:eastAsia="Times New Roman"/>
                <w:i/>
                <w:iCs/>
                <w:color w:val="000000"/>
                <w:sz w:val="20"/>
                <w:szCs w:val="20"/>
              </w:rPr>
              <w:t>s</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(pet foods and supplies)</w:t>
            </w:r>
          </w:p>
        </w:tc>
        <w:tc>
          <w:tcPr>
            <w:tcW w:w="0" w:type="auto"/>
            <w:gridSpan w:val="3"/>
            <w:shd w:val="clear" w:color="auto" w:fill="CCEEFF"/>
            <w:tcMar>
              <w:top w:w="30" w:type="dxa"/>
              <w:left w:w="20" w:type="dxa"/>
              <w:bottom w:w="30" w:type="dxa"/>
              <w:right w:w="20" w:type="dxa"/>
            </w:tcMar>
            <w:hideMark/>
          </w:tcPr>
          <w:p w:rsidR="00000000" w:rsidRDefault="00F123EE">
            <w:pPr>
              <w:spacing w:after="100"/>
              <w:divId w:val="1811634811"/>
              <w:rPr>
                <w:rFonts w:eastAsia="Times New Roman"/>
              </w:rPr>
            </w:pPr>
            <w:r>
              <w:rPr>
                <w:rFonts w:eastAsia="Times New Roman"/>
                <w:i/>
                <w:iCs/>
                <w:color w:val="000000"/>
                <w:sz w:val="22"/>
                <w:szCs w:val="22"/>
              </w:rPr>
              <w:t>Untame</w:t>
            </w:r>
            <w:r>
              <w:rPr>
                <w:rFonts w:eastAsia="Times New Roman"/>
                <w:i/>
                <w:iCs/>
                <w:color w:val="000000"/>
                <w:sz w:val="22"/>
                <w:szCs w:val="22"/>
              </w:rPr>
              <w:t>d</w:t>
            </w:r>
            <w:r>
              <w:rPr>
                <w:rFonts w:eastAsia="Times New Roman"/>
                <w:color w:val="000000"/>
                <w:sz w:val="13"/>
                <w:szCs w:val="13"/>
              </w:rPr>
              <w:t>®</w:t>
            </w:r>
            <w:r>
              <w:rPr>
                <w:rFonts w:eastAsia="Times New Roman"/>
                <w:color w:val="000000"/>
                <w:sz w:val="20"/>
                <w:szCs w:val="20"/>
              </w:rPr>
              <w:t xml:space="preserve"> (pet foods)</w:t>
            </w:r>
          </w:p>
          <w:p w:rsidR="00000000" w:rsidRDefault="00F123EE">
            <w:pPr>
              <w:spacing w:after="100"/>
              <w:divId w:val="966278071"/>
              <w:rPr>
                <w:rFonts w:eastAsia="Times New Roman"/>
              </w:rPr>
            </w:pPr>
          </w:p>
        </w:tc>
      </w:tr>
    </w:tbl>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 xml:space="preserve">The exclusive brands identified above have been registered as trademarks with the USPTO for certain products and some are the subject of additional applications for registration pending before the USPTO for other products.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Our trademark and service mark</w:t>
      </w:r>
      <w:r>
        <w:rPr>
          <w:rFonts w:eastAsia="Times New Roman"/>
          <w:color w:val="000000"/>
          <w:sz w:val="20"/>
          <w:szCs w:val="20"/>
        </w:rPr>
        <w:t xml:space="preserve"> registrations have various expiration dates; however, provided that we continue to use the marks and file appropriate maintenance and renewal documentation with the USPTO in a timely manner, the registrations are potentially perpetual in duration. Our pat</w:t>
      </w:r>
      <w:r>
        <w:rPr>
          <w:rFonts w:eastAsia="Times New Roman"/>
          <w:color w:val="000000"/>
          <w:sz w:val="20"/>
          <w:szCs w:val="20"/>
        </w:rPr>
        <w:t xml:space="preserve">ents (both United States and foreign) have expiration dates ranging from April 2027 to May 2037 and protect various elements, designs or functions of farm and ranch equipment, as well as light systems for trucks and other vehicles.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believe our intell</w:t>
      </w:r>
      <w:r>
        <w:rPr>
          <w:rFonts w:eastAsia="Times New Roman"/>
          <w:color w:val="000000"/>
          <w:sz w:val="20"/>
          <w:szCs w:val="20"/>
        </w:rPr>
        <w:t xml:space="preserve">ectual property, which includes the trademarks and service marks identified above, together with certain trade names, domain names, patents, and copyrights, has significant value and is an important component of our merchandising and marketing strategies. </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Distribution</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currently operate a distribution facility network for supplying stores with merchandise and delivering product ordered through our websites and mobile application. In fiscal 2022, our Tractor Supply stores received approximately 78% of</w:t>
      </w:r>
      <w:r>
        <w:rPr>
          <w:rFonts w:eastAsia="Times New Roman"/>
          <w:color w:val="000000"/>
          <w:sz w:val="20"/>
          <w:szCs w:val="20"/>
        </w:rPr>
        <w:t xml:space="preserve"> merchandise through this network while the remaining merchandise shipped directly from our vendors to our stores or customers. We believe this flow facilitates the prompt and efficient distribution of merchandise that allows us to be a dependable supplier</w:t>
      </w:r>
      <w:r>
        <w:rPr>
          <w:rFonts w:eastAsia="Times New Roman"/>
          <w:color w:val="000000"/>
          <w:sz w:val="20"/>
          <w:szCs w:val="20"/>
        </w:rPr>
        <w:t xml:space="preserve"> to our customers for their “</w:t>
      </w:r>
      <w:r>
        <w:rPr>
          <w:rFonts w:eastAsia="Times New Roman"/>
          <w:i/>
          <w:iCs/>
          <w:color w:val="000000"/>
          <w:sz w:val="20"/>
          <w:szCs w:val="20"/>
        </w:rPr>
        <w:t>Out Here</w:t>
      </w:r>
      <w:r>
        <w:rPr>
          <w:rFonts w:eastAsia="Times New Roman"/>
          <w:color w:val="000000"/>
          <w:sz w:val="20"/>
          <w:szCs w:val="20"/>
        </w:rPr>
        <w:t>” lifestyle solutions by enhancing in-stock inventory positions, while minimizing freight expense and improving the inventory turn rate. Our distribution facilities, located in Arizona, Georgia, Indiana, Kentucky, Maryl</w:t>
      </w:r>
      <w:r>
        <w:rPr>
          <w:rFonts w:eastAsia="Times New Roman"/>
          <w:color w:val="000000"/>
          <w:sz w:val="20"/>
          <w:szCs w:val="20"/>
        </w:rPr>
        <w:t>and, Nebraska, New York, and Texas represent a total distribution center capacity of 6.0 million square feet. This excludes the distribution center in Missouri acquired through the acquisition of Orscheln Farm and Home that is anticipated to be sold within</w:t>
      </w:r>
      <w:r>
        <w:rPr>
          <w:rFonts w:eastAsia="Times New Roman"/>
          <w:color w:val="000000"/>
          <w:sz w:val="20"/>
          <w:szCs w:val="20"/>
        </w:rPr>
        <w:t xml:space="preserve"> 15 months of the closing of the acquisition. We also use third-party operated import centers, mixing centers and pop-up distribution facilities which provide additional distribution capacity. On January 18, 2023, the Company opened its ninth distribution </w:t>
      </w:r>
      <w:r>
        <w:rPr>
          <w:rFonts w:eastAsia="Times New Roman"/>
          <w:color w:val="000000"/>
          <w:sz w:val="20"/>
          <w:szCs w:val="20"/>
        </w:rPr>
        <w:t>center located in Navarre, Ohio, which expanded the distribution center capacity by approximately 900,000 square feet. In addition, the Company is building a new distribution center in Maumelle, Arkansas. This new facility will expand the Company’s distrib</w:t>
      </w:r>
      <w:r>
        <w:rPr>
          <w:rFonts w:eastAsia="Times New Roman"/>
          <w:color w:val="000000"/>
          <w:sz w:val="20"/>
          <w:szCs w:val="20"/>
        </w:rPr>
        <w:t>ution center capacity by 1,200,000 square feet and is anticipated to begin operations in the first quarter of 2024.</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select the locations of our distribution facilities in an effort to minimize logistics costs and optimize the distance from distributio</w:t>
      </w:r>
      <w:r>
        <w:rPr>
          <w:rFonts w:eastAsia="Times New Roman"/>
          <w:color w:val="000000"/>
          <w:sz w:val="20"/>
          <w:szCs w:val="20"/>
        </w:rPr>
        <w:t>n facilities to our stores. Our distribution centers utilize warehouse and labor management tools that support the planning, control, and processing of inventory. We manage our inbound and outbound transportation activity in-house through the use of a tran</w:t>
      </w:r>
      <w:r>
        <w:rPr>
          <w:rFonts w:eastAsia="Times New Roman"/>
          <w:color w:val="000000"/>
          <w:sz w:val="20"/>
          <w:szCs w:val="20"/>
        </w:rPr>
        <w:t>sportation management system.  We utilize multiple common carriers for store and direct to customer deliveries. We manage our transportation costs through carrier negotiations, monitoring of transportation routes, and scheduling of deliveries.</w:t>
      </w:r>
    </w:p>
    <w:p w:rsidR="00000000" w:rsidRDefault="00F123EE">
      <w:pPr>
        <w:divId w:val="730421451"/>
        <w:rPr>
          <w:rFonts w:eastAsia="Times New Roman"/>
        </w:rPr>
      </w:pPr>
    </w:p>
    <w:p w:rsidR="00000000" w:rsidRDefault="00F123EE">
      <w:pPr>
        <w:jc w:val="center"/>
        <w:divId w:val="2014216051"/>
        <w:rPr>
          <w:rFonts w:eastAsia="Times New Roman"/>
        </w:rPr>
      </w:pPr>
      <w:r>
        <w:rPr>
          <w:rFonts w:eastAsia="Times New Roman"/>
          <w:color w:val="000000"/>
          <w:sz w:val="20"/>
          <w:szCs w:val="20"/>
        </w:rPr>
        <w:t>4</w:t>
      </w:r>
    </w:p>
    <w:p w:rsidR="00000000" w:rsidRDefault="00F123EE">
      <w:pPr>
        <w:rPr>
          <w:rFonts w:eastAsia="Times New Roman"/>
        </w:rPr>
      </w:pPr>
      <w:r>
        <w:rPr>
          <w:rFonts w:eastAsia="Times New Roman"/>
        </w:rPr>
        <w:pict>
          <v:rect id="_x0000_i1033" style="width:0;height:1.5pt" o:hralign="center" o:hrstd="t" o:hr="t" fillcolor="#a0a0a0" stroked="f"/>
        </w:pict>
      </w:r>
    </w:p>
    <w:p w:rsidR="00000000" w:rsidRDefault="00F123EE">
      <w:pPr>
        <w:divId w:val="1917937305"/>
        <w:rPr>
          <w:rFonts w:eastAsia="Times New Roman"/>
        </w:rPr>
      </w:pPr>
      <w:hyperlink w:anchor="i38696b5cc01146d68b9c6b33327cf890_7" w:history="1">
        <w:r>
          <w:rPr>
            <w:rStyle w:val="a3"/>
            <w:rFonts w:eastAsia="Times New Roman"/>
            <w:sz w:val="18"/>
            <w:szCs w:val="18"/>
          </w:rPr>
          <w:t>Index</w:t>
        </w:r>
      </w:hyperlink>
    </w:p>
    <w:p w:rsidR="00000000" w:rsidRDefault="00F123EE">
      <w:pPr>
        <w:divId w:val="1531264772"/>
        <w:rPr>
          <w:rFonts w:eastAsia="Times New Roman"/>
        </w:rPr>
      </w:pPr>
      <w:r>
        <w:rPr>
          <w:rFonts w:eastAsia="Times New Roman"/>
          <w:i/>
          <w:iCs/>
          <w:color w:val="000000"/>
          <w:sz w:val="20"/>
          <w:szCs w:val="20"/>
        </w:rPr>
        <w:t>Marketing</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Leveraging our value-driving offerings from our Neighbor’s Club loyalty program, we utilize an “everyday low price” philosophy to consistently o</w:t>
      </w:r>
      <w:r>
        <w:rPr>
          <w:rFonts w:eastAsia="Times New Roman"/>
          <w:color w:val="000000"/>
          <w:sz w:val="20"/>
          <w:szCs w:val="20"/>
        </w:rPr>
        <w:t>ffer our products at competitive prices complemented by limited and strategically planned promotions throughout the year. To drive store traffic, build brand consideration, and position ourselves as a destination retailer, we promote a broad selection of m</w:t>
      </w:r>
      <w:r>
        <w:rPr>
          <w:rFonts w:eastAsia="Times New Roman"/>
          <w:color w:val="000000"/>
          <w:sz w:val="20"/>
          <w:szCs w:val="20"/>
        </w:rPr>
        <w:t xml:space="preserve">erchandise and our “Life Out Here” brand messaging through digital and social media initiatives, targeted digital video (connected TV and streaming programming), e-mail and direct mail.  In addition, our rapidly growing </w:t>
      </w:r>
      <w:r>
        <w:rPr>
          <w:rFonts w:eastAsia="Times New Roman"/>
          <w:i/>
          <w:iCs/>
          <w:color w:val="000000"/>
          <w:sz w:val="20"/>
          <w:szCs w:val="20"/>
        </w:rPr>
        <w:t>Neighbor’s Club</w:t>
      </w:r>
      <w:r>
        <w:rPr>
          <w:rFonts w:eastAsia="Times New Roman"/>
          <w:color w:val="000000"/>
          <w:sz w:val="20"/>
          <w:szCs w:val="20"/>
        </w:rPr>
        <w:t xml:space="preserve"> loyalty program enha</w:t>
      </w:r>
      <w:r>
        <w:rPr>
          <w:rFonts w:eastAsia="Times New Roman"/>
          <w:color w:val="000000"/>
          <w:sz w:val="20"/>
          <w:szCs w:val="20"/>
        </w:rPr>
        <w:t>nces our ability to engage with our customers, recognize and reward our best customers, drive desired behaviors, and create brand advocacy. Vendors frequently support these specific programs by offering temporary cost reductions, additional funding, and ho</w:t>
      </w:r>
      <w:r>
        <w:rPr>
          <w:rFonts w:eastAsia="Times New Roman"/>
          <w:color w:val="000000"/>
          <w:sz w:val="20"/>
          <w:szCs w:val="20"/>
        </w:rPr>
        <w:t>noring coupons. Our vendors also provide assistance with product presentation and fixture design, brochures, support for in-store events, point-of-purchase materials for customer education, and product knowledge for our team members. </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Omni-Channel</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Ensuring that our customers can engage with us in the most convenient manner for them whether in our stores, on our website, on our mobile application, or via our Customer Solutions Center, is a high priority for us. Our goal is to be available anytime, an</w:t>
      </w:r>
      <w:r>
        <w:rPr>
          <w:rFonts w:eastAsia="Times New Roman"/>
          <w:color w:val="000000"/>
          <w:sz w:val="20"/>
          <w:szCs w:val="20"/>
        </w:rPr>
        <w:t>ywhere, and in any way our customers choose to engage with our brand. We provide our customers the opportunity to shop in a manner that fits their lifestyle and is most convenient for them. Our focus is on delivering a comprehensive, seamless shopping expe</w:t>
      </w:r>
      <w:r>
        <w:rPr>
          <w:rFonts w:eastAsia="Times New Roman"/>
          <w:color w:val="000000"/>
          <w:sz w:val="20"/>
          <w:szCs w:val="20"/>
        </w:rPr>
        <w:t>rience offering the conveniences our customers want and expect. We offer buy online, pickup in-store, and curbside pickup, which provide convenient access for customers to pick up merchandise from our store locations. Additionally, our online experience of</w:t>
      </w:r>
      <w:r>
        <w:rPr>
          <w:rFonts w:eastAsia="Times New Roman"/>
          <w:color w:val="000000"/>
          <w:sz w:val="20"/>
          <w:szCs w:val="20"/>
        </w:rPr>
        <w:t>fers an expansive product assortment including a direct to consumer assortment. This allows us to extend our aisles beyond our store locations and provides convenient and useful content that is relevant to our customers’ lifestyle. We provide our customers</w:t>
      </w:r>
      <w:r>
        <w:rPr>
          <w:rFonts w:eastAsia="Times New Roman"/>
          <w:color w:val="000000"/>
          <w:sz w:val="20"/>
          <w:szCs w:val="20"/>
        </w:rPr>
        <w:t xml:space="preserve"> the ability to have products shipped directly to our retail store locations or delivered to their homes or offices. For select products, we offer same day delivery. We use our distribution facility network as well as our stores to support our e-commerce a</w:t>
      </w:r>
      <w:r>
        <w:rPr>
          <w:rFonts w:eastAsia="Times New Roman"/>
          <w:color w:val="000000"/>
          <w:sz w:val="20"/>
          <w:szCs w:val="20"/>
        </w:rPr>
        <w:t>ctivities. Our digital capabilities have further enhanced our in-store shopping experience, allowing us to engage with our customers more effectively, and expanded our target markets outside of our current retail store locations.</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Continuous Improvement</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are committed to a continuous improvement program to drive change throughout our organization.  Using data analytics and team member engagement, we examine business processes and identify opportunities to reduce costs, drive innovation, and improve eff</w:t>
      </w:r>
      <w:r>
        <w:rPr>
          <w:rFonts w:eastAsia="Times New Roman"/>
          <w:color w:val="000000"/>
          <w:sz w:val="20"/>
          <w:szCs w:val="20"/>
        </w:rPr>
        <w:t>ectiveness. We establish annual goals for productivity and cost improvement.  We have implemented several continuous improvement projects, with team members across our business, to evaluate key operations and implement process changes. Team members are emp</w:t>
      </w:r>
      <w:r>
        <w:rPr>
          <w:rFonts w:eastAsia="Times New Roman"/>
          <w:color w:val="000000"/>
          <w:sz w:val="20"/>
          <w:szCs w:val="20"/>
        </w:rPr>
        <w:t>owered and expected to challenge current paradigms and improve processes. Management encourages the participation of all team members in the decision-making process, regularly solicits input and suggestions from our team members, and incorporates suggestio</w:t>
      </w:r>
      <w:r>
        <w:rPr>
          <w:rFonts w:eastAsia="Times New Roman"/>
          <w:color w:val="000000"/>
          <w:sz w:val="20"/>
          <w:szCs w:val="20"/>
        </w:rPr>
        <w:t>ns into our improvement activities.</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Management Information and Control Systems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have invested resources in management information and control systems to provide legendary customer service and to deliver the right products in the right place at the ri</w:t>
      </w:r>
      <w:r>
        <w:rPr>
          <w:rFonts w:eastAsia="Times New Roman"/>
          <w:color w:val="000000"/>
          <w:sz w:val="20"/>
          <w:szCs w:val="20"/>
        </w:rPr>
        <w:t>ght time. This investment includes use of digital technologies that support the “</w:t>
      </w:r>
      <w:r>
        <w:rPr>
          <w:rFonts w:eastAsia="Times New Roman"/>
          <w:i/>
          <w:iCs/>
          <w:color w:val="000000"/>
          <w:sz w:val="20"/>
          <w:szCs w:val="20"/>
        </w:rPr>
        <w:t>Out Here</w:t>
      </w:r>
      <w:r>
        <w:rPr>
          <w:rFonts w:eastAsia="Times New Roman"/>
          <w:color w:val="000000"/>
          <w:sz w:val="20"/>
          <w:szCs w:val="20"/>
        </w:rPr>
        <w:t>” lifestyle and integrate the customer experience in-store, online, and through our Customer Solutions Center, which offers customers the ability to shop anytime, anyw</w:t>
      </w:r>
      <w:r>
        <w:rPr>
          <w:rFonts w:eastAsia="Times New Roman"/>
          <w:color w:val="000000"/>
          <w:sz w:val="20"/>
          <w:szCs w:val="20"/>
        </w:rPr>
        <w:t>here, and in any way they choose. Our key platforms include:</w:t>
      </w:r>
    </w:p>
    <w:p w:rsidR="00000000" w:rsidRDefault="00F123EE">
      <w:pPr>
        <w:jc w:val="both"/>
        <w:rPr>
          <w:rFonts w:eastAsia="Times New Roman"/>
        </w:rPr>
      </w:pPr>
    </w:p>
    <w:p w:rsidR="00000000" w:rsidRDefault="00F123EE">
      <w:pPr>
        <w:ind w:hanging="360"/>
        <w:divId w:val="547761356"/>
        <w:rPr>
          <w:rFonts w:eastAsia="Times New Roman"/>
        </w:rPr>
      </w:pPr>
      <w:r>
        <w:rPr>
          <w:rFonts w:eastAsia="Times New Roman"/>
          <w:color w:val="000000"/>
          <w:sz w:val="20"/>
          <w:szCs w:val="20"/>
        </w:rPr>
        <w:t>•Point-of-sale system;</w:t>
      </w:r>
    </w:p>
    <w:p w:rsidR="00000000" w:rsidRDefault="00F123EE">
      <w:pPr>
        <w:ind w:hanging="360"/>
        <w:divId w:val="544561420"/>
        <w:rPr>
          <w:rFonts w:eastAsia="Times New Roman"/>
        </w:rPr>
      </w:pPr>
      <w:r>
        <w:rPr>
          <w:rFonts w:eastAsia="Times New Roman"/>
          <w:color w:val="000000"/>
          <w:sz w:val="20"/>
          <w:szCs w:val="20"/>
        </w:rPr>
        <w:t>•In-store mobility;</w:t>
      </w:r>
    </w:p>
    <w:p w:rsidR="00000000" w:rsidRDefault="00F123EE">
      <w:pPr>
        <w:ind w:hanging="360"/>
        <w:divId w:val="1279531897"/>
        <w:rPr>
          <w:rFonts w:eastAsia="Times New Roman"/>
        </w:rPr>
      </w:pPr>
      <w:r>
        <w:rPr>
          <w:rFonts w:eastAsia="Times New Roman"/>
          <w:color w:val="000000"/>
          <w:sz w:val="20"/>
          <w:szCs w:val="20"/>
        </w:rPr>
        <w:t>•E-commerce platform;</w:t>
      </w:r>
    </w:p>
    <w:p w:rsidR="00000000" w:rsidRDefault="00F123EE">
      <w:pPr>
        <w:ind w:hanging="360"/>
        <w:divId w:val="2008508377"/>
        <w:rPr>
          <w:rFonts w:eastAsia="Times New Roman"/>
        </w:rPr>
      </w:pPr>
      <w:r>
        <w:rPr>
          <w:rFonts w:eastAsia="Times New Roman"/>
          <w:color w:val="000000"/>
          <w:sz w:val="20"/>
          <w:szCs w:val="20"/>
        </w:rPr>
        <w:t>•Consumer mobile app;</w:t>
      </w:r>
    </w:p>
    <w:p w:rsidR="00000000" w:rsidRDefault="00F123EE">
      <w:pPr>
        <w:ind w:hanging="360"/>
        <w:divId w:val="330370669"/>
        <w:rPr>
          <w:rFonts w:eastAsia="Times New Roman"/>
        </w:rPr>
      </w:pPr>
      <w:r>
        <w:rPr>
          <w:rFonts w:eastAsia="Times New Roman"/>
          <w:color w:val="000000"/>
          <w:sz w:val="20"/>
          <w:szCs w:val="20"/>
        </w:rPr>
        <w:t>•Replenishment and allocation systems;</w:t>
      </w:r>
    </w:p>
    <w:p w:rsidR="00000000" w:rsidRDefault="00F123EE">
      <w:pPr>
        <w:ind w:hanging="360"/>
        <w:divId w:val="2078893694"/>
        <w:rPr>
          <w:rFonts w:eastAsia="Times New Roman"/>
        </w:rPr>
      </w:pPr>
      <w:r>
        <w:rPr>
          <w:rFonts w:eastAsia="Times New Roman"/>
          <w:color w:val="000000"/>
          <w:sz w:val="20"/>
          <w:szCs w:val="20"/>
        </w:rPr>
        <w:t>•Merchandising presentation and inventory management tools;</w:t>
      </w:r>
    </w:p>
    <w:p w:rsidR="00000000" w:rsidRDefault="00F123EE">
      <w:pPr>
        <w:ind w:hanging="360"/>
        <w:divId w:val="428431348"/>
        <w:rPr>
          <w:rFonts w:eastAsia="Times New Roman"/>
        </w:rPr>
      </w:pPr>
      <w:r>
        <w:rPr>
          <w:rFonts w:eastAsia="Times New Roman"/>
          <w:color w:val="000000"/>
          <w:sz w:val="20"/>
          <w:szCs w:val="20"/>
        </w:rPr>
        <w:t>•Wareho</w:t>
      </w:r>
      <w:r>
        <w:rPr>
          <w:rFonts w:eastAsia="Times New Roman"/>
          <w:color w:val="000000"/>
          <w:sz w:val="20"/>
          <w:szCs w:val="20"/>
        </w:rPr>
        <w:t xml:space="preserve">use and transportation management systems; </w:t>
      </w:r>
    </w:p>
    <w:p w:rsidR="00000000" w:rsidRDefault="00F123EE">
      <w:pPr>
        <w:ind w:hanging="360"/>
        <w:divId w:val="1230266383"/>
        <w:rPr>
          <w:rFonts w:eastAsia="Times New Roman"/>
        </w:rPr>
      </w:pPr>
      <w:r>
        <w:rPr>
          <w:rFonts w:eastAsia="Times New Roman"/>
          <w:color w:val="000000"/>
          <w:sz w:val="20"/>
          <w:szCs w:val="20"/>
        </w:rPr>
        <w:t>•Labor management tools for stores and supply chain;</w:t>
      </w:r>
    </w:p>
    <w:p w:rsidR="00000000" w:rsidRDefault="00F123EE">
      <w:pPr>
        <w:ind w:hanging="360"/>
        <w:divId w:val="1270577783"/>
        <w:rPr>
          <w:rFonts w:eastAsia="Times New Roman"/>
        </w:rPr>
      </w:pPr>
      <w:r>
        <w:rPr>
          <w:rFonts w:eastAsia="Times New Roman"/>
          <w:color w:val="000000"/>
          <w:sz w:val="20"/>
          <w:szCs w:val="20"/>
        </w:rPr>
        <w:t>•Price optimization system;</w:t>
      </w:r>
    </w:p>
    <w:p w:rsidR="00000000" w:rsidRDefault="00F123EE">
      <w:pPr>
        <w:ind w:hanging="360"/>
        <w:divId w:val="1469859559"/>
        <w:rPr>
          <w:rFonts w:eastAsia="Times New Roman"/>
        </w:rPr>
      </w:pPr>
      <w:r>
        <w:rPr>
          <w:rFonts w:eastAsia="Times New Roman"/>
          <w:color w:val="000000"/>
          <w:sz w:val="20"/>
          <w:szCs w:val="20"/>
        </w:rPr>
        <w:t>•Vendor purchase order control system;</w:t>
      </w:r>
    </w:p>
    <w:p w:rsidR="00000000" w:rsidRDefault="00F123EE">
      <w:pPr>
        <w:ind w:hanging="360"/>
        <w:divId w:val="500043846"/>
        <w:rPr>
          <w:rFonts w:eastAsia="Times New Roman"/>
        </w:rPr>
      </w:pPr>
      <w:r>
        <w:rPr>
          <w:rFonts w:eastAsia="Times New Roman"/>
          <w:color w:val="000000"/>
          <w:sz w:val="20"/>
          <w:szCs w:val="20"/>
        </w:rPr>
        <w:t>•Human resource information systems;</w:t>
      </w:r>
    </w:p>
    <w:p w:rsidR="00000000" w:rsidRDefault="00F123EE">
      <w:pPr>
        <w:ind w:hanging="360"/>
        <w:divId w:val="1476526355"/>
        <w:rPr>
          <w:rFonts w:eastAsia="Times New Roman"/>
        </w:rPr>
      </w:pPr>
      <w:r>
        <w:rPr>
          <w:rFonts w:eastAsia="Times New Roman"/>
          <w:color w:val="000000"/>
          <w:sz w:val="20"/>
          <w:szCs w:val="20"/>
        </w:rPr>
        <w:t>•</w:t>
      </w:r>
      <w:r>
        <w:rPr>
          <w:rFonts w:eastAsia="Times New Roman"/>
          <w:color w:val="000000"/>
          <w:sz w:val="20"/>
          <w:szCs w:val="20"/>
        </w:rPr>
        <w:t xml:space="preserve">Business intelligence and analytics tools; and </w:t>
      </w:r>
    </w:p>
    <w:p w:rsidR="00000000" w:rsidRDefault="00F123EE">
      <w:pPr>
        <w:ind w:hanging="360"/>
        <w:divId w:val="1205020371"/>
        <w:rPr>
          <w:rFonts w:eastAsia="Times New Roman"/>
        </w:rPr>
      </w:pPr>
      <w:r>
        <w:rPr>
          <w:rFonts w:eastAsia="Times New Roman"/>
          <w:color w:val="000000"/>
          <w:sz w:val="20"/>
          <w:szCs w:val="20"/>
        </w:rPr>
        <w:t xml:space="preserve">•Customer loyalty and campaign management system. </w:t>
      </w:r>
    </w:p>
    <w:p w:rsidR="00000000" w:rsidRDefault="00F123EE">
      <w:pPr>
        <w:jc w:val="center"/>
        <w:divId w:val="2021664139"/>
        <w:rPr>
          <w:rFonts w:eastAsia="Times New Roman"/>
        </w:rPr>
      </w:pPr>
      <w:r>
        <w:rPr>
          <w:rFonts w:eastAsia="Times New Roman"/>
          <w:color w:val="000000"/>
          <w:sz w:val="20"/>
          <w:szCs w:val="20"/>
        </w:rPr>
        <w:t>5</w:t>
      </w:r>
    </w:p>
    <w:p w:rsidR="00000000" w:rsidRDefault="00F123EE">
      <w:pPr>
        <w:rPr>
          <w:rFonts w:eastAsia="Times New Roman"/>
        </w:rPr>
      </w:pPr>
      <w:r>
        <w:rPr>
          <w:rFonts w:eastAsia="Times New Roman"/>
        </w:rPr>
        <w:pict>
          <v:rect id="_x0000_i1034" style="width:0;height:1.5pt" o:hralign="center" o:hrstd="t" o:hr="t" fillcolor="#a0a0a0" stroked="f"/>
        </w:pict>
      </w:r>
    </w:p>
    <w:p w:rsidR="00000000" w:rsidRDefault="00F123EE">
      <w:pPr>
        <w:divId w:val="1391267108"/>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These systems are integrated through an enterprise r</w:t>
      </w:r>
      <w:r>
        <w:rPr>
          <w:rFonts w:eastAsia="Times New Roman"/>
          <w:color w:val="000000"/>
          <w:sz w:val="20"/>
          <w:szCs w:val="20"/>
        </w:rPr>
        <w:t>esource planning (“ERP”) system. This ERP system tracks merchandise from initial order through ultimate sale and interfaces with our financial systems.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 xml:space="preserve">We continue to invest in technology to support store, online, and distribution facility expansion and </w:t>
      </w:r>
      <w:r>
        <w:rPr>
          <w:rFonts w:eastAsia="Times New Roman"/>
          <w:color w:val="000000"/>
          <w:sz w:val="20"/>
          <w:szCs w:val="20"/>
        </w:rPr>
        <w:t>our long-term strategic growth initiatives focused heavily on improving the customer experience across all channels. We also continue to evaluate and improve the functionality of our systems to maximize their effectiveness.  Such efforts include ongoing ha</w:t>
      </w:r>
      <w:r>
        <w:rPr>
          <w:rFonts w:eastAsia="Times New Roman"/>
          <w:color w:val="000000"/>
          <w:sz w:val="20"/>
          <w:szCs w:val="20"/>
        </w:rPr>
        <w:t xml:space="preserve">rdware and software evaluations, refreshes, and upgrades to support optimal software configurations, and application performance. We plan to continue to invest in information technology and implement efficiency-driving system enhancements such as in-store </w:t>
      </w:r>
      <w:r>
        <w:rPr>
          <w:rFonts w:eastAsia="Times New Roman"/>
          <w:color w:val="000000"/>
          <w:sz w:val="20"/>
          <w:szCs w:val="20"/>
        </w:rPr>
        <w:t>mobility, labor and task management tools, and back-office support systems</w:t>
      </w:r>
      <w:r>
        <w:rPr>
          <w:rFonts w:eastAsia="Times New Roman"/>
          <w:color w:val="000000"/>
        </w:rPr>
        <w:t xml:space="preserve">. </w:t>
      </w:r>
      <w:r>
        <w:rPr>
          <w:rFonts w:eastAsia="Times New Roman"/>
          <w:color w:val="000000"/>
          <w:sz w:val="20"/>
          <w:szCs w:val="20"/>
        </w:rPr>
        <w:t>We will continue to evaluate the use of technologies to improve productivity such as artificial intelligence, automation software, quantum computing, edge computing, and other tech</w:t>
      </w:r>
      <w:r>
        <w:rPr>
          <w:rFonts w:eastAsia="Times New Roman"/>
          <w:color w:val="000000"/>
          <w:sz w:val="20"/>
          <w:szCs w:val="20"/>
        </w:rPr>
        <w:t>nologies. We also maintain and continue to strengthen the security of our information systems to help protect and prevent unauthorized access to personal information of our customers, team members, vendors, and other confidential Company data. We are endea</w:t>
      </w:r>
      <w:r>
        <w:rPr>
          <w:rFonts w:eastAsia="Times New Roman"/>
          <w:color w:val="000000"/>
          <w:sz w:val="20"/>
          <w:szCs w:val="20"/>
        </w:rPr>
        <w:t xml:space="preserve">voring to adhere to quickly evolving industry privacy laws and standards. Critical areas of focus include cloud, end point protection and privacy. Collectively, these efforts are directed toward improving business processes, maintaining secure, efficient, </w:t>
      </w:r>
      <w:r>
        <w:rPr>
          <w:rFonts w:eastAsia="Times New Roman"/>
          <w:color w:val="000000"/>
          <w:sz w:val="20"/>
          <w:szCs w:val="20"/>
        </w:rPr>
        <w:t>and stable systems, and enabling the continued growth and success of our business.</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Petsense by Tractor Supply</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Petsense by Tractor Supply is a small-box pet specialty supply retailer focused on meeting the needs of pet owners, primarily in small and mid</w:t>
      </w:r>
      <w:r>
        <w:rPr>
          <w:rFonts w:eastAsia="Times New Roman"/>
          <w:color w:val="000000"/>
          <w:sz w:val="20"/>
          <w:szCs w:val="20"/>
        </w:rPr>
        <w:t>-sized communities, and offering a variety of pet products and services. At December 31, 2022, we operated a total of 186 Petsense by Tractor Supply stores in 23 states, with approximately 700 full-time and 900 part-time team members, and an e-commerce web</w:t>
      </w:r>
      <w:r>
        <w:rPr>
          <w:rFonts w:eastAsia="Times New Roman"/>
          <w:color w:val="000000"/>
          <w:sz w:val="20"/>
          <w:szCs w:val="20"/>
        </w:rPr>
        <w:t>site (</w:t>
      </w:r>
      <w:r>
        <w:rPr>
          <w:rFonts w:eastAsia="Times New Roman"/>
          <w:i/>
          <w:iCs/>
          <w:color w:val="000000"/>
          <w:sz w:val="20"/>
          <w:szCs w:val="20"/>
          <w:u w:val="single"/>
        </w:rPr>
        <w:t>Petsense.com</w:t>
      </w:r>
      <w:r>
        <w:rPr>
          <w:rFonts w:eastAsia="Times New Roman"/>
          <w:color w:val="000000"/>
          <w:sz w:val="20"/>
          <w:szCs w:val="20"/>
        </w:rPr>
        <w:t>). The Petsense name is registered with the USPTO.</w:t>
      </w:r>
    </w:p>
    <w:p w:rsidR="00000000" w:rsidRDefault="00F123EE">
      <w:pPr>
        <w:jc w:val="both"/>
        <w:rPr>
          <w:rFonts w:eastAsia="Times New Roman"/>
        </w:rPr>
      </w:pPr>
    </w:p>
    <w:p w:rsidR="00000000" w:rsidRDefault="00F123EE">
      <w:pPr>
        <w:jc w:val="both"/>
        <w:rPr>
          <w:rFonts w:eastAsia="Times New Roman"/>
        </w:rPr>
      </w:pPr>
      <w:r>
        <w:rPr>
          <w:rFonts w:eastAsia="Times New Roman"/>
          <w:b/>
          <w:bCs/>
          <w:color w:val="000000"/>
          <w:sz w:val="20"/>
          <w:szCs w:val="20"/>
        </w:rPr>
        <w:t>Human Capital</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believe that our team members are the foundation of our business and that their hard work, passion, commitment, and experience drive our success. As a result of our commitment to our team members, for the third consecutive year, we were recognized by th</w:t>
      </w:r>
      <w:r>
        <w:rPr>
          <w:rFonts w:eastAsia="Times New Roman"/>
          <w:color w:val="000000"/>
          <w:sz w:val="20"/>
          <w:szCs w:val="20"/>
        </w:rPr>
        <w:t>e Great Place to Work Institute as a “</w:t>
      </w:r>
      <w:r>
        <w:rPr>
          <w:rFonts w:eastAsia="Times New Roman"/>
          <w:i/>
          <w:iCs/>
          <w:color w:val="000000"/>
          <w:sz w:val="20"/>
          <w:szCs w:val="20"/>
        </w:rPr>
        <w:t>Great Place to Work-Certified</w:t>
      </w:r>
      <w:r>
        <w:rPr>
          <w:rFonts w:eastAsia="Times New Roman"/>
          <w:color w:val="000000"/>
          <w:sz w:val="20"/>
          <w:szCs w:val="20"/>
        </w:rPr>
        <w:t>”</w:t>
      </w:r>
      <w:r>
        <w:rPr>
          <w:rFonts w:eastAsia="Times New Roman"/>
          <w:i/>
          <w:iCs/>
          <w:color w:val="000000"/>
          <w:sz w:val="20"/>
          <w:szCs w:val="20"/>
        </w:rPr>
        <w:t xml:space="preserve"> </w:t>
      </w:r>
      <w:r>
        <w:rPr>
          <w:rFonts w:eastAsia="Times New Roman"/>
          <w:color w:val="000000"/>
          <w:sz w:val="20"/>
          <w:szCs w:val="20"/>
        </w:rPr>
        <w:t>company. Additionally, we earned a spot on both the Nashville Business Journal's 2022 Best Places to Work and the Tennessean's 2022 Top Workplaces in Middle Tennessee lists. Below are fur</w:t>
      </w:r>
      <w:r>
        <w:rPr>
          <w:rFonts w:eastAsia="Times New Roman"/>
          <w:color w:val="000000"/>
          <w:sz w:val="20"/>
          <w:szCs w:val="20"/>
        </w:rPr>
        <w:t>ther descriptions of our Company and our focus on the development and support of our team members:</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Management and Team Members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As of December 31, 2022, we employed approxima</w:t>
      </w:r>
      <w:r>
        <w:rPr>
          <w:rFonts w:eastAsia="Times New Roman"/>
          <w:color w:val="000000"/>
          <w:sz w:val="20"/>
          <w:szCs w:val="20"/>
          <w:shd w:val="clear" w:color="auto" w:fill="FFFFFF"/>
        </w:rPr>
        <w:t xml:space="preserve">tely </w:t>
      </w:r>
      <w:r>
        <w:rPr>
          <w:rFonts w:eastAsia="Times New Roman"/>
          <w:color w:val="000000"/>
          <w:sz w:val="20"/>
          <w:szCs w:val="20"/>
        </w:rPr>
        <w:t>24,000</w:t>
      </w:r>
      <w:r>
        <w:rPr>
          <w:rFonts w:eastAsia="Times New Roman"/>
          <w:color w:val="000000"/>
          <w:sz w:val="20"/>
          <w:szCs w:val="20"/>
          <w:shd w:val="clear" w:color="auto" w:fill="FFFFFF"/>
        </w:rPr>
        <w:t xml:space="preserve"> full-time and </w:t>
      </w:r>
      <w:r>
        <w:rPr>
          <w:rFonts w:eastAsia="Times New Roman"/>
          <w:color w:val="000000"/>
          <w:sz w:val="20"/>
          <w:szCs w:val="20"/>
        </w:rPr>
        <w:t>25,000 part-time Tractor Supply team members. We typi</w:t>
      </w:r>
      <w:r>
        <w:rPr>
          <w:rFonts w:eastAsia="Times New Roman"/>
          <w:color w:val="000000"/>
          <w:sz w:val="20"/>
          <w:szCs w:val="20"/>
        </w:rPr>
        <w:t>cally employ additional part-time team members throughout the year during high sales volume periods.  We are not party to any collective bargaining agreements.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Eligible team members can participate in one of our various bonus incentive programs, which pr</w:t>
      </w:r>
      <w:r>
        <w:rPr>
          <w:rFonts w:eastAsia="Times New Roman"/>
          <w:color w:val="000000"/>
          <w:sz w:val="20"/>
          <w:szCs w:val="20"/>
        </w:rPr>
        <w:t>ovide the opportunity to receive additional compensation based upon individual, team, and/or Company performance. In addition to bonus incentive programs, we provide our eligible team members the opportunity to participate in an employee stock purchase pla</w:t>
      </w:r>
      <w:r>
        <w:rPr>
          <w:rFonts w:eastAsia="Times New Roman"/>
          <w:color w:val="000000"/>
          <w:sz w:val="20"/>
          <w:szCs w:val="20"/>
        </w:rPr>
        <w:t>n and a 401(k) retirement savings plan and health insurance for which we share a significant portion of the cost of premiums. We additionally provide our eligible team members with paid time off and a six-week parental leave policy for new parents. Our tea</w:t>
      </w:r>
      <w:r>
        <w:rPr>
          <w:rFonts w:eastAsia="Times New Roman"/>
          <w:color w:val="000000"/>
          <w:sz w:val="20"/>
          <w:szCs w:val="20"/>
        </w:rPr>
        <w:t xml:space="preserve">m members also receive a discount on merchandise purchased from the Company. </w:t>
      </w:r>
    </w:p>
    <w:p w:rsidR="00000000" w:rsidRDefault="00F123EE">
      <w:pPr>
        <w:divId w:val="1212886816"/>
        <w:rPr>
          <w:rFonts w:eastAsia="Times New Roman"/>
        </w:rPr>
      </w:pPr>
    </w:p>
    <w:p w:rsidR="00000000" w:rsidRDefault="00F123EE">
      <w:pPr>
        <w:jc w:val="both"/>
        <w:rPr>
          <w:rFonts w:eastAsia="Times New Roman"/>
        </w:rPr>
      </w:pPr>
      <w:r>
        <w:rPr>
          <w:rFonts w:eastAsia="Times New Roman"/>
          <w:color w:val="000000"/>
          <w:sz w:val="20"/>
          <w:szCs w:val="20"/>
        </w:rPr>
        <w:t xml:space="preserve">We encourage a promote-from-within environment when internal resources permit.  </w:t>
      </w:r>
      <w:r>
        <w:rPr>
          <w:rFonts w:eastAsia="Times New Roman"/>
          <w:color w:val="000000"/>
          <w:sz w:val="20"/>
          <w:szCs w:val="20"/>
        </w:rPr>
        <w:t>We also provide internal leadership development programs designed to prepare our high-potential team members for greater responsibility. Our current team of district managers and store managers has an average tenure of approximately nine</w:t>
      </w:r>
      <w:r>
        <w:rPr>
          <w:rFonts w:eastAsia="Times New Roman"/>
          <w:color w:val="000000"/>
          <w:sz w:val="20"/>
          <w:szCs w:val="20"/>
          <w:shd w:val="clear" w:color="auto" w:fill="FFFFFF"/>
        </w:rPr>
        <w:t xml:space="preserve"> and </w:t>
      </w:r>
      <w:r>
        <w:rPr>
          <w:rFonts w:eastAsia="Times New Roman"/>
          <w:color w:val="000000"/>
          <w:sz w:val="20"/>
          <w:szCs w:val="20"/>
        </w:rPr>
        <w:t>six</w:t>
      </w:r>
      <w:r>
        <w:rPr>
          <w:rFonts w:eastAsia="Times New Roman"/>
          <w:color w:val="000000"/>
          <w:sz w:val="20"/>
          <w:szCs w:val="20"/>
          <w:shd w:val="clear" w:color="auto" w:fill="FFFFFF"/>
        </w:rPr>
        <w:t xml:space="preserve"> y</w:t>
      </w:r>
      <w:r>
        <w:rPr>
          <w:rFonts w:eastAsia="Times New Roman"/>
          <w:color w:val="000000"/>
          <w:sz w:val="20"/>
          <w:szCs w:val="20"/>
        </w:rPr>
        <w:t>ears, res</w:t>
      </w:r>
      <w:r>
        <w:rPr>
          <w:rFonts w:eastAsia="Times New Roman"/>
          <w:color w:val="000000"/>
          <w:sz w:val="20"/>
          <w:szCs w:val="20"/>
        </w:rPr>
        <w:t xml:space="preserve">pectively.  We believe internal promotions, coupled with the hiring of individuals with previous retail experience, provide the management structure necessary to support our long-term strategic growth initiatives. </w:t>
      </w:r>
    </w:p>
    <w:p w:rsidR="00000000" w:rsidRDefault="00F123EE">
      <w:pPr>
        <w:jc w:val="both"/>
        <w:rPr>
          <w:rFonts w:eastAsia="Times New Roman"/>
        </w:rPr>
      </w:pPr>
    </w:p>
    <w:p w:rsidR="00000000" w:rsidRDefault="00F123EE">
      <w:pPr>
        <w:jc w:val="center"/>
        <w:divId w:val="110827630"/>
        <w:rPr>
          <w:rFonts w:eastAsia="Times New Roman"/>
        </w:rPr>
      </w:pPr>
      <w:r>
        <w:rPr>
          <w:rFonts w:eastAsia="Times New Roman"/>
          <w:color w:val="000000"/>
          <w:sz w:val="20"/>
          <w:szCs w:val="20"/>
        </w:rPr>
        <w:t>6</w:t>
      </w:r>
    </w:p>
    <w:p w:rsidR="00000000" w:rsidRDefault="00F123EE">
      <w:pPr>
        <w:rPr>
          <w:rFonts w:eastAsia="Times New Roman"/>
        </w:rPr>
      </w:pPr>
      <w:r>
        <w:rPr>
          <w:rFonts w:eastAsia="Times New Roman"/>
        </w:rPr>
        <w:pict>
          <v:rect id="_x0000_i1035" style="width:0;height:1.5pt" o:hralign="center" o:hrstd="t" o:hr="t" fillcolor="#a0a0a0" stroked="f"/>
        </w:pict>
      </w:r>
    </w:p>
    <w:p w:rsidR="00000000" w:rsidRDefault="00F123EE">
      <w:pPr>
        <w:divId w:val="1907296410"/>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r>
        <w:rPr>
          <w:rFonts w:eastAsia="Times New Roman"/>
          <w:i/>
          <w:iCs/>
          <w:color w:val="000000"/>
          <w:sz w:val="20"/>
          <w:szCs w:val="20"/>
        </w:rPr>
        <w:t>Store Personnel and Training</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seek to hire store team members who live and appreciate the “</w:t>
      </w:r>
      <w:r>
        <w:rPr>
          <w:rFonts w:eastAsia="Times New Roman"/>
          <w:i/>
          <w:iCs/>
          <w:color w:val="000000"/>
          <w:sz w:val="20"/>
          <w:szCs w:val="20"/>
        </w:rPr>
        <w:t>Out Here</w:t>
      </w:r>
      <w:r>
        <w:rPr>
          <w:rFonts w:eastAsia="Times New Roman"/>
          <w:color w:val="000000"/>
          <w:sz w:val="20"/>
          <w:szCs w:val="20"/>
        </w:rPr>
        <w:t>” lifestyle, including those with farming and ranching backgrounds, with particular empha</w:t>
      </w:r>
      <w:r>
        <w:rPr>
          <w:rFonts w:eastAsia="Times New Roman"/>
          <w:color w:val="000000"/>
          <w:sz w:val="20"/>
          <w:szCs w:val="20"/>
        </w:rPr>
        <w:t>sis on general maintenance, equine, and welding. We endeavor to staff our stores with courteous, highly motivated team members and devote considerable resources to training store team members, often in cooperation with our vendors.  Our training programs i</w:t>
      </w:r>
      <w:r>
        <w:rPr>
          <w:rFonts w:eastAsia="Times New Roman"/>
          <w:color w:val="000000"/>
          <w:sz w:val="20"/>
          <w:szCs w:val="20"/>
        </w:rPr>
        <w:t>nclude:</w:t>
      </w:r>
    </w:p>
    <w:p w:rsidR="00000000" w:rsidRDefault="00F123EE">
      <w:pPr>
        <w:jc w:val="both"/>
        <w:rPr>
          <w:rFonts w:eastAsia="Times New Roman"/>
        </w:rPr>
      </w:pPr>
    </w:p>
    <w:p w:rsidR="00000000" w:rsidRDefault="00F123EE">
      <w:pPr>
        <w:ind w:hanging="360"/>
        <w:divId w:val="1465274225"/>
        <w:rPr>
          <w:rFonts w:eastAsia="Times New Roman"/>
        </w:rPr>
      </w:pPr>
      <w:r>
        <w:rPr>
          <w:rFonts w:eastAsia="Times New Roman"/>
          <w:color w:val="000000"/>
          <w:sz w:val="20"/>
          <w:szCs w:val="20"/>
        </w:rPr>
        <w:t>•A thorough on-boarding process to prepare new team members for their new role;</w:t>
      </w:r>
    </w:p>
    <w:p w:rsidR="00000000" w:rsidRDefault="00F123EE">
      <w:pPr>
        <w:ind w:hanging="360"/>
        <w:divId w:val="1097746677"/>
        <w:rPr>
          <w:rFonts w:eastAsia="Times New Roman"/>
        </w:rPr>
      </w:pPr>
      <w:r>
        <w:rPr>
          <w:rFonts w:eastAsia="Times New Roman"/>
          <w:color w:val="000000"/>
          <w:sz w:val="20"/>
          <w:szCs w:val="20"/>
        </w:rPr>
        <w:t>•Productive workplace environment training that is intended to educate team members on Company policies and procedures covering topics such as harassment, discriminat</w:t>
      </w:r>
      <w:r>
        <w:rPr>
          <w:rFonts w:eastAsia="Times New Roman"/>
          <w:color w:val="000000"/>
          <w:sz w:val="20"/>
          <w:szCs w:val="20"/>
        </w:rPr>
        <w:t>ion, and retaliation;</w:t>
      </w:r>
    </w:p>
    <w:p w:rsidR="00000000" w:rsidRDefault="00F123EE">
      <w:pPr>
        <w:ind w:hanging="360"/>
        <w:divId w:val="72515271"/>
        <w:rPr>
          <w:rFonts w:eastAsia="Times New Roman"/>
        </w:rPr>
      </w:pPr>
      <w:r>
        <w:rPr>
          <w:rFonts w:eastAsia="Times New Roman"/>
          <w:color w:val="000000"/>
          <w:sz w:val="20"/>
          <w:szCs w:val="20"/>
        </w:rPr>
        <w:t>•Diversity, equity, and inclusion training which is intended to advance a diverse and inclusive culture built on one of our core values of respect, in order to foster different perspectives, ideas and innovative thinking;</w:t>
      </w:r>
    </w:p>
    <w:p w:rsidR="00000000" w:rsidRDefault="00F123EE">
      <w:pPr>
        <w:ind w:hanging="360"/>
        <w:divId w:val="1337803028"/>
        <w:rPr>
          <w:rFonts w:eastAsia="Times New Roman"/>
        </w:rPr>
      </w:pPr>
      <w:r>
        <w:rPr>
          <w:rFonts w:eastAsia="Times New Roman"/>
          <w:color w:val="000000"/>
          <w:sz w:val="20"/>
          <w:szCs w:val="20"/>
        </w:rPr>
        <w:t>•New store o</w:t>
      </w:r>
      <w:r>
        <w:rPr>
          <w:rFonts w:eastAsia="Times New Roman"/>
          <w:color w:val="000000"/>
          <w:sz w:val="20"/>
          <w:szCs w:val="20"/>
        </w:rPr>
        <w:t>pening training that prepares our store managers to open new stores to Company standards;</w:t>
      </w:r>
    </w:p>
    <w:p w:rsidR="00000000" w:rsidRDefault="00F123EE">
      <w:pPr>
        <w:ind w:hanging="360"/>
        <w:divId w:val="1183476282"/>
        <w:rPr>
          <w:rFonts w:eastAsia="Times New Roman"/>
        </w:rPr>
      </w:pPr>
      <w:r>
        <w:rPr>
          <w:rFonts w:eastAsia="Times New Roman"/>
          <w:color w:val="000000"/>
          <w:sz w:val="20"/>
          <w:szCs w:val="20"/>
        </w:rPr>
        <w:t>•A management training program which covers all aspects of our store operations, including delivering superior service and managing the team member experience;</w:t>
      </w:r>
    </w:p>
    <w:p w:rsidR="00000000" w:rsidRDefault="00F123EE">
      <w:pPr>
        <w:ind w:hanging="360"/>
        <w:divId w:val="1785271063"/>
        <w:rPr>
          <w:rFonts w:eastAsia="Times New Roman"/>
        </w:rPr>
      </w:pPr>
      <w:r>
        <w:rPr>
          <w:rFonts w:eastAsia="Times New Roman"/>
          <w:color w:val="000000"/>
          <w:sz w:val="20"/>
          <w:szCs w:val="20"/>
        </w:rPr>
        <w:t>•Struc</w:t>
      </w:r>
      <w:r>
        <w:rPr>
          <w:rFonts w:eastAsia="Times New Roman"/>
          <w:color w:val="000000"/>
          <w:sz w:val="20"/>
          <w:szCs w:val="20"/>
        </w:rPr>
        <w:t>tured training on customer service and selling skills;</w:t>
      </w:r>
    </w:p>
    <w:p w:rsidR="00000000" w:rsidRDefault="00F123EE">
      <w:pPr>
        <w:ind w:hanging="360"/>
        <w:divId w:val="1775980391"/>
        <w:rPr>
          <w:rFonts w:eastAsia="Times New Roman"/>
        </w:rPr>
      </w:pPr>
      <w:r>
        <w:rPr>
          <w:rFonts w:eastAsia="Times New Roman"/>
          <w:color w:val="000000"/>
          <w:sz w:val="20"/>
          <w:szCs w:val="20"/>
        </w:rPr>
        <w:t>•Online product knowledge training produced in conjunction with key vendors;</w:t>
      </w:r>
    </w:p>
    <w:p w:rsidR="00000000" w:rsidRDefault="00F123EE">
      <w:pPr>
        <w:ind w:hanging="360"/>
        <w:divId w:val="948313452"/>
        <w:rPr>
          <w:rFonts w:eastAsia="Times New Roman"/>
        </w:rPr>
      </w:pPr>
      <w:r>
        <w:rPr>
          <w:rFonts w:eastAsia="Times New Roman"/>
          <w:color w:val="000000"/>
          <w:sz w:val="20"/>
          <w:szCs w:val="20"/>
        </w:rPr>
        <w:t>•Leadership development programs that prepare leaders to expand their current contributions;</w:t>
      </w:r>
    </w:p>
    <w:p w:rsidR="00000000" w:rsidRDefault="00F123EE">
      <w:pPr>
        <w:ind w:hanging="360"/>
        <w:divId w:val="1154026820"/>
        <w:rPr>
          <w:rFonts w:eastAsia="Times New Roman"/>
        </w:rPr>
      </w:pPr>
      <w:r>
        <w:rPr>
          <w:rFonts w:eastAsia="Times New Roman"/>
          <w:color w:val="000000"/>
          <w:sz w:val="20"/>
          <w:szCs w:val="20"/>
        </w:rPr>
        <w:t>•Quarterly all store team membe</w:t>
      </w:r>
      <w:r>
        <w:rPr>
          <w:rFonts w:eastAsia="Times New Roman"/>
          <w:color w:val="000000"/>
          <w:sz w:val="20"/>
          <w:szCs w:val="20"/>
        </w:rPr>
        <w:t>r meetings; and</w:t>
      </w:r>
    </w:p>
    <w:p w:rsidR="00000000" w:rsidRDefault="00F123EE">
      <w:pPr>
        <w:ind w:hanging="360"/>
        <w:divId w:val="2052798387"/>
        <w:rPr>
          <w:rFonts w:eastAsia="Times New Roman"/>
        </w:rPr>
      </w:pPr>
      <w:r>
        <w:rPr>
          <w:rFonts w:eastAsia="Times New Roman"/>
          <w:color w:val="000000"/>
          <w:sz w:val="20"/>
          <w:szCs w:val="20"/>
        </w:rPr>
        <w:t>•An annual store manager meeting with vendor product presentations.</w:t>
      </w:r>
    </w:p>
    <w:p w:rsidR="00000000" w:rsidRDefault="00F123EE">
      <w:pPr>
        <w:divId w:val="1638147226"/>
        <w:rPr>
          <w:rFonts w:eastAsia="Times New Roman"/>
        </w:rPr>
      </w:pPr>
    </w:p>
    <w:p w:rsidR="00000000" w:rsidRDefault="00F123EE">
      <w:pPr>
        <w:jc w:val="both"/>
        <w:rPr>
          <w:rFonts w:eastAsia="Times New Roman"/>
        </w:rPr>
      </w:pPr>
      <w:r>
        <w:rPr>
          <w:rFonts w:eastAsia="Times New Roman"/>
          <w:i/>
          <w:iCs/>
          <w:color w:val="000000"/>
          <w:sz w:val="20"/>
          <w:szCs w:val="20"/>
          <w:shd w:val="clear" w:color="auto" w:fill="FFFFFF"/>
        </w:rPr>
        <w:t>Workplace Health and Safety</w:t>
      </w:r>
    </w:p>
    <w:p w:rsidR="00000000" w:rsidRDefault="00F123EE">
      <w:pPr>
        <w:divId w:val="702288861"/>
        <w:rPr>
          <w:rFonts w:eastAsia="Times New Roman"/>
        </w:rPr>
      </w:pPr>
    </w:p>
    <w:p w:rsidR="00000000" w:rsidRDefault="00F123EE">
      <w:pPr>
        <w:jc w:val="both"/>
        <w:rPr>
          <w:rFonts w:eastAsia="Times New Roman"/>
        </w:rPr>
      </w:pPr>
      <w:r>
        <w:rPr>
          <w:rFonts w:eastAsia="Times New Roman"/>
          <w:color w:val="000000"/>
          <w:sz w:val="20"/>
          <w:szCs w:val="20"/>
          <w:shd w:val="clear" w:color="auto" w:fill="FFFFFF"/>
        </w:rPr>
        <w:t>We strive to provide a safe and healthy workplace for all team members and drive a culture of safe practices and continuous improvement. We provide role-based safety training during the onboarding process and through other specific safety programs.</w:t>
      </w:r>
    </w:p>
    <w:p w:rsidR="00000000" w:rsidRDefault="00F123EE">
      <w:pPr>
        <w:divId w:val="470365791"/>
        <w:rPr>
          <w:rFonts w:eastAsia="Times New Roman"/>
        </w:rPr>
      </w:pPr>
    </w:p>
    <w:p w:rsidR="00000000" w:rsidRDefault="00F123EE">
      <w:pPr>
        <w:jc w:val="both"/>
        <w:rPr>
          <w:rFonts w:eastAsia="Times New Roman"/>
        </w:rPr>
      </w:pPr>
      <w:r>
        <w:rPr>
          <w:rFonts w:eastAsia="Times New Roman"/>
          <w:i/>
          <w:iCs/>
          <w:color w:val="000000"/>
          <w:sz w:val="20"/>
          <w:szCs w:val="20"/>
        </w:rPr>
        <w:t>Diver</w:t>
      </w:r>
      <w:r>
        <w:rPr>
          <w:rFonts w:eastAsia="Times New Roman"/>
          <w:i/>
          <w:iCs/>
          <w:color w:val="000000"/>
          <w:sz w:val="20"/>
          <w:szCs w:val="20"/>
        </w:rPr>
        <w:t>sity, Equity, and Inclusion</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Tractor Supply is committed to the principles of diversity, equity, and inclusion (“DE&amp;I”</w:t>
      </w:r>
      <w:r>
        <w:rPr>
          <w:rFonts w:eastAsia="Times New Roman"/>
          <w:color w:val="000000"/>
          <w:sz w:val="20"/>
          <w:szCs w:val="20"/>
        </w:rPr>
        <w:t>). We have built a strong and diverse team by purposefully seeking highly qualified diverse candidates with different backgrounds, experience, perspectives, ideas and skill sets. As we move forward, we are working to implement new DE&amp;I initiatives that wil</w:t>
      </w:r>
      <w:r>
        <w:rPr>
          <w:rFonts w:eastAsia="Times New Roman"/>
          <w:color w:val="000000"/>
          <w:sz w:val="20"/>
          <w:szCs w:val="20"/>
        </w:rPr>
        <w:t xml:space="preserve">l result in an even more diverse team across the entire company.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are committed to providing a diverse and inclusive culture supported by our Mission &amp; Values where we welcome diverse backgrounds and experiences and respectfully foster different persp</w:t>
      </w:r>
      <w:r>
        <w:rPr>
          <w:rFonts w:eastAsia="Times New Roman"/>
          <w:color w:val="000000"/>
          <w:sz w:val="20"/>
          <w:szCs w:val="20"/>
        </w:rPr>
        <w:t>ectives, ideas and innovative thinking. We are stronger together, and we believe in the authenticity our team members bring to work every day. By focusing on our team members, we know that our customers, communities and suppliers will be well served. Diver</w:t>
      </w:r>
      <w:r>
        <w:rPr>
          <w:rFonts w:eastAsia="Times New Roman"/>
          <w:color w:val="000000"/>
          <w:sz w:val="20"/>
          <w:szCs w:val="20"/>
        </w:rPr>
        <w:t>sity and inclusion play a key role in moving our business forward. Our workforce is approximately 51% male and 49% female. Minorities comprise approximately 18% of our workforce. Women serve in key leadership roles within the Company, including as Executiv</w:t>
      </w:r>
      <w:r>
        <w:rPr>
          <w:rFonts w:eastAsia="Times New Roman"/>
          <w:color w:val="000000"/>
          <w:sz w:val="20"/>
          <w:szCs w:val="20"/>
        </w:rPr>
        <w:t>e Vice President, Chief Human Resources Officer, Senior Vice President, General Counsel and Corporate Secretary, Senior Vice President of Investor Relations and Public Relations, Senior Vice President, Chief Marketing Officer and Senior Vice President of E</w:t>
      </w:r>
      <w:r>
        <w:rPr>
          <w:rFonts w:eastAsia="Times New Roman"/>
          <w:color w:val="000000"/>
          <w:sz w:val="20"/>
          <w:szCs w:val="20"/>
        </w:rPr>
        <w:t>-Commerce. We have taken several steps over the past twelve months to further enhance our diversity, equity, and inclusion strategy including publishing external DE&amp;I goals aligned with o</w:t>
      </w:r>
      <w:r>
        <w:rPr>
          <w:rFonts w:eastAsia="Times New Roman"/>
          <w:color w:val="000000"/>
          <w:sz w:val="20"/>
          <w:szCs w:val="20"/>
          <w:shd w:val="clear" w:color="auto" w:fill="FFFFFF"/>
        </w:rPr>
        <w:t>ur environmental, social, and governance (“ESG”)</w:t>
      </w:r>
      <w:r>
        <w:rPr>
          <w:rFonts w:eastAsia="Times New Roman"/>
          <w:color w:val="000000"/>
          <w:sz w:val="20"/>
          <w:szCs w:val="20"/>
        </w:rPr>
        <w:t xml:space="preserve"> efforts, enhancing o</w:t>
      </w:r>
      <w:r>
        <w:rPr>
          <w:rFonts w:eastAsia="Times New Roman"/>
          <w:color w:val="000000"/>
          <w:sz w:val="20"/>
          <w:szCs w:val="20"/>
        </w:rPr>
        <w:t>ur DE&amp;I Strategy to include supplier diversity efforts, and continuing activation of our various team member engagement groups supporting development, community involvement, and allyship within our Company. We will continue to build on these initiatives to</w:t>
      </w:r>
      <w:r>
        <w:rPr>
          <w:rFonts w:eastAsia="Times New Roman"/>
          <w:color w:val="000000"/>
          <w:sz w:val="20"/>
          <w:szCs w:val="20"/>
        </w:rPr>
        <w:t xml:space="preserve"> enhance our culture of respect and teamwork across our organization.</w:t>
      </w:r>
    </w:p>
    <w:p w:rsidR="00000000" w:rsidRDefault="00F123EE">
      <w:pPr>
        <w:divId w:val="1612978191"/>
        <w:rPr>
          <w:rFonts w:eastAsia="Times New Roman"/>
        </w:rPr>
      </w:pPr>
    </w:p>
    <w:p w:rsidR="00000000" w:rsidRDefault="00F123EE">
      <w:pPr>
        <w:jc w:val="both"/>
        <w:rPr>
          <w:rFonts w:eastAsia="Times New Roman"/>
        </w:rPr>
      </w:pPr>
      <w:r>
        <w:rPr>
          <w:rFonts w:eastAsia="Times New Roman"/>
          <w:b/>
          <w:bCs/>
          <w:color w:val="000000"/>
          <w:sz w:val="20"/>
          <w:szCs w:val="20"/>
        </w:rPr>
        <w:t>Growth Strategy</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Tractor Supply believes we can grow our business by being an integral part of our customers’ lives as the dependable supplier of “</w:t>
      </w:r>
      <w:r>
        <w:rPr>
          <w:rFonts w:eastAsia="Times New Roman"/>
          <w:i/>
          <w:iCs/>
          <w:color w:val="000000"/>
          <w:sz w:val="20"/>
          <w:szCs w:val="20"/>
        </w:rPr>
        <w:t>Out Here</w:t>
      </w:r>
      <w:r>
        <w:rPr>
          <w:rFonts w:eastAsia="Times New Roman"/>
          <w:color w:val="000000"/>
          <w:sz w:val="20"/>
          <w:szCs w:val="20"/>
        </w:rPr>
        <w:t>” lifestyle solutions, creat</w:t>
      </w:r>
      <w:r>
        <w:rPr>
          <w:rFonts w:eastAsia="Times New Roman"/>
          <w:color w:val="000000"/>
          <w:sz w:val="20"/>
          <w:szCs w:val="20"/>
        </w:rPr>
        <w:t xml:space="preserve">ing customer loyalty through personalized experiences, our Neighbor's Club loyalty program and providing convenience that our customers expect at anytime, anywhere, and in any way they choose. Our long-term growth strategy is to: (1) expand and deepen our </w:t>
      </w:r>
      <w:r>
        <w:rPr>
          <w:rFonts w:eastAsia="Times New Roman"/>
          <w:color w:val="000000"/>
          <w:sz w:val="20"/>
          <w:szCs w:val="20"/>
        </w:rPr>
        <w:t>customer base by providing personal, localized, and memorable customer engagements by leveraging content, social media, and digital shopping experiences, attracting new customers and driving loyalty, (2) evolve customer experiences by digitizing our busine</w:t>
      </w:r>
      <w:r>
        <w:rPr>
          <w:rFonts w:eastAsia="Times New Roman"/>
          <w:color w:val="000000"/>
          <w:sz w:val="20"/>
          <w:szCs w:val="20"/>
        </w:rPr>
        <w:t>ss processes and furthering our omni-channel capabilities, (3) offer relevant assortments and services across all channels through exclusive and national brands and continue to grow our total addressable market by introducing new products and services thro</w:t>
      </w:r>
      <w:r>
        <w:rPr>
          <w:rFonts w:eastAsia="Times New Roman"/>
          <w:color w:val="000000"/>
          <w:sz w:val="20"/>
          <w:szCs w:val="20"/>
        </w:rPr>
        <w:t xml:space="preserve">ugh our test and learn strategy, (4) drive operational excellence and productivity through continuous improvement, increasing space utilization, and implementing advanced supply </w:t>
      </w:r>
    </w:p>
    <w:p w:rsidR="00000000" w:rsidRDefault="00F123EE">
      <w:pPr>
        <w:jc w:val="center"/>
        <w:divId w:val="120459851"/>
        <w:rPr>
          <w:rFonts w:eastAsia="Times New Roman"/>
        </w:rPr>
      </w:pPr>
      <w:r>
        <w:rPr>
          <w:rFonts w:eastAsia="Times New Roman"/>
          <w:color w:val="000000"/>
          <w:sz w:val="20"/>
          <w:szCs w:val="20"/>
        </w:rPr>
        <w:t>7</w:t>
      </w:r>
    </w:p>
    <w:p w:rsidR="00000000" w:rsidRDefault="00F123EE">
      <w:pPr>
        <w:rPr>
          <w:rFonts w:eastAsia="Times New Roman"/>
        </w:rPr>
      </w:pPr>
      <w:r>
        <w:rPr>
          <w:rFonts w:eastAsia="Times New Roman"/>
        </w:rPr>
        <w:pict>
          <v:rect id="_x0000_i1036" style="width:0;height:1.5pt" o:hralign="center" o:hrstd="t" o:hr="t" fillcolor="#a0a0a0" stroked="f"/>
        </w:pict>
      </w:r>
    </w:p>
    <w:p w:rsidR="00000000" w:rsidRDefault="00F123EE">
      <w:pPr>
        <w:divId w:val="1731921774"/>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r>
        <w:rPr>
          <w:rFonts w:eastAsia="Times New Roman"/>
          <w:color w:val="000000"/>
          <w:sz w:val="20"/>
          <w:szCs w:val="20"/>
        </w:rPr>
        <w:t>chain capabilities to support growth, scale and agility, and (5) expand through selective acquisitions, as such opportunities arise, to add complementary businesses and to enhance penetration into new and existing markets to suppl</w:t>
      </w:r>
      <w:r>
        <w:rPr>
          <w:rFonts w:eastAsia="Times New Roman"/>
          <w:color w:val="000000"/>
          <w:sz w:val="20"/>
          <w:szCs w:val="20"/>
        </w:rPr>
        <w:t>ement organic growth.</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Achieving this strategy will require a foundational focus on: (1) connecting, empowering and growing our team to enhance our team members' lives and the communities in which they live, enabling them to provide legendary service to o</w:t>
      </w:r>
      <w:r>
        <w:rPr>
          <w:rFonts w:eastAsia="Times New Roman"/>
          <w:color w:val="000000"/>
          <w:sz w:val="20"/>
          <w:szCs w:val="20"/>
        </w:rPr>
        <w:t>ur customers, and (2) allocating resources in a disciplined and efficient manner to drive profitable growth and build stockholder value, including leveraging technology and automation to align our cost structure to support new business capabilities for mar</w:t>
      </w:r>
      <w:r>
        <w:rPr>
          <w:rFonts w:eastAsia="Times New Roman"/>
          <w:color w:val="000000"/>
          <w:sz w:val="20"/>
          <w:szCs w:val="20"/>
        </w:rPr>
        <w:t>gin improvement and cost reductions.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Over the past five years, we have experienced considerable sales growth, resulting in a compounded annual growth rate of approximately 14.4%. We plan to open approximately 70 new Tractor Supply and 10 to 15 new Petsen</w:t>
      </w:r>
      <w:r>
        <w:rPr>
          <w:rFonts w:eastAsia="Times New Roman"/>
          <w:color w:val="000000"/>
          <w:sz w:val="20"/>
          <w:szCs w:val="20"/>
        </w:rPr>
        <w:t>se by Tractor Supply stores in fiscal 2023, a selling square footage increase of approximately 3%.  In addition, we plan to rebrand all 81 Orscheln stores to Tractor Supply stores in fiscal 2023. In fiscal 2022, we opened 63 new Tractor Supply stores and n</w:t>
      </w:r>
      <w:r>
        <w:rPr>
          <w:rFonts w:eastAsia="Times New Roman"/>
          <w:color w:val="000000"/>
          <w:sz w:val="20"/>
          <w:szCs w:val="20"/>
        </w:rPr>
        <w:t>ine new Petsense by Tractor Supply stores, and acquired 81 Orscheln Farm and Home stores. In fiscal 2021, we opened 80 new Tractor Supply stores and seven new Petsense by Tractor Supply stores. This represents a selling square footage increase of approxima</w:t>
      </w:r>
      <w:r>
        <w:rPr>
          <w:rFonts w:eastAsia="Times New Roman"/>
          <w:color w:val="000000"/>
          <w:sz w:val="20"/>
          <w:szCs w:val="20"/>
        </w:rPr>
        <w:t xml:space="preserve">tely 11% during fiscal 2022 and 4% during fiscal 2021.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 xml:space="preserve">At December 31, 2022, we operated 2,333 retail stores in 49 states (2,066 Tractor Supply retail stores, 186 Petsense by Tractor Supply retail stores, and 81 Orscheln Farm and Home retail stores set </w:t>
      </w:r>
      <w:r>
        <w:rPr>
          <w:rFonts w:eastAsia="Times New Roman"/>
          <w:color w:val="000000"/>
          <w:sz w:val="20"/>
          <w:szCs w:val="20"/>
        </w:rPr>
        <w:t>to be rebranded to Tractor Supply retail stores by the end of 2023). Given the size of the communities that we target, we believe there is ample opportunity for new store growth in many existing and new markets. We believe we have developed a proven method</w:t>
      </w:r>
      <w:r>
        <w:rPr>
          <w:rFonts w:eastAsia="Times New Roman"/>
          <w:color w:val="000000"/>
          <w:sz w:val="20"/>
          <w:szCs w:val="20"/>
        </w:rPr>
        <w:t xml:space="preserve"> for selecting store sites and have significant additional opportunities for new Tractor Supply stores. We also believe that there is opportunity for continued growth for Petsense by Tractor Supply stores.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Approximately 59% of our stores are in freestan</w:t>
      </w:r>
      <w:r>
        <w:rPr>
          <w:rFonts w:eastAsia="Times New Roman"/>
          <w:color w:val="000000"/>
          <w:sz w:val="20"/>
          <w:szCs w:val="20"/>
        </w:rPr>
        <w:t>ding buildings and 41% are located in shopping centers. We lease approximately 95% of our stores and own the remaining 5%.</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 xml:space="preserve">In addition to new store expansion, we will continue to support our strategic growth through expansion of our distribution network </w:t>
      </w:r>
      <w:r>
        <w:rPr>
          <w:rFonts w:eastAsia="Times New Roman"/>
          <w:color w:val="000000"/>
          <w:sz w:val="20"/>
          <w:szCs w:val="20"/>
        </w:rPr>
        <w:t>and initiatives including, among others, space productivity and Side Lot improvements in certain existing stores as well as continued improvements in technology and infrastructure at our existing stores, and ongoing investments to enhance our digital and o</w:t>
      </w:r>
      <w:r>
        <w:rPr>
          <w:rFonts w:eastAsia="Times New Roman"/>
          <w:color w:val="000000"/>
          <w:sz w:val="20"/>
          <w:szCs w:val="20"/>
        </w:rPr>
        <w:t>mni-channel capabilities to better serve our customers.</w:t>
      </w:r>
    </w:p>
    <w:p w:rsidR="00000000" w:rsidRDefault="00F123EE">
      <w:pPr>
        <w:jc w:val="both"/>
        <w:rPr>
          <w:rFonts w:eastAsia="Times New Roman"/>
        </w:rPr>
      </w:pPr>
    </w:p>
    <w:p w:rsidR="00000000" w:rsidRDefault="00F123EE">
      <w:pPr>
        <w:jc w:val="both"/>
        <w:rPr>
          <w:rFonts w:eastAsia="Times New Roman"/>
        </w:rPr>
      </w:pPr>
      <w:r>
        <w:rPr>
          <w:rFonts w:eastAsia="Times New Roman"/>
          <w:b/>
          <w:bCs/>
          <w:color w:val="000000"/>
          <w:sz w:val="20"/>
          <w:szCs w:val="20"/>
        </w:rPr>
        <w:t>Competition</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operate in a competitive retail industry. We believe the principal competitive factors include location of stores, fulfillment options, price, quality of merchandise, in-stock inven</w:t>
      </w:r>
      <w:r>
        <w:rPr>
          <w:rFonts w:eastAsia="Times New Roman"/>
          <w:color w:val="000000"/>
          <w:sz w:val="20"/>
          <w:szCs w:val="20"/>
        </w:rPr>
        <w:t>tory consistency, merchandise assortment and presentation, product knowledge, and customer service. We compete with general merchandise retailers, home center retailers, pet retailers, specialty and discount retailers, independently owned retail farm and r</w:t>
      </w:r>
      <w:r>
        <w:rPr>
          <w:rFonts w:eastAsia="Times New Roman"/>
          <w:color w:val="000000"/>
          <w:sz w:val="20"/>
          <w:szCs w:val="20"/>
        </w:rPr>
        <w:t>anch stores, numerous privately-held regional farm store chains and farm cooperatives, as well as internet-based retailers.  However, we believe we successfully differentiate ourselves from many of these retailers by focusing on our specialized market nich</w:t>
      </w:r>
      <w:r>
        <w:rPr>
          <w:rFonts w:eastAsia="Times New Roman"/>
          <w:color w:val="000000"/>
          <w:sz w:val="20"/>
          <w:szCs w:val="20"/>
        </w:rPr>
        <w:t>e for customers living the rural lifestyle. See further discussion of competition in 1A. “Risk Factors” of this Annual Report on Form 10-K.</w:t>
      </w:r>
    </w:p>
    <w:p w:rsidR="00000000" w:rsidRDefault="00F123EE">
      <w:pPr>
        <w:divId w:val="944927074"/>
        <w:rPr>
          <w:rFonts w:eastAsia="Times New Roman"/>
        </w:rPr>
      </w:pPr>
    </w:p>
    <w:p w:rsidR="00000000" w:rsidRDefault="00F123EE">
      <w:pPr>
        <w:divId w:val="1858234861"/>
        <w:rPr>
          <w:rFonts w:eastAsia="Times New Roman"/>
        </w:rPr>
      </w:pPr>
      <w:r>
        <w:rPr>
          <w:rFonts w:eastAsia="Times New Roman"/>
          <w:b/>
          <w:bCs/>
          <w:color w:val="000000"/>
          <w:sz w:val="20"/>
          <w:szCs w:val="20"/>
        </w:rPr>
        <w:t>Seasonality and Weather</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Our business is seasonal.  </w:t>
      </w:r>
      <w:r>
        <w:rPr>
          <w:rFonts w:eastAsia="Times New Roman"/>
          <w:color w:val="000000"/>
          <w:sz w:val="20"/>
          <w:szCs w:val="20"/>
        </w:rPr>
        <w:t>Historically, our sales and profits are the highest in the second and fourth fiscal quarters due to the sale of seasonal products. We usually experience our highest inventory and accounts payable balances during our first fiscal quarter for purchases of se</w:t>
      </w:r>
      <w:r>
        <w:rPr>
          <w:rFonts w:eastAsia="Times New Roman"/>
          <w:color w:val="000000"/>
          <w:sz w:val="20"/>
          <w:szCs w:val="20"/>
        </w:rPr>
        <w:t>asonal products to support the higher sales volume of the spring selling season, and again during our third fiscal quarter to support the higher sales volume of the cold-weather selling season. We believe that our business can be more accurately assessed b</w:t>
      </w:r>
      <w:r>
        <w:rPr>
          <w:rFonts w:eastAsia="Times New Roman"/>
          <w:color w:val="000000"/>
          <w:sz w:val="20"/>
          <w:szCs w:val="20"/>
        </w:rPr>
        <w:t>y focusing on the performance of the halves, not the quarters, due to the fact that different weather patterns from year-to-year can shift the timing of sales and profits between quarters, particularly between the first and second fiscal quarters and the t</w:t>
      </w:r>
      <w:r>
        <w:rPr>
          <w:rFonts w:eastAsia="Times New Roman"/>
          <w:color w:val="000000"/>
          <w:sz w:val="20"/>
          <w:szCs w:val="20"/>
        </w:rPr>
        <w:t xml:space="preserve">hird and fourth fiscal quarters.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Historically, weather conditions, including unseasonably warm weather in the fall and winter months and unseasonably cool weather in the spring and summer months, have unfavorably affected the timing and volume of our sales and results of operations. In ad</w:t>
      </w:r>
      <w:r>
        <w:rPr>
          <w:rFonts w:eastAsia="Times New Roman"/>
          <w:color w:val="000000"/>
          <w:sz w:val="20"/>
          <w:szCs w:val="20"/>
        </w:rPr>
        <w:t>dition, extreme weather conditions, including snow and ice storms, flood and wind damage, hurricanes, tornadoes, extreme rain, and droughts have impacted operating results both negatively and positively, depending on the severity and duration of these cond</w:t>
      </w:r>
      <w:r>
        <w:rPr>
          <w:rFonts w:eastAsia="Times New Roman"/>
          <w:color w:val="000000"/>
          <w:sz w:val="20"/>
          <w:szCs w:val="20"/>
        </w:rPr>
        <w:t xml:space="preserve">itions. Our strategy is to manage product flow and adjust merchandise assortments and depth of inventory to capitalize on seasonal demand trends. </w:t>
      </w:r>
    </w:p>
    <w:p w:rsidR="00000000" w:rsidRDefault="00F123EE">
      <w:pPr>
        <w:jc w:val="both"/>
        <w:rPr>
          <w:rFonts w:eastAsia="Times New Roman"/>
        </w:rPr>
      </w:pPr>
    </w:p>
    <w:p w:rsidR="00000000" w:rsidRDefault="00F123EE">
      <w:pPr>
        <w:jc w:val="center"/>
        <w:divId w:val="1100566388"/>
        <w:rPr>
          <w:rFonts w:eastAsia="Times New Roman"/>
        </w:rPr>
      </w:pPr>
      <w:r>
        <w:rPr>
          <w:rFonts w:eastAsia="Times New Roman"/>
          <w:color w:val="000000"/>
          <w:sz w:val="20"/>
          <w:szCs w:val="20"/>
        </w:rPr>
        <w:t>8</w:t>
      </w:r>
    </w:p>
    <w:p w:rsidR="00000000" w:rsidRDefault="00F123EE">
      <w:pPr>
        <w:rPr>
          <w:rFonts w:eastAsia="Times New Roman"/>
        </w:rPr>
      </w:pPr>
      <w:r>
        <w:rPr>
          <w:rFonts w:eastAsia="Times New Roman"/>
        </w:rPr>
        <w:pict>
          <v:rect id="_x0000_i1037" style="width:0;height:1.5pt" o:hralign="center" o:hrstd="t" o:hr="t" fillcolor="#a0a0a0" stroked="f"/>
        </w:pict>
      </w:r>
    </w:p>
    <w:p w:rsidR="00000000" w:rsidRDefault="00F123EE">
      <w:pPr>
        <w:divId w:val="1755122464"/>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r>
        <w:rPr>
          <w:rFonts w:eastAsia="Times New Roman"/>
          <w:b/>
          <w:bCs/>
          <w:color w:val="000000"/>
          <w:sz w:val="20"/>
          <w:szCs w:val="20"/>
        </w:rPr>
        <w:t>Stew</w:t>
      </w:r>
      <w:r>
        <w:rPr>
          <w:rFonts w:eastAsia="Times New Roman"/>
          <w:b/>
          <w:bCs/>
          <w:color w:val="000000"/>
          <w:sz w:val="20"/>
          <w:szCs w:val="20"/>
        </w:rPr>
        <w:t>ardship and Compliance with Environmental Matters</w:t>
      </w:r>
    </w:p>
    <w:p w:rsidR="00000000" w:rsidRDefault="00F123EE">
      <w:pPr>
        <w:divId w:val="1864435808"/>
        <w:rPr>
          <w:rFonts w:eastAsia="Times New Roman"/>
        </w:rPr>
      </w:pPr>
    </w:p>
    <w:p w:rsidR="00000000" w:rsidRDefault="00F123EE">
      <w:pPr>
        <w:jc w:val="both"/>
        <w:rPr>
          <w:rFonts w:eastAsia="Times New Roman"/>
        </w:rPr>
      </w:pPr>
      <w:r>
        <w:rPr>
          <w:rFonts w:eastAsia="Times New Roman"/>
          <w:color w:val="000000"/>
          <w:sz w:val="20"/>
          <w:szCs w:val="20"/>
        </w:rPr>
        <w:t>Our operations are subject to numerous federal, state, and local laws and regulations, enacted or adopted, regulating the discharge of materials into the environment or otherwise relating to the protectio</w:t>
      </w:r>
      <w:r>
        <w:rPr>
          <w:rFonts w:eastAsia="Times New Roman"/>
          <w:color w:val="000000"/>
          <w:sz w:val="20"/>
          <w:szCs w:val="20"/>
        </w:rPr>
        <w:t>n of the environment.  We are committed to complying with all applicable environmental laws and regulations.  We are also committed to becoming a more environmentally sustainable company.  This commitment is demonstrated through our Stewardship Program, wh</w:t>
      </w:r>
      <w:r>
        <w:rPr>
          <w:rFonts w:eastAsia="Times New Roman"/>
          <w:color w:val="000000"/>
          <w:sz w:val="20"/>
          <w:szCs w:val="20"/>
        </w:rPr>
        <w:t>ich is our environmental sustainability program.  Through this program, the Company has implemented a number of initiatives designed to reduce our impact on the environment.  These initiatives include the installation of energy management systems, LED ligh</w:t>
      </w:r>
      <w:r>
        <w:rPr>
          <w:rFonts w:eastAsia="Times New Roman"/>
          <w:color w:val="000000"/>
          <w:sz w:val="20"/>
          <w:szCs w:val="20"/>
        </w:rPr>
        <w:t>ting, high efficiency heating/air conditioning systems, and recycling programs in our stores, distribution facilities, and Store Support Center. Our Store Support Center and our distribution centers in Casa Grande, Arizona, and Frankfort, New York are LEED</w:t>
      </w:r>
      <w:r>
        <w:rPr>
          <w:rFonts w:eastAsia="Times New Roman"/>
          <w:color w:val="000000"/>
          <w:sz w:val="20"/>
          <w:szCs w:val="20"/>
        </w:rPr>
        <w:t xml:space="preserve"> (Leadership in Energy and Environmental Design) Silver certified for environmentally sustainable design, construction, and operation.  We also installed solar arrays at the Store Support Center in Brentwood, Tennessee, and our Tractor Supply store in Hend</w:t>
      </w:r>
      <w:r>
        <w:rPr>
          <w:rFonts w:eastAsia="Times New Roman"/>
          <w:color w:val="000000"/>
          <w:sz w:val="20"/>
          <w:szCs w:val="20"/>
        </w:rPr>
        <w:t>ersonville, Tennessee. The Company also opened its ninth distribution center in Navarre, Ohio on January 18, 2023. The distribution center is the first Tractor Supply facility built to LEED Gold standards. The facility features a rooftop solar array system</w:t>
      </w:r>
      <w:r>
        <w:rPr>
          <w:rFonts w:eastAsia="Times New Roman"/>
          <w:color w:val="000000"/>
          <w:sz w:val="20"/>
          <w:szCs w:val="20"/>
        </w:rPr>
        <w:t xml:space="preserve"> consisting of more than 10,000 solar panels that will produce five megawatts of electricity per year, which will satisfy the electricity needs, and will utilize electric fork trucks powered by lithium-ion batteries to pick and move inventory.</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Compan</w:t>
      </w:r>
      <w:r>
        <w:rPr>
          <w:rFonts w:eastAsia="Times New Roman"/>
          <w:color w:val="000000"/>
          <w:sz w:val="20"/>
          <w:szCs w:val="20"/>
        </w:rPr>
        <w:t>y has been a SmartWay Transport partner since 2013. SmartWay Transport is a public-private initiative between the U.S. Environmental Protection Agency, large and small trucking companies, retailers, and other federal and state agencies. Its purpose is to i</w:t>
      </w:r>
      <w:r>
        <w:rPr>
          <w:rFonts w:eastAsia="Times New Roman"/>
          <w:color w:val="000000"/>
          <w:sz w:val="20"/>
          <w:szCs w:val="20"/>
        </w:rPr>
        <w:t>mprove fuel efficiency and the environmental performance (reduction of both greenhouse gas emissions and air pollution) of supply chains.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In December 2018, we announced a goal to reduce carbon emissions from our facilities by 25% by 2025 from our 2015 ba</w:t>
      </w:r>
      <w:r>
        <w:rPr>
          <w:rFonts w:eastAsia="Times New Roman"/>
          <w:color w:val="000000"/>
          <w:sz w:val="20"/>
          <w:szCs w:val="20"/>
        </w:rPr>
        <w:t xml:space="preserve">seline as part of the Company's Stewardship Program. In December 2020, we announced that we had reached this goal five years early.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On December 15, 2022, we released our 2021 Task Force on Climate-Related Financial Disclosures Report, following the anno</w:t>
      </w:r>
      <w:r>
        <w:rPr>
          <w:rFonts w:eastAsia="Times New Roman"/>
          <w:color w:val="000000"/>
          <w:sz w:val="20"/>
          <w:szCs w:val="20"/>
        </w:rPr>
        <w:t>uncement of our goal in September 2021 to reduce our carbon footprint by 20% by 2025 and 50% by 2030 and achieve net zero missions across all operations by 2040. In the report, we discussed our approach to evaluating and managing climate change risks and i</w:t>
      </w:r>
      <w:r>
        <w:rPr>
          <w:rFonts w:eastAsia="Times New Roman"/>
          <w:color w:val="000000"/>
          <w:sz w:val="20"/>
          <w:szCs w:val="20"/>
        </w:rPr>
        <w:t>dentifying opportunities. We also detailed the next phase of our sustainability journey, including increasing efforts to procure renewable energy, continuing investments in energy efficiency and cleaner technologies, avoiding future emissions through bette</w:t>
      </w:r>
      <w:r>
        <w:rPr>
          <w:rFonts w:eastAsia="Times New Roman"/>
          <w:color w:val="000000"/>
          <w:sz w:val="20"/>
          <w:szCs w:val="20"/>
        </w:rPr>
        <w:t>r design of both stores and distribution centers, and refining our Scope 3 emissions through our new supplier engagement program with the intent to reduce value chain emissions.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shd w:val="clear" w:color="auto" w:fill="FFFFFF"/>
        </w:rPr>
        <w:t>Additional information can be found in our ESG Tear Sheet and on our website</w:t>
      </w:r>
      <w:r>
        <w:rPr>
          <w:rFonts w:eastAsia="Times New Roman"/>
          <w:color w:val="000000"/>
          <w:sz w:val="20"/>
          <w:szCs w:val="20"/>
          <w:shd w:val="clear" w:color="auto" w:fill="FFFFFF"/>
        </w:rPr>
        <w:t xml:space="preserve"> </w:t>
      </w:r>
      <w:r>
        <w:rPr>
          <w:rFonts w:eastAsia="Times New Roman"/>
          <w:i/>
          <w:iCs/>
          <w:color w:val="000000"/>
          <w:sz w:val="20"/>
          <w:szCs w:val="20"/>
          <w:shd w:val="clear" w:color="auto" w:fill="FFFFFF"/>
        </w:rPr>
        <w:t xml:space="preserve">(TractorSupply.com). </w:t>
      </w:r>
      <w:r>
        <w:rPr>
          <w:rFonts w:eastAsia="Times New Roman"/>
          <w:color w:val="000000"/>
          <w:sz w:val="20"/>
          <w:szCs w:val="20"/>
          <w:shd w:val="clear" w:color="auto" w:fill="FFFFFF"/>
        </w:rPr>
        <w:t>The information provided on our website is not part of this report, and is therefore not incorporated by reference unless such information is otherwise specifically referenced elsewhere in this report.</w:t>
      </w:r>
    </w:p>
    <w:p w:rsidR="00000000" w:rsidRDefault="00F123EE">
      <w:pPr>
        <w:jc w:val="both"/>
        <w:rPr>
          <w:rFonts w:eastAsia="Times New Roman"/>
        </w:rPr>
      </w:pPr>
    </w:p>
    <w:p w:rsidR="00000000" w:rsidRDefault="00F123EE">
      <w:pPr>
        <w:jc w:val="both"/>
        <w:rPr>
          <w:rFonts w:eastAsia="Times New Roman"/>
        </w:rPr>
      </w:pPr>
      <w:r>
        <w:rPr>
          <w:rFonts w:eastAsia="Times New Roman"/>
          <w:b/>
          <w:bCs/>
          <w:color w:val="000000"/>
          <w:sz w:val="20"/>
          <w:szCs w:val="20"/>
        </w:rPr>
        <w:t>Information about our Executiv</w:t>
      </w:r>
      <w:r>
        <w:rPr>
          <w:rFonts w:eastAsia="Times New Roman"/>
          <w:b/>
          <w:bCs/>
          <w:color w:val="000000"/>
          <w:sz w:val="20"/>
          <w:szCs w:val="20"/>
        </w:rPr>
        <w:t>e Officers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Pursuant to General Instruction G(3) of Form 10-K, the following list is included in Part I of this Report in lieu of being included in the Proxy Statement for the Annual Meeting of Stockholders to be held on May 11, 2023.</w:t>
      </w:r>
    </w:p>
    <w:p w:rsidR="00000000" w:rsidRDefault="00F123EE">
      <w:pPr>
        <w:jc w:val="both"/>
        <w:rPr>
          <w:rFonts w:eastAsia="Times New Roman"/>
        </w:rPr>
      </w:pPr>
    </w:p>
    <w:p w:rsidR="00000000" w:rsidRDefault="00F123EE">
      <w:pPr>
        <w:jc w:val="center"/>
        <w:divId w:val="1597210003"/>
        <w:rPr>
          <w:rFonts w:eastAsia="Times New Roman"/>
        </w:rPr>
      </w:pPr>
      <w:r>
        <w:rPr>
          <w:rFonts w:eastAsia="Times New Roman"/>
          <w:color w:val="000000"/>
          <w:sz w:val="20"/>
          <w:szCs w:val="20"/>
        </w:rPr>
        <w:t>9</w:t>
      </w:r>
    </w:p>
    <w:p w:rsidR="00000000" w:rsidRDefault="00F123EE">
      <w:pPr>
        <w:rPr>
          <w:rFonts w:eastAsia="Times New Roman"/>
        </w:rPr>
      </w:pPr>
      <w:r>
        <w:rPr>
          <w:rFonts w:eastAsia="Times New Roman"/>
        </w:rPr>
        <w:pict>
          <v:rect id="_x0000_i1038" style="width:0;height:1.5pt" o:hralign="center" o:hrstd="t" o:hr="t" fillcolor="#a0a0a0" stroked="f"/>
        </w:pict>
      </w:r>
    </w:p>
    <w:p w:rsidR="00000000" w:rsidRDefault="00F123EE">
      <w:pPr>
        <w:divId w:val="260453752"/>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r>
        <w:rPr>
          <w:rFonts w:eastAsia="Times New Roman"/>
          <w:color w:val="000000"/>
          <w:sz w:val="20"/>
          <w:szCs w:val="20"/>
        </w:rPr>
        <w:t>The following is a list of the names and ages of all executive officers of the registrant, indicating all positions and offices with the registrant held by each such person</w:t>
      </w:r>
      <w:r>
        <w:rPr>
          <w:rFonts w:eastAsia="Times New Roman"/>
          <w:color w:val="000000"/>
          <w:sz w:val="20"/>
          <w:szCs w:val="20"/>
        </w:rPr>
        <w:t xml:space="preserve"> and each person’s principal occupations and employment during at least the past five years:</w:t>
      </w:r>
    </w:p>
    <w:tbl>
      <w:tblPr>
        <w:tblW w:w="5000" w:type="pct"/>
        <w:tblCellMar>
          <w:top w:w="15" w:type="dxa"/>
          <w:left w:w="15" w:type="dxa"/>
          <w:bottom w:w="15" w:type="dxa"/>
          <w:right w:w="15" w:type="dxa"/>
        </w:tblCellMar>
        <w:tblLook w:val="04A0" w:firstRow="1" w:lastRow="0" w:firstColumn="1" w:lastColumn="0" w:noHBand="0" w:noVBand="1"/>
      </w:tblPr>
      <w:tblGrid>
        <w:gridCol w:w="68"/>
        <w:gridCol w:w="1627"/>
        <w:gridCol w:w="38"/>
        <w:gridCol w:w="69"/>
        <w:gridCol w:w="5558"/>
        <w:gridCol w:w="38"/>
        <w:gridCol w:w="69"/>
        <w:gridCol w:w="803"/>
        <w:gridCol w:w="36"/>
      </w:tblGrid>
      <w:tr w:rsidR="00000000">
        <w:tc>
          <w:tcPr>
            <w:tcW w:w="50" w:type="pct"/>
            <w:vAlign w:val="center"/>
            <w:hideMark/>
          </w:tcPr>
          <w:p w:rsidR="00000000" w:rsidRDefault="00F123EE">
            <w:pPr>
              <w:jc w:val="both"/>
              <w:rPr>
                <w:rFonts w:eastAsia="Times New Roman"/>
              </w:rPr>
            </w:pPr>
          </w:p>
        </w:tc>
        <w:tc>
          <w:tcPr>
            <w:tcW w:w="988"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3353"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492"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b/>
                <w:bCs/>
                <w:color w:val="000000"/>
                <w:sz w:val="20"/>
                <w:szCs w:val="20"/>
              </w:rPr>
              <w:t>Name</w:t>
            </w:r>
          </w:p>
        </w:tc>
        <w:tc>
          <w:tcPr>
            <w:tcW w:w="0" w:type="auto"/>
            <w:gridSpan w:val="3"/>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b/>
                <w:bCs/>
                <w:color w:val="000000"/>
                <w:sz w:val="20"/>
                <w:szCs w:val="20"/>
              </w:rPr>
              <w:t>Position</w:t>
            </w:r>
          </w:p>
        </w:tc>
        <w:tc>
          <w:tcPr>
            <w:tcW w:w="0" w:type="auto"/>
            <w:gridSpan w:val="3"/>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b/>
                <w:bCs/>
                <w:color w:val="000000"/>
                <w:sz w:val="20"/>
                <w:szCs w:val="20"/>
              </w:rPr>
              <w:t>Age</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Harry A. Lawton, III</w:t>
            </w: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President and Chief Executive Officer</w:t>
            </w: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color w:val="000000"/>
                <w:sz w:val="20"/>
                <w:szCs w:val="20"/>
              </w:rPr>
              <w:t>48</w:t>
            </w:r>
          </w:p>
        </w:tc>
      </w:tr>
      <w:tr w:rsidR="00000000">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Kurt D. Barton</w:t>
            </w:r>
          </w:p>
        </w:tc>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Executive Vice President – Chief Financial Officer and Treasurer</w:t>
            </w:r>
          </w:p>
        </w:tc>
        <w:tc>
          <w:tcPr>
            <w:tcW w:w="0" w:type="auto"/>
            <w:gridSpan w:val="3"/>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color w:val="000000"/>
                <w:sz w:val="20"/>
                <w:szCs w:val="20"/>
              </w:rPr>
              <w:t>51</w:t>
            </w:r>
          </w:p>
        </w:tc>
      </w:tr>
      <w:tr w:rsidR="00000000">
        <w:tc>
          <w:tcPr>
            <w:tcW w:w="0" w:type="auto"/>
            <w:gridSpan w:val="3"/>
            <w:shd w:val="clear" w:color="auto" w:fill="CCEEFF"/>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Robert D. Mills</w:t>
            </w:r>
          </w:p>
        </w:tc>
        <w:tc>
          <w:tcPr>
            <w:tcW w:w="0" w:type="auto"/>
            <w:gridSpan w:val="3"/>
            <w:shd w:val="clear" w:color="auto" w:fill="CCEEFF"/>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Executive Vice President – Chief Technology, Digital Commerce and Strategy Officer</w:t>
            </w:r>
          </w:p>
        </w:tc>
        <w:tc>
          <w:tcPr>
            <w:tcW w:w="0" w:type="auto"/>
            <w:gridSpan w:val="3"/>
            <w:shd w:val="clear" w:color="auto" w:fill="CCEEFF"/>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color w:val="000000"/>
                <w:sz w:val="20"/>
                <w:szCs w:val="20"/>
              </w:rPr>
              <w:t>50</w:t>
            </w:r>
          </w:p>
        </w:tc>
      </w:tr>
      <w:tr w:rsidR="00000000">
        <w:tc>
          <w:tcPr>
            <w:tcW w:w="0" w:type="auto"/>
            <w:gridSpan w:val="3"/>
            <w:shd w:val="clear" w:color="auto" w:fill="FFFFFF"/>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John P. Ordus</w:t>
            </w:r>
          </w:p>
        </w:tc>
        <w:tc>
          <w:tcPr>
            <w:tcW w:w="0" w:type="auto"/>
            <w:gridSpan w:val="3"/>
            <w:shd w:val="clear" w:color="auto" w:fill="FFFFFF"/>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 xml:space="preserve">Executive Vice President – </w:t>
            </w:r>
            <w:r>
              <w:rPr>
                <w:rFonts w:eastAsia="Times New Roman"/>
                <w:color w:val="000000"/>
                <w:sz w:val="20"/>
                <w:szCs w:val="20"/>
              </w:rPr>
              <w:t>Chief Stores Officer</w:t>
            </w:r>
          </w:p>
        </w:tc>
        <w:tc>
          <w:tcPr>
            <w:tcW w:w="0" w:type="auto"/>
            <w:gridSpan w:val="3"/>
            <w:shd w:val="clear" w:color="auto" w:fill="FFFFFF"/>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color w:val="000000"/>
                <w:sz w:val="20"/>
                <w:szCs w:val="20"/>
              </w:rPr>
              <w:t>47</w:t>
            </w:r>
          </w:p>
        </w:tc>
      </w:tr>
      <w:tr w:rsidR="00000000">
        <w:tc>
          <w:tcPr>
            <w:tcW w:w="0" w:type="auto"/>
            <w:gridSpan w:val="3"/>
            <w:shd w:val="clear" w:color="auto" w:fill="CCEEFF"/>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Jonathan S. Estep</w:t>
            </w:r>
          </w:p>
        </w:tc>
        <w:tc>
          <w:tcPr>
            <w:tcW w:w="0" w:type="auto"/>
            <w:gridSpan w:val="3"/>
            <w:shd w:val="clear" w:color="auto" w:fill="CCEEFF"/>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Executive Vice President – Chief Merchandising Officer</w:t>
            </w:r>
          </w:p>
        </w:tc>
        <w:tc>
          <w:tcPr>
            <w:tcW w:w="0" w:type="auto"/>
            <w:gridSpan w:val="3"/>
            <w:shd w:val="clear" w:color="auto" w:fill="CCEEFF"/>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color w:val="000000"/>
                <w:sz w:val="20"/>
                <w:szCs w:val="20"/>
              </w:rPr>
              <w:t>43</w:t>
            </w:r>
          </w:p>
        </w:tc>
      </w:tr>
      <w:tr w:rsidR="00000000">
        <w:tc>
          <w:tcPr>
            <w:tcW w:w="0" w:type="auto"/>
            <w:gridSpan w:val="3"/>
            <w:shd w:val="clear" w:color="auto" w:fill="FFFFFF"/>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Melissa D. Kersey</w:t>
            </w:r>
          </w:p>
        </w:tc>
        <w:tc>
          <w:tcPr>
            <w:tcW w:w="0" w:type="auto"/>
            <w:gridSpan w:val="3"/>
            <w:shd w:val="clear" w:color="auto" w:fill="FFFFFF"/>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Executive Vice President – Chief Human Resources Officer</w:t>
            </w:r>
          </w:p>
        </w:tc>
        <w:tc>
          <w:tcPr>
            <w:tcW w:w="0" w:type="auto"/>
            <w:gridSpan w:val="3"/>
            <w:shd w:val="clear" w:color="auto" w:fill="FFFFFF"/>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color w:val="000000"/>
                <w:sz w:val="20"/>
                <w:szCs w:val="20"/>
              </w:rPr>
              <w:t>48</w:t>
            </w:r>
          </w:p>
        </w:tc>
      </w:tr>
      <w:tr w:rsidR="00000000">
        <w:tc>
          <w:tcPr>
            <w:tcW w:w="0" w:type="auto"/>
            <w:gridSpan w:val="3"/>
            <w:shd w:val="clear" w:color="auto" w:fill="CCEEFF"/>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Colin W. Yankee</w:t>
            </w:r>
          </w:p>
        </w:tc>
        <w:tc>
          <w:tcPr>
            <w:tcW w:w="0" w:type="auto"/>
            <w:gridSpan w:val="3"/>
            <w:shd w:val="clear" w:color="auto" w:fill="CCEEFF"/>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Executive Vice President – Chief Supply Chain Officer</w:t>
            </w:r>
          </w:p>
        </w:tc>
        <w:tc>
          <w:tcPr>
            <w:tcW w:w="0" w:type="auto"/>
            <w:gridSpan w:val="3"/>
            <w:shd w:val="clear" w:color="auto" w:fill="CCEEFF"/>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color w:val="000000"/>
                <w:sz w:val="20"/>
                <w:szCs w:val="20"/>
              </w:rPr>
              <w:t>45</w:t>
            </w:r>
          </w:p>
        </w:tc>
      </w:tr>
      <w:tr w:rsidR="00000000">
        <w:tc>
          <w:tcPr>
            <w:tcW w:w="0" w:type="auto"/>
            <w:gridSpan w:val="3"/>
            <w:shd w:val="clear" w:color="auto" w:fill="FFFFFF"/>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Noni L. Ellison</w:t>
            </w:r>
          </w:p>
        </w:tc>
        <w:tc>
          <w:tcPr>
            <w:tcW w:w="0" w:type="auto"/>
            <w:gridSpan w:val="3"/>
            <w:shd w:val="clear" w:color="auto" w:fill="FFFFFF"/>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Senior Vice President – General Counsel and Corporate Secretary</w:t>
            </w:r>
          </w:p>
        </w:tc>
        <w:tc>
          <w:tcPr>
            <w:tcW w:w="0" w:type="auto"/>
            <w:gridSpan w:val="3"/>
            <w:shd w:val="clear" w:color="auto" w:fill="FFFFFF"/>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color w:val="000000"/>
                <w:sz w:val="20"/>
                <w:szCs w:val="20"/>
              </w:rPr>
              <w:t>51</w:t>
            </w:r>
          </w:p>
        </w:tc>
      </w:tr>
      <w:tr w:rsidR="00000000">
        <w:tc>
          <w:tcPr>
            <w:tcW w:w="0" w:type="auto"/>
            <w:gridSpan w:val="3"/>
            <w:shd w:val="clear" w:color="auto" w:fill="CCEEFF"/>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Kimberley S. Gardiner</w:t>
            </w:r>
          </w:p>
        </w:tc>
        <w:tc>
          <w:tcPr>
            <w:tcW w:w="0" w:type="auto"/>
            <w:gridSpan w:val="3"/>
            <w:shd w:val="clear" w:color="auto" w:fill="CCEEFF"/>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Senior Vice President – Chief Marketing Officer</w:t>
            </w:r>
          </w:p>
        </w:tc>
        <w:tc>
          <w:tcPr>
            <w:tcW w:w="0" w:type="auto"/>
            <w:gridSpan w:val="3"/>
            <w:shd w:val="clear" w:color="auto" w:fill="CCEEFF"/>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color w:val="000000"/>
                <w:sz w:val="20"/>
                <w:szCs w:val="20"/>
              </w:rPr>
              <w:t>54</w:t>
            </w:r>
          </w:p>
        </w:tc>
      </w:tr>
      <w:tr w:rsidR="00000000">
        <w:tc>
          <w:tcPr>
            <w:tcW w:w="0" w:type="auto"/>
            <w:gridSpan w:val="3"/>
            <w:shd w:val="clear" w:color="auto" w:fill="FFFFFF"/>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Matthew L. Rubin</w:t>
            </w:r>
          </w:p>
        </w:tc>
        <w:tc>
          <w:tcPr>
            <w:tcW w:w="0" w:type="auto"/>
            <w:gridSpan w:val="3"/>
            <w:shd w:val="clear" w:color="auto" w:fill="FFFFFF"/>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Senior Vice President and General Manager of Petsense by Tractor Supply</w:t>
            </w:r>
          </w:p>
        </w:tc>
        <w:tc>
          <w:tcPr>
            <w:tcW w:w="0" w:type="auto"/>
            <w:gridSpan w:val="3"/>
            <w:shd w:val="clear" w:color="auto" w:fill="FFFFFF"/>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color w:val="000000"/>
                <w:sz w:val="20"/>
                <w:szCs w:val="20"/>
              </w:rPr>
              <w:t>43</w:t>
            </w:r>
          </w:p>
        </w:tc>
      </w:tr>
    </w:tbl>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Harry A. Lawton, III was appointed as President and Chief Executive Officer in January, 2020. Mr. Lawton served as President of Macy's, Inc. from September 2017 to December 2019. Prior to that time, Mr. Lawton served as Senior Vice President, North America</w:t>
      </w:r>
      <w:r>
        <w:rPr>
          <w:rFonts w:eastAsia="Times New Roman"/>
          <w:color w:val="000000"/>
          <w:sz w:val="20"/>
          <w:szCs w:val="20"/>
        </w:rPr>
        <w:t xml:space="preserve"> at eBay, Inc. since May 2015. Mr. Lawton previously held a number of leadership positions at Home Depot, Inc. from 2005 to 2015, including Senior Vice President of Merchandising and head of Home Depot's online business. Since January 2019, Mr. Lawton has </w:t>
      </w:r>
      <w:r>
        <w:rPr>
          <w:rFonts w:eastAsia="Times New Roman"/>
          <w:color w:val="000000"/>
          <w:sz w:val="20"/>
          <w:szCs w:val="20"/>
        </w:rPr>
        <w:t xml:space="preserve">served as a director of Sealed Air Corporation and previously served as a director of Buffalo Wild Wings, Inc. from October 2016 to February 2018.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Kurt D. Barton was promoted to Executive Vice President – Chief Financial Officer and Treasurer in Februar</w:t>
      </w:r>
      <w:r>
        <w:rPr>
          <w:rFonts w:eastAsia="Times New Roman"/>
          <w:color w:val="000000"/>
          <w:sz w:val="20"/>
          <w:szCs w:val="20"/>
        </w:rPr>
        <w:t xml:space="preserve">y 2019, after having served as Senior Vice President – Chief Financial Officer and Treasurer since March 2017. Prior to that time, Mr. Barton served as Senior Vice President – Controller of the Company since February 2016.  Mr. Barton previously served as </w:t>
      </w:r>
      <w:r>
        <w:rPr>
          <w:rFonts w:eastAsia="Times New Roman"/>
          <w:color w:val="000000"/>
          <w:sz w:val="20"/>
          <w:szCs w:val="20"/>
        </w:rPr>
        <w:t xml:space="preserve">Vice President – Controller of the Company from February 2009, after having served as the Company's Director, Internal Audit from July 2002 to February 2009. Mr. Barton has served in various other leadership roles in accounting since he joined the Company </w:t>
      </w:r>
      <w:r>
        <w:rPr>
          <w:rFonts w:eastAsia="Times New Roman"/>
          <w:color w:val="000000"/>
          <w:sz w:val="20"/>
          <w:szCs w:val="20"/>
        </w:rPr>
        <w:t>in 1999. Mr. Barton, a Certified Public Accountant, began his career in public accounting in 1993, spending six years at Ernst &amp; Young, LLP.</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 xml:space="preserve">Robert D. Mills has served as Executive Vice President – </w:t>
      </w:r>
      <w:r>
        <w:rPr>
          <w:rFonts w:eastAsia="Times New Roman"/>
          <w:color w:val="000000"/>
          <w:sz w:val="20"/>
          <w:szCs w:val="20"/>
        </w:rPr>
        <w:t>Chief Technology, Digital Commerce and Strategy Officer since August 2018, prior to which he served as the Company's Senior Vice President – Chief Information Officer since February 2014. Mr. Mills previously served as Chief Information Officer for Ulta Be</w:t>
      </w:r>
      <w:r>
        <w:rPr>
          <w:rFonts w:eastAsia="Times New Roman"/>
          <w:color w:val="000000"/>
          <w:sz w:val="20"/>
          <w:szCs w:val="20"/>
        </w:rPr>
        <w:t>auty, Inc. from October 2011 until he joined the Company. From 2005 to 2011, Mr. Mills was Vice President, Chief Information Officer for the online business unit at Sears Holdings Corporation where he began as an Information Technology Customer Relationshi</w:t>
      </w:r>
      <w:r>
        <w:rPr>
          <w:rFonts w:eastAsia="Times New Roman"/>
          <w:color w:val="000000"/>
          <w:sz w:val="20"/>
          <w:szCs w:val="20"/>
        </w:rPr>
        <w:t>p Leader in 2001. Prior to 2001, Mr. Mills held roles at The Allstate Corporation, Rockwell International, Telecommunications Division, and Household Finance Corporation. Since March 2018, Mr. Mills has served as a director of B&amp;G Foods, Inc.</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John P. Ord</w:t>
      </w:r>
      <w:r>
        <w:rPr>
          <w:rFonts w:eastAsia="Times New Roman"/>
          <w:color w:val="000000"/>
          <w:sz w:val="20"/>
          <w:szCs w:val="20"/>
        </w:rPr>
        <w:t>us was promoted to Executive Vice President – Chief Stores Officer in February 2020, after having served as the Company's Senior Vice President - Store Operations since August 2015. Prior to that time, Mr. Ordus served as Regional Vice President for the Co</w:t>
      </w:r>
      <w:r>
        <w:rPr>
          <w:rFonts w:eastAsia="Times New Roman"/>
          <w:color w:val="000000"/>
          <w:sz w:val="20"/>
          <w:szCs w:val="20"/>
        </w:rPr>
        <w:t>mpany from June 2010 and as a Regional Director for the Company since September 2008. Mr. Ordus joined the Company as a District Manager in February 2002 after the acquisition of Quality Farm &amp; Fleet, Inc. with which Mr. Ordus held roles since January 1998</w:t>
      </w:r>
      <w:r>
        <w:rPr>
          <w:rFonts w:eastAsia="Times New Roman"/>
          <w:color w:val="000000"/>
          <w:sz w:val="20"/>
          <w:szCs w:val="20"/>
        </w:rPr>
        <w:t>.</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Jonathan S. Estep was promoted to Executive Vice President – Chief Merchandising Officer in February 2020, after having served as the Company's Senior Vice President, General Merchandising since April 2017. Prior to that time, Mr. Estep served the Comp</w:t>
      </w:r>
      <w:r>
        <w:rPr>
          <w:rFonts w:eastAsia="Times New Roman"/>
          <w:color w:val="000000"/>
          <w:sz w:val="20"/>
          <w:szCs w:val="20"/>
        </w:rPr>
        <w:t xml:space="preserve">any as a Vice President, Divisional Merchandise Manager from February 2014. Mr. Estep also previously served in various other leadership roles in merchandising since he re-joined the Company in January 2008.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 xml:space="preserve">Melissa D. Kersey was appointed as Executive </w:t>
      </w:r>
      <w:r>
        <w:rPr>
          <w:rFonts w:eastAsia="Times New Roman"/>
          <w:color w:val="000000"/>
          <w:sz w:val="20"/>
          <w:szCs w:val="20"/>
        </w:rPr>
        <w:t>Vice President – Chief Human Resources Officer in July, 2020. Ms. Kersey was previously Senior Vice President and Chief People Officer for McDonald's USA, LLC from 2017 until July 2020. Ms. Kersey also previously held a number of executive level roles with</w:t>
      </w:r>
      <w:r>
        <w:rPr>
          <w:rFonts w:eastAsia="Times New Roman"/>
          <w:color w:val="000000"/>
          <w:sz w:val="20"/>
          <w:szCs w:val="20"/>
        </w:rPr>
        <w:t xml:space="preserve"> Walmart Inc. (previously Wal-Mart Stores, Inc.) from 2008 to 2017, including Senior Vice President of Global Human Resource Transformation and People Services, Senior Vice President and Chief Human Resources Officer for U.S. Stores, and Senior Vice Presid</w:t>
      </w:r>
      <w:r>
        <w:rPr>
          <w:rFonts w:eastAsia="Times New Roman"/>
          <w:color w:val="000000"/>
          <w:sz w:val="20"/>
          <w:szCs w:val="20"/>
        </w:rPr>
        <w:t>ent of Learning and Human Resources Strategy. Prior to that time, Ms. Kersey spent eight years with Alltel Wireless and four years with the Target Corporation in Operations, Distribution, Human Resources and Technology roles.</w:t>
      </w:r>
    </w:p>
    <w:p w:rsidR="00000000" w:rsidRDefault="00F123EE">
      <w:pPr>
        <w:jc w:val="both"/>
        <w:rPr>
          <w:rFonts w:eastAsia="Times New Roman"/>
        </w:rPr>
      </w:pPr>
    </w:p>
    <w:p w:rsidR="00000000" w:rsidRDefault="00F123EE">
      <w:pPr>
        <w:jc w:val="center"/>
        <w:divId w:val="1954708186"/>
        <w:rPr>
          <w:rFonts w:eastAsia="Times New Roman"/>
        </w:rPr>
      </w:pPr>
      <w:r>
        <w:rPr>
          <w:rFonts w:eastAsia="Times New Roman"/>
          <w:color w:val="000000"/>
          <w:sz w:val="20"/>
          <w:szCs w:val="20"/>
        </w:rPr>
        <w:t>10</w:t>
      </w:r>
    </w:p>
    <w:p w:rsidR="00000000" w:rsidRDefault="00F123EE">
      <w:pPr>
        <w:rPr>
          <w:rFonts w:eastAsia="Times New Roman"/>
        </w:rPr>
      </w:pPr>
      <w:r>
        <w:rPr>
          <w:rFonts w:eastAsia="Times New Roman"/>
        </w:rPr>
        <w:pict>
          <v:rect id="_x0000_i1039" style="width:0;height:1.5pt" o:hralign="center" o:hrstd="t" o:hr="t" fillcolor="#a0a0a0" stroked="f"/>
        </w:pict>
      </w:r>
    </w:p>
    <w:p w:rsidR="00000000" w:rsidRDefault="00F123EE">
      <w:pPr>
        <w:divId w:val="520827732"/>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r>
        <w:rPr>
          <w:rFonts w:eastAsia="Times New Roman"/>
          <w:color w:val="000000"/>
          <w:sz w:val="20"/>
          <w:szCs w:val="20"/>
        </w:rPr>
        <w:t>Colin W. Yankee was promoted to Executive Vice President - Chief Supply Chain Officer in February 2020, after having served as the Company's Senior Vice President, Supply Chain sin</w:t>
      </w:r>
      <w:r>
        <w:rPr>
          <w:rFonts w:eastAsia="Times New Roman"/>
          <w:color w:val="000000"/>
          <w:sz w:val="20"/>
          <w:szCs w:val="20"/>
        </w:rPr>
        <w:t>ce November 2015 when he joined the Company. Mr. Yankee was previously Vice President of Logistics for Neiman Marcus Group LLC from 2013 to 2015. Prior to that time, Mr. Yankee held various leadership roles in logistics and supply chain with the Target Cor</w:t>
      </w:r>
      <w:r>
        <w:rPr>
          <w:rFonts w:eastAsia="Times New Roman"/>
          <w:color w:val="000000"/>
          <w:sz w:val="20"/>
          <w:szCs w:val="20"/>
        </w:rPr>
        <w:t>poration since 2004. He began his career as a Cavalry Officer, Captain in the United States Army.</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Noni L. Ellison was appointed as Senior Vice President – General Counsel and Corporate Secretary in January, 2021. Ms. Ellison was previously General Counse</w:t>
      </w:r>
      <w:r>
        <w:rPr>
          <w:rFonts w:eastAsia="Times New Roman"/>
          <w:color w:val="000000"/>
          <w:sz w:val="20"/>
          <w:szCs w:val="20"/>
        </w:rPr>
        <w:t>l, Chief Compliance Officer and Corporate Secretary for Carestream Dental LLC from August 2017 until January 2021. Ms. Ellison also previously served as Associate General Counsel and Assistant Corporate Secretary at W.W. Grainger, Inc. from February 2015 u</w:t>
      </w:r>
      <w:r>
        <w:rPr>
          <w:rFonts w:eastAsia="Times New Roman"/>
          <w:color w:val="000000"/>
          <w:sz w:val="20"/>
          <w:szCs w:val="20"/>
        </w:rPr>
        <w:t>ntil July 2017. Prior to that time, Ms. Ellison held roles of increasing responsibility at Turner Broadcasting System, Inc. and Scripps Networks Interactive, Inc. and practiced law with two national law firms as a corporate finance and securities associate</w:t>
      </w:r>
      <w:r>
        <w:rPr>
          <w:rFonts w:eastAsia="Times New Roman"/>
          <w:color w:val="000000"/>
          <w:sz w:val="20"/>
          <w:szCs w:val="20"/>
        </w:rPr>
        <w:t>.</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 xml:space="preserve">Kimberley S. Gardiner was appointed as Senior Vice President - Chief Marketing Officer in July 2022. Ms. Gardiner was previously Chief Marketing Officer and Senior Vice President at Volkswagen Group of America from November 2020 until July 2022. Prior </w:t>
      </w:r>
      <w:r>
        <w:rPr>
          <w:rFonts w:eastAsia="Times New Roman"/>
          <w:color w:val="000000"/>
          <w:sz w:val="20"/>
          <w:szCs w:val="20"/>
        </w:rPr>
        <w:t>to that time, Ms. Gardiner served as the Chief Marketing Officer for Mitsubishi Motors North America from January 2019 to November 2020 and as Director of Marketing for Kia Motors America from March 2016 to January 2019. Prior to 2019, Ms. Gardiner held va</w:t>
      </w:r>
      <w:r>
        <w:rPr>
          <w:rFonts w:eastAsia="Times New Roman"/>
          <w:color w:val="000000"/>
          <w:sz w:val="20"/>
          <w:szCs w:val="20"/>
        </w:rPr>
        <w:t>rious marketing and strategy roles with increasing responsibility at 5th Kind and Toyota North America.</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Matthew L. Rubin was appointed as Senior Vice President and General Manager of Petsense by Tractor Supply in February, 2021. Mr. Rubin previously serv</w:t>
      </w:r>
      <w:r>
        <w:rPr>
          <w:rFonts w:eastAsia="Times New Roman"/>
          <w:color w:val="000000"/>
          <w:sz w:val="20"/>
          <w:szCs w:val="20"/>
        </w:rPr>
        <w:t>ed as Senior Vice President of Business Development &amp; Growth at The Michaels Stores, Inc. from October 2018 until January 2021. Mr. Rubin was previously an executive in Accenture plc's North America Retail Practice from April 2015 to October 2018. Before A</w:t>
      </w:r>
      <w:r>
        <w:rPr>
          <w:rFonts w:eastAsia="Times New Roman"/>
          <w:color w:val="000000"/>
          <w:sz w:val="20"/>
          <w:szCs w:val="20"/>
        </w:rPr>
        <w:t xml:space="preserve">pril 2015, Mr. Rubin was a Partner at Consolidated Venture Partners &amp; Consolidated Marketing and a Co-Founder &amp; Finance Partner at OnTrend Products. Mr. Rubin also previously served as Vice President of Specialty Business Operations at BJ’s Wholesale Club </w:t>
      </w:r>
      <w:r>
        <w:rPr>
          <w:rFonts w:eastAsia="Times New Roman"/>
          <w:color w:val="000000"/>
          <w:sz w:val="20"/>
          <w:szCs w:val="20"/>
        </w:rPr>
        <w:t>Holding, Inc.. Mr. Rubin began his career at Office Depot, Inc. where he had multiple merchandising and strategic project leadership roles of increasing responsibility.</w:t>
      </w:r>
    </w:p>
    <w:p w:rsidR="00000000" w:rsidRDefault="00F123EE">
      <w:pPr>
        <w:jc w:val="both"/>
        <w:rPr>
          <w:rFonts w:eastAsia="Times New Roman"/>
        </w:rPr>
      </w:pPr>
    </w:p>
    <w:p w:rsidR="00000000" w:rsidRDefault="00F123EE">
      <w:pPr>
        <w:jc w:val="both"/>
        <w:rPr>
          <w:rFonts w:eastAsia="Times New Roman"/>
        </w:rPr>
      </w:pPr>
      <w:r>
        <w:rPr>
          <w:rFonts w:eastAsia="Times New Roman"/>
          <w:b/>
          <w:bCs/>
          <w:color w:val="000000"/>
          <w:sz w:val="20"/>
          <w:szCs w:val="20"/>
        </w:rPr>
        <w:t>Additional Information</w:t>
      </w:r>
    </w:p>
    <w:p w:rsidR="00000000" w:rsidRDefault="00F123EE">
      <w:pPr>
        <w:divId w:val="1682077086"/>
        <w:rPr>
          <w:rFonts w:eastAsia="Times New Roman"/>
        </w:rPr>
      </w:pPr>
    </w:p>
    <w:p w:rsidR="00000000" w:rsidRDefault="00F123EE">
      <w:pPr>
        <w:jc w:val="both"/>
        <w:rPr>
          <w:rFonts w:eastAsia="Times New Roman"/>
        </w:rPr>
      </w:pPr>
      <w:r>
        <w:rPr>
          <w:rFonts w:eastAsia="Times New Roman"/>
          <w:color w:val="000000"/>
          <w:sz w:val="20"/>
          <w:szCs w:val="20"/>
        </w:rPr>
        <w:t xml:space="preserve">We file reports with the Securities and Exchange Commission </w:t>
      </w:r>
      <w:r>
        <w:rPr>
          <w:rFonts w:eastAsia="Times New Roman"/>
          <w:color w:val="000000"/>
          <w:sz w:val="20"/>
          <w:szCs w:val="20"/>
        </w:rPr>
        <w:t xml:space="preserve">(“SEC”), including Annual Reports on Form 10-K, quarterly reports on Form 10-Q, current reports on Form 8-K and other reports as required. We are an electronic filer and the SEC maintains an Internet website at </w:t>
      </w:r>
      <w:r>
        <w:rPr>
          <w:rFonts w:eastAsia="Times New Roman"/>
          <w:i/>
          <w:iCs/>
          <w:color w:val="000000"/>
          <w:sz w:val="20"/>
          <w:szCs w:val="20"/>
          <w:u w:val="single"/>
        </w:rPr>
        <w:t>sec.gov</w:t>
      </w:r>
      <w:r>
        <w:rPr>
          <w:rFonts w:eastAsia="Times New Roman"/>
          <w:color w:val="000000"/>
          <w:sz w:val="20"/>
          <w:szCs w:val="20"/>
        </w:rPr>
        <w:t xml:space="preserve"> that contains the reports, proxy and </w:t>
      </w:r>
      <w:r>
        <w:rPr>
          <w:rFonts w:eastAsia="Times New Roman"/>
          <w:color w:val="000000"/>
          <w:sz w:val="20"/>
          <w:szCs w:val="20"/>
        </w:rPr>
        <w:t>information statements, and other information we file.</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 xml:space="preserve">We make available, free of charge through our Internet website, </w:t>
      </w:r>
      <w:r>
        <w:rPr>
          <w:rFonts w:eastAsia="Times New Roman"/>
          <w:i/>
          <w:iCs/>
          <w:color w:val="000000"/>
          <w:sz w:val="20"/>
          <w:szCs w:val="20"/>
          <w:u w:val="single"/>
        </w:rPr>
        <w:t>TractorSupply.com</w:t>
      </w:r>
      <w:r>
        <w:rPr>
          <w:rFonts w:eastAsia="Times New Roman"/>
          <w:color w:val="000000"/>
          <w:sz w:val="20"/>
          <w:szCs w:val="20"/>
        </w:rPr>
        <w:t>, our Annual Report on Form 10-K, quarterly reports on Form 10-Q, current reports on Form 8-K, and all amendments to t</w:t>
      </w:r>
      <w:r>
        <w:rPr>
          <w:rFonts w:eastAsia="Times New Roman"/>
          <w:color w:val="000000"/>
          <w:sz w:val="20"/>
          <w:szCs w:val="20"/>
        </w:rPr>
        <w:t>hose reports as soon as reasonably practicable after such material is electronically filed with or furnished to the SEC.  The information provided on our website is not part of this report, and is therefore not incorporated by reference unless such informa</w:t>
      </w:r>
      <w:r>
        <w:rPr>
          <w:rFonts w:eastAsia="Times New Roman"/>
          <w:color w:val="000000"/>
          <w:sz w:val="20"/>
          <w:szCs w:val="20"/>
        </w:rPr>
        <w:t>tion is otherwise specifically referenced elsewhere in this report.</w:t>
      </w:r>
    </w:p>
    <w:p w:rsidR="00000000" w:rsidRDefault="00F123EE">
      <w:pPr>
        <w:jc w:val="both"/>
        <w:rPr>
          <w:rFonts w:eastAsia="Times New Roman"/>
        </w:rPr>
      </w:pPr>
    </w:p>
    <w:p w:rsidR="00000000" w:rsidRDefault="00F123EE">
      <w:pPr>
        <w:jc w:val="center"/>
        <w:divId w:val="1344240494"/>
        <w:rPr>
          <w:rFonts w:eastAsia="Times New Roman"/>
        </w:rPr>
      </w:pPr>
      <w:r>
        <w:rPr>
          <w:rFonts w:eastAsia="Times New Roman"/>
          <w:color w:val="000000"/>
          <w:sz w:val="20"/>
          <w:szCs w:val="20"/>
        </w:rPr>
        <w:t>11</w:t>
      </w:r>
    </w:p>
    <w:p w:rsidR="00000000" w:rsidRDefault="00F123EE">
      <w:pPr>
        <w:rPr>
          <w:rFonts w:eastAsia="Times New Roman"/>
        </w:rPr>
      </w:pPr>
      <w:r>
        <w:rPr>
          <w:rFonts w:eastAsia="Times New Roman"/>
        </w:rPr>
        <w:pict>
          <v:rect id="_x0000_i1040" style="width:0;height:1.5pt" o:hralign="center" o:hrstd="t" o:hr="t" fillcolor="#a0a0a0" stroked="f"/>
        </w:pict>
      </w:r>
    </w:p>
    <w:p w:rsidR="00000000" w:rsidRDefault="00F123EE">
      <w:pPr>
        <w:divId w:val="1721400313"/>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r>
        <w:rPr>
          <w:rFonts w:eastAsia="Times New Roman"/>
          <w:b/>
          <w:bCs/>
          <w:color w:val="000000"/>
          <w:sz w:val="20"/>
          <w:szCs w:val="20"/>
          <w:u w:val="single"/>
        </w:rPr>
        <w:t>Item 1A</w:t>
      </w:r>
      <w:r>
        <w:rPr>
          <w:rFonts w:eastAsia="Times New Roman"/>
          <w:b/>
          <w:bCs/>
          <w:color w:val="000000"/>
          <w:sz w:val="20"/>
          <w:szCs w:val="20"/>
        </w:rPr>
        <w:t>.    </w:t>
      </w:r>
      <w:r>
        <w:rPr>
          <w:rFonts w:eastAsia="Times New Roman"/>
          <w:b/>
          <w:bCs/>
          <w:color w:val="000000"/>
          <w:sz w:val="20"/>
          <w:szCs w:val="20"/>
          <w:u w:val="single"/>
        </w:rPr>
        <w:t>Risk Factors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 xml:space="preserve">Our business faces many risks. Certain risks of which we are currently aware and deem to be material are described below.  If any of the events or circumstances described in the following risk factors occur, our business, financial condition or results of </w:t>
      </w:r>
      <w:r>
        <w:rPr>
          <w:rFonts w:eastAsia="Times New Roman"/>
          <w:color w:val="000000"/>
          <w:sz w:val="20"/>
          <w:szCs w:val="20"/>
        </w:rPr>
        <w:t>operations may significantly suffer, and the trading price of our common stock could decline.  These risk factors should be read in conjunction with the other information in this Annual Report on Form 10-K.</w:t>
      </w:r>
    </w:p>
    <w:p w:rsidR="00000000" w:rsidRDefault="00F123EE">
      <w:pPr>
        <w:jc w:val="both"/>
        <w:rPr>
          <w:rFonts w:eastAsia="Times New Roman"/>
        </w:rPr>
      </w:pPr>
    </w:p>
    <w:p w:rsidR="00000000" w:rsidRDefault="00F123EE">
      <w:pPr>
        <w:jc w:val="both"/>
        <w:rPr>
          <w:rFonts w:eastAsia="Times New Roman"/>
        </w:rPr>
      </w:pPr>
      <w:r>
        <w:rPr>
          <w:rFonts w:eastAsia="Times New Roman"/>
          <w:b/>
          <w:bCs/>
          <w:color w:val="000000"/>
          <w:sz w:val="20"/>
          <w:szCs w:val="20"/>
        </w:rPr>
        <w:t>Strategic and Competitive Risks</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Failure to pr</w:t>
      </w:r>
      <w:r>
        <w:rPr>
          <w:rFonts w:eastAsia="Times New Roman"/>
          <w:i/>
          <w:iCs/>
          <w:color w:val="000000"/>
          <w:sz w:val="20"/>
          <w:szCs w:val="20"/>
        </w:rPr>
        <w:t>otect our reputation could have a material adverse effect on our brand name or any of our exclusive brands.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Our success depends in part on the value and strength of the Tractor Supply name, including our exclusive brands. The Tractor Supply name is integ</w:t>
      </w:r>
      <w:r>
        <w:rPr>
          <w:rFonts w:eastAsia="Times New Roman"/>
          <w:color w:val="000000"/>
          <w:sz w:val="20"/>
          <w:szCs w:val="20"/>
        </w:rPr>
        <w:t>ral to our business, as well as to the implementation of our strategies for expanding our business. Maintaining, promoting, and positioning our brand will depend largely on the success of our marketing and merchandising efforts and our ability to provide h</w:t>
      </w:r>
      <w:r>
        <w:rPr>
          <w:rFonts w:eastAsia="Times New Roman"/>
          <w:color w:val="000000"/>
          <w:sz w:val="20"/>
          <w:szCs w:val="20"/>
        </w:rPr>
        <w:t>igh quality merchandise and a consistent, high quality customer experience. Our brand could be adversely affected if we fail to achieve these objectives or if our public image or reputation were to be tarnished by negative publicity, whether or not based o</w:t>
      </w:r>
      <w:r>
        <w:rPr>
          <w:rFonts w:eastAsia="Times New Roman"/>
          <w:color w:val="000000"/>
          <w:sz w:val="20"/>
          <w:szCs w:val="20"/>
        </w:rPr>
        <w:t>n fact. Any failure to comply or accusation of our failure to comply with ethical, social, product, labor, data privacy, and environmental standards could also jeopardize our reputation and potentially lead to various adverse consumer actions. Customers ar</w:t>
      </w:r>
      <w:r>
        <w:rPr>
          <w:rFonts w:eastAsia="Times New Roman"/>
          <w:color w:val="000000"/>
          <w:sz w:val="20"/>
          <w:szCs w:val="20"/>
        </w:rPr>
        <w:t xml:space="preserve">e also increasingly using social media to provide feedback and information about our Company, including our products and services, in a manner that can be quickly and broadly disseminated. Further, adverse publicity about our merchandise products, whether </w:t>
      </w:r>
      <w:r>
        <w:rPr>
          <w:rFonts w:eastAsia="Times New Roman"/>
          <w:color w:val="000000"/>
          <w:sz w:val="20"/>
          <w:szCs w:val="20"/>
        </w:rPr>
        <w:t>valid or not, may discourage consumers from buying the products we offer. Additionally, our proprietary rights in our trademarks, trade names, service marks, domain names, copyrights, patents, trade secrets and other intellectual property rights are valuab</w:t>
      </w:r>
      <w:r>
        <w:rPr>
          <w:rFonts w:eastAsia="Times New Roman"/>
          <w:color w:val="000000"/>
          <w:sz w:val="20"/>
          <w:szCs w:val="20"/>
        </w:rPr>
        <w:t xml:space="preserve">le assets of our business. We may not be able to prevent or even discover every instance of unauthorized third party uses of our intellectual property or dilution of our brand names, such as when a third party uses trademarks that are identical or similar </w:t>
      </w:r>
      <w:r>
        <w:rPr>
          <w:rFonts w:eastAsia="Times New Roman"/>
          <w:color w:val="000000"/>
          <w:sz w:val="20"/>
          <w:szCs w:val="20"/>
        </w:rPr>
        <w:t>to our own. Any of these events could result in decreased revenue or otherwise adversely affect our business.</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We may be unable to increase sales at our existing stores.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experience fluctuations in our comparable store sales at our existing stores, de</w:t>
      </w:r>
      <w:r>
        <w:rPr>
          <w:rFonts w:eastAsia="Times New Roman"/>
          <w:color w:val="000000"/>
          <w:sz w:val="20"/>
          <w:szCs w:val="20"/>
        </w:rPr>
        <w:t>fined as sales in stores which have been open for at least twelve months. See Item 7. “Management's Discussion and Analysis of Financial Condition and Results of Operations” for a further discussion of comparable store sales. Various factors affect the com</w:t>
      </w:r>
      <w:r>
        <w:rPr>
          <w:rFonts w:eastAsia="Times New Roman"/>
          <w:color w:val="000000"/>
          <w:sz w:val="20"/>
          <w:szCs w:val="20"/>
        </w:rPr>
        <w:t>parable store sales at our existing stores, including, among others, the general retail sales environment, our ability to efficiently source and distribute products, global supply chain disruptions, changes in our merchandise assortment, competition, proxi</w:t>
      </w:r>
      <w:r>
        <w:rPr>
          <w:rFonts w:eastAsia="Times New Roman"/>
          <w:color w:val="000000"/>
          <w:sz w:val="20"/>
          <w:szCs w:val="20"/>
        </w:rPr>
        <w:t>mity of our locations to one another or to the locations of other competing retailers, increased presence of online retailers, current economic conditions, customer satisfaction with our products, retail pricing, the timing of promotional events, the relea</w:t>
      </w:r>
      <w:r>
        <w:rPr>
          <w:rFonts w:eastAsia="Times New Roman"/>
          <w:color w:val="000000"/>
          <w:sz w:val="20"/>
          <w:szCs w:val="20"/>
        </w:rPr>
        <w:t>se of new merchandise, the success of marketing programs, weather conditions, and our ability to attract and retain qualified team members.  These factors may cause the comparable store sales results at our existing stores to differ materially from prior p</w:t>
      </w:r>
      <w:r>
        <w:rPr>
          <w:rFonts w:eastAsia="Times New Roman"/>
          <w:color w:val="000000"/>
          <w:sz w:val="20"/>
          <w:szCs w:val="20"/>
        </w:rPr>
        <w:t>eriods and from expectations.  Past comparable store sales are not an indication of future results, and there can be no assurance that our comparable store sales will not decrease in the future.</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Furthermore, the considerable positive impact of the COVID-</w:t>
      </w:r>
      <w:r>
        <w:rPr>
          <w:rFonts w:eastAsia="Times New Roman"/>
          <w:color w:val="000000"/>
          <w:sz w:val="20"/>
          <w:szCs w:val="20"/>
        </w:rPr>
        <w:t>19 pandemic on the demand for our products in fiscal 2021 and 2020 resulted in a significant increase in new or reacquired customers and in comparable store sales growth. Our sales performance in fiscal 2021 and 2020 may present a greater risk to our abili</w:t>
      </w:r>
      <w:r>
        <w:rPr>
          <w:rFonts w:eastAsia="Times New Roman"/>
          <w:color w:val="000000"/>
          <w:sz w:val="20"/>
          <w:szCs w:val="20"/>
        </w:rPr>
        <w:t xml:space="preserve">ty to increase comparable store sales in the following year(s) and in our ability to maintain our new or reacquired customers gained in those years. Therefore, we may not be able to sustain or increase our comparable store sales in fiscal 2023 and beyond. </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Failure to open and manage new stores in the number and manner currently contemplated could adversely affect our financial performance.</w:t>
      </w:r>
    </w:p>
    <w:p w:rsidR="00000000" w:rsidRDefault="00F123EE">
      <w:pPr>
        <w:divId w:val="1931573301"/>
        <w:rPr>
          <w:rFonts w:eastAsia="Times New Roman"/>
        </w:rPr>
      </w:pPr>
    </w:p>
    <w:p w:rsidR="00000000" w:rsidRDefault="00F123EE">
      <w:pPr>
        <w:jc w:val="both"/>
        <w:rPr>
          <w:rFonts w:eastAsia="Times New Roman"/>
        </w:rPr>
      </w:pPr>
      <w:r>
        <w:rPr>
          <w:rFonts w:eastAsia="Times New Roman"/>
          <w:color w:val="000000"/>
          <w:sz w:val="20"/>
          <w:szCs w:val="20"/>
        </w:rPr>
        <w:t>An integral part of our business strategy includes the expansion of our store base through new store openings. This</w:t>
      </w:r>
      <w:r>
        <w:rPr>
          <w:rFonts w:eastAsia="Times New Roman"/>
          <w:color w:val="000000"/>
          <w:sz w:val="20"/>
          <w:szCs w:val="20"/>
        </w:rPr>
        <w:t xml:space="preserve"> expansion strategy is dependent on our ability to find suitable locations, and we face competition from many retailers and other businesses for such sites. If we are unable to implement this strategy, our ability to increase our sales, profitability, and </w:t>
      </w:r>
      <w:r>
        <w:rPr>
          <w:rFonts w:eastAsia="Times New Roman"/>
          <w:color w:val="000000"/>
          <w:sz w:val="20"/>
          <w:szCs w:val="20"/>
        </w:rPr>
        <w:t>cash flow could be impaired. To the extent that we are unable to open new stores in the manner we anticipate (due to, among other reasons, site approval or unforeseen delays in construction), our sales growth may be impeded.</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Although we have a rigorous r</w:t>
      </w:r>
      <w:r>
        <w:rPr>
          <w:rFonts w:eastAsia="Times New Roman"/>
          <w:color w:val="000000"/>
          <w:sz w:val="20"/>
          <w:szCs w:val="20"/>
        </w:rPr>
        <w:t>eal estate site selection and approval process, there can be no assurance that our new store openings will be successful or result in incremental sales and profitability for the Company. New stores build their sales volumes and refine their merchandise sel</w:t>
      </w:r>
      <w:r>
        <w:rPr>
          <w:rFonts w:eastAsia="Times New Roman"/>
          <w:color w:val="000000"/>
          <w:sz w:val="20"/>
          <w:szCs w:val="20"/>
        </w:rPr>
        <w:t xml:space="preserve">ection over time and, as a result, generally have lower gross margins and higher </w:t>
      </w:r>
    </w:p>
    <w:p w:rsidR="00000000" w:rsidRDefault="00F123EE">
      <w:pPr>
        <w:jc w:val="center"/>
        <w:divId w:val="914626106"/>
        <w:rPr>
          <w:rFonts w:eastAsia="Times New Roman"/>
        </w:rPr>
      </w:pPr>
      <w:r>
        <w:rPr>
          <w:rFonts w:eastAsia="Times New Roman"/>
          <w:color w:val="000000"/>
          <w:sz w:val="20"/>
          <w:szCs w:val="20"/>
        </w:rPr>
        <w:t>12</w:t>
      </w:r>
    </w:p>
    <w:p w:rsidR="00000000" w:rsidRDefault="00F123EE">
      <w:pPr>
        <w:rPr>
          <w:rFonts w:eastAsia="Times New Roman"/>
        </w:rPr>
      </w:pPr>
      <w:r>
        <w:rPr>
          <w:rFonts w:eastAsia="Times New Roman"/>
        </w:rPr>
        <w:pict>
          <v:rect id="_x0000_i1041" style="width:0;height:1.5pt" o:hralign="center" o:hrstd="t" o:hr="t" fillcolor="#a0a0a0" stroked="f"/>
        </w:pict>
      </w:r>
    </w:p>
    <w:p w:rsidR="00000000" w:rsidRDefault="00F123EE">
      <w:pPr>
        <w:divId w:val="657267544"/>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r>
        <w:rPr>
          <w:rFonts w:eastAsia="Times New Roman"/>
          <w:color w:val="000000"/>
          <w:sz w:val="20"/>
          <w:szCs w:val="20"/>
        </w:rPr>
        <w:t>operating expenses as a percentage of net sales than our more mature s</w:t>
      </w:r>
      <w:r>
        <w:rPr>
          <w:rFonts w:eastAsia="Times New Roman"/>
          <w:color w:val="000000"/>
          <w:sz w:val="20"/>
          <w:szCs w:val="20"/>
        </w:rPr>
        <w:t>tores. As we continue to open new stores, there may be a negative impact on our results from a lower contribution margin of these new stores until their sales levels ramp to chain average, if at all, as well as from the impact of related pre-opening costs.</w:t>
      </w:r>
      <w:r>
        <w:rPr>
          <w:rFonts w:eastAsia="Times New Roman"/>
          <w:color w:val="000000"/>
          <w:sz w:val="20"/>
          <w:szCs w:val="20"/>
        </w:rPr>
        <w:t xml:space="preserve"> Additionally, new stores can also impact the sales and contribution margins of existing stores located in close proximity.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As we execute this expansion strategy, we may also experience managerial or operational challenges which may prevent any expected</w:t>
      </w:r>
      <w:r>
        <w:rPr>
          <w:rFonts w:eastAsia="Times New Roman"/>
          <w:color w:val="000000"/>
          <w:sz w:val="20"/>
          <w:szCs w:val="20"/>
        </w:rPr>
        <w:t xml:space="preserve"> increase in sales, profitability, or cash flow. Our ability to manage our planned expansion depends on the adequacy of our existing information systems, the efficiency and expansion of our distribution systems, the adequacy of the hiring and training proc</w:t>
      </w:r>
      <w:r>
        <w:rPr>
          <w:rFonts w:eastAsia="Times New Roman"/>
          <w:color w:val="000000"/>
          <w:sz w:val="20"/>
          <w:szCs w:val="20"/>
        </w:rPr>
        <w:t>ess for new personnel (especially store managers), the effectiveness of our controls and procedures, and the ability to identify customer demand and build market awareness in different geographic areas. There can be no assurance that we will be able to ach</w:t>
      </w:r>
      <w:r>
        <w:rPr>
          <w:rFonts w:eastAsia="Times New Roman"/>
          <w:color w:val="000000"/>
          <w:sz w:val="20"/>
          <w:szCs w:val="20"/>
        </w:rPr>
        <w:t>ieve our planned expansion, that the new stores will be effectively integrated into our existing operations or that such stores will be profitable.</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Our merchandising and marketing initiatives may not provide expected results.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believe our past performance has been based upon, and future success will depend in part upon, the ability to develop and execute merchandising initiatives with effective ma</w:t>
      </w:r>
      <w:r>
        <w:rPr>
          <w:rFonts w:eastAsia="Times New Roman"/>
          <w:color w:val="000000"/>
          <w:sz w:val="20"/>
          <w:szCs w:val="20"/>
        </w:rPr>
        <w:t>rketing programs.  These merchandising initiatives and marketing programs may not deliver expected results, and there is no assurance that we will correctly identify and respond in a timely manner to evolving trends and consumer preferences and expectation</w:t>
      </w:r>
      <w:r>
        <w:rPr>
          <w:rFonts w:eastAsia="Times New Roman"/>
          <w:color w:val="000000"/>
          <w:sz w:val="20"/>
          <w:szCs w:val="20"/>
        </w:rPr>
        <w:t>s. If we misjudge the market or our marketing programs are not successful, we may overstock unpopular products and be forced to take inventory impairment or retail price reductions that have a material adverse effect on our profitability. Failure to execut</w:t>
      </w:r>
      <w:r>
        <w:rPr>
          <w:rFonts w:eastAsia="Times New Roman"/>
          <w:color w:val="000000"/>
          <w:sz w:val="20"/>
          <w:szCs w:val="20"/>
        </w:rPr>
        <w:t>e and promote such initiatives in a timely manner could harm our ability to grow the business and could have a material adverse effect on our results of operations and financial condition.  Shortages of key merchandise could also have a material adverse ef</w:t>
      </w:r>
      <w:r>
        <w:rPr>
          <w:rFonts w:eastAsia="Times New Roman"/>
          <w:color w:val="000000"/>
          <w:sz w:val="20"/>
          <w:szCs w:val="20"/>
        </w:rPr>
        <w:t>fect on our financial condition and results of operations.</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We may not timely identify or effectively respond to consumer needs, expectations, or trends, which could adversely affect our relationship with customers, the demand for our products and service</w:t>
      </w:r>
      <w:r>
        <w:rPr>
          <w:rFonts w:eastAsia="Times New Roman"/>
          <w:i/>
          <w:iCs/>
          <w:color w:val="000000"/>
          <w:sz w:val="20"/>
          <w:szCs w:val="20"/>
        </w:rPr>
        <w:t>s, and our market share.</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success of our business depends in part on our ability to identify and respond promptly to evolving trends in demographics; consumer preferences, expectations and needs; and unexpected weather conditions, public health issues</w:t>
      </w:r>
      <w:r>
        <w:rPr>
          <w:rFonts w:eastAsia="Times New Roman"/>
          <w:color w:val="000000"/>
          <w:sz w:val="20"/>
          <w:szCs w:val="20"/>
        </w:rPr>
        <w:t xml:space="preserve"> (including pandemics and quarantines and related shut-downs, re-openings, or other actions by the government) or natural disasters, while also managing appropriate inventory levels in our stores and distribution or fulfillment centers and managing an exce</w:t>
      </w:r>
      <w:r>
        <w:rPr>
          <w:rFonts w:eastAsia="Times New Roman"/>
          <w:color w:val="000000"/>
          <w:sz w:val="20"/>
          <w:szCs w:val="20"/>
        </w:rPr>
        <w:t>llent customer experience. It is difficult to successfully predict the products and services our customer will demand. As our customers begin to expect a more personalized experience, our ability to collect, use, and protect relevant customer data is impor</w:t>
      </w:r>
      <w:r>
        <w:rPr>
          <w:rFonts w:eastAsia="Times New Roman"/>
          <w:color w:val="000000"/>
          <w:sz w:val="20"/>
          <w:szCs w:val="20"/>
        </w:rPr>
        <w:t xml:space="preserve">tant to our ability to effectively meet their expectations. Our ability to collect and use that data, however, is subject to a number of external factors, including the impact of legislation or regulations governing data privacy and security. In addition, </w:t>
      </w:r>
      <w:r>
        <w:rPr>
          <w:rFonts w:eastAsia="Times New Roman"/>
          <w:color w:val="000000"/>
          <w:sz w:val="20"/>
          <w:szCs w:val="20"/>
        </w:rPr>
        <w:t>each of our primary customer groups has different needs and expectations, many of which evolve as the demographics in a particular customer group change. We also need to offer more localized assortments of our merchandise to appeal to local cultural and de</w:t>
      </w:r>
      <w:r>
        <w:rPr>
          <w:rFonts w:eastAsia="Times New Roman"/>
          <w:color w:val="000000"/>
          <w:sz w:val="20"/>
          <w:szCs w:val="20"/>
        </w:rPr>
        <w:t>mographic tastes within each customer group. If we do not successfully differentiate the shopping experience to meet the individual needs and expectations of or within a customer group, we may lose market share with respect to those customers.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Customer e</w:t>
      </w:r>
      <w:r>
        <w:rPr>
          <w:rFonts w:eastAsia="Times New Roman"/>
          <w:color w:val="000000"/>
          <w:sz w:val="20"/>
          <w:szCs w:val="20"/>
        </w:rPr>
        <w:t>xpectations about the methods by which they purchase and receive products or services are also becoming more demanding. Customers routinely use technology and a variety of electronic devices and digital platforms to rapidly compare products and prices, rea</w:t>
      </w:r>
      <w:r>
        <w:rPr>
          <w:rFonts w:eastAsia="Times New Roman"/>
          <w:color w:val="000000"/>
          <w:sz w:val="20"/>
          <w:szCs w:val="20"/>
        </w:rPr>
        <w:t>d product reviews, determine real-time product availability, and purchase products. Once products are purchased, customers are seeking alternate options for delivery of those products, and they often expect quick, timely, and low-price or free delivery and</w:t>
      </w:r>
      <w:r>
        <w:rPr>
          <w:rFonts w:eastAsia="Times New Roman"/>
          <w:color w:val="000000"/>
          <w:sz w:val="20"/>
          <w:szCs w:val="20"/>
        </w:rPr>
        <w:t>/or convenient pickup options. We must continually anticipate and adapt to these changes in the purchasing process.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 xml:space="preserve">In addition, a greater concentration of online sales with direct fulfillment or curbside pickup could result in a reduction in the amount </w:t>
      </w:r>
      <w:r>
        <w:rPr>
          <w:rFonts w:eastAsia="Times New Roman"/>
          <w:color w:val="000000"/>
          <w:sz w:val="20"/>
          <w:szCs w:val="20"/>
        </w:rPr>
        <w:t>of traffic in our stores, which would, in turn, reduce the opportunities for cross-selling of merchandise that such traffic creates and could reduce our overall sales and adversely affect our financial performance.</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 xml:space="preserve">Failure to provide a compelling online </w:t>
      </w:r>
      <w:r>
        <w:rPr>
          <w:rFonts w:eastAsia="Times New Roman"/>
          <w:color w:val="000000"/>
          <w:sz w:val="20"/>
          <w:szCs w:val="20"/>
        </w:rPr>
        <w:t>presence; to timely identify or respond to changing consumer preferences, expectations and home improvement needs; to maintain appropriate inventory; to provide quick and low-price or free delivery alternatives and convenient pickup options; to differentia</w:t>
      </w:r>
      <w:r>
        <w:rPr>
          <w:rFonts w:eastAsia="Times New Roman"/>
          <w:color w:val="000000"/>
          <w:sz w:val="20"/>
          <w:szCs w:val="20"/>
        </w:rPr>
        <w:t>te the customer experience for our primary customer groups; and to effectively implement an increasingly localized merchandising assortment could adversely affect our relationship with customers, the demand for our products and services, and our market sha</w:t>
      </w:r>
      <w:r>
        <w:rPr>
          <w:rFonts w:eastAsia="Times New Roman"/>
          <w:color w:val="000000"/>
          <w:sz w:val="20"/>
          <w:szCs w:val="20"/>
        </w:rPr>
        <w:t>re.</w:t>
      </w:r>
    </w:p>
    <w:p w:rsidR="00000000" w:rsidRDefault="00F123EE">
      <w:pPr>
        <w:jc w:val="center"/>
        <w:divId w:val="100610671"/>
        <w:rPr>
          <w:rFonts w:eastAsia="Times New Roman"/>
        </w:rPr>
      </w:pPr>
      <w:r>
        <w:rPr>
          <w:rFonts w:eastAsia="Times New Roman"/>
          <w:color w:val="000000"/>
          <w:sz w:val="20"/>
          <w:szCs w:val="20"/>
        </w:rPr>
        <w:t>13</w:t>
      </w:r>
    </w:p>
    <w:p w:rsidR="00000000" w:rsidRDefault="00F123EE">
      <w:pPr>
        <w:rPr>
          <w:rFonts w:eastAsia="Times New Roman"/>
        </w:rPr>
      </w:pPr>
      <w:r>
        <w:rPr>
          <w:rFonts w:eastAsia="Times New Roman"/>
        </w:rPr>
        <w:pict>
          <v:rect id="_x0000_i1042" style="width:0;height:1.5pt" o:hralign="center" o:hrstd="t" o:hr="t" fillcolor="#a0a0a0" stroked="f"/>
        </w:pict>
      </w:r>
    </w:p>
    <w:p w:rsidR="00000000" w:rsidRDefault="00F123EE">
      <w:pPr>
        <w:divId w:val="684552109"/>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Competition may hinder our ability to execute our business strategy and adversely affect our operations.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operate in the highly competitive retail merchandise sector with numerous competitors. These competitors include general merchandise retailers, ho</w:t>
      </w:r>
      <w:r>
        <w:rPr>
          <w:rFonts w:eastAsia="Times New Roman"/>
          <w:color w:val="000000"/>
          <w:sz w:val="20"/>
          <w:szCs w:val="20"/>
        </w:rPr>
        <w:t>me center retailers, pet retailers, specialty and discount retailers, independently-owned retail farm and ranch stores, numerous privately-held regional farm store chains, and farm cooperatives, as well as internet-based retailers. We compete for customers</w:t>
      </w:r>
      <w:r>
        <w:rPr>
          <w:rFonts w:eastAsia="Times New Roman"/>
          <w:color w:val="000000"/>
          <w:sz w:val="20"/>
          <w:szCs w:val="20"/>
        </w:rPr>
        <w:t>, merchandise, real estate locations, and team members. This competitive environment subjects us to various other risks, including the inability to continue our store and sales growth and to provide attractive merchandise to our customers at competitive pr</w:t>
      </w:r>
      <w:r>
        <w:rPr>
          <w:rFonts w:eastAsia="Times New Roman"/>
          <w:color w:val="000000"/>
          <w:sz w:val="20"/>
          <w:szCs w:val="20"/>
        </w:rPr>
        <w:t>ices that allow us to maintain our profitability. Our failure to compete effectively in this environment could adversely impact our financial performance.</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We may pursue strategic acquisitions and the failure of an acquisition to produce the anticipated r</w:t>
      </w:r>
      <w:r>
        <w:rPr>
          <w:rFonts w:eastAsia="Times New Roman"/>
          <w:i/>
          <w:iCs/>
          <w:color w:val="000000"/>
          <w:sz w:val="20"/>
          <w:szCs w:val="20"/>
        </w:rPr>
        <w:t>esults or the inability to fully integrate the acquired companies could have an adverse impact on our business.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may, from time to time, acquire businesses we believe to be complementary to our business, for example, the acquisition of Orscheln Farm an</w:t>
      </w:r>
      <w:r>
        <w:rPr>
          <w:rFonts w:eastAsia="Times New Roman"/>
          <w:color w:val="000000"/>
          <w:sz w:val="20"/>
          <w:szCs w:val="20"/>
        </w:rPr>
        <w:t>d Home. The success of an acquisition is based on our ability to make accurate assumptions regarding the valuation, operations, growth potential, integration, and other factors relating to the target business. Acquisitions may result in difficulties in ass</w:t>
      </w:r>
      <w:r>
        <w:rPr>
          <w:rFonts w:eastAsia="Times New Roman"/>
          <w:color w:val="000000"/>
          <w:sz w:val="20"/>
          <w:szCs w:val="20"/>
        </w:rPr>
        <w:t>imilating acquired companies and may result in the diversion of our capital and our management’s attention from other business issues and opportunities. We may not be able to successfully integrate an organization that we acquire, including their personnel</w:t>
      </w:r>
      <w:r>
        <w:rPr>
          <w:rFonts w:eastAsia="Times New Roman"/>
          <w:color w:val="000000"/>
          <w:sz w:val="20"/>
          <w:szCs w:val="20"/>
        </w:rPr>
        <w:t>, financial systems, distribution, operations, and general operating procedures. If we fail to successfully integrate acquisitions, we could experience increased costs associated with operating inefficiencies which could have an adverse effect on our finan</w:t>
      </w:r>
      <w:r>
        <w:rPr>
          <w:rFonts w:eastAsia="Times New Roman"/>
          <w:color w:val="000000"/>
          <w:sz w:val="20"/>
          <w:szCs w:val="20"/>
        </w:rPr>
        <w:t xml:space="preserve">cial results. Also, while we employ several different methodologies to assess potential business opportunities, acquired businesses may not achieve desired profitability objectives or other expectations, causing lower than expected earnings and cash flows </w:t>
      </w:r>
      <w:r>
        <w:rPr>
          <w:rFonts w:eastAsia="Times New Roman"/>
          <w:color w:val="000000"/>
          <w:sz w:val="20"/>
          <w:szCs w:val="20"/>
        </w:rPr>
        <w:t>which could adversely affect our financial performance and subsequently require impairment of long-lived assets, goodwill and other intangible assets.</w:t>
      </w:r>
    </w:p>
    <w:p w:rsidR="00000000" w:rsidRDefault="00F123EE">
      <w:pPr>
        <w:jc w:val="both"/>
        <w:rPr>
          <w:rFonts w:eastAsia="Times New Roman"/>
        </w:rPr>
      </w:pPr>
    </w:p>
    <w:p w:rsidR="00000000" w:rsidRDefault="00F123EE">
      <w:pPr>
        <w:jc w:val="both"/>
        <w:rPr>
          <w:rFonts w:eastAsia="Times New Roman"/>
        </w:rPr>
      </w:pPr>
      <w:r>
        <w:rPr>
          <w:rFonts w:eastAsia="Times New Roman"/>
          <w:b/>
          <w:bCs/>
          <w:color w:val="000000"/>
          <w:sz w:val="20"/>
          <w:szCs w:val="20"/>
        </w:rPr>
        <w:t>Weather and Climate Risks</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Unseasonal and extreme weather conditions, natural disasters, and climate c</w:t>
      </w:r>
      <w:r>
        <w:rPr>
          <w:rFonts w:eastAsia="Times New Roman"/>
          <w:i/>
          <w:iCs/>
          <w:color w:val="000000"/>
          <w:sz w:val="20"/>
          <w:szCs w:val="20"/>
        </w:rPr>
        <w:t>hange may have a significant impact on our financial results.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Weather conditions affect the demand for, and in some cases the supply of, products, which in turn has an impact on prices.  Historically, weather conditions, including unseasonably warm weather in the fall and winter months and unseasonably cool weather i</w:t>
      </w:r>
      <w:r>
        <w:rPr>
          <w:rFonts w:eastAsia="Times New Roman"/>
          <w:color w:val="000000"/>
          <w:sz w:val="20"/>
          <w:szCs w:val="20"/>
        </w:rPr>
        <w:t>n the spring and summer months, have affected the timing and volume of our sales and results of operations. In addition, extreme weather conditions, such as more frequent or intense hurricanes and tropical storms, thunderstorms, tornadoes, flood, fires, dr</w:t>
      </w:r>
      <w:r>
        <w:rPr>
          <w:rFonts w:eastAsia="Times New Roman"/>
          <w:color w:val="000000"/>
          <w:sz w:val="20"/>
          <w:szCs w:val="20"/>
        </w:rPr>
        <w:t>oughts, earthquakes, and snow or ice storms, as well as rising sea levels, have impacted operating results both positively and negatively and may positively or negatively impact our business in the future. While extreme weather conditions can positively im</w:t>
      </w:r>
      <w:r>
        <w:rPr>
          <w:rFonts w:eastAsia="Times New Roman"/>
          <w:color w:val="000000"/>
          <w:sz w:val="20"/>
          <w:szCs w:val="20"/>
        </w:rPr>
        <w:t>pact our operating results by increasing demand in affected locations for products needed to cope with the weather condition and its effects, they can also negatively affect our business depending on the severity and length of these conditions, as a result</w:t>
      </w:r>
      <w:r>
        <w:rPr>
          <w:rFonts w:eastAsia="Times New Roman"/>
          <w:color w:val="000000"/>
          <w:sz w:val="20"/>
          <w:szCs w:val="20"/>
        </w:rPr>
        <w:t xml:space="preserve"> of store closings, damage to our stores or merchandise, or the inability of customers to shop at our stores due to weather conditions. Our strategy is to manage product flow and adjust merchandise assortments and depth of inventory to capitalize on season</w:t>
      </w:r>
      <w:r>
        <w:rPr>
          <w:rFonts w:eastAsia="Times New Roman"/>
          <w:color w:val="000000"/>
          <w:sz w:val="20"/>
          <w:szCs w:val="20"/>
        </w:rPr>
        <w:t xml:space="preserve">al demand trends. Should such a strategy not be effective, the weather may have a material adverse effect on our financial condition and results of operations.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 xml:space="preserve">Furthermore, the long-term impacts of climate change, whether involving physical risks (such </w:t>
      </w:r>
      <w:r>
        <w:rPr>
          <w:rFonts w:eastAsia="Times New Roman"/>
          <w:color w:val="000000"/>
          <w:sz w:val="20"/>
          <w:szCs w:val="20"/>
        </w:rPr>
        <w:t>as extreme weather conditions or rising sea levels) or transition risks (such as regulatory or technology changes) are expected to be widespread and unpredictable. These changes over time could affect, for example, the availability and cost of certain cons</w:t>
      </w:r>
      <w:r>
        <w:rPr>
          <w:rFonts w:eastAsia="Times New Roman"/>
          <w:color w:val="000000"/>
          <w:sz w:val="20"/>
          <w:szCs w:val="20"/>
        </w:rPr>
        <w:t>umer products and commodities, and energy (including utilities), which, in turn, may impact our ability to procure certain goods or services required for the operation of our business at the quantities and levels we require.</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 xml:space="preserve">As a consequence of these or </w:t>
      </w:r>
      <w:r>
        <w:rPr>
          <w:rFonts w:eastAsia="Times New Roman"/>
          <w:color w:val="000000"/>
          <w:sz w:val="20"/>
          <w:szCs w:val="20"/>
        </w:rPr>
        <w:t>other catastrophic or uncharacteristic events, we may experience interruption to our operations, increased costs, or losses of property, equipment or inventory, which would adversely affect our revenue and profitability.</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Weather conditions may cause a di</w:t>
      </w:r>
      <w:r>
        <w:rPr>
          <w:rFonts w:eastAsia="Times New Roman"/>
          <w:i/>
          <w:iCs/>
          <w:color w:val="000000"/>
          <w:sz w:val="20"/>
          <w:szCs w:val="20"/>
        </w:rPr>
        <w:t>sruption in our distribution and transportation network that would adversely affect our ability to conduct our operations.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rely on our distribution and transportation network, including third-party logistics providers, to provide goods to our stores a</w:t>
      </w:r>
      <w:r>
        <w:rPr>
          <w:rFonts w:eastAsia="Times New Roman"/>
          <w:color w:val="000000"/>
          <w:sz w:val="20"/>
          <w:szCs w:val="20"/>
        </w:rPr>
        <w:t xml:space="preserve">nd to our customers in a timely and cost-effective manner through deliveries to our distribution facilities from vendors and </w:t>
      </w:r>
    </w:p>
    <w:p w:rsidR="00000000" w:rsidRDefault="00F123EE">
      <w:pPr>
        <w:jc w:val="center"/>
        <w:divId w:val="28378995"/>
        <w:rPr>
          <w:rFonts w:eastAsia="Times New Roman"/>
        </w:rPr>
      </w:pPr>
      <w:r>
        <w:rPr>
          <w:rFonts w:eastAsia="Times New Roman"/>
          <w:color w:val="000000"/>
          <w:sz w:val="20"/>
          <w:szCs w:val="20"/>
        </w:rPr>
        <w:t>14</w:t>
      </w:r>
    </w:p>
    <w:p w:rsidR="00000000" w:rsidRDefault="00F123EE">
      <w:pPr>
        <w:rPr>
          <w:rFonts w:eastAsia="Times New Roman"/>
        </w:rPr>
      </w:pPr>
      <w:r>
        <w:rPr>
          <w:rFonts w:eastAsia="Times New Roman"/>
        </w:rPr>
        <w:pict>
          <v:rect id="_x0000_i1043" style="width:0;height:1.5pt" o:hralign="center" o:hrstd="t" o:hr="t" fillcolor="#a0a0a0" stroked="f"/>
        </w:pict>
      </w:r>
    </w:p>
    <w:p w:rsidR="00000000" w:rsidRDefault="00F123EE">
      <w:pPr>
        <w:divId w:val="1107193543"/>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r>
        <w:rPr>
          <w:rFonts w:eastAsia="Times New Roman"/>
          <w:color w:val="000000"/>
          <w:sz w:val="20"/>
          <w:szCs w:val="20"/>
        </w:rPr>
        <w:t>then from the distribution</w:t>
      </w:r>
      <w:r>
        <w:rPr>
          <w:rFonts w:eastAsia="Times New Roman"/>
          <w:color w:val="000000"/>
          <w:sz w:val="20"/>
          <w:szCs w:val="20"/>
        </w:rPr>
        <w:t xml:space="preserve"> facilities or direct ship vendors to our stores or customers by various means of transportation, including shipments by sea, air, rail, and truck. Although we believe that our operations are efficient, disruptions due to extreme weather conditions, includ</w:t>
      </w:r>
      <w:r>
        <w:rPr>
          <w:rFonts w:eastAsia="Times New Roman"/>
          <w:color w:val="000000"/>
          <w:sz w:val="20"/>
          <w:szCs w:val="20"/>
        </w:rPr>
        <w:t>ing snow and ice storms, flood and wind damage, hurricanes, tornadoes, extreme rain, fires and droughts may result in delays in the transportation and delivery of merchandise to our distribution centers, our stores, or our customers. Significant disruption</w:t>
      </w:r>
      <w:r>
        <w:rPr>
          <w:rFonts w:eastAsia="Times New Roman"/>
          <w:color w:val="000000"/>
          <w:sz w:val="20"/>
          <w:szCs w:val="20"/>
        </w:rPr>
        <w:t>s or delays in our distribution and transportation network could adversely affect sales and the satisfaction of our customers which could have a material adverse impact on our financial condition and results of operations.</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We may be adversely affected by</w:t>
      </w:r>
      <w:r>
        <w:rPr>
          <w:rFonts w:eastAsia="Times New Roman"/>
          <w:i/>
          <w:iCs/>
          <w:color w:val="000000"/>
          <w:sz w:val="20"/>
          <w:szCs w:val="20"/>
        </w:rPr>
        <w:t xml:space="preserve"> legal, regulatory or market responses to global climate change.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Growing concern over climate change has led policy makers in the U.S. to consider the enactment of legislative and regulatory proposals that would impose mandatory requirements on greenhou</w:t>
      </w:r>
      <w:r>
        <w:rPr>
          <w:rFonts w:eastAsia="Times New Roman"/>
          <w:color w:val="000000"/>
          <w:sz w:val="20"/>
          <w:szCs w:val="20"/>
        </w:rPr>
        <w:t>se gas emissions. Such laws, if enacted, are likely to impact our business in a number of ways. For example, we use natural gas, diesel fuel, gasoline and electricity in conducting our operations. Increased government regulations to limit carbon dioxide an</w:t>
      </w:r>
      <w:r>
        <w:rPr>
          <w:rFonts w:eastAsia="Times New Roman"/>
          <w:color w:val="000000"/>
          <w:sz w:val="20"/>
          <w:szCs w:val="20"/>
        </w:rPr>
        <w:t>d other greenhouse gas emissions may result in increased compliance costs and legislation or regulation affecting energy inputs, which could materially affect our profitability. Compliance with any new or more stringent laws or requirements, or stricter in</w:t>
      </w:r>
      <w:r>
        <w:rPr>
          <w:rFonts w:eastAsia="Times New Roman"/>
          <w:color w:val="000000"/>
          <w:sz w:val="20"/>
          <w:szCs w:val="20"/>
        </w:rPr>
        <w:t>terpretations of existing laws, could require additional expenditures by us or our suppliers. Our inability to appropriately respond to such changes could adversely impact our business, financial condition, results of operations or cash flows.</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 xml:space="preserve">We may be </w:t>
      </w:r>
      <w:r>
        <w:rPr>
          <w:rFonts w:eastAsia="Times New Roman"/>
          <w:i/>
          <w:iCs/>
          <w:color w:val="000000"/>
          <w:sz w:val="20"/>
          <w:szCs w:val="20"/>
        </w:rPr>
        <w:t>unable to meet our ESG goals, particularly with respect to the reduction of carbon emissions, or otherwise meet the expectations of our stakeholders with respect to ESG and/or DE&amp;I matters.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have announced certain aspirations and goals related to ESG m</w:t>
      </w:r>
      <w:r>
        <w:rPr>
          <w:rFonts w:eastAsia="Times New Roman"/>
          <w:color w:val="000000"/>
          <w:sz w:val="20"/>
          <w:szCs w:val="20"/>
        </w:rPr>
        <w:t>atters, such as plans to reduce our carbon footprint by 20% by 2025, by 50% by 2030, and achieve net zero emissions across all operations by 2040. Additionally, we have published DE&amp;I goals aligned with our ESG efforts and enhanced our DE&amp;I Strategy to inc</w:t>
      </w:r>
      <w:r>
        <w:rPr>
          <w:rFonts w:eastAsia="Times New Roman"/>
          <w:color w:val="000000"/>
          <w:sz w:val="20"/>
          <w:szCs w:val="20"/>
        </w:rPr>
        <w:t>lude supplier diversity efforts and established our DE&amp;I Customer Promise. Achievement of these aspirations, targets, plans and goals is subject to numerous risks and uncertainties, many of which are outside of our control. These risks and uncertainties in</w:t>
      </w:r>
      <w:r>
        <w:rPr>
          <w:rFonts w:eastAsia="Times New Roman"/>
          <w:color w:val="000000"/>
          <w:sz w:val="20"/>
          <w:szCs w:val="20"/>
        </w:rPr>
        <w:t>clude, but are not limited to: our ability to successfully identify and implement relevant strategies on a timely and cost-effective basis; our ability to achieve the anticipated benefits and cost savings of such strategies and actions; and the availabilit</w:t>
      </w:r>
      <w:r>
        <w:rPr>
          <w:rFonts w:eastAsia="Times New Roman"/>
          <w:color w:val="000000"/>
          <w:sz w:val="20"/>
          <w:szCs w:val="20"/>
        </w:rPr>
        <w:t>y and cost of existing and future technologies, such as alternative fuel vehicles, off-site renewable energy, and other materials and components. It is possible that we may be unsuccessful in the achievement of our ESG and/or DE&amp;I goals on a timely basis o</w:t>
      </w:r>
      <w:r>
        <w:rPr>
          <w:rFonts w:eastAsia="Times New Roman"/>
          <w:color w:val="000000"/>
          <w:sz w:val="20"/>
          <w:szCs w:val="20"/>
        </w:rPr>
        <w:t xml:space="preserve">r at all. Furthermore, our stakeholders may not be satisfied with our efforts or the speed at which we are progressing towards any such aspirations and goals. A delay, failure or perceived failure or delay to meet our goals and aspirations could adversely </w:t>
      </w:r>
      <w:r>
        <w:rPr>
          <w:rFonts w:eastAsia="Times New Roman"/>
          <w:color w:val="000000"/>
          <w:sz w:val="20"/>
          <w:szCs w:val="20"/>
        </w:rPr>
        <w:t>affect public perception of our business, employee morale, customer or stockholder support as well as business and/or financial performance. Certain challenges we face in the achievement of our ESG objectives are also captured within our ESG reporting, whi</w:t>
      </w:r>
      <w:r>
        <w:rPr>
          <w:rFonts w:eastAsia="Times New Roman"/>
          <w:color w:val="000000"/>
          <w:sz w:val="20"/>
          <w:szCs w:val="20"/>
        </w:rPr>
        <w:t>ch is not incorporated by reference into and does not form any part of this Annual Report on Form 10-K or our other filings with the SEC.</w:t>
      </w:r>
    </w:p>
    <w:p w:rsidR="00000000" w:rsidRDefault="00F123EE">
      <w:pPr>
        <w:jc w:val="both"/>
        <w:rPr>
          <w:rFonts w:eastAsia="Times New Roman"/>
        </w:rPr>
      </w:pPr>
    </w:p>
    <w:p w:rsidR="00000000" w:rsidRDefault="00F123EE">
      <w:pPr>
        <w:jc w:val="both"/>
        <w:rPr>
          <w:rFonts w:eastAsia="Times New Roman"/>
        </w:rPr>
      </w:pPr>
      <w:r>
        <w:rPr>
          <w:rFonts w:eastAsia="Times New Roman"/>
          <w:b/>
          <w:bCs/>
          <w:color w:val="000000"/>
          <w:sz w:val="20"/>
          <w:szCs w:val="20"/>
          <w:shd w:val="clear" w:color="auto" w:fill="FFFFFF"/>
        </w:rPr>
        <w:t>Macroeconomic Risks</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General economic conditions may adversely affect our financial performance.</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Our results of o</w:t>
      </w:r>
      <w:r>
        <w:rPr>
          <w:rFonts w:eastAsia="Times New Roman"/>
          <w:color w:val="000000"/>
          <w:sz w:val="20"/>
          <w:szCs w:val="20"/>
        </w:rPr>
        <w:t>perations may be sensitive to changes in overall economic conditions that impact consumer spending, including discretionary spending. A weakening of economic conditions affecting disposable consumer income such as lower employment levels, uncertainty or ch</w:t>
      </w:r>
      <w:r>
        <w:rPr>
          <w:rFonts w:eastAsia="Times New Roman"/>
          <w:color w:val="000000"/>
          <w:sz w:val="20"/>
          <w:szCs w:val="20"/>
        </w:rPr>
        <w:t>anges in business or political conditions, social and political causes and movements, higher interest rates, higher tax rates, higher fuel and energy costs, higher labor and healthcare costs, the impact of natural disasters or acts of terrorism, general he</w:t>
      </w:r>
      <w:r>
        <w:rPr>
          <w:rFonts w:eastAsia="Times New Roman"/>
          <w:color w:val="000000"/>
          <w:sz w:val="20"/>
          <w:szCs w:val="20"/>
        </w:rPr>
        <w:t>alth epidemics (such as COVID-19), and other matters could reduce consumer spending or cause consumers to shift their spending to competitors. A general reduction in the level of discretionary spending, shifts in consumer discretionary spending to our comp</w:t>
      </w:r>
      <w:r>
        <w:rPr>
          <w:rFonts w:eastAsia="Times New Roman"/>
          <w:color w:val="000000"/>
          <w:sz w:val="20"/>
          <w:szCs w:val="20"/>
        </w:rPr>
        <w:t>etitors or shifts in discretionary spending to less profitable products sold by us could result in lower net sales, slower inventory turnover, greater markdowns on inventory, and a reduction in profitability due to lower margins.</w:t>
      </w:r>
    </w:p>
    <w:p w:rsidR="00000000" w:rsidRDefault="00F123EE">
      <w:pPr>
        <w:jc w:val="both"/>
        <w:rPr>
          <w:rFonts w:eastAsia="Times New Roman"/>
        </w:rPr>
      </w:pPr>
    </w:p>
    <w:p w:rsidR="00000000" w:rsidRDefault="00F123EE">
      <w:pPr>
        <w:jc w:val="center"/>
        <w:divId w:val="1515072160"/>
        <w:rPr>
          <w:rFonts w:eastAsia="Times New Roman"/>
        </w:rPr>
      </w:pPr>
      <w:r>
        <w:rPr>
          <w:rFonts w:eastAsia="Times New Roman"/>
          <w:color w:val="000000"/>
          <w:sz w:val="20"/>
          <w:szCs w:val="20"/>
        </w:rPr>
        <w:t>15</w:t>
      </w:r>
    </w:p>
    <w:p w:rsidR="00000000" w:rsidRDefault="00F123EE">
      <w:pPr>
        <w:rPr>
          <w:rFonts w:eastAsia="Times New Roman"/>
        </w:rPr>
      </w:pPr>
      <w:r>
        <w:rPr>
          <w:rFonts w:eastAsia="Times New Roman"/>
        </w:rPr>
        <w:pict>
          <v:rect id="_x0000_i1044" style="width:0;height:1.5pt" o:hralign="center" o:hrstd="t" o:hr="t" fillcolor="#a0a0a0" stroked="f"/>
        </w:pict>
      </w:r>
    </w:p>
    <w:p w:rsidR="00000000" w:rsidRDefault="00F123EE">
      <w:pPr>
        <w:divId w:val="492182405"/>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r>
        <w:rPr>
          <w:rFonts w:eastAsia="Times New Roman"/>
          <w:i/>
          <w:iCs/>
          <w:color w:val="000000"/>
          <w:sz w:val="20"/>
          <w:szCs w:val="20"/>
        </w:rPr>
        <w:t>Purchase price volatility, including inflationary and deflationary pressures, may adversely affect our financial performance.</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Although we cannot determine the full effect of inflation and deflation on our operations, we believe our sales and results of o</w:t>
      </w:r>
      <w:r>
        <w:rPr>
          <w:rFonts w:eastAsia="Times New Roman"/>
          <w:color w:val="000000"/>
          <w:sz w:val="20"/>
          <w:szCs w:val="20"/>
        </w:rPr>
        <w:t xml:space="preserve">perations are affected by both.  We are subject to market risk with respect to the pricing of certain products and services, which include, among other items, grain, corn, steel, petroleum, cotton, and other commodities, as well as duties, tariffs, diesel </w:t>
      </w:r>
      <w:r>
        <w:rPr>
          <w:rFonts w:eastAsia="Times New Roman"/>
          <w:color w:val="000000"/>
          <w:sz w:val="20"/>
          <w:szCs w:val="20"/>
        </w:rPr>
        <w:t>fuel, and transportation services.  Therefore, we may experience both inflationary and deflationary pressure on product cost, which may impact consumer demand and, as a result, sales and gross margin.  Our strategy is to reduce or mitigate the effects of p</w:t>
      </w:r>
      <w:r>
        <w:rPr>
          <w:rFonts w:eastAsia="Times New Roman"/>
          <w:color w:val="000000"/>
          <w:sz w:val="20"/>
          <w:szCs w:val="20"/>
        </w:rPr>
        <w:t>urchase price volatility principally by taking advantage of vendor incentive programs, economies of scale from increased volume of purchases, adjusting retail prices, and selectively buying from the most competitive vendors while maintaining product qualit</w:t>
      </w:r>
      <w:r>
        <w:rPr>
          <w:rFonts w:eastAsia="Times New Roman"/>
          <w:color w:val="000000"/>
          <w:sz w:val="20"/>
          <w:szCs w:val="20"/>
        </w:rPr>
        <w:t>y.  Should our strategy to mitigate purchase price volatility be ineffective, our financial performance could be adversely impacted.</w:t>
      </w:r>
    </w:p>
    <w:p w:rsidR="00000000" w:rsidRDefault="00F123EE">
      <w:pPr>
        <w:jc w:val="both"/>
        <w:rPr>
          <w:rFonts w:eastAsia="Times New Roman"/>
        </w:rPr>
      </w:pPr>
    </w:p>
    <w:p w:rsidR="00000000" w:rsidRDefault="00F123EE">
      <w:pPr>
        <w:jc w:val="both"/>
        <w:rPr>
          <w:rFonts w:eastAsia="Times New Roman"/>
        </w:rPr>
      </w:pPr>
      <w:r>
        <w:rPr>
          <w:rFonts w:eastAsia="Times New Roman"/>
          <w:b/>
          <w:bCs/>
          <w:color w:val="000000"/>
          <w:sz w:val="20"/>
          <w:szCs w:val="20"/>
        </w:rPr>
        <w:t>Team Member Risks</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Our failure to attract and retain qualified team members, increases in wage, and labor costs, and cha</w:t>
      </w:r>
      <w:r>
        <w:rPr>
          <w:rFonts w:eastAsia="Times New Roman"/>
          <w:i/>
          <w:iCs/>
          <w:color w:val="000000"/>
          <w:sz w:val="20"/>
          <w:szCs w:val="20"/>
        </w:rPr>
        <w:t>nges in laws and other labor issues could adversely affect our financial performance.</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Our ability to maintain and continue expanding operations depends on our ability to attract and retain a large and growing number of qualified team members.  Our abilit</w:t>
      </w:r>
      <w:r>
        <w:rPr>
          <w:rFonts w:eastAsia="Times New Roman"/>
          <w:color w:val="000000"/>
          <w:sz w:val="20"/>
          <w:szCs w:val="20"/>
        </w:rPr>
        <w:t>y to meet labor needs while controlling wage and related labor costs is subject to numerous external factors, including the availability of a sufficient number of qualified persons in the work force, unemployment levels, prevailing wage rates, increases in</w:t>
      </w:r>
      <w:r>
        <w:rPr>
          <w:rFonts w:eastAsia="Times New Roman"/>
          <w:color w:val="000000"/>
          <w:sz w:val="20"/>
          <w:szCs w:val="20"/>
        </w:rPr>
        <w:t xml:space="preserve"> legally required minimum wage rates, changing demographics, health and other insurance costs, changes in employment legislation and the potential for changes in local labor practices or union activities.  If we are unable to locate, attract or retain qual</w:t>
      </w:r>
      <w:r>
        <w:rPr>
          <w:rFonts w:eastAsia="Times New Roman"/>
          <w:color w:val="000000"/>
          <w:sz w:val="20"/>
          <w:szCs w:val="20"/>
        </w:rPr>
        <w:t>ified personnel, or if costs of labor or related costs increase significantly, our financial performance could be adversely affected.</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are subject to federal, state, and local laws governing employment practices and working conditions.  These laws cove</w:t>
      </w:r>
      <w:r>
        <w:rPr>
          <w:rFonts w:eastAsia="Times New Roman"/>
          <w:color w:val="000000"/>
          <w:sz w:val="20"/>
          <w:szCs w:val="20"/>
        </w:rPr>
        <w:t>r wage and hour practices, labor relations, paid and family leave, workplace safety and immigration, among others.  The laws and regulations being passed at the state and local level create unique challenges for a multi-state employer.  We must continue to</w:t>
      </w:r>
      <w:r>
        <w:rPr>
          <w:rFonts w:eastAsia="Times New Roman"/>
          <w:color w:val="000000"/>
          <w:sz w:val="20"/>
          <w:szCs w:val="20"/>
        </w:rPr>
        <w:t xml:space="preserve"> monitor and adapt our employment practices to comply with these various laws and regulations.  If our costs of labor or related costs increase significantly as new or revised labor laws, rules or regulations or healthcare laws are adopted or implemented, </w:t>
      </w:r>
      <w:r>
        <w:rPr>
          <w:rFonts w:eastAsia="Times New Roman"/>
          <w:color w:val="000000"/>
          <w:sz w:val="20"/>
          <w:szCs w:val="20"/>
        </w:rPr>
        <w:t>our financial performance could be adversely affected.</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The loss of current members of our senior management team and other key team members or the failure to successfully manage an executive officer transition may adversely affect our operating results.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 xml:space="preserve">Our success depends in large part on the continued availability and service of our executive officers, senior management, and other key team members. Competition for senior management and key team members in our industry is strong and we may not be able </w:t>
      </w:r>
      <w:r>
        <w:rPr>
          <w:rFonts w:eastAsia="Times New Roman"/>
          <w:color w:val="000000"/>
          <w:sz w:val="20"/>
          <w:szCs w:val="20"/>
        </w:rPr>
        <w:t>to retain our key team members or attract new qualified team members.  We must continue to recruit, retain, and motivate management and other team members sufficiently, both to maintain our current business and to execute our long-term strategic growth ini</w:t>
      </w:r>
      <w:r>
        <w:rPr>
          <w:rFonts w:eastAsia="Times New Roman"/>
          <w:color w:val="000000"/>
          <w:sz w:val="20"/>
          <w:szCs w:val="20"/>
        </w:rPr>
        <w:t>tiatives. The loss of any of our executive officers or other key senior management without sufficient advance notice could prevent or delay the implementation and completion of our strategic initiatives or divert management’s attention to seeking qualified</w:t>
      </w:r>
      <w:r>
        <w:rPr>
          <w:rFonts w:eastAsia="Times New Roman"/>
          <w:color w:val="000000"/>
          <w:sz w:val="20"/>
          <w:szCs w:val="20"/>
        </w:rPr>
        <w:t xml:space="preserve"> replacements. Additionally, any failure by us to manage a successful leadership transition of an executive officer and to timely identify a qualified permanent replacement could harm our business and have a material adverse effect on our results of operat</w:t>
      </w:r>
      <w:r>
        <w:rPr>
          <w:rFonts w:eastAsia="Times New Roman"/>
          <w:color w:val="000000"/>
          <w:sz w:val="20"/>
          <w:szCs w:val="20"/>
        </w:rPr>
        <w:t>ions.</w:t>
      </w:r>
    </w:p>
    <w:p w:rsidR="00000000" w:rsidRDefault="00F123EE">
      <w:pPr>
        <w:jc w:val="both"/>
        <w:rPr>
          <w:rFonts w:eastAsia="Times New Roman"/>
        </w:rPr>
      </w:pPr>
    </w:p>
    <w:p w:rsidR="00000000" w:rsidRDefault="00F123EE">
      <w:pPr>
        <w:jc w:val="both"/>
        <w:rPr>
          <w:rFonts w:eastAsia="Times New Roman"/>
        </w:rPr>
      </w:pPr>
      <w:r>
        <w:rPr>
          <w:rFonts w:eastAsia="Times New Roman"/>
          <w:b/>
          <w:bCs/>
          <w:color w:val="000000"/>
          <w:sz w:val="20"/>
          <w:szCs w:val="20"/>
        </w:rPr>
        <w:t>Supply Chain and Third-Party Vendor Risks</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We face risks associated with vendors from whom our products are sourced.</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products we sell are sourced from a variety of domestic and international vendors.  We have agreements with our vendors in w</w:t>
      </w:r>
      <w:r>
        <w:rPr>
          <w:rFonts w:eastAsia="Times New Roman"/>
          <w:color w:val="000000"/>
          <w:sz w:val="20"/>
          <w:szCs w:val="20"/>
        </w:rPr>
        <w:t>hich the vendors agree to comply with applicable laws, including labor and environmental laws, and to indemnify us against certain liabilities and costs.  Our ability to recover liabilities and costs under these vendor agreements is dependent upon the fina</w:t>
      </w:r>
      <w:r>
        <w:rPr>
          <w:rFonts w:eastAsia="Times New Roman"/>
          <w:color w:val="000000"/>
          <w:sz w:val="20"/>
          <w:szCs w:val="20"/>
        </w:rPr>
        <w:t xml:space="preserve">ncial condition and integrity of the vendors. We rely on long-term relationships with our suppliers but have no significant long-term contracts with such suppliers.  Our future success will depend in large measure upon our ability to maintain our existing </w:t>
      </w:r>
      <w:r>
        <w:rPr>
          <w:rFonts w:eastAsia="Times New Roman"/>
          <w:color w:val="000000"/>
          <w:sz w:val="20"/>
          <w:szCs w:val="20"/>
        </w:rPr>
        <w:t>supplier relationships or to develop new ones.  This reliance exposes us to the risk of inadequate and untimely supplies of various products due to political, economic, social, health (including, but not limited to, the COVID-19 coronavirus), or environmen</w:t>
      </w:r>
      <w:r>
        <w:rPr>
          <w:rFonts w:eastAsia="Times New Roman"/>
          <w:color w:val="000000"/>
          <w:sz w:val="20"/>
          <w:szCs w:val="20"/>
        </w:rPr>
        <w:t>tal conditions, transportation delays, or changes in laws and regulations affecting distribution.  Our vendors may be forced to reduce their production, shut down their operations or file for bankruptcy protection, which could make it difficult for us to s</w:t>
      </w:r>
      <w:r>
        <w:rPr>
          <w:rFonts w:eastAsia="Times New Roman"/>
          <w:color w:val="000000"/>
          <w:sz w:val="20"/>
          <w:szCs w:val="20"/>
        </w:rPr>
        <w:t>erve the market’s needs and could have a material adverse effect on our business.</w:t>
      </w:r>
    </w:p>
    <w:p w:rsidR="00000000" w:rsidRDefault="00F123EE">
      <w:pPr>
        <w:jc w:val="center"/>
        <w:divId w:val="289477792"/>
        <w:rPr>
          <w:rFonts w:eastAsia="Times New Roman"/>
        </w:rPr>
      </w:pPr>
      <w:r>
        <w:rPr>
          <w:rFonts w:eastAsia="Times New Roman"/>
          <w:color w:val="000000"/>
          <w:sz w:val="20"/>
          <w:szCs w:val="20"/>
        </w:rPr>
        <w:t>16</w:t>
      </w:r>
    </w:p>
    <w:p w:rsidR="00000000" w:rsidRDefault="00F123EE">
      <w:pPr>
        <w:rPr>
          <w:rFonts w:eastAsia="Times New Roman"/>
        </w:rPr>
      </w:pPr>
      <w:r>
        <w:rPr>
          <w:rFonts w:eastAsia="Times New Roman"/>
        </w:rPr>
        <w:pict>
          <v:rect id="_x0000_i1045" style="width:0;height:1.5pt" o:hralign="center" o:hrstd="t" o:hr="t" fillcolor="#a0a0a0" stroked="f"/>
        </w:pict>
      </w:r>
    </w:p>
    <w:p w:rsidR="00000000" w:rsidRDefault="00F123EE">
      <w:pPr>
        <w:divId w:val="1471166715"/>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While the Company selects these third-party vendors carefully, it does not control their actions or the components or manufacture of their products. Any problems caused by these third-parties, or issues associated with their products or workforce, includin</w:t>
      </w:r>
      <w:r>
        <w:rPr>
          <w:rFonts w:eastAsia="Times New Roman"/>
          <w:color w:val="000000"/>
          <w:sz w:val="20"/>
          <w:szCs w:val="20"/>
        </w:rPr>
        <w:t xml:space="preserve">g customer or governmental complaints, breakdowns or other disruptions in communication services provided by a vendor, failure of a vendor to handle current or higher volumes, and cyber attacks or security breaches at a vendor could subject the Company to </w:t>
      </w:r>
      <w:r>
        <w:rPr>
          <w:rFonts w:eastAsia="Times New Roman"/>
          <w:color w:val="000000"/>
          <w:sz w:val="20"/>
          <w:szCs w:val="20"/>
        </w:rPr>
        <w:t>litigation and adversely affect the Company’s ability to deliver products and services to its customers and have a material adverse effect on our results of operations and financial condition.</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rely on foreign manufacturers for various products that we</w:t>
      </w:r>
      <w:r>
        <w:rPr>
          <w:rFonts w:eastAsia="Times New Roman"/>
          <w:color w:val="000000"/>
          <w:sz w:val="20"/>
          <w:szCs w:val="20"/>
        </w:rPr>
        <w:t xml:space="preserve"> sell.  In addition, many of our domestic suppliers purchase a portion of their products from foreign sources.  As an importer, our business is subject to the risks generally associated with doing business internationally, such as domestic and foreign gove</w:t>
      </w:r>
      <w:r>
        <w:rPr>
          <w:rFonts w:eastAsia="Times New Roman"/>
          <w:color w:val="000000"/>
          <w:sz w:val="20"/>
          <w:szCs w:val="20"/>
        </w:rPr>
        <w:t>rnmental regulations, economic disruptions, global or regional health epidemics, delays in shipments, transportation capacity and costs, currency exchange rates, and changes in political or economic conditions in countries from which we purchase products. </w:t>
      </w:r>
      <w:r>
        <w:rPr>
          <w:rFonts w:eastAsia="Times New Roman"/>
          <w:color w:val="000000"/>
          <w:sz w:val="20"/>
          <w:szCs w:val="20"/>
        </w:rPr>
        <w:t> If any such factors were to render the conduct of business in particular countries undesirable or impractical or if additional U.S. quotas, duties, tariffs, taxes, or other charges or restrictions were imposed upon the importation of our products in the f</w:t>
      </w:r>
      <w:r>
        <w:rPr>
          <w:rFonts w:eastAsia="Times New Roman"/>
          <w:color w:val="000000"/>
          <w:sz w:val="20"/>
          <w:szCs w:val="20"/>
        </w:rPr>
        <w:t>uture, our financial condition and results of operations could be materially adversely affected.</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political landscape in the U.S. contains uncertainty with respect to tax and trade policies, tariffs and regulations affecting trade between the U.S. and</w:t>
      </w:r>
      <w:r>
        <w:rPr>
          <w:rFonts w:eastAsia="Times New Roman"/>
          <w:color w:val="000000"/>
          <w:sz w:val="20"/>
          <w:szCs w:val="20"/>
        </w:rPr>
        <w:t xml:space="preserve"> other countries. We source a portion of our merchandise from manufacturers located outside the U.S., primarily in Asia and Central America. Major developments in tax policy or trade relations, such as the disallowance of tax deductions for imported mercha</w:t>
      </w:r>
      <w:r>
        <w:rPr>
          <w:rFonts w:eastAsia="Times New Roman"/>
          <w:color w:val="000000"/>
          <w:sz w:val="20"/>
          <w:szCs w:val="20"/>
        </w:rPr>
        <w:t>ndise or the imposition of tariffs on imported products, could have a material adverse effect on our business, results of operations, and financial condition.</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We rely on manufacturers located in foreign countries, including China, for merchandise. Additi</w:t>
      </w:r>
      <w:r>
        <w:rPr>
          <w:rFonts w:eastAsia="Times New Roman"/>
          <w:i/>
          <w:iCs/>
          <w:color w:val="000000"/>
          <w:sz w:val="20"/>
          <w:szCs w:val="20"/>
        </w:rPr>
        <w:t>onally, a portion of our domestically purchased merchandise is manufactured abroad. Our business may be materially adversely affected by risks associated with international trade, including the impact of current or potential tariffs by the U.S. with respec</w:t>
      </w:r>
      <w:r>
        <w:rPr>
          <w:rFonts w:eastAsia="Times New Roman"/>
          <w:i/>
          <w:iCs/>
          <w:color w:val="000000"/>
          <w:sz w:val="20"/>
          <w:szCs w:val="20"/>
        </w:rPr>
        <w:t>t to certain consumer goods imported from China.</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 xml:space="preserve">We source a portion of our merchandise from manufacturers located outside the U.S., primarily in Asia and Central America, and many of our domestic vendors have a global supply chain. The U.S. has imposed </w:t>
      </w:r>
      <w:r>
        <w:rPr>
          <w:rFonts w:eastAsia="Times New Roman"/>
          <w:color w:val="000000"/>
          <w:sz w:val="20"/>
          <w:szCs w:val="20"/>
        </w:rPr>
        <w:t>tariffs on certain products imported into the U.S. from China and could propose additional tariffs. The imposition of tariffs on imported products has increased our costs and could result in reduced sales and profits. The changes in certain tax and trade p</w:t>
      </w:r>
      <w:r>
        <w:rPr>
          <w:rFonts w:eastAsia="Times New Roman"/>
          <w:color w:val="000000"/>
          <w:sz w:val="20"/>
          <w:szCs w:val="20"/>
        </w:rPr>
        <w:t>olicies, tariffs and other regulations affecting trade between the U.S. and other countries enacted under the prior U.S. administration increased the cost of our merchandise sourced from outside of the U.S., which represents a large percentage of our overa</w:t>
      </w:r>
      <w:r>
        <w:rPr>
          <w:rFonts w:eastAsia="Times New Roman"/>
          <w:color w:val="000000"/>
          <w:sz w:val="20"/>
          <w:szCs w:val="20"/>
        </w:rPr>
        <w:t>ll merchandise. It remains unclear how tax or trade policies, tariffs or trade relations may change under the current U.S. administration, which could adversely affect our business, results of operations, effective income tax rate, liquidity and net income</w:t>
      </w:r>
      <w:r>
        <w:rPr>
          <w:rFonts w:eastAsia="Times New Roman"/>
          <w:color w:val="000000"/>
          <w:sz w:val="20"/>
          <w:szCs w:val="20"/>
        </w:rPr>
        <w:t>.</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In addition, the imposition of tariffs by the U.S. has resulted in the adoption of tariffs by China on U.S. exports and could result in the adoption of tariffs by other countries as well. A resulting trade war could have a significant adverse effect on</w:t>
      </w:r>
      <w:r>
        <w:rPr>
          <w:rFonts w:eastAsia="Times New Roman"/>
          <w:color w:val="000000"/>
          <w:sz w:val="20"/>
          <w:szCs w:val="20"/>
        </w:rPr>
        <w:t xml:space="preserve"> world trade and the world economy. Further, the imposition of tariffs or other changes in world trade could have an impact on certain U.S. industries and consumers and could negatively impact the consumer demand for products that we sell.</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continue to</w:t>
      </w:r>
      <w:r>
        <w:rPr>
          <w:rFonts w:eastAsia="Times New Roman"/>
          <w:color w:val="000000"/>
          <w:sz w:val="20"/>
          <w:szCs w:val="20"/>
        </w:rPr>
        <w:t xml:space="preserve"> evaluate the impact of the effective and potential tariffs on our supply chain, costs, sales, and profitability as well as our strategies to mitigate any negative impact, including negotiating with our vendors, seeking alternative sourcing options, and ad</w:t>
      </w:r>
      <w:r>
        <w:rPr>
          <w:rFonts w:eastAsia="Times New Roman"/>
          <w:color w:val="000000"/>
          <w:sz w:val="20"/>
          <w:szCs w:val="20"/>
        </w:rPr>
        <w:t>justing retail selling prices. Given the uncertainty regarding the scope and duration of the current and potential tariffs, as well as the potential for additional trade actions by the U.S. or other countries, the impact on our business, results of operati</w:t>
      </w:r>
      <w:r>
        <w:rPr>
          <w:rFonts w:eastAsia="Times New Roman"/>
          <w:color w:val="000000"/>
          <w:sz w:val="20"/>
          <w:szCs w:val="20"/>
        </w:rPr>
        <w:t xml:space="preserve">ons, and financial condition is uncertain but could be significant. Thus, we can provide no assurance that any strategies we implement to mitigate the impact of such tariffs or other trade actions will be successful in whole or in part. To the extent that </w:t>
      </w:r>
      <w:r>
        <w:rPr>
          <w:rFonts w:eastAsia="Times New Roman"/>
          <w:color w:val="000000"/>
          <w:sz w:val="20"/>
          <w:szCs w:val="20"/>
        </w:rPr>
        <w:t>our supply chain, costs, sales, or profitability are negatively affected by the tariffs or other trade actions, our business, financial condition, and results of operations may be materially adversely affected.</w:t>
      </w:r>
    </w:p>
    <w:p w:rsidR="00000000" w:rsidRDefault="00F123EE">
      <w:pPr>
        <w:divId w:val="375277115"/>
        <w:rPr>
          <w:rFonts w:eastAsia="Times New Roman"/>
        </w:rPr>
      </w:pPr>
    </w:p>
    <w:p w:rsidR="00000000" w:rsidRDefault="00F123EE">
      <w:pPr>
        <w:jc w:val="both"/>
        <w:rPr>
          <w:rFonts w:eastAsia="Times New Roman"/>
        </w:rPr>
      </w:pPr>
      <w:r>
        <w:rPr>
          <w:rFonts w:eastAsia="Times New Roman"/>
          <w:i/>
          <w:iCs/>
          <w:color w:val="000000"/>
          <w:sz w:val="20"/>
          <w:szCs w:val="20"/>
        </w:rPr>
        <w:t>A significant disruption to our distributio</w:t>
      </w:r>
      <w:r>
        <w:rPr>
          <w:rFonts w:eastAsia="Times New Roman"/>
          <w:i/>
          <w:iCs/>
          <w:color w:val="000000"/>
          <w:sz w:val="20"/>
          <w:szCs w:val="20"/>
        </w:rPr>
        <w:t xml:space="preserve">n network or to the timely receipt of inventory could adversely impact sales or increase our transportation costs, which would decrease our profits.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rely on our distribution and transportation network, including third-party logistics providers, to pr</w:t>
      </w:r>
      <w:r>
        <w:rPr>
          <w:rFonts w:eastAsia="Times New Roman"/>
          <w:color w:val="000000"/>
          <w:sz w:val="20"/>
          <w:szCs w:val="20"/>
        </w:rPr>
        <w:t>ovide goods to our stores in a timely and cost-effective manner through deliveries to our distribution facilities from vendors and then from the distribution facilities or direct ship vendors to our stores or customers by various means of transportation, i</w:t>
      </w:r>
      <w:r>
        <w:rPr>
          <w:rFonts w:eastAsia="Times New Roman"/>
          <w:color w:val="000000"/>
          <w:sz w:val="20"/>
          <w:szCs w:val="20"/>
        </w:rPr>
        <w:t>ncluding shipments by sea, air, rail, and truck. Any disruption, unanticipated expense, or operational failure related to this process could negatively affect our operations. For example, unexpected delivery delays (including delays due to weather, fuel sh</w:t>
      </w:r>
      <w:r>
        <w:rPr>
          <w:rFonts w:eastAsia="Times New Roman"/>
          <w:color w:val="000000"/>
          <w:sz w:val="20"/>
          <w:szCs w:val="20"/>
        </w:rPr>
        <w:t xml:space="preserve">ortages, work </w:t>
      </w:r>
    </w:p>
    <w:p w:rsidR="00000000" w:rsidRDefault="00F123EE">
      <w:pPr>
        <w:jc w:val="center"/>
        <w:divId w:val="1605654494"/>
        <w:rPr>
          <w:rFonts w:eastAsia="Times New Roman"/>
        </w:rPr>
      </w:pPr>
      <w:r>
        <w:rPr>
          <w:rFonts w:eastAsia="Times New Roman"/>
          <w:color w:val="000000"/>
          <w:sz w:val="20"/>
          <w:szCs w:val="20"/>
        </w:rPr>
        <w:t>17</w:t>
      </w:r>
    </w:p>
    <w:p w:rsidR="00000000" w:rsidRDefault="00F123EE">
      <w:pPr>
        <w:rPr>
          <w:rFonts w:eastAsia="Times New Roman"/>
        </w:rPr>
      </w:pPr>
      <w:r>
        <w:rPr>
          <w:rFonts w:eastAsia="Times New Roman"/>
        </w:rPr>
        <w:pict>
          <v:rect id="_x0000_i1046" style="width:0;height:1.5pt" o:hralign="center" o:hrstd="t" o:hr="t" fillcolor="#a0a0a0" stroked="f"/>
        </w:pict>
      </w:r>
    </w:p>
    <w:p w:rsidR="00000000" w:rsidRDefault="00F123EE">
      <w:pPr>
        <w:divId w:val="1858733219"/>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r>
        <w:rPr>
          <w:rFonts w:eastAsia="Times New Roman"/>
          <w:color w:val="000000"/>
          <w:sz w:val="20"/>
          <w:szCs w:val="20"/>
        </w:rPr>
        <w:t>stoppages, global or regional health epidemics, product shortages from vendors, or other reasons) or increases in transportation costs (including increased fuel costs or a decrease in transportation capacity for overseas shipments) could significantly decr</w:t>
      </w:r>
      <w:r>
        <w:rPr>
          <w:rFonts w:eastAsia="Times New Roman"/>
          <w:color w:val="000000"/>
          <w:sz w:val="20"/>
          <w:szCs w:val="20"/>
        </w:rPr>
        <w:t xml:space="preserve">ease our ability to provide adequate products to meet increased customer demand for certain products, or products at a desired price, resulting in lower sales and profitability. In addition, labor shortages or work stoppages in the transportation industry </w:t>
      </w:r>
      <w:r>
        <w:rPr>
          <w:rFonts w:eastAsia="Times New Roman"/>
          <w:color w:val="000000"/>
          <w:sz w:val="20"/>
          <w:szCs w:val="20"/>
        </w:rPr>
        <w:t>or long-term disruptions to the national and international transportation infrastructure that lead to delays or interruptions of deliveries could negatively affect our business. Also, a fire, tornado, or other disaster at one of our distribution facilities</w:t>
      </w:r>
      <w:r>
        <w:rPr>
          <w:rFonts w:eastAsia="Times New Roman"/>
          <w:color w:val="000000"/>
          <w:sz w:val="20"/>
          <w:szCs w:val="20"/>
        </w:rPr>
        <w:t xml:space="preserve"> could disrupt our timely receiving, processing, and shipment of merchandise to our stores which could adversely affect our business. While we believe there are adequate reserve quantities and alternative suppliers available, shortages or interruptions in </w:t>
      </w:r>
      <w:r>
        <w:rPr>
          <w:rFonts w:eastAsia="Times New Roman"/>
          <w:color w:val="000000"/>
          <w:sz w:val="20"/>
          <w:szCs w:val="20"/>
        </w:rPr>
        <w:t>the receipt or supply of products caused by unanticipated demand, such as occurred during, and as the economy recovers from, the COVID-19 pandemic, problems in production or distribution, financial or other difficulties of supplies, inclement weather or ot</w:t>
      </w:r>
      <w:r>
        <w:rPr>
          <w:rFonts w:eastAsia="Times New Roman"/>
          <w:color w:val="000000"/>
          <w:sz w:val="20"/>
          <w:szCs w:val="20"/>
        </w:rPr>
        <w:t xml:space="preserve">her economic conditions, including the availability of qualified drivers and distribution center team members, could adversely affect the availability, quality and cost of products, and our operating results. </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The implementation of our supply chain initi</w:t>
      </w:r>
      <w:r>
        <w:rPr>
          <w:rFonts w:eastAsia="Times New Roman"/>
          <w:i/>
          <w:iCs/>
          <w:color w:val="000000"/>
          <w:sz w:val="20"/>
          <w:szCs w:val="20"/>
        </w:rPr>
        <w:t>atives could disrupt our operations in the near term, and these initiatives might not provide the anticipated benefits or might fail.</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maintain a network of distribution facilities and have plans to build new distribution facilities and expand existing</w:t>
      </w:r>
      <w:r>
        <w:rPr>
          <w:rFonts w:eastAsia="Times New Roman"/>
          <w:color w:val="000000"/>
          <w:sz w:val="20"/>
          <w:szCs w:val="20"/>
        </w:rPr>
        <w:t xml:space="preserve"> facilities to support our long-term strategic growth initiatives. Delays in opening new or expanded distribution facilities could adversely affect our future operations by slowing store growth or negatively impacting our fulfillment capabilities, which ma</w:t>
      </w:r>
      <w:r>
        <w:rPr>
          <w:rFonts w:eastAsia="Times New Roman"/>
          <w:color w:val="000000"/>
          <w:sz w:val="20"/>
          <w:szCs w:val="20"/>
        </w:rPr>
        <w:t>y in turn reduce revenue growth. In addition, distribution-related construction or expansion projects entail risks which could cause delays and cost overruns, such as: shortages of materials; shortages of skilled labor or work stoppages; unforeseen constru</w:t>
      </w:r>
      <w:r>
        <w:rPr>
          <w:rFonts w:eastAsia="Times New Roman"/>
          <w:color w:val="000000"/>
          <w:sz w:val="20"/>
          <w:szCs w:val="20"/>
        </w:rPr>
        <w:t xml:space="preserve">ction, scheduling, engineering, environmental, or geological problems; weather interference; fires or other casualty losses; and unanticipated cost increases. The completion date and ultimate cost of future projects could differ significantly from initial </w:t>
      </w:r>
      <w:r>
        <w:rPr>
          <w:rFonts w:eastAsia="Times New Roman"/>
          <w:color w:val="000000"/>
          <w:sz w:val="20"/>
          <w:szCs w:val="20"/>
        </w:rPr>
        <w:t xml:space="preserve">expectations due to construction-related or other reasons. We cannot guarantee that all projects will be completed on time or within established budgets.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continue to make significant technology investments in our supply chain. These initiatives are d</w:t>
      </w:r>
      <w:r>
        <w:rPr>
          <w:rFonts w:eastAsia="Times New Roman"/>
          <w:color w:val="000000"/>
          <w:sz w:val="20"/>
          <w:szCs w:val="20"/>
        </w:rPr>
        <w:t>esigned to streamline our distribution process so that we can optimize the delivery of goods and services to our stores, distribution facilities, and customers in a timely manner and at a reasonable cost. The cost and potential problems and interruptions a</w:t>
      </w:r>
      <w:r>
        <w:rPr>
          <w:rFonts w:eastAsia="Times New Roman"/>
          <w:color w:val="000000"/>
          <w:sz w:val="20"/>
          <w:szCs w:val="20"/>
        </w:rPr>
        <w:t>ssociated with the implementation of these initiatives, including those associated with managing third-party service providers and employing new web-based tools and services, could disrupt or reduce the efficiency of our operations in the near term. In add</w:t>
      </w:r>
      <w:r>
        <w:rPr>
          <w:rFonts w:eastAsia="Times New Roman"/>
          <w:color w:val="000000"/>
          <w:sz w:val="20"/>
          <w:szCs w:val="20"/>
        </w:rPr>
        <w:t>ition, our improved supply chain technology might not provide the anticipated benefits, it might take longer than expected to realize the anticipated benefits, or the initiatives might fail altogether.</w:t>
      </w:r>
    </w:p>
    <w:p w:rsidR="00000000" w:rsidRDefault="00F123EE">
      <w:pPr>
        <w:jc w:val="both"/>
        <w:rPr>
          <w:rFonts w:eastAsia="Times New Roman"/>
        </w:rPr>
      </w:pPr>
    </w:p>
    <w:p w:rsidR="00000000" w:rsidRDefault="00F123EE">
      <w:pPr>
        <w:jc w:val="both"/>
        <w:rPr>
          <w:rFonts w:eastAsia="Times New Roman"/>
        </w:rPr>
      </w:pPr>
      <w:r>
        <w:rPr>
          <w:rFonts w:eastAsia="Times New Roman"/>
          <w:b/>
          <w:bCs/>
          <w:color w:val="000000"/>
          <w:sz w:val="20"/>
          <w:szCs w:val="20"/>
        </w:rPr>
        <w:t>Technology, Data Security, Business Continuity and Disaster Recovery Risks</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Any failure to maintain the security of the information relating to our business, customers, team members, and vendors that we hold, whether as a result of cybersecurity attacks o</w:t>
      </w:r>
      <w:r>
        <w:rPr>
          <w:rFonts w:eastAsia="Times New Roman"/>
          <w:i/>
          <w:iCs/>
          <w:color w:val="000000"/>
          <w:sz w:val="20"/>
          <w:szCs w:val="20"/>
        </w:rPr>
        <w:t>r otherwise, could damage our reputation with customers, team members, and vendors. Such a failure could also cause us to incur substantial additional costs and to become subject to litigation, and could materially affect our operating results, financial c</w:t>
      </w:r>
      <w:r>
        <w:rPr>
          <w:rFonts w:eastAsia="Times New Roman"/>
          <w:i/>
          <w:iCs/>
          <w:color w:val="000000"/>
          <w:sz w:val="20"/>
          <w:szCs w:val="20"/>
        </w:rPr>
        <w:t xml:space="preserve">ondition, and liquidity.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depend on information systems and technology, some of which are managed or provided by third-parties, for many activities important to our business. As do most retailers, we receive and store in our information systems certai</w:t>
      </w:r>
      <w:r>
        <w:rPr>
          <w:rFonts w:eastAsia="Times New Roman"/>
          <w:color w:val="000000"/>
          <w:sz w:val="20"/>
          <w:szCs w:val="20"/>
        </w:rPr>
        <w:t>n personal and other sensitive information about our business</w:t>
      </w:r>
      <w:r>
        <w:rPr>
          <w:rFonts w:eastAsia="Times New Roman"/>
          <w:color w:val="000000"/>
          <w:sz w:val="20"/>
          <w:szCs w:val="20"/>
          <w:shd w:val="clear" w:color="auto" w:fill="FFFFFF"/>
        </w:rPr>
        <w:t>, customers, team members</w:t>
      </w:r>
      <w:r>
        <w:rPr>
          <w:rFonts w:eastAsia="Times New Roman"/>
          <w:color w:val="000000"/>
          <w:sz w:val="20"/>
          <w:szCs w:val="20"/>
        </w:rPr>
        <w:t xml:space="preserve">, and vendors. Additionally, we also receive and process information permitting cashless payments as part of our in-store and online operations at </w:t>
      </w:r>
      <w:r>
        <w:rPr>
          <w:rFonts w:eastAsia="Times New Roman"/>
          <w:i/>
          <w:iCs/>
          <w:color w:val="000000"/>
          <w:sz w:val="20"/>
          <w:szCs w:val="20"/>
          <w:u w:val="single"/>
        </w:rPr>
        <w:t>TractorSupply.com</w:t>
      </w:r>
      <w:r>
        <w:rPr>
          <w:rFonts w:eastAsia="Times New Roman"/>
          <w:color w:val="000000"/>
          <w:sz w:val="20"/>
          <w:szCs w:val="20"/>
        </w:rPr>
        <w:t xml:space="preserve"> and </w:t>
      </w:r>
      <w:r>
        <w:rPr>
          <w:rFonts w:eastAsia="Times New Roman"/>
          <w:i/>
          <w:iCs/>
          <w:color w:val="000000"/>
          <w:sz w:val="20"/>
          <w:szCs w:val="20"/>
          <w:u w:val="single"/>
        </w:rPr>
        <w:t>P</w:t>
      </w:r>
      <w:r>
        <w:rPr>
          <w:rFonts w:eastAsia="Times New Roman"/>
          <w:i/>
          <w:iCs/>
          <w:color w:val="000000"/>
          <w:sz w:val="20"/>
          <w:szCs w:val="20"/>
          <w:u w:val="single"/>
        </w:rPr>
        <w:t>etsense.com</w:t>
      </w:r>
      <w:r>
        <w:rPr>
          <w:rFonts w:eastAsia="Times New Roman"/>
          <w:color w:val="000000"/>
          <w:sz w:val="20"/>
          <w:szCs w:val="20"/>
        </w:rPr>
        <w:t xml:space="preserve"> and on our mobile application, some of which depend upon the secure transmission of confidential information over public networks. The information that we receive and store makes us subject to cybersecurity attacks and cyber incidents, which ar</w:t>
      </w:r>
      <w:r>
        <w:rPr>
          <w:rFonts w:eastAsia="Times New Roman"/>
          <w:color w:val="000000"/>
          <w:sz w:val="20"/>
          <w:szCs w:val="20"/>
        </w:rPr>
        <w:t>e occurring more frequently, are constantly evolving in nature, are becoming more sophisticated, and are being made by groups and individuals with a wide range of expertise and motives. We are the target of attempted cyber and other security threats and we</w:t>
      </w:r>
      <w:r>
        <w:rPr>
          <w:rFonts w:eastAsia="Times New Roman"/>
          <w:color w:val="000000"/>
          <w:sz w:val="20"/>
          <w:szCs w:val="20"/>
        </w:rPr>
        <w:t xml:space="preserve"> continuously monitor our information technology networks and infrastructure in an effort to prevent, detect, address and mitigate the risk of unauthorized access, misuse, computer viruses and other events that could have a security impact. However, these </w:t>
      </w:r>
      <w:r>
        <w:rPr>
          <w:rFonts w:eastAsia="Times New Roman"/>
          <w:color w:val="000000"/>
          <w:sz w:val="20"/>
          <w:szCs w:val="20"/>
        </w:rPr>
        <w:t>security measures cannot provide absolute assurance or guarantee that we will be successful in preventing, detecting, or responding to every such breach or disruption and/or preventing the misuse of confidential information of our busines</w:t>
      </w:r>
      <w:r>
        <w:rPr>
          <w:rFonts w:eastAsia="Times New Roman"/>
          <w:color w:val="000000"/>
          <w:sz w:val="20"/>
          <w:szCs w:val="20"/>
          <w:shd w:val="clear" w:color="auto" w:fill="FFFFFF"/>
        </w:rPr>
        <w:t>s, customers, team</w:t>
      </w:r>
      <w:r>
        <w:rPr>
          <w:rFonts w:eastAsia="Times New Roman"/>
          <w:color w:val="000000"/>
          <w:sz w:val="20"/>
          <w:szCs w:val="20"/>
          <w:shd w:val="clear" w:color="auto" w:fill="FFFFFF"/>
        </w:rPr>
        <w:t xml:space="preserve"> members,</w:t>
      </w:r>
      <w:r>
        <w:rPr>
          <w:rFonts w:eastAsia="Times New Roman"/>
          <w:color w:val="000000"/>
          <w:sz w:val="20"/>
          <w:szCs w:val="20"/>
        </w:rPr>
        <w:t xml:space="preserve"> or vendors. Similar risks exist with respect to the third-party vendors on which we rely for aspects of our information technology support services and administrative functions, even if the attack or breach does not directly impact our systems or</w:t>
      </w:r>
      <w:r>
        <w:rPr>
          <w:rFonts w:eastAsia="Times New Roman"/>
          <w:color w:val="000000"/>
          <w:sz w:val="20"/>
          <w:szCs w:val="20"/>
        </w:rPr>
        <w:t xml:space="preserve"> information.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A compromise of our information security and privacy controls, or those of businesses and vendors with whom we interact, which results in confidential information being accessed, obtained, damaged, or used by unauthorized or improper parti</w:t>
      </w:r>
      <w:r>
        <w:rPr>
          <w:rFonts w:eastAsia="Times New Roman"/>
          <w:color w:val="000000"/>
          <w:sz w:val="20"/>
          <w:szCs w:val="20"/>
        </w:rPr>
        <w:t xml:space="preserve">es; loss </w:t>
      </w:r>
    </w:p>
    <w:p w:rsidR="00000000" w:rsidRDefault="00F123EE">
      <w:pPr>
        <w:jc w:val="center"/>
        <w:divId w:val="1785617696"/>
        <w:rPr>
          <w:rFonts w:eastAsia="Times New Roman"/>
        </w:rPr>
      </w:pPr>
      <w:r>
        <w:rPr>
          <w:rFonts w:eastAsia="Times New Roman"/>
          <w:color w:val="000000"/>
          <w:sz w:val="20"/>
          <w:szCs w:val="20"/>
        </w:rPr>
        <w:t>18</w:t>
      </w:r>
    </w:p>
    <w:p w:rsidR="00000000" w:rsidRDefault="00F123EE">
      <w:pPr>
        <w:rPr>
          <w:rFonts w:eastAsia="Times New Roman"/>
        </w:rPr>
      </w:pPr>
      <w:r>
        <w:rPr>
          <w:rFonts w:eastAsia="Times New Roman"/>
        </w:rPr>
        <w:pict>
          <v:rect id="_x0000_i1047" style="width:0;height:1.5pt" o:hralign="center" o:hrstd="t" o:hr="t" fillcolor="#a0a0a0" stroked="f"/>
        </w:pict>
      </w:r>
    </w:p>
    <w:p w:rsidR="00000000" w:rsidRDefault="00F123EE">
      <w:pPr>
        <w:divId w:val="1302036092"/>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r>
        <w:rPr>
          <w:rFonts w:eastAsia="Times New Roman"/>
          <w:color w:val="000000"/>
          <w:sz w:val="20"/>
          <w:szCs w:val="20"/>
        </w:rPr>
        <w:t>or unavailability of data; disruptions to our business activities; or any other outcome stemming from a cybersecurity incident could materiall</w:t>
      </w:r>
      <w:r>
        <w:rPr>
          <w:rFonts w:eastAsia="Times New Roman"/>
          <w:color w:val="000000"/>
          <w:sz w:val="20"/>
          <w:szCs w:val="20"/>
        </w:rPr>
        <w:t>y adversely affect our reputation with our custome</w:t>
      </w:r>
      <w:r>
        <w:rPr>
          <w:rFonts w:eastAsia="Times New Roman"/>
          <w:color w:val="000000"/>
          <w:sz w:val="20"/>
          <w:szCs w:val="20"/>
          <w:shd w:val="clear" w:color="auto" w:fill="FFFFFF"/>
        </w:rPr>
        <w:t>rs, team members, a</w:t>
      </w:r>
      <w:r>
        <w:rPr>
          <w:rFonts w:eastAsia="Times New Roman"/>
          <w:color w:val="000000"/>
          <w:sz w:val="20"/>
          <w:szCs w:val="20"/>
        </w:rPr>
        <w:t>nd vendors, as well as our operations, results of operations, financial condition, and liquidity, and could result in significant legal and financial exposure beyond the scope or limits o</w:t>
      </w:r>
      <w:r>
        <w:rPr>
          <w:rFonts w:eastAsia="Times New Roman"/>
          <w:color w:val="000000"/>
          <w:sz w:val="20"/>
          <w:szCs w:val="20"/>
        </w:rPr>
        <w:t>f insurance coverage. Moreover, a security breach could require that we expend significant additional resources to respond to the attack or breach and could result in a disruption of our operations.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In addition, states and the federal government have ena</w:t>
      </w:r>
      <w:r>
        <w:rPr>
          <w:rFonts w:eastAsia="Times New Roman"/>
          <w:color w:val="000000"/>
          <w:sz w:val="20"/>
          <w:szCs w:val="20"/>
        </w:rPr>
        <w:t>cted laws and regulations relating to privacy, data breaches, and theft of team member and customer data.  These laws have increased the costs of doing business and, if we fail to comply with these laws and regulations to implement appropriate safeguards o</w:t>
      </w:r>
      <w:r>
        <w:rPr>
          <w:rFonts w:eastAsia="Times New Roman"/>
          <w:color w:val="000000"/>
          <w:sz w:val="20"/>
          <w:szCs w:val="20"/>
        </w:rPr>
        <w:t xml:space="preserve">r to detect and provide prompt notice of unauthorized access as required by some of these new laws, we could be subject to potential claims for damages and other remedies, which could harm our business. </w:t>
      </w:r>
    </w:p>
    <w:p w:rsidR="00000000" w:rsidRDefault="00F123EE">
      <w:pPr>
        <w:divId w:val="426657659"/>
        <w:rPr>
          <w:rFonts w:eastAsia="Times New Roman"/>
        </w:rPr>
      </w:pPr>
    </w:p>
    <w:p w:rsidR="00000000" w:rsidRDefault="00F123EE">
      <w:pPr>
        <w:jc w:val="both"/>
        <w:rPr>
          <w:rFonts w:eastAsia="Times New Roman"/>
        </w:rPr>
      </w:pPr>
      <w:r>
        <w:rPr>
          <w:rFonts w:eastAsia="Times New Roman"/>
          <w:i/>
          <w:iCs/>
          <w:color w:val="000000"/>
          <w:sz w:val="20"/>
          <w:szCs w:val="20"/>
        </w:rPr>
        <w:t>We are subject to payments-related risks that coul</w:t>
      </w:r>
      <w:r>
        <w:rPr>
          <w:rFonts w:eastAsia="Times New Roman"/>
          <w:i/>
          <w:iCs/>
          <w:color w:val="000000"/>
          <w:sz w:val="20"/>
          <w:szCs w:val="20"/>
        </w:rPr>
        <w:t>d increase our operating costs, expose us to fraud, subject us to potential liability, and potentially disrupt our business.</w:t>
      </w:r>
    </w:p>
    <w:p w:rsidR="00000000" w:rsidRDefault="00F123EE">
      <w:pPr>
        <w:divId w:val="1396123061"/>
        <w:rPr>
          <w:rFonts w:eastAsia="Times New Roman"/>
        </w:rPr>
      </w:pPr>
    </w:p>
    <w:p w:rsidR="00000000" w:rsidRDefault="00F123EE">
      <w:pPr>
        <w:jc w:val="both"/>
        <w:rPr>
          <w:rFonts w:eastAsia="Times New Roman"/>
        </w:rPr>
      </w:pPr>
      <w:r>
        <w:rPr>
          <w:rFonts w:eastAsia="Times New Roman"/>
          <w:color w:val="000000"/>
          <w:sz w:val="20"/>
          <w:szCs w:val="20"/>
        </w:rPr>
        <w:t>We accept payments using a variety of methods, including credit cards, debit cards, credit accounts, our private label credit cards, gift cards, direct debit from a customer’s bank account, consumer invoicing, and physical bank checks, and we may offer dif</w:t>
      </w:r>
      <w:r>
        <w:rPr>
          <w:rFonts w:eastAsia="Times New Roman"/>
          <w:color w:val="000000"/>
          <w:sz w:val="20"/>
          <w:szCs w:val="20"/>
        </w:rPr>
        <w:t>ferent payment options over time. These payment options subject us to many compliance requirements, including, but not limited to, compliance with payment card association operating rules, including data security rules, certification requirements, rules go</w:t>
      </w:r>
      <w:r>
        <w:rPr>
          <w:rFonts w:eastAsia="Times New Roman"/>
          <w:color w:val="000000"/>
          <w:sz w:val="20"/>
          <w:szCs w:val="20"/>
        </w:rPr>
        <w:t>verning electronic funds transfers, and Payment Card Industry Data Security Standards. They also subject us to potential fraud by criminal elements seeking to discover and take advantage of security vulnerabilities that may exist in some of these payment s</w:t>
      </w:r>
      <w:r>
        <w:rPr>
          <w:rFonts w:eastAsia="Times New Roman"/>
          <w:color w:val="000000"/>
          <w:sz w:val="20"/>
          <w:szCs w:val="20"/>
        </w:rPr>
        <w:t>ystems. For certain payment methods, including credit and debit cards, we pay interchange and other fees, which may increase over time and raise our operating costs and lower profitability. We rely on third parties to provide payment processing services, i</w:t>
      </w:r>
      <w:r>
        <w:rPr>
          <w:rFonts w:eastAsia="Times New Roman"/>
          <w:color w:val="000000"/>
          <w:sz w:val="20"/>
          <w:szCs w:val="20"/>
        </w:rPr>
        <w:t xml:space="preserve">ncluding the processing of credit cards, debit cards, electronic checks, gift cards and promotional financing, and it could disrupt our business if these companies become unwilling or unable to provide these services to us. If we fail to comply with these </w:t>
      </w:r>
      <w:r>
        <w:rPr>
          <w:rFonts w:eastAsia="Times New Roman"/>
          <w:color w:val="000000"/>
          <w:sz w:val="20"/>
          <w:szCs w:val="20"/>
        </w:rPr>
        <w:t>rules or requirements, adequately encrypt payment transaction data, or if our data security systems are breached or compromised, we may be liable for card issuing banks’ costs, subject to fines and higher transaction fees, and lose our ability to accept cr</w:t>
      </w:r>
      <w:r>
        <w:rPr>
          <w:rFonts w:eastAsia="Times New Roman"/>
          <w:color w:val="000000"/>
          <w:sz w:val="20"/>
          <w:szCs w:val="20"/>
        </w:rPr>
        <w:t>edit and debit card payments from our customers, process electronic funds transfers, or facilitate other types of online payments, and our business and operating results could be adversely affected.</w:t>
      </w:r>
    </w:p>
    <w:p w:rsidR="00000000" w:rsidRDefault="00F123EE">
      <w:pPr>
        <w:divId w:val="384181965"/>
        <w:rPr>
          <w:rFonts w:eastAsia="Times New Roman"/>
        </w:rPr>
      </w:pPr>
    </w:p>
    <w:p w:rsidR="00000000" w:rsidRDefault="00F123EE">
      <w:pPr>
        <w:jc w:val="both"/>
        <w:rPr>
          <w:rFonts w:eastAsia="Times New Roman"/>
        </w:rPr>
      </w:pPr>
      <w:r>
        <w:rPr>
          <w:rFonts w:eastAsia="Times New Roman"/>
          <w:i/>
          <w:iCs/>
          <w:color w:val="000000"/>
          <w:sz w:val="20"/>
          <w:szCs w:val="20"/>
        </w:rPr>
        <w:t>Our business and operations could suffer material losse</w:t>
      </w:r>
      <w:r>
        <w:rPr>
          <w:rFonts w:eastAsia="Times New Roman"/>
          <w:i/>
          <w:iCs/>
          <w:color w:val="000000"/>
          <w:sz w:val="20"/>
          <w:szCs w:val="20"/>
        </w:rPr>
        <w:t>s in the event of system interruptions or failures.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Our information technology systems, some of which are dependent on services managed or provided by third-parties, serve an important role in the operation and administration of our business. These syste</w:t>
      </w:r>
      <w:r>
        <w:rPr>
          <w:rFonts w:eastAsia="Times New Roman"/>
          <w:color w:val="000000"/>
          <w:sz w:val="20"/>
          <w:szCs w:val="20"/>
        </w:rPr>
        <w:t>ms are vulnerable to damages from any number of sources, including, but not limited to, human error, cybersecurity attacks, computer viruses, unauthorized access, fire, flood, power outages, telecommunication failures, facility or equipment damage, natural</w:t>
      </w:r>
      <w:r>
        <w:rPr>
          <w:rFonts w:eastAsia="Times New Roman"/>
          <w:color w:val="000000"/>
          <w:sz w:val="20"/>
          <w:szCs w:val="20"/>
        </w:rPr>
        <w:t xml:space="preserve"> disasters, terrorism, and war.  In addition, we continually make investments in technology to implement new processes and systems, as well as to maintain and update our existing processes and systems. Implementing process and system changes increases the </w:t>
      </w:r>
      <w:r>
        <w:rPr>
          <w:rFonts w:eastAsia="Times New Roman"/>
          <w:color w:val="000000"/>
          <w:sz w:val="20"/>
          <w:szCs w:val="20"/>
        </w:rPr>
        <w:t>risk of disruption. If our information technology systems are interrupted or fail and our redundant systems or recovery plans are not adequate to address such interruptions or failures on a timely basis, our revenues and profits could be reduced and the re</w:t>
      </w:r>
      <w:r>
        <w:rPr>
          <w:rFonts w:eastAsia="Times New Roman"/>
          <w:color w:val="000000"/>
          <w:sz w:val="20"/>
          <w:szCs w:val="20"/>
        </w:rPr>
        <w:t>putation of our brand and our business could be materially adversely affected.  Additionally, remediation of any problems with our systems could result in significant, unplanned expenses.</w:t>
      </w:r>
    </w:p>
    <w:p w:rsidR="00000000" w:rsidRDefault="00F123EE">
      <w:pPr>
        <w:jc w:val="both"/>
        <w:rPr>
          <w:rFonts w:eastAsia="Times New Roman"/>
        </w:rPr>
      </w:pPr>
    </w:p>
    <w:p w:rsidR="00000000" w:rsidRDefault="00F123EE">
      <w:pPr>
        <w:jc w:val="center"/>
        <w:divId w:val="572855011"/>
        <w:rPr>
          <w:rFonts w:eastAsia="Times New Roman"/>
        </w:rPr>
      </w:pPr>
      <w:r>
        <w:rPr>
          <w:rFonts w:eastAsia="Times New Roman"/>
          <w:color w:val="000000"/>
          <w:sz w:val="20"/>
          <w:szCs w:val="20"/>
        </w:rPr>
        <w:t>19</w:t>
      </w:r>
    </w:p>
    <w:p w:rsidR="00000000" w:rsidRDefault="00F123EE">
      <w:pPr>
        <w:rPr>
          <w:rFonts w:eastAsia="Times New Roman"/>
        </w:rPr>
      </w:pPr>
      <w:r>
        <w:rPr>
          <w:rFonts w:eastAsia="Times New Roman"/>
        </w:rPr>
        <w:pict>
          <v:rect id="_x0000_i1048" style="width:0;height:1.5pt" o:hralign="center" o:hrstd="t" o:hr="t" fillcolor="#a0a0a0" stroked="f"/>
        </w:pict>
      </w:r>
    </w:p>
    <w:p w:rsidR="00000000" w:rsidRDefault="00F123EE">
      <w:pPr>
        <w:divId w:val="751465679"/>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r>
        <w:rPr>
          <w:rFonts w:eastAsia="Times New Roman"/>
          <w:i/>
          <w:iCs/>
          <w:color w:val="000000"/>
          <w:sz w:val="20"/>
          <w:szCs w:val="20"/>
        </w:rPr>
        <w:t>Customer-facing technology systems are an important part of our sales and marketing strategy and the failure of those systems to perform effectively and reliably could keep us from delivering positive customer experien</w:t>
      </w:r>
      <w:r>
        <w:rPr>
          <w:rFonts w:eastAsia="Times New Roman"/>
          <w:i/>
          <w:iCs/>
          <w:color w:val="000000"/>
          <w:sz w:val="20"/>
          <w:szCs w:val="20"/>
        </w:rPr>
        <w:t>ces.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Through our continued information technology enhancements, we believe we are able to provide an improved overall shopping environment and an omni-channel experience that empowers our customers to shop and interact with us from computers, tablets, smart pho</w:t>
      </w:r>
      <w:r>
        <w:rPr>
          <w:rFonts w:eastAsia="Times New Roman"/>
          <w:color w:val="000000"/>
          <w:sz w:val="20"/>
          <w:szCs w:val="20"/>
        </w:rPr>
        <w:t xml:space="preserve">nes, and other mobile communication devices. We use our websites, </w:t>
      </w:r>
      <w:r>
        <w:rPr>
          <w:rFonts w:eastAsia="Times New Roman"/>
          <w:i/>
          <w:iCs/>
          <w:color w:val="000000"/>
          <w:sz w:val="20"/>
          <w:szCs w:val="20"/>
          <w:u w:val="single"/>
        </w:rPr>
        <w:t>TractorSupply.com</w:t>
      </w:r>
      <w:r>
        <w:rPr>
          <w:rFonts w:eastAsia="Times New Roman"/>
          <w:i/>
          <w:iCs/>
          <w:color w:val="000000"/>
          <w:sz w:val="20"/>
          <w:szCs w:val="20"/>
        </w:rPr>
        <w:t xml:space="preserve"> and</w:t>
      </w:r>
      <w:r>
        <w:rPr>
          <w:rFonts w:eastAsia="Times New Roman"/>
          <w:color w:val="000000"/>
          <w:sz w:val="20"/>
          <w:szCs w:val="20"/>
        </w:rPr>
        <w:t xml:space="preserve"> </w:t>
      </w:r>
      <w:r>
        <w:rPr>
          <w:rFonts w:eastAsia="Times New Roman"/>
          <w:i/>
          <w:iCs/>
          <w:color w:val="000000"/>
          <w:sz w:val="20"/>
          <w:szCs w:val="20"/>
          <w:u w:val="single"/>
        </w:rPr>
        <w:t>Petsense.com</w:t>
      </w:r>
      <w:r>
        <w:rPr>
          <w:rFonts w:eastAsia="Times New Roman"/>
          <w:color w:val="000000"/>
          <w:sz w:val="20"/>
          <w:szCs w:val="20"/>
        </w:rPr>
        <w:t>, and our mobile application as both a sales channel for our products and as a method of providing product, project, and other relevant information to our c</w:t>
      </w:r>
      <w:r>
        <w:rPr>
          <w:rFonts w:eastAsia="Times New Roman"/>
          <w:color w:val="000000"/>
          <w:sz w:val="20"/>
          <w:szCs w:val="20"/>
        </w:rPr>
        <w:t>ustomers to drive in-store and online sales. Omni-channel retailing is continually evolving and expanding, and we must effectively respond to changing customer expectations and new developments. The portion of total consumer expenditures with retailers occ</w:t>
      </w:r>
      <w:r>
        <w:rPr>
          <w:rFonts w:eastAsia="Times New Roman"/>
          <w:color w:val="000000"/>
          <w:sz w:val="20"/>
          <w:szCs w:val="20"/>
        </w:rPr>
        <w:t>urring online and through mobile applications has continued to increase. The pace of this increase could further accelerate in the future. Our business has evolved from an in-store experience to interaction with customers across numerous channels, includin</w:t>
      </w:r>
      <w:r>
        <w:rPr>
          <w:rFonts w:eastAsia="Times New Roman"/>
          <w:color w:val="000000"/>
          <w:sz w:val="20"/>
          <w:szCs w:val="20"/>
        </w:rPr>
        <w:t>g in-store, online, mobile and social media, among others. Omni-channel retailing is rapidly evolving, and we must keep pace with changing customer expectations and new developments by our competitors. Our customers are increasingly using mobile phones, ta</w:t>
      </w:r>
      <w:r>
        <w:rPr>
          <w:rFonts w:eastAsia="Times New Roman"/>
          <w:color w:val="000000"/>
          <w:sz w:val="20"/>
          <w:szCs w:val="20"/>
        </w:rPr>
        <w:t>blets, computers, and other devices to shop and to interact with us through social media. We are making investments in our websites and mobile applications. If we are unable to make, improve, or develop relevant customer-facing technology in a timely manne</w:t>
      </w:r>
      <w:r>
        <w:rPr>
          <w:rFonts w:eastAsia="Times New Roman"/>
          <w:color w:val="000000"/>
          <w:sz w:val="20"/>
          <w:szCs w:val="20"/>
        </w:rPr>
        <w:t>r, our ability to compete and our results of operations could be adversely affected. Disruptions, failures, or other performance issues with these customer-facing technology systems could impair the benefits that they provide to our in-store and online bus</w:t>
      </w:r>
      <w:r>
        <w:rPr>
          <w:rFonts w:eastAsia="Times New Roman"/>
          <w:color w:val="000000"/>
          <w:sz w:val="20"/>
          <w:szCs w:val="20"/>
        </w:rPr>
        <w:t>iness and negatively affect our relationship with our customers.</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If we are unable to maintain or upgrade our management information systems and software programs or if we are unable to convert to alternate systems in an efficient and timely manner, our o</w:t>
      </w:r>
      <w:r>
        <w:rPr>
          <w:rFonts w:eastAsia="Times New Roman"/>
          <w:i/>
          <w:iCs/>
          <w:color w:val="000000"/>
          <w:sz w:val="20"/>
          <w:szCs w:val="20"/>
        </w:rPr>
        <w:t>perations may be disrupted or become less efficient and our long-term strategic growth initiatives may not be successful.</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depend on management information systems for many aspects of our business.  We rely on certain software vendors to maintain and p</w:t>
      </w:r>
      <w:r>
        <w:rPr>
          <w:rFonts w:eastAsia="Times New Roman"/>
          <w:color w:val="000000"/>
          <w:sz w:val="20"/>
          <w:szCs w:val="20"/>
        </w:rPr>
        <w:t>eriodically upgrade many of these systems so that we can continue to support our business. We could be materially adversely affected if we experienced a disruption or data loss relating to our management information systems and are unable to recover timely</w:t>
      </w:r>
      <w:r>
        <w:rPr>
          <w:rFonts w:eastAsia="Times New Roman"/>
          <w:color w:val="000000"/>
          <w:sz w:val="20"/>
          <w:szCs w:val="20"/>
        </w:rPr>
        <w:t>. We could also be adversely impacted if we are unable to improve, upgrade, maintain, and expand our management information systems, particularly in light of the contemplated continued store growth.</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success of our long-term strategic growth initiativ</w:t>
      </w:r>
      <w:r>
        <w:rPr>
          <w:rFonts w:eastAsia="Times New Roman"/>
          <w:color w:val="000000"/>
          <w:sz w:val="20"/>
          <w:szCs w:val="20"/>
        </w:rPr>
        <w:t>es designed to increase our sales and improve margin are dependent in varying degrees on the timely delivery and the functionality of information technology systems to support them.  Extended delays or cost overruns in securing, developing, and otherwise i</w:t>
      </w:r>
      <w:r>
        <w:rPr>
          <w:rFonts w:eastAsia="Times New Roman"/>
          <w:color w:val="000000"/>
          <w:sz w:val="20"/>
          <w:szCs w:val="20"/>
        </w:rPr>
        <w:t>mplementing technology solutions to support the long-term strategic growth initiatives would delay and possibly even prevent us from realizing the projected benefits of those initiatives.</w:t>
      </w:r>
    </w:p>
    <w:p w:rsidR="00000000" w:rsidRDefault="00F123EE">
      <w:pPr>
        <w:jc w:val="both"/>
        <w:rPr>
          <w:rFonts w:eastAsia="Times New Roman"/>
        </w:rPr>
      </w:pPr>
    </w:p>
    <w:p w:rsidR="00000000" w:rsidRDefault="00F123EE">
      <w:pPr>
        <w:jc w:val="both"/>
        <w:rPr>
          <w:rFonts w:eastAsia="Times New Roman"/>
        </w:rPr>
      </w:pPr>
      <w:r>
        <w:rPr>
          <w:rFonts w:eastAsia="Times New Roman"/>
          <w:b/>
          <w:bCs/>
          <w:color w:val="000000"/>
          <w:sz w:val="20"/>
          <w:szCs w:val="20"/>
        </w:rPr>
        <w:t>Financial Risks</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Changes in market conditions or in our credit ra</w:t>
      </w:r>
      <w:r>
        <w:rPr>
          <w:rFonts w:eastAsia="Times New Roman"/>
          <w:i/>
          <w:iCs/>
          <w:color w:val="000000"/>
          <w:sz w:val="20"/>
          <w:szCs w:val="20"/>
        </w:rPr>
        <w:t>ting could restrict capital and adversely affect our business operations and growth initiatives.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rely on the positive cash flow we generate from our operating activities and our access to the credit and capital markets to fund our operations, growth s</w:t>
      </w:r>
      <w:r>
        <w:rPr>
          <w:rFonts w:eastAsia="Times New Roman"/>
          <w:color w:val="000000"/>
          <w:sz w:val="20"/>
          <w:szCs w:val="20"/>
        </w:rPr>
        <w:t xml:space="preserve">trategy, capital expenditures, and return of cash to our stockholders through share repurchases and dividends. Changes in the credit and capital markets, including market disruptions, limited liquidity and interest rate fluctuations, may increase the cost </w:t>
      </w:r>
      <w:r>
        <w:rPr>
          <w:rFonts w:eastAsia="Times New Roman"/>
          <w:color w:val="000000"/>
          <w:sz w:val="20"/>
          <w:szCs w:val="20"/>
        </w:rPr>
        <w:t xml:space="preserve">of financing or restrict our access to these potential sources of future liquidity. Our continued access to liquidity sources on favorable terms depends on multiple factors, including our operating performance and credit ratings. There can be no assurance </w:t>
      </w:r>
      <w:r>
        <w:rPr>
          <w:rFonts w:eastAsia="Times New Roman"/>
          <w:color w:val="000000"/>
          <w:sz w:val="20"/>
          <w:szCs w:val="20"/>
        </w:rPr>
        <w:t>that we will be able to maintain and/or improve our current credit ratings. A rating organization may lower our rating, or change our ratings’ outlook, or decide not to rate our securities, temporarily or permanently, in its sole discretion. In the event t</w:t>
      </w:r>
      <w:r>
        <w:rPr>
          <w:rFonts w:eastAsia="Times New Roman"/>
          <w:color w:val="000000"/>
          <w:sz w:val="20"/>
          <w:szCs w:val="20"/>
        </w:rPr>
        <w:t xml:space="preserve">hat our current credit ratings are downgraded or removed, we would most likely incur higher borrowing costs and experience greater difficulty in obtaining additional financing, which in turn would have a material adverse impact on our financial condition, </w:t>
      </w:r>
      <w:r>
        <w:rPr>
          <w:rFonts w:eastAsia="Times New Roman"/>
          <w:color w:val="000000"/>
          <w:sz w:val="20"/>
          <w:szCs w:val="20"/>
        </w:rPr>
        <w:t>results of operations, cash flows, and liquidity. We can make no assurances that our ability to obtain additional financing through the debt and equity markets will not be adversely affected by economic conditions or that we will be able to maintain or imp</w:t>
      </w:r>
      <w:r>
        <w:rPr>
          <w:rFonts w:eastAsia="Times New Roman"/>
          <w:color w:val="000000"/>
          <w:sz w:val="20"/>
          <w:szCs w:val="20"/>
        </w:rPr>
        <w:t>rove our current credit ratings.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In addition, tight lending practices may make it difficult for our real estate developers to obtain financing under acceptable loan terms and conditions.  Unfavorable lending conditions could impact the timing of our stor</w:t>
      </w:r>
      <w:r>
        <w:rPr>
          <w:rFonts w:eastAsia="Times New Roman"/>
          <w:color w:val="000000"/>
          <w:sz w:val="20"/>
          <w:szCs w:val="20"/>
        </w:rPr>
        <w:t>e openings and materially adversely affect our ability to open new stores in desirable locations.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Longer-term disruptions in the capital and credit markets as a result of uncertainty, changing or increased regulation, reduced funding alternatives, or fai</w:t>
      </w:r>
      <w:r>
        <w:rPr>
          <w:rFonts w:eastAsia="Times New Roman"/>
          <w:color w:val="000000"/>
          <w:sz w:val="20"/>
          <w:szCs w:val="20"/>
        </w:rPr>
        <w:t xml:space="preserve">lures of significant financial institutions could adversely affect our access to liquidity needed for our business.  Any disruption could require us to take measures to conserve cash until the markets stabilize or until alternative credit </w:t>
      </w:r>
    </w:p>
    <w:p w:rsidR="00000000" w:rsidRDefault="00F123EE">
      <w:pPr>
        <w:jc w:val="center"/>
        <w:divId w:val="1452632697"/>
        <w:rPr>
          <w:rFonts w:eastAsia="Times New Roman"/>
        </w:rPr>
      </w:pPr>
      <w:r>
        <w:rPr>
          <w:rFonts w:eastAsia="Times New Roman"/>
          <w:color w:val="000000"/>
          <w:sz w:val="20"/>
          <w:szCs w:val="20"/>
        </w:rPr>
        <w:t>20</w:t>
      </w:r>
    </w:p>
    <w:p w:rsidR="00000000" w:rsidRDefault="00F123EE">
      <w:pPr>
        <w:rPr>
          <w:rFonts w:eastAsia="Times New Roman"/>
        </w:rPr>
      </w:pPr>
      <w:r>
        <w:rPr>
          <w:rFonts w:eastAsia="Times New Roman"/>
        </w:rPr>
        <w:pict>
          <v:rect id="_x0000_i1049" style="width:0;height:1.5pt" o:hralign="center" o:hrstd="t" o:hr="t" fillcolor="#a0a0a0" stroked="f"/>
        </w:pict>
      </w:r>
    </w:p>
    <w:p w:rsidR="00000000" w:rsidRDefault="00F123EE">
      <w:pPr>
        <w:divId w:val="1657029430"/>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r>
        <w:rPr>
          <w:rFonts w:eastAsia="Times New Roman"/>
          <w:color w:val="000000"/>
          <w:sz w:val="20"/>
          <w:szCs w:val="20"/>
        </w:rPr>
        <w:t>arrangements or other funding for our business needs can be arranged.  Such measures could include deferring capital expenditures and reducing or eliminating future sha</w:t>
      </w:r>
      <w:r>
        <w:rPr>
          <w:rFonts w:eastAsia="Times New Roman"/>
          <w:color w:val="000000"/>
          <w:sz w:val="20"/>
          <w:szCs w:val="20"/>
        </w:rPr>
        <w:t>re repurchases, cash dividends, or other discretionary uses of cash.</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Our level of indebtedness could limit our cash flow available for operations and could adversely affect our ability to service our debt or obtain additional financing.</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As of December</w:t>
      </w:r>
      <w:r>
        <w:rPr>
          <w:rFonts w:eastAsia="Times New Roman"/>
          <w:color w:val="000000"/>
          <w:sz w:val="20"/>
          <w:szCs w:val="20"/>
        </w:rPr>
        <w:t> 31, 2022, our total outstanding consolidated debt was approximately $1.16 billion. Our level of indebtedness could restrict our operations and make it more difficult for us to satisfy our debt obligations. Our ability to make payments on our indebtedness,</w:t>
      </w:r>
      <w:r>
        <w:rPr>
          <w:rFonts w:eastAsia="Times New Roman"/>
          <w:color w:val="000000"/>
          <w:sz w:val="20"/>
          <w:szCs w:val="20"/>
        </w:rPr>
        <w:t xml:space="preserve"> to refinance our indebtedness, and to fund planned capital expenditures will depend on our ability to generate cash in the future.</w:t>
      </w:r>
      <w:r>
        <w:rPr>
          <w:rFonts w:eastAsia="Times New Roman"/>
          <w:color w:val="000000"/>
        </w:rPr>
        <w:t xml:space="preserve"> </w:t>
      </w:r>
      <w:r>
        <w:rPr>
          <w:rFonts w:eastAsia="Times New Roman"/>
          <w:color w:val="000000"/>
          <w:sz w:val="20"/>
          <w:szCs w:val="20"/>
        </w:rPr>
        <w:t>This ability, to a certain extent, is subject to general economic, financial, competitive, legislative, regulatory, and othe</w:t>
      </w:r>
      <w:r>
        <w:rPr>
          <w:rFonts w:eastAsia="Times New Roman"/>
          <w:color w:val="000000"/>
          <w:sz w:val="20"/>
          <w:szCs w:val="20"/>
        </w:rPr>
        <w:t>r factors that are beyond our control. Our business may not be able to generate sufficient cash flow from operations, and future borrowings may not be available to us in an amount sufficient to enable us to pay our indebtedness or to fund our other liquidi</w:t>
      </w:r>
      <w:r>
        <w:rPr>
          <w:rFonts w:eastAsia="Times New Roman"/>
          <w:color w:val="000000"/>
          <w:sz w:val="20"/>
          <w:szCs w:val="20"/>
        </w:rPr>
        <w:t>ty needs.</w:t>
      </w:r>
      <w:r>
        <w:rPr>
          <w:rFonts w:eastAsia="Times New Roman"/>
          <w:color w:val="000000"/>
        </w:rPr>
        <w:t xml:space="preserve"> </w:t>
      </w:r>
      <w:r>
        <w:rPr>
          <w:rFonts w:eastAsia="Times New Roman"/>
          <w:color w:val="000000"/>
          <w:sz w:val="20"/>
          <w:szCs w:val="20"/>
        </w:rPr>
        <w:t>We may need to refinance all or a portion of our indebtedness on or before maturity.</w:t>
      </w:r>
      <w:r>
        <w:rPr>
          <w:rFonts w:eastAsia="Times New Roman"/>
          <w:color w:val="000000"/>
        </w:rPr>
        <w:t xml:space="preserve"> </w:t>
      </w:r>
      <w:r>
        <w:rPr>
          <w:rFonts w:eastAsia="Times New Roman"/>
          <w:color w:val="000000"/>
          <w:sz w:val="20"/>
          <w:szCs w:val="20"/>
        </w:rPr>
        <w:t>Our ability to refinance all or a portion of our indebtedness on acceptable terms, or at all, will be dependent upon a number of factors, including our degree of</w:t>
      </w:r>
      <w:r>
        <w:rPr>
          <w:rFonts w:eastAsia="Times New Roman"/>
          <w:color w:val="000000"/>
          <w:sz w:val="20"/>
          <w:szCs w:val="20"/>
        </w:rPr>
        <w:t xml:space="preserve"> leverage, the value of our assets, borrowing and other financial restrictions imposed by lenders and conditions in the credit markets at the time we refinance. If we are unable to refinance our indebtedness on acceptable terms, we may be forced to agree t</w:t>
      </w:r>
      <w:r>
        <w:rPr>
          <w:rFonts w:eastAsia="Times New Roman"/>
          <w:color w:val="000000"/>
          <w:sz w:val="20"/>
          <w:szCs w:val="20"/>
        </w:rPr>
        <w:t>o otherwise unfavorable financing terms. This could have a material adverse effect on our business, financial condition and results of operations.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In addition, so long as we comply with any existing limitations in our credit and debt agreements while the</w:t>
      </w:r>
      <w:r>
        <w:rPr>
          <w:rFonts w:eastAsia="Times New Roman"/>
          <w:color w:val="000000"/>
          <w:sz w:val="20"/>
          <w:szCs w:val="20"/>
        </w:rPr>
        <w:t>y are in effect, we may issue an indeterminate amount of debt securities from time to time. If new debt is added to our and our subsidiaries' current debt levels, the related risks that we and they now face could intensify.</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Our credit facilities, the indenture related to our 1.75% Senior Notes, and other debt instruments have restrictive covenants and change of control provisions that could limit our financial and business flexibility.</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Our credit agreement governing our sen</w:t>
      </w:r>
      <w:r>
        <w:rPr>
          <w:rFonts w:eastAsia="Times New Roman"/>
          <w:color w:val="000000"/>
          <w:sz w:val="20"/>
          <w:szCs w:val="20"/>
        </w:rPr>
        <w:t>ior credit facilities and our note purchase and private shelf agreement governing our senior unsecured notes due August 14, 2029 (the “2029 notes”) each contain financial, operative and other restrictive covenants in addition to the restrictive covenants c</w:t>
      </w:r>
      <w:r>
        <w:rPr>
          <w:rFonts w:eastAsia="Times New Roman"/>
          <w:color w:val="000000"/>
          <w:sz w:val="20"/>
          <w:szCs w:val="20"/>
        </w:rPr>
        <w:t>ontained in the indenture governing our 1.75% Senior Notes (as defined in the Notes to the Consolidated Financial Statements). Our failure to comply with those covenants could result in an event of default which, if not cured or waived, could result in the</w:t>
      </w:r>
      <w:r>
        <w:rPr>
          <w:rFonts w:eastAsia="Times New Roman"/>
          <w:color w:val="000000"/>
          <w:sz w:val="20"/>
          <w:szCs w:val="20"/>
        </w:rPr>
        <w:t xml:space="preserve"> acceleration of all of our debt, which would have a material adverse effect on our financial condition. In addition, upon certain events constituting a change of control, as that term is defined in the indenture for our 1.75% Senior Notes and in our note </w:t>
      </w:r>
      <w:r>
        <w:rPr>
          <w:rFonts w:eastAsia="Times New Roman"/>
          <w:color w:val="000000"/>
          <w:sz w:val="20"/>
          <w:szCs w:val="20"/>
        </w:rPr>
        <w:t xml:space="preserve">purchase and private shelf agreement for our 2029 notes, we are required to make an offer in cash to repurchase all or any part of each holder's 1.75% Senior Notes at a repurchase price equal to 101% of the principal thereof, plus accrued interest, and to </w:t>
      </w:r>
      <w:r>
        <w:rPr>
          <w:rFonts w:eastAsia="Times New Roman"/>
          <w:color w:val="000000"/>
          <w:sz w:val="20"/>
          <w:szCs w:val="20"/>
        </w:rPr>
        <w:t>prepay all of each holder’s 2029 notes at a prepayment price equal to 100% of the principal thereof, plus accrued interest. Sufficient funds may not be available to us, however, at the time of any change of control event to repurchase and prepay, as applic</w:t>
      </w:r>
      <w:r>
        <w:rPr>
          <w:rFonts w:eastAsia="Times New Roman"/>
          <w:color w:val="000000"/>
          <w:sz w:val="20"/>
          <w:szCs w:val="20"/>
        </w:rPr>
        <w:t xml:space="preserve">able, all or a portion of the tendered notes pursuant to these requirements. Our failure to offer to repurchase 1.75% Senior Notes and prepay 2029 notes, or to repurchase and prepay, as applicable, notes tendered, following a change of control will result </w:t>
      </w:r>
      <w:r>
        <w:rPr>
          <w:rFonts w:eastAsia="Times New Roman"/>
          <w:color w:val="000000"/>
          <w:sz w:val="20"/>
          <w:szCs w:val="20"/>
        </w:rPr>
        <w:t xml:space="preserve">in a default under the indentures for our 1.75% Senior Notes and the note purchase and private shelf agreement for our 2029 notes, which could lead to a cross-default under our credit agreement for our senior credit facilities. </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We cannot provide any gua</w:t>
      </w:r>
      <w:r>
        <w:rPr>
          <w:rFonts w:eastAsia="Times New Roman"/>
          <w:i/>
          <w:iCs/>
          <w:color w:val="000000"/>
          <w:sz w:val="20"/>
          <w:szCs w:val="20"/>
        </w:rPr>
        <w:t xml:space="preserve">ranty of future dividend payments or any guaranty that we will continue to repurchase our common stock pursuant to our stock repurchase program.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Although our Board of Directors has indicated an intention to pay future quarterly cash dividends on our com</w:t>
      </w:r>
      <w:r>
        <w:rPr>
          <w:rFonts w:eastAsia="Times New Roman"/>
          <w:color w:val="000000"/>
          <w:sz w:val="20"/>
          <w:szCs w:val="20"/>
        </w:rPr>
        <w:t>mon stock, any determination to pay or increase cash dividends on our common stock in the future will be based primarily upon our financial condition, results of operations, business requirements, and our Board of Directors’ continuing determination that t</w:t>
      </w:r>
      <w:r>
        <w:rPr>
          <w:rFonts w:eastAsia="Times New Roman"/>
          <w:color w:val="000000"/>
          <w:sz w:val="20"/>
          <w:szCs w:val="20"/>
        </w:rPr>
        <w:t>he declaration of dividends is in the best interests of our stockholders and is in compliance with all laws and agreements applicable to the dividend. Furthermore, although our Board of Directors has authorized a share repurchase program of up to $6.50 bil</w:t>
      </w:r>
      <w:r>
        <w:rPr>
          <w:rFonts w:eastAsia="Times New Roman"/>
          <w:color w:val="000000"/>
          <w:sz w:val="20"/>
          <w:szCs w:val="20"/>
        </w:rPr>
        <w:t>lion, we may temporarily pause or permanently discontinue this program at any time or significantly reduce the amount of repurchases under the program. The authorized amount reflects a $2.00 billion increase to the share repurchase program which was approv</w:t>
      </w:r>
      <w:r>
        <w:rPr>
          <w:rFonts w:eastAsia="Times New Roman"/>
          <w:color w:val="000000"/>
          <w:sz w:val="20"/>
          <w:szCs w:val="20"/>
        </w:rPr>
        <w:t>ed by our Board of Directors o</w:t>
      </w:r>
      <w:r>
        <w:rPr>
          <w:rFonts w:eastAsia="Times New Roman"/>
          <w:color w:val="000000"/>
          <w:sz w:val="20"/>
          <w:szCs w:val="20"/>
          <w:shd w:val="clear" w:color="auto" w:fill="FFFFFF"/>
        </w:rPr>
        <w:t>n January 26, 2022. The share r</w:t>
      </w:r>
      <w:r>
        <w:rPr>
          <w:rFonts w:eastAsia="Times New Roman"/>
          <w:color w:val="000000"/>
          <w:sz w:val="20"/>
          <w:szCs w:val="20"/>
        </w:rPr>
        <w:t>epurchase program does not have an expiration date. As of December 31, 2022, the Company had remaining authorization under the share repurchase program of $1.65 billion, exclusive of any fees, co</w:t>
      </w:r>
      <w:r>
        <w:rPr>
          <w:rFonts w:eastAsia="Times New Roman"/>
          <w:color w:val="000000"/>
          <w:sz w:val="20"/>
          <w:szCs w:val="20"/>
        </w:rPr>
        <w:t xml:space="preserve">mmissions or other expenses. </w:t>
      </w:r>
    </w:p>
    <w:p w:rsidR="00000000" w:rsidRDefault="00F123EE">
      <w:pPr>
        <w:jc w:val="both"/>
        <w:rPr>
          <w:rFonts w:eastAsia="Times New Roman"/>
        </w:rPr>
      </w:pPr>
    </w:p>
    <w:p w:rsidR="00000000" w:rsidRDefault="00F123EE">
      <w:pPr>
        <w:jc w:val="center"/>
        <w:divId w:val="734357248"/>
        <w:rPr>
          <w:rFonts w:eastAsia="Times New Roman"/>
        </w:rPr>
      </w:pPr>
      <w:r>
        <w:rPr>
          <w:rFonts w:eastAsia="Times New Roman"/>
          <w:color w:val="000000"/>
          <w:sz w:val="20"/>
          <w:szCs w:val="20"/>
        </w:rPr>
        <w:t>21</w:t>
      </w:r>
    </w:p>
    <w:p w:rsidR="00000000" w:rsidRDefault="00F123EE">
      <w:pPr>
        <w:rPr>
          <w:rFonts w:eastAsia="Times New Roman"/>
        </w:rPr>
      </w:pPr>
      <w:r>
        <w:rPr>
          <w:rFonts w:eastAsia="Times New Roman"/>
        </w:rPr>
        <w:pict>
          <v:rect id="_x0000_i1050" style="width:0;height:1.5pt" o:hralign="center" o:hrstd="t" o:hr="t" fillcolor="#a0a0a0" stroked="f"/>
        </w:pict>
      </w:r>
    </w:p>
    <w:p w:rsidR="00000000" w:rsidRDefault="00F123EE">
      <w:pPr>
        <w:divId w:val="273055453"/>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r>
        <w:rPr>
          <w:rFonts w:eastAsia="Times New Roman"/>
          <w:i/>
          <w:iCs/>
          <w:color w:val="000000"/>
          <w:sz w:val="20"/>
          <w:szCs w:val="20"/>
        </w:rPr>
        <w:t xml:space="preserve">The market price for our common stock might be volatile and could result in a decline in value.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price at which ou</w:t>
      </w:r>
      <w:r>
        <w:rPr>
          <w:rFonts w:eastAsia="Times New Roman"/>
          <w:color w:val="000000"/>
          <w:sz w:val="20"/>
          <w:szCs w:val="20"/>
        </w:rPr>
        <w:t>r common stock trades may be volatile and could be subject to significant fluctuations in response to our operating results, general trends and prospects for the retail industry, announcements by our competitors, analyst recommendations, our ability to mee</w:t>
      </w:r>
      <w:r>
        <w:rPr>
          <w:rFonts w:eastAsia="Times New Roman"/>
          <w:color w:val="000000"/>
          <w:sz w:val="20"/>
          <w:szCs w:val="20"/>
        </w:rPr>
        <w:t>t or exceed analysts’ or investors’ expectations, the condition of the financial markets, and other factors. The Company’s stock price is dependent in part on the multiple of earnings that investors are willing to pay. That multiple is in part dependent on</w:t>
      </w:r>
      <w:r>
        <w:rPr>
          <w:rFonts w:eastAsia="Times New Roman"/>
          <w:color w:val="000000"/>
          <w:sz w:val="20"/>
          <w:szCs w:val="20"/>
        </w:rPr>
        <w:t xml:space="preserve"> investors’ perception of the Company’s future earnings growth prospects. If investors’ perception of the Company’s earnings growth prospects change, the Company’s earnings multiple may decline and its stock price could be adversely affected.</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In addition</w:t>
      </w:r>
      <w:r>
        <w:rPr>
          <w:rFonts w:eastAsia="Times New Roman"/>
          <w:color w:val="000000"/>
          <w:sz w:val="20"/>
          <w:szCs w:val="20"/>
        </w:rPr>
        <w:t>, the stock market has at times experienced extreme price and volume fluctuations that often have been unrelated or disproportionate to the operating performance of companies. These fluctuations, as well as general economic and market conditions, may adver</w:t>
      </w:r>
      <w:r>
        <w:rPr>
          <w:rFonts w:eastAsia="Times New Roman"/>
          <w:color w:val="000000"/>
          <w:sz w:val="20"/>
          <w:szCs w:val="20"/>
        </w:rPr>
        <w:t xml:space="preserve">sely affect the market price of our common stock notwithstanding our actual operating performance. </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Impairment of the carrying value of our goodwill or other intangible assets could adversely affect our financial condition and results of operations.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Go</w:t>
      </w:r>
      <w:r>
        <w:rPr>
          <w:rFonts w:eastAsia="Times New Roman"/>
          <w:color w:val="000000"/>
          <w:sz w:val="20"/>
          <w:szCs w:val="20"/>
        </w:rPr>
        <w:t>odwill represents the difference between the purchase price of an acquired company and the related fair value of net assets acquired. A significant amount of judgment is involved in determining if an indication of impairment of goodwill exists. As with goo</w:t>
      </w:r>
      <w:r>
        <w:rPr>
          <w:rFonts w:eastAsia="Times New Roman"/>
          <w:color w:val="000000"/>
          <w:sz w:val="20"/>
          <w:szCs w:val="20"/>
        </w:rPr>
        <w:t>dwill, we also test our indefinite-lived intangible assets for impairment annually and whenever events or changes in circumstances indicate that their carrying value may not be recoverable. Factors indicating impairment of goodwill or other intangible asse</w:t>
      </w:r>
      <w:r>
        <w:rPr>
          <w:rFonts w:eastAsia="Times New Roman"/>
          <w:color w:val="000000"/>
          <w:sz w:val="20"/>
          <w:szCs w:val="20"/>
        </w:rPr>
        <w:t>ts may include, among others: a significant decline in our expected future cash flows; a sustained, significant decline in our stock price and market capitalization; a significant adverse change in legal factors or in the business climate; unanticipated or</w:t>
      </w:r>
      <w:r>
        <w:rPr>
          <w:rFonts w:eastAsia="Times New Roman"/>
          <w:color w:val="000000"/>
          <w:sz w:val="20"/>
          <w:szCs w:val="20"/>
        </w:rPr>
        <w:t xml:space="preserve"> changing competition; the testing for recoverability of a significant asset group within a reporting unit; and reduced growth rates. Any adverse change in these factors could have a significant impact on the recoverability of these assets and negatively a</w:t>
      </w:r>
      <w:r>
        <w:rPr>
          <w:rFonts w:eastAsia="Times New Roman"/>
          <w:color w:val="000000"/>
          <w:sz w:val="20"/>
          <w:szCs w:val="20"/>
        </w:rPr>
        <w:t>ffect our financial condition and results of operations. To the extent that business conditions deteriorate or if changes in key assumptions and estimates differ significantly from management's expectations, it may be necessary to record additional impairm</w:t>
      </w:r>
      <w:r>
        <w:rPr>
          <w:rFonts w:eastAsia="Times New Roman"/>
          <w:color w:val="000000"/>
          <w:sz w:val="20"/>
          <w:szCs w:val="20"/>
        </w:rPr>
        <w:t>ent charges in the future which could have an adverse effect on our financial condition and results of operations.</w:t>
      </w:r>
    </w:p>
    <w:p w:rsidR="00000000" w:rsidRDefault="00F123EE">
      <w:pPr>
        <w:jc w:val="both"/>
        <w:rPr>
          <w:rFonts w:eastAsia="Times New Roman"/>
        </w:rPr>
      </w:pPr>
    </w:p>
    <w:p w:rsidR="00000000" w:rsidRDefault="00F123EE">
      <w:pPr>
        <w:jc w:val="both"/>
        <w:rPr>
          <w:rFonts w:eastAsia="Times New Roman"/>
        </w:rPr>
      </w:pPr>
      <w:r>
        <w:rPr>
          <w:rFonts w:eastAsia="Times New Roman"/>
          <w:b/>
          <w:bCs/>
          <w:color w:val="000000"/>
          <w:sz w:val="20"/>
          <w:szCs w:val="20"/>
        </w:rPr>
        <w:t>Legal, Regulatory and Compliance Risks</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We are subject to personal injury, workers’ compensation, product liability, discrimination, haras</w:t>
      </w:r>
      <w:r>
        <w:rPr>
          <w:rFonts w:eastAsia="Times New Roman"/>
          <w:i/>
          <w:iCs/>
          <w:color w:val="000000"/>
          <w:sz w:val="20"/>
          <w:szCs w:val="20"/>
        </w:rPr>
        <w:t>sment, wrongful termination, wage and hour, and other claims in the ordinary course of business.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Our business involves a risk of personal injury, workers’ compensation, product liability, discrimination, harassment, wrongful termination, wage and hour, a</w:t>
      </w:r>
      <w:r>
        <w:rPr>
          <w:rFonts w:eastAsia="Times New Roman"/>
          <w:color w:val="000000"/>
          <w:sz w:val="20"/>
          <w:szCs w:val="20"/>
        </w:rPr>
        <w:t xml:space="preserve">nd other claims in the ordinary course of business.  Product liability claims from customers and product recalls for merchandise alleged to be defective or harmful could lead to the disposal or write-off of merchandise inventories, the incurrence of fines </w:t>
      </w:r>
      <w:r>
        <w:rPr>
          <w:rFonts w:eastAsia="Times New Roman"/>
          <w:color w:val="000000"/>
          <w:sz w:val="20"/>
          <w:szCs w:val="20"/>
        </w:rPr>
        <w:t>or penalties, and damage to our reputation. We maintain general liability with a self-insured retention and workers’ compensation insurance with a deductible for each occurrence.  We also maintain umbrella limits above the primary general liability and pro</w:t>
      </w:r>
      <w:r>
        <w:rPr>
          <w:rFonts w:eastAsia="Times New Roman"/>
          <w:color w:val="000000"/>
          <w:sz w:val="20"/>
          <w:szCs w:val="20"/>
        </w:rPr>
        <w:t>duct liability coverage.  In many cases, we have indemnification rights against the manufacturers of the products and their products liability insurance, as well as the property owners of our leased buildings.  Our ability to recover costs and damages unde</w:t>
      </w:r>
      <w:r>
        <w:rPr>
          <w:rFonts w:eastAsia="Times New Roman"/>
          <w:color w:val="000000"/>
          <w:sz w:val="20"/>
          <w:szCs w:val="20"/>
        </w:rPr>
        <w:t>r such insurance or indemnification arrangements is subject to the financial viability of the insurers, manufacturers, and landlords and the specific allegations of a claim.  No assurance can be given that our insurance coverage or the manufacturers’ or la</w:t>
      </w:r>
      <w:r>
        <w:rPr>
          <w:rFonts w:eastAsia="Times New Roman"/>
          <w:color w:val="000000"/>
          <w:sz w:val="20"/>
          <w:szCs w:val="20"/>
        </w:rPr>
        <w:t>ndlords’ indemnity will be available or sufficient in any claims brought against us.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Additionally, we are subject to U.S. federal, state, and local employment laws that expose us to potential liability if we are determined to have violated such employmen</w:t>
      </w:r>
      <w:r>
        <w:rPr>
          <w:rFonts w:eastAsia="Times New Roman"/>
          <w:color w:val="000000"/>
          <w:sz w:val="20"/>
          <w:szCs w:val="20"/>
        </w:rPr>
        <w:t>t laws, including but not limited to, laws pertaining to minimum wage rates, overtime pay, discrimination, harassment, and wrongful termination. Compliance with these laws, including the remediation of any alleged violation, may have a material adverse eff</w:t>
      </w:r>
      <w:r>
        <w:rPr>
          <w:rFonts w:eastAsia="Times New Roman"/>
          <w:color w:val="000000"/>
          <w:sz w:val="20"/>
          <w:szCs w:val="20"/>
        </w:rPr>
        <w:t>ect on our business or results of operations.</w:t>
      </w:r>
    </w:p>
    <w:p w:rsidR="00000000" w:rsidRDefault="00F123EE">
      <w:pPr>
        <w:jc w:val="both"/>
        <w:rPr>
          <w:rFonts w:eastAsia="Times New Roman"/>
        </w:rPr>
      </w:pPr>
    </w:p>
    <w:p w:rsidR="00000000" w:rsidRDefault="00F123EE">
      <w:pPr>
        <w:jc w:val="center"/>
        <w:divId w:val="1079717897"/>
        <w:rPr>
          <w:rFonts w:eastAsia="Times New Roman"/>
        </w:rPr>
      </w:pPr>
      <w:r>
        <w:rPr>
          <w:rFonts w:eastAsia="Times New Roman"/>
          <w:color w:val="000000"/>
          <w:sz w:val="20"/>
          <w:szCs w:val="20"/>
        </w:rPr>
        <w:t>22</w:t>
      </w:r>
    </w:p>
    <w:p w:rsidR="00000000" w:rsidRDefault="00F123EE">
      <w:pPr>
        <w:rPr>
          <w:rFonts w:eastAsia="Times New Roman"/>
        </w:rPr>
      </w:pPr>
      <w:r>
        <w:rPr>
          <w:rFonts w:eastAsia="Times New Roman"/>
        </w:rPr>
        <w:pict>
          <v:rect id="_x0000_i1051" style="width:0;height:1.5pt" o:hralign="center" o:hrstd="t" o:hr="t" fillcolor="#a0a0a0" stroked="f"/>
        </w:pict>
      </w:r>
    </w:p>
    <w:p w:rsidR="00000000" w:rsidRDefault="00F123EE">
      <w:pPr>
        <w:divId w:val="737674870"/>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r>
        <w:rPr>
          <w:rFonts w:eastAsia="Times New Roman"/>
          <w:i/>
          <w:iCs/>
          <w:color w:val="000000"/>
          <w:sz w:val="20"/>
          <w:szCs w:val="20"/>
        </w:rPr>
        <w:t>Our business could be negatively impacted as a result of federal, state, local, or foreign laws and regulations.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are subject to numerous federal, state, local, and foreign laws and governmental regulations including those relating to competition, envi</w:t>
      </w:r>
      <w:r>
        <w:rPr>
          <w:rFonts w:eastAsia="Times New Roman"/>
          <w:color w:val="000000"/>
          <w:sz w:val="20"/>
          <w:szCs w:val="20"/>
        </w:rPr>
        <w:t xml:space="preserve">ronmental protection, personal injury, intellectual property, consumer product safety, building, land use and zoning requirements, workplace regulations, wage and hour, privacy and information security, and employment law matters.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Our operations, includ</w:t>
      </w:r>
      <w:r>
        <w:rPr>
          <w:rFonts w:eastAsia="Times New Roman"/>
          <w:color w:val="000000"/>
          <w:sz w:val="20"/>
          <w:szCs w:val="20"/>
        </w:rPr>
        <w:t xml:space="preserve">ing our outsourced exclusive brand manufacturing partners, are subject to regulation by the Occupational Safety and Health Administration (“OSHA”), the Food and Drug Administration (the “FDA”), the Department of Agriculture (the “USDA”), the Environmental </w:t>
      </w:r>
      <w:r>
        <w:rPr>
          <w:rFonts w:eastAsia="Times New Roman"/>
          <w:color w:val="000000"/>
          <w:sz w:val="20"/>
          <w:szCs w:val="20"/>
        </w:rPr>
        <w:t>Protection Agency (the “EPA”) and by various other federal, state, local and foreign authorities regarding the processing, packaging, storage, distribution, advertising, labeling and export of our products, including food safety standards.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 xml:space="preserve">If we fail to </w:t>
      </w:r>
      <w:r>
        <w:rPr>
          <w:rFonts w:eastAsia="Times New Roman"/>
          <w:color w:val="000000"/>
          <w:sz w:val="20"/>
          <w:szCs w:val="20"/>
        </w:rPr>
        <w:t>comply with existing or future laws or regulations, or if these laws or regulations are violated by importers, manufacturers or distributors, we may be subject to governmental or judicial fines or sanctions, while incurring substantial legal fees and costs</w:t>
      </w:r>
      <w:r>
        <w:rPr>
          <w:rFonts w:eastAsia="Times New Roman"/>
          <w:color w:val="000000"/>
          <w:sz w:val="20"/>
          <w:szCs w:val="20"/>
        </w:rPr>
        <w:t>. In addition, our capital expenditures could increase due to remediation measures that may be required if we are found to be noncompliant with any existing or future laws or regulations.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are also subject to the Foreign Corrupt Practices Act (the “FCP</w:t>
      </w:r>
      <w:r>
        <w:rPr>
          <w:rFonts w:eastAsia="Times New Roman"/>
          <w:color w:val="000000"/>
          <w:sz w:val="20"/>
          <w:szCs w:val="20"/>
        </w:rPr>
        <w:t>A”), which prohibits U.S. companies and their intermediaries from making improper payments to foreign officials for the purposes of obtaining or retaining business, and the anti-bribery laws of other jurisdictions. Failure to comply with the FCPA and simil</w:t>
      </w:r>
      <w:r>
        <w:rPr>
          <w:rFonts w:eastAsia="Times New Roman"/>
          <w:color w:val="000000"/>
          <w:sz w:val="20"/>
          <w:szCs w:val="20"/>
        </w:rPr>
        <w:t>ar laws could subject us to, among other things, penalties and legal expenses that could harm our reputation and have a material adverse effect on our business, financial condition, and results of operations.</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Potential noncompliance with environmental re</w:t>
      </w:r>
      <w:r>
        <w:rPr>
          <w:rFonts w:eastAsia="Times New Roman"/>
          <w:i/>
          <w:iCs/>
          <w:color w:val="000000"/>
          <w:sz w:val="20"/>
          <w:szCs w:val="20"/>
        </w:rPr>
        <w:t>gulations could materially impact our results of operations or financial condition.</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Our business is subject to various federal, state, and local laws, regulations, and other requirements pertaining to protection of the environment and public health, incl</w:t>
      </w:r>
      <w:r>
        <w:rPr>
          <w:rFonts w:eastAsia="Times New Roman"/>
          <w:color w:val="000000"/>
          <w:sz w:val="20"/>
          <w:szCs w:val="20"/>
        </w:rPr>
        <w:t>uding, for example, regulations governing the management of waste materials and waste waters.  Governmental agencies on the federal, state, and local levels have, in recent years, increasingly focused on the retail sector’s compliance with such laws and re</w:t>
      </w:r>
      <w:r>
        <w:rPr>
          <w:rFonts w:eastAsia="Times New Roman"/>
          <w:color w:val="000000"/>
          <w:sz w:val="20"/>
          <w:szCs w:val="20"/>
        </w:rPr>
        <w:t>gulations, and have at times pursued enforcement activities.  We periodically receive information requests and notices of potential noncompliance with environmental laws and regulations from governmental agencies, which are addressed on a case-by-case basi</w:t>
      </w:r>
      <w:r>
        <w:rPr>
          <w:rFonts w:eastAsia="Times New Roman"/>
          <w:color w:val="000000"/>
          <w:sz w:val="20"/>
          <w:szCs w:val="20"/>
        </w:rPr>
        <w:t>s with the relevant agency. Any of these events could have a material adverse effect on our results of operations or financial condition.</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Failure to maintain an effective system of internal control over financial reporting could materially impact our bus</w:t>
      </w:r>
      <w:r>
        <w:rPr>
          <w:rFonts w:eastAsia="Times New Roman"/>
          <w:i/>
          <w:iCs/>
          <w:color w:val="000000"/>
          <w:sz w:val="20"/>
          <w:szCs w:val="20"/>
        </w:rPr>
        <w:t>iness and results.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Company’s management is responsible for establishing and maintaining adequate internal control over financial reporting. An internal control system, no matter how well designed and operated, can provide only reasonable, not absolut</w:t>
      </w:r>
      <w:r>
        <w:rPr>
          <w:rFonts w:eastAsia="Times New Roman"/>
          <w:color w:val="000000"/>
          <w:sz w:val="20"/>
          <w:szCs w:val="20"/>
        </w:rPr>
        <w:t>e, assurance that the objectives of the control system are met. Further, the design of a control system must reflect the fact that there are resource constraints, and the benefits of controls must be considered relative to their costs. Because of the inher</w:t>
      </w:r>
      <w:r>
        <w:rPr>
          <w:rFonts w:eastAsia="Times New Roman"/>
          <w:color w:val="000000"/>
          <w:sz w:val="20"/>
          <w:szCs w:val="20"/>
        </w:rPr>
        <w:t>ent limitations in all internal control systems, internal control over financial reporting may not prevent or detect misstatements. Any failure to maintain an effective system of internal control over financial reporting could limit our ability to report o</w:t>
      </w:r>
      <w:r>
        <w:rPr>
          <w:rFonts w:eastAsia="Times New Roman"/>
          <w:color w:val="000000"/>
          <w:sz w:val="20"/>
          <w:szCs w:val="20"/>
        </w:rPr>
        <w:t>ur financial results accurately and timely or to detect and prevent fraud, and could expose us to litigation or adversely affect the market price of our common stock.</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Effective tax rate changes and results of examinations by taxing authorities could mate</w:t>
      </w:r>
      <w:r>
        <w:rPr>
          <w:rFonts w:eastAsia="Times New Roman"/>
          <w:i/>
          <w:iCs/>
          <w:color w:val="000000"/>
          <w:sz w:val="20"/>
          <w:szCs w:val="20"/>
        </w:rPr>
        <w:t>rially impact our results.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Our future effective tax rates could be adversely affected by legislative tax reform, changes in statutory rates or changes in tax laws, or interpretations thereof. Additionally, our future effective tax rates could be adversel</w:t>
      </w:r>
      <w:r>
        <w:rPr>
          <w:rFonts w:eastAsia="Times New Roman"/>
          <w:color w:val="000000"/>
          <w:sz w:val="20"/>
          <w:szCs w:val="20"/>
        </w:rPr>
        <w:t>y affected by the earnings mix being lower than historical results in states where we have lower statutory rates and higher than historical results in states where we have higher statutory rates or by changes in the measurement of our deferred tax assets a</w:t>
      </w:r>
      <w:r>
        <w:rPr>
          <w:rFonts w:eastAsia="Times New Roman"/>
          <w:color w:val="000000"/>
          <w:sz w:val="20"/>
          <w:szCs w:val="20"/>
        </w:rPr>
        <w:t xml:space="preserve">nd liabilities.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are subject to periodic audits and examinations by the Internal Revenue Service (“IRS”), as well as state and local taxing authorities. Like many retailers, a portion of our sales are to tax-exempt customers. The business activities o</w:t>
      </w:r>
      <w:r>
        <w:rPr>
          <w:rFonts w:eastAsia="Times New Roman"/>
          <w:color w:val="000000"/>
          <w:sz w:val="20"/>
          <w:szCs w:val="20"/>
        </w:rPr>
        <w:t xml:space="preserve">f our customers and the intended use of the unique products sold by us create a challenging and complex compliance environment.  These circumstances create risk that we could be challenged as to the propriety of our sales tax compliance. Our results could </w:t>
      </w:r>
      <w:r>
        <w:rPr>
          <w:rFonts w:eastAsia="Times New Roman"/>
          <w:color w:val="000000"/>
          <w:sz w:val="20"/>
          <w:szCs w:val="20"/>
        </w:rPr>
        <w:t xml:space="preserve">be </w:t>
      </w:r>
    </w:p>
    <w:p w:rsidR="00000000" w:rsidRDefault="00F123EE">
      <w:pPr>
        <w:jc w:val="center"/>
        <w:divId w:val="667825964"/>
        <w:rPr>
          <w:rFonts w:eastAsia="Times New Roman"/>
        </w:rPr>
      </w:pPr>
      <w:r>
        <w:rPr>
          <w:rFonts w:eastAsia="Times New Roman"/>
          <w:color w:val="000000"/>
          <w:sz w:val="20"/>
          <w:szCs w:val="20"/>
        </w:rPr>
        <w:t>23</w:t>
      </w:r>
    </w:p>
    <w:p w:rsidR="00000000" w:rsidRDefault="00F123EE">
      <w:pPr>
        <w:rPr>
          <w:rFonts w:eastAsia="Times New Roman"/>
        </w:rPr>
      </w:pPr>
      <w:r>
        <w:rPr>
          <w:rFonts w:eastAsia="Times New Roman"/>
        </w:rPr>
        <w:pict>
          <v:rect id="_x0000_i1052" style="width:0;height:1.5pt" o:hralign="center" o:hrstd="t" o:hr="t" fillcolor="#a0a0a0" stroked="f"/>
        </w:pict>
      </w:r>
    </w:p>
    <w:p w:rsidR="00000000" w:rsidRDefault="00F123EE">
      <w:pPr>
        <w:divId w:val="2107848686"/>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r>
        <w:rPr>
          <w:rFonts w:eastAsia="Times New Roman"/>
          <w:color w:val="000000"/>
          <w:sz w:val="20"/>
          <w:szCs w:val="20"/>
        </w:rPr>
        <w:t>materially impacted by the determinations and expenses related to these and other proceedings by the IRS and other state and local taxing authorities.</w:t>
      </w:r>
    </w:p>
    <w:p w:rsidR="00000000" w:rsidRDefault="00F123EE">
      <w:pPr>
        <w:jc w:val="both"/>
        <w:rPr>
          <w:rFonts w:eastAsia="Times New Roman"/>
        </w:rPr>
      </w:pPr>
    </w:p>
    <w:p w:rsidR="00000000" w:rsidRDefault="00F123EE">
      <w:pPr>
        <w:jc w:val="both"/>
        <w:rPr>
          <w:rFonts w:eastAsia="Times New Roman"/>
        </w:rPr>
      </w:pPr>
      <w:r>
        <w:rPr>
          <w:rFonts w:eastAsia="Times New Roman"/>
          <w:b/>
          <w:bCs/>
          <w:color w:val="000000"/>
          <w:sz w:val="20"/>
          <w:szCs w:val="20"/>
          <w:u w:val="single"/>
        </w:rPr>
        <w:t>Ite</w:t>
      </w:r>
      <w:r>
        <w:rPr>
          <w:rFonts w:eastAsia="Times New Roman"/>
          <w:b/>
          <w:bCs/>
          <w:color w:val="000000"/>
          <w:sz w:val="20"/>
          <w:szCs w:val="20"/>
          <w:u w:val="single"/>
        </w:rPr>
        <w:t>m 1B</w:t>
      </w:r>
      <w:r>
        <w:rPr>
          <w:rFonts w:eastAsia="Times New Roman"/>
          <w:b/>
          <w:bCs/>
          <w:color w:val="000000"/>
          <w:sz w:val="20"/>
          <w:szCs w:val="20"/>
        </w:rPr>
        <w:t>.    </w:t>
      </w:r>
      <w:r>
        <w:rPr>
          <w:rFonts w:eastAsia="Times New Roman"/>
          <w:b/>
          <w:bCs/>
          <w:color w:val="000000"/>
          <w:sz w:val="20"/>
          <w:szCs w:val="20"/>
          <w:u w:val="single"/>
        </w:rPr>
        <w:t>Unresolved Staff Comments</w:t>
      </w:r>
    </w:p>
    <w:p w:rsidR="00000000" w:rsidRDefault="00F123EE">
      <w:pPr>
        <w:divId w:val="4408784"/>
        <w:rPr>
          <w:rFonts w:eastAsia="Times New Roman"/>
        </w:rPr>
      </w:pPr>
    </w:p>
    <w:p w:rsidR="00000000" w:rsidRDefault="00F123EE">
      <w:pPr>
        <w:jc w:val="both"/>
        <w:rPr>
          <w:rFonts w:eastAsia="Times New Roman"/>
        </w:rPr>
      </w:pPr>
      <w:r>
        <w:rPr>
          <w:rFonts w:eastAsia="Times New Roman"/>
          <w:color w:val="000000"/>
          <w:sz w:val="20"/>
          <w:szCs w:val="20"/>
        </w:rPr>
        <w:t>None.</w:t>
      </w:r>
    </w:p>
    <w:p w:rsidR="00000000" w:rsidRDefault="00F123EE">
      <w:pPr>
        <w:jc w:val="both"/>
        <w:rPr>
          <w:rFonts w:eastAsia="Times New Roman"/>
        </w:rPr>
      </w:pPr>
    </w:p>
    <w:p w:rsidR="00000000" w:rsidRDefault="00F123EE">
      <w:pPr>
        <w:jc w:val="center"/>
        <w:divId w:val="1242445372"/>
        <w:rPr>
          <w:rFonts w:eastAsia="Times New Roman"/>
        </w:rPr>
      </w:pPr>
      <w:r>
        <w:rPr>
          <w:rFonts w:eastAsia="Times New Roman"/>
          <w:color w:val="000000"/>
          <w:sz w:val="20"/>
          <w:szCs w:val="20"/>
        </w:rPr>
        <w:t>24</w:t>
      </w:r>
    </w:p>
    <w:p w:rsidR="00000000" w:rsidRDefault="00F123EE">
      <w:pPr>
        <w:rPr>
          <w:rFonts w:eastAsia="Times New Roman"/>
        </w:rPr>
      </w:pPr>
      <w:r>
        <w:rPr>
          <w:rFonts w:eastAsia="Times New Roman"/>
        </w:rPr>
        <w:pict>
          <v:rect id="_x0000_i1053" style="width:0;height:1.5pt" o:hralign="center" o:hrstd="t" o:hr="t" fillcolor="#a0a0a0" stroked="f"/>
        </w:pict>
      </w:r>
    </w:p>
    <w:p w:rsidR="00000000" w:rsidRDefault="00F123EE">
      <w:pPr>
        <w:divId w:val="188959077"/>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p>
    <w:p w:rsidR="00000000" w:rsidRDefault="00F123EE">
      <w:pPr>
        <w:jc w:val="both"/>
        <w:rPr>
          <w:rFonts w:eastAsia="Times New Roman"/>
        </w:rPr>
      </w:pPr>
      <w:r>
        <w:rPr>
          <w:rFonts w:eastAsia="Times New Roman"/>
          <w:b/>
          <w:bCs/>
          <w:color w:val="000000"/>
          <w:sz w:val="20"/>
          <w:szCs w:val="20"/>
          <w:u w:val="single"/>
        </w:rPr>
        <w:t>Item 2</w:t>
      </w:r>
      <w:r>
        <w:rPr>
          <w:rFonts w:eastAsia="Times New Roman"/>
          <w:b/>
          <w:bCs/>
          <w:color w:val="000000"/>
          <w:sz w:val="20"/>
          <w:szCs w:val="20"/>
        </w:rPr>
        <w:t>.        </w:t>
      </w:r>
      <w:r>
        <w:rPr>
          <w:rFonts w:eastAsia="Times New Roman"/>
          <w:b/>
          <w:bCs/>
          <w:color w:val="000000"/>
          <w:sz w:val="20"/>
          <w:szCs w:val="20"/>
          <w:u w:val="single"/>
        </w:rPr>
        <w:t>Propertie</w:t>
      </w:r>
      <w:r>
        <w:rPr>
          <w:rFonts w:eastAsia="Times New Roman"/>
          <w:b/>
          <w:bCs/>
          <w:color w:val="000000"/>
          <w:sz w:val="20"/>
          <w:szCs w:val="20"/>
          <w:u w:val="single"/>
        </w:rPr>
        <w:t>s</w:t>
      </w:r>
      <w:r>
        <w:rPr>
          <w:rFonts w:eastAsia="Times New Roman"/>
          <w:b/>
          <w:bCs/>
          <w:color w:val="000000"/>
          <w:sz w:val="13"/>
          <w:szCs w:val="13"/>
        </w:rPr>
        <w:t xml:space="preserve"> </w:t>
      </w:r>
    </w:p>
    <w:p w:rsidR="00000000" w:rsidRDefault="00F123EE">
      <w:pPr>
        <w:divId w:val="469127992"/>
        <w:rPr>
          <w:rFonts w:eastAsia="Times New Roman"/>
        </w:rPr>
      </w:pPr>
    </w:p>
    <w:p w:rsidR="00000000" w:rsidRDefault="00F123EE">
      <w:pPr>
        <w:jc w:val="both"/>
        <w:rPr>
          <w:rFonts w:eastAsia="Times New Roman"/>
        </w:rPr>
      </w:pPr>
      <w:r>
        <w:rPr>
          <w:rFonts w:eastAsia="Times New Roman"/>
          <w:color w:val="000000"/>
          <w:sz w:val="20"/>
          <w:szCs w:val="20"/>
        </w:rPr>
        <w:t>At December </w:t>
      </w:r>
      <w:r>
        <w:rPr>
          <w:rFonts w:eastAsia="Times New Roman"/>
          <w:color w:val="000000"/>
          <w:sz w:val="20"/>
          <w:szCs w:val="20"/>
        </w:rPr>
        <w:t>31, 2022, the Company operated 2,333 stores in 49 states (2,066 Tractor Supply retail stores, 186 Petsense by Tractor Supply retail stores, and 81 Orscheln Farm and Home retail stores).  The Company leases approximately 95% of its stores. Store leases typi</w:t>
      </w:r>
      <w:r>
        <w:rPr>
          <w:rFonts w:eastAsia="Times New Roman"/>
          <w:color w:val="000000"/>
          <w:sz w:val="20"/>
          <w:szCs w:val="20"/>
        </w:rPr>
        <w:t>cally have initial terms of between 10 and 20 years, with two to four optional renewal periods of five years each, exercisable at our option.  No single lease is material to the Company’s operations. Approximately 59% of our stores are in freestanding buil</w:t>
      </w:r>
      <w:r>
        <w:rPr>
          <w:rFonts w:eastAsia="Times New Roman"/>
          <w:color w:val="000000"/>
          <w:sz w:val="20"/>
          <w:szCs w:val="20"/>
        </w:rPr>
        <w:t>dings and 41% are located in shopping centers.  The following is a count of store locations by state:</w:t>
      </w:r>
    </w:p>
    <w:tbl>
      <w:tblPr>
        <w:tblW w:w="4992" w:type="pct"/>
        <w:tblCellMar>
          <w:top w:w="15" w:type="dxa"/>
          <w:left w:w="15" w:type="dxa"/>
          <w:bottom w:w="15" w:type="dxa"/>
          <w:right w:w="15" w:type="dxa"/>
        </w:tblCellMar>
        <w:tblLook w:val="04A0" w:firstRow="1" w:lastRow="0" w:firstColumn="1" w:lastColumn="0" w:noHBand="0" w:noVBand="1"/>
      </w:tblPr>
      <w:tblGrid>
        <w:gridCol w:w="57"/>
        <w:gridCol w:w="2883"/>
        <w:gridCol w:w="37"/>
        <w:gridCol w:w="36"/>
        <w:gridCol w:w="36"/>
        <w:gridCol w:w="36"/>
        <w:gridCol w:w="60"/>
        <w:gridCol w:w="918"/>
        <w:gridCol w:w="36"/>
        <w:gridCol w:w="36"/>
        <w:gridCol w:w="36"/>
        <w:gridCol w:w="36"/>
        <w:gridCol w:w="41"/>
        <w:gridCol w:w="2883"/>
        <w:gridCol w:w="38"/>
        <w:gridCol w:w="36"/>
        <w:gridCol w:w="36"/>
        <w:gridCol w:w="36"/>
        <w:gridCol w:w="60"/>
        <w:gridCol w:w="920"/>
        <w:gridCol w:w="36"/>
      </w:tblGrid>
      <w:tr w:rsidR="00000000">
        <w:tc>
          <w:tcPr>
            <w:tcW w:w="50" w:type="pct"/>
            <w:vAlign w:val="center"/>
            <w:hideMark/>
          </w:tcPr>
          <w:p w:rsidR="00000000" w:rsidRDefault="00F123EE">
            <w:pPr>
              <w:jc w:val="both"/>
              <w:rPr>
                <w:rFonts w:eastAsia="Times New Roman"/>
              </w:rPr>
            </w:pPr>
          </w:p>
        </w:tc>
        <w:tc>
          <w:tcPr>
            <w:tcW w:w="1753"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81"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1753"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82"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b/>
                <w:bCs/>
                <w:color w:val="000000"/>
                <w:sz w:val="20"/>
                <w:szCs w:val="20"/>
              </w:rPr>
              <w:t>State</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Number</w:t>
            </w:r>
            <w:r>
              <w:rPr>
                <w:rFonts w:eastAsia="Times New Roman"/>
                <w:b/>
                <w:bCs/>
                <w:color w:val="000000"/>
                <w:sz w:val="20"/>
                <w:szCs w:val="20"/>
              </w:rPr>
              <w:br/>
              <w:t>of Stores</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b/>
                <w:bCs/>
                <w:color w:val="000000"/>
                <w:sz w:val="20"/>
                <w:szCs w:val="20"/>
              </w:rPr>
              <w:t>State</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Number</w:t>
            </w:r>
            <w:r>
              <w:rPr>
                <w:rFonts w:eastAsia="Times New Roman"/>
                <w:b/>
                <w:bCs/>
                <w:color w:val="000000"/>
                <w:sz w:val="20"/>
                <w:szCs w:val="20"/>
              </w:rPr>
              <w:br/>
              <w:t>of Stores</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Texas</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245</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New Jersey</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29</w:t>
            </w: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North Carolina</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115</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Illinois</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29</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Florida</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106</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Nebraska</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26</w:t>
            </w: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Georgia</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106</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Massachusetts</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25</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Pennsylvania</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104</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Maryland</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25</w:t>
            </w: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Tennessee</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104</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Washington</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25</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Ohio</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101</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Maine</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23</w:t>
            </w: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Michigan</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98</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New Hampshire</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23</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New York</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97</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Colorado</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22</w:t>
            </w: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California</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77</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Connecticut</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21</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Kentucky</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73</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Iowa</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21</w:t>
            </w: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Alabama</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71</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Minnesota</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17</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Virginia</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71</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Utah</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16</w:t>
            </w: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Missouri</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70</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North Dakota</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14</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Indiana</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66</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Oregon</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13</w:t>
            </w: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Louisiana</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60</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Vermont</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10</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Oklahoma</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60</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South Dakota</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9</w:t>
            </w: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South Carolina</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59</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Wyoming</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8</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Mississippi</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53</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Idaho</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7</w:t>
            </w: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Kansas</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43</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Delaware</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6</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Arkansas</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40</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Montana</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6</w:t>
            </w: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Arizona</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37</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Nevada</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6</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New Mexico</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30</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Rhode Island</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4</w:t>
            </w: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Wisconsin</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30</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Hawaii</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2</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West Virginia</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30</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2,333</w:t>
            </w:r>
          </w:p>
        </w:tc>
      </w:tr>
    </w:tbl>
    <w:p w:rsidR="00000000" w:rsidRDefault="00F123EE">
      <w:pPr>
        <w:divId w:val="337849317"/>
        <w:rPr>
          <w:rFonts w:eastAsia="Times New Roman"/>
        </w:rPr>
      </w:pPr>
    </w:p>
    <w:p w:rsidR="00000000" w:rsidRDefault="00F123EE">
      <w:pPr>
        <w:jc w:val="center"/>
        <w:divId w:val="1997881969"/>
        <w:rPr>
          <w:rFonts w:eastAsia="Times New Roman"/>
        </w:rPr>
      </w:pPr>
      <w:r>
        <w:rPr>
          <w:rFonts w:eastAsia="Times New Roman"/>
          <w:color w:val="000000"/>
          <w:sz w:val="20"/>
          <w:szCs w:val="20"/>
        </w:rPr>
        <w:t>25</w:t>
      </w:r>
    </w:p>
    <w:p w:rsidR="00000000" w:rsidRDefault="00F123EE">
      <w:pPr>
        <w:rPr>
          <w:rFonts w:eastAsia="Times New Roman"/>
        </w:rPr>
      </w:pPr>
      <w:r>
        <w:rPr>
          <w:rFonts w:eastAsia="Times New Roman"/>
        </w:rPr>
        <w:pict>
          <v:rect id="_x0000_i1054" style="width:0;height:1.5pt" o:hralign="center" o:hrstd="t" o:hr="t" fillcolor="#a0a0a0" stroked="f"/>
        </w:pict>
      </w:r>
    </w:p>
    <w:p w:rsidR="00000000" w:rsidRDefault="00F123EE">
      <w:pPr>
        <w:divId w:val="1075127555"/>
        <w:rPr>
          <w:rFonts w:eastAsia="Times New Roman"/>
        </w:rPr>
      </w:pPr>
      <w:hyperlink w:anchor="i38696b5cc01146d68b9c6b33327cf890_7" w:history="1">
        <w:r>
          <w:rPr>
            <w:rStyle w:val="a3"/>
            <w:rFonts w:eastAsia="Times New Roman"/>
            <w:sz w:val="18"/>
            <w:szCs w:val="18"/>
          </w:rPr>
          <w:t>Index</w:t>
        </w:r>
      </w:hyperlink>
    </w:p>
    <w:p w:rsidR="00000000" w:rsidRDefault="00F123EE">
      <w:pPr>
        <w:divId w:val="1944917828"/>
        <w:rPr>
          <w:rFonts w:eastAsia="Times New Roman"/>
        </w:rPr>
      </w:pPr>
    </w:p>
    <w:p w:rsidR="00000000" w:rsidRDefault="00F123EE">
      <w:pPr>
        <w:jc w:val="both"/>
        <w:rPr>
          <w:rFonts w:eastAsia="Times New Roman"/>
        </w:rPr>
      </w:pPr>
      <w:r>
        <w:rPr>
          <w:rFonts w:eastAsia="Times New Roman"/>
          <w:color w:val="000000"/>
          <w:sz w:val="20"/>
          <w:szCs w:val="20"/>
        </w:rPr>
        <w:t>The following is a list of distribution locations including the approximate square footage and if the location is leased or owned at December </w:t>
      </w:r>
      <w:r>
        <w:rPr>
          <w:rFonts w:eastAsia="Times New Roman"/>
          <w:color w:val="000000"/>
          <w:sz w:val="20"/>
          <w:szCs w:val="20"/>
        </w:rPr>
        <w:t>31, 2022:</w:t>
      </w:r>
    </w:p>
    <w:tbl>
      <w:tblPr>
        <w:tblW w:w="4992" w:type="pct"/>
        <w:tblCellMar>
          <w:top w:w="15" w:type="dxa"/>
          <w:left w:w="15" w:type="dxa"/>
          <w:bottom w:w="15" w:type="dxa"/>
          <w:right w:w="15" w:type="dxa"/>
        </w:tblCellMar>
        <w:tblLook w:val="04A0" w:firstRow="1" w:lastRow="0" w:firstColumn="1" w:lastColumn="0" w:noHBand="0" w:noVBand="1"/>
      </w:tblPr>
      <w:tblGrid>
        <w:gridCol w:w="58"/>
        <w:gridCol w:w="3284"/>
        <w:gridCol w:w="36"/>
        <w:gridCol w:w="36"/>
        <w:gridCol w:w="36"/>
        <w:gridCol w:w="36"/>
        <w:gridCol w:w="42"/>
        <w:gridCol w:w="2315"/>
        <w:gridCol w:w="36"/>
        <w:gridCol w:w="36"/>
        <w:gridCol w:w="36"/>
        <w:gridCol w:w="36"/>
        <w:gridCol w:w="47"/>
        <w:gridCol w:w="2223"/>
        <w:gridCol w:w="36"/>
      </w:tblGrid>
      <w:tr w:rsidR="00000000">
        <w:tc>
          <w:tcPr>
            <w:tcW w:w="50" w:type="pct"/>
            <w:vAlign w:val="center"/>
            <w:hideMark/>
          </w:tcPr>
          <w:p w:rsidR="00000000" w:rsidRDefault="00F123EE">
            <w:pPr>
              <w:jc w:val="both"/>
              <w:rPr>
                <w:rFonts w:eastAsia="Times New Roman"/>
              </w:rPr>
            </w:pPr>
          </w:p>
        </w:tc>
        <w:tc>
          <w:tcPr>
            <w:tcW w:w="1994"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1409"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1357"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b/>
                <w:bCs/>
                <w:color w:val="000000"/>
                <w:sz w:val="20"/>
                <w:szCs w:val="20"/>
              </w:rPr>
              <w:t>Distribution Facility Location</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Approximate Square Footage</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Owned/Leased Facility</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Frankfort, New York</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924,000</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Owned</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Franklin, Kentucky</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833,000</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Owned</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Pendleton, Indiana</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764,000</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Owned</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Macon, Georgia</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684,000</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Owned</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Waco, Texas</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666,000</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Owned</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Casa Grande, Arizona</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650,000</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Owned</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Waverly, Nebraska</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592,000</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Owned</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divId w:val="302581786"/>
              <w:rPr>
                <w:rFonts w:eastAsia="Times New Roman"/>
              </w:rPr>
            </w:pPr>
            <w:r>
              <w:rPr>
                <w:rFonts w:eastAsia="Times New Roman"/>
                <w:color w:val="000000"/>
                <w:sz w:val="20"/>
                <w:szCs w:val="20"/>
              </w:rPr>
              <w:t>Hagerstown, Marylan</w:t>
            </w:r>
            <w:r>
              <w:rPr>
                <w:rFonts w:eastAsia="Times New Roman"/>
                <w:color w:val="000000"/>
                <w:sz w:val="20"/>
                <w:szCs w:val="20"/>
              </w:rPr>
              <w:t>d</w:t>
            </w:r>
            <w:r>
              <w:rPr>
                <w:rFonts w:eastAsia="Times New Roman"/>
                <w:color w:val="000000"/>
                <w:sz w:val="13"/>
                <w:szCs w:val="13"/>
              </w:rPr>
              <w:t xml:space="preserve"> (a</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621,000</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Owned</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divId w:val="1336107070"/>
              <w:rPr>
                <w:rFonts w:eastAsia="Times New Roman"/>
              </w:rPr>
            </w:pPr>
            <w:r>
              <w:rPr>
                <w:rFonts w:eastAsia="Times New Roman"/>
                <w:color w:val="000000"/>
                <w:sz w:val="20"/>
                <w:szCs w:val="20"/>
              </w:rPr>
              <w:t>Hagerstown, Maryland</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309,000</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Leased</w:t>
            </w:r>
          </w:p>
        </w:tc>
      </w:tr>
      <w:tr w:rsidR="00000000">
        <w:tc>
          <w:tcPr>
            <w:tcW w:w="0" w:type="auto"/>
            <w:gridSpan w:val="3"/>
            <w:vAlign w:val="center"/>
            <w:hideMark/>
          </w:tcPr>
          <w:p w:rsidR="00000000" w:rsidRDefault="00F123EE">
            <w:pPr>
              <w:spacing w:after="100"/>
              <w:jc w:val="center"/>
              <w:rPr>
                <w:rFonts w:eastAsia="Times New Roman"/>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bl>
    <w:p w:rsidR="00000000" w:rsidRDefault="00F123EE">
      <w:pPr>
        <w:jc w:val="both"/>
        <w:rPr>
          <w:rFonts w:eastAsia="Times New Roman"/>
        </w:rPr>
      </w:pPr>
    </w:p>
    <w:p w:rsidR="00000000" w:rsidRDefault="00F123EE">
      <w:pPr>
        <w:ind w:hanging="270"/>
        <w:jc w:val="both"/>
        <w:rPr>
          <w:rFonts w:eastAsia="Times New Roman"/>
        </w:rPr>
      </w:pPr>
      <w:r>
        <w:rPr>
          <w:rFonts w:eastAsia="Times New Roman"/>
          <w:color w:val="000000"/>
          <w:sz w:val="16"/>
          <w:szCs w:val="16"/>
        </w:rPr>
        <w:t>(a) The leased distribution center in Hagerstown is treated as an extension of the existing owned Hagerstown location and is not considered a separate distribution center.</w:t>
      </w:r>
    </w:p>
    <w:p w:rsidR="00000000" w:rsidRDefault="00F123EE">
      <w:pPr>
        <w:ind w:hanging="270"/>
        <w:divId w:val="93521713"/>
        <w:rPr>
          <w:rFonts w:eastAsia="Times New Roman"/>
        </w:rPr>
      </w:pPr>
    </w:p>
    <w:p w:rsidR="00000000" w:rsidRDefault="00F123EE">
      <w:pPr>
        <w:jc w:val="both"/>
        <w:rPr>
          <w:rFonts w:eastAsia="Times New Roman"/>
        </w:rPr>
      </w:pPr>
      <w:r>
        <w:rPr>
          <w:rFonts w:eastAsia="Times New Roman"/>
          <w:color w:val="000000"/>
          <w:sz w:val="20"/>
          <w:szCs w:val="20"/>
        </w:rPr>
        <w:t>The Company’</w:t>
      </w:r>
      <w:r>
        <w:rPr>
          <w:rFonts w:eastAsia="Times New Roman"/>
          <w:color w:val="000000"/>
          <w:sz w:val="20"/>
          <w:szCs w:val="20"/>
        </w:rPr>
        <w:t>s Store Support Center occupies approximately 260,000 square feet of owned building space in Brentwood, Tennessee, and the Company’s Merchandising Innovation Center occupies approximately 32,000 square feet of leased building space in Nashville, Tennessee.</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As part of the Orscheln Farm and Home transaction that closed on October 12, 2022, the Company acquired the Orscheln corporate headquarters and distribution center in Moberly, Missouri. These facilities are anticipated to be sold to Bomgaars Supply, Inc</w:t>
      </w:r>
      <w:r>
        <w:rPr>
          <w:rFonts w:eastAsia="Times New Roman"/>
          <w:color w:val="000000"/>
          <w:sz w:val="20"/>
          <w:szCs w:val="20"/>
        </w:rPr>
        <w:t xml:space="preserve">. during fiscal 2023. Refer to </w:t>
      </w:r>
      <w:hyperlink w:anchor="i38696b5cc01146d68b9c6b33327cf890_1634" w:history="1">
        <w:r>
          <w:rPr>
            <w:rStyle w:val="a3"/>
            <w:rFonts w:eastAsia="Times New Roman"/>
            <w:sz w:val="20"/>
            <w:szCs w:val="20"/>
          </w:rPr>
          <w:t>N</w:t>
        </w:r>
      </w:hyperlink>
      <w:hyperlink w:anchor="i38696b5cc01146d68b9c6b33327cf890_1634" w:history="1">
        <w:r>
          <w:rPr>
            <w:rStyle w:val="a3"/>
            <w:rFonts w:eastAsia="Times New Roman"/>
            <w:sz w:val="20"/>
            <w:szCs w:val="20"/>
          </w:rPr>
          <w:t>ote 3</w:t>
        </w:r>
      </w:hyperlink>
      <w:r>
        <w:rPr>
          <w:rFonts w:eastAsia="Times New Roman"/>
          <w:color w:val="000000"/>
          <w:sz w:val="20"/>
          <w:szCs w:val="20"/>
        </w:rPr>
        <w:t xml:space="preserve"> to the Condensed Consolidated Financial Statements included under Part II, Item 8 of this Annual</w:t>
      </w:r>
      <w:r>
        <w:rPr>
          <w:rFonts w:eastAsia="Times New Roman"/>
          <w:color w:val="000000"/>
          <w:sz w:val="20"/>
          <w:szCs w:val="20"/>
        </w:rPr>
        <w:t xml:space="preserve"> Report on Form 10-K.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On January 18, 2023, the Company opened its ninth distribution center located in Navarre, Ohio, which expanded the distribution center capacity by approximately 900,000 square feet. In addition, the Company is building a new distri</w:t>
      </w:r>
      <w:r>
        <w:rPr>
          <w:rFonts w:eastAsia="Times New Roman"/>
          <w:color w:val="000000"/>
          <w:sz w:val="20"/>
          <w:szCs w:val="20"/>
        </w:rPr>
        <w:t>bution center in Maumelle, Arkansas and anticipates that the new facility will begin operations in the first quarter of 2024.</w:t>
      </w:r>
    </w:p>
    <w:p w:rsidR="00000000" w:rsidRDefault="00F123EE">
      <w:pPr>
        <w:divId w:val="1994598295"/>
        <w:rPr>
          <w:rFonts w:eastAsia="Times New Roman"/>
        </w:rPr>
      </w:pPr>
    </w:p>
    <w:p w:rsidR="00000000" w:rsidRDefault="00F123EE">
      <w:pPr>
        <w:jc w:val="both"/>
        <w:rPr>
          <w:rFonts w:eastAsia="Times New Roman"/>
        </w:rPr>
      </w:pPr>
      <w:r>
        <w:rPr>
          <w:rFonts w:eastAsia="Times New Roman"/>
          <w:color w:val="000000"/>
          <w:sz w:val="20"/>
          <w:szCs w:val="20"/>
        </w:rPr>
        <w:t>The Company also uses third-party operated import centers, mixing centers and pop-up distribution facilities which provide addit</w:t>
      </w:r>
      <w:r>
        <w:rPr>
          <w:rFonts w:eastAsia="Times New Roman"/>
          <w:color w:val="000000"/>
          <w:sz w:val="20"/>
          <w:szCs w:val="20"/>
        </w:rPr>
        <w:t>ional distribution capacity.</w:t>
      </w:r>
    </w:p>
    <w:p w:rsidR="00000000" w:rsidRDefault="00F123EE">
      <w:pPr>
        <w:jc w:val="both"/>
        <w:rPr>
          <w:rFonts w:eastAsia="Times New Roman"/>
        </w:rPr>
      </w:pPr>
    </w:p>
    <w:p w:rsidR="00000000" w:rsidRDefault="00F123EE">
      <w:pPr>
        <w:jc w:val="both"/>
        <w:rPr>
          <w:rFonts w:eastAsia="Times New Roman"/>
        </w:rPr>
      </w:pPr>
      <w:r>
        <w:rPr>
          <w:rFonts w:eastAsia="Times New Roman"/>
          <w:b/>
          <w:bCs/>
          <w:color w:val="000000"/>
          <w:sz w:val="20"/>
          <w:szCs w:val="20"/>
          <w:u w:val="single"/>
        </w:rPr>
        <w:t>Item 3</w:t>
      </w:r>
      <w:r>
        <w:rPr>
          <w:rFonts w:eastAsia="Times New Roman"/>
          <w:b/>
          <w:bCs/>
          <w:color w:val="000000"/>
          <w:sz w:val="20"/>
          <w:szCs w:val="20"/>
        </w:rPr>
        <w:t>.        </w:t>
      </w:r>
      <w:r>
        <w:rPr>
          <w:rFonts w:eastAsia="Times New Roman"/>
          <w:b/>
          <w:bCs/>
          <w:color w:val="000000"/>
          <w:sz w:val="20"/>
          <w:szCs w:val="20"/>
          <w:u w:val="single"/>
        </w:rPr>
        <w:t>Legal Proceedings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 xml:space="preserve">For a description of the Company's legal proceedings, refer to </w:t>
      </w:r>
      <w:hyperlink w:anchor="i38696b5cc01146d68b9c6b33327cf890_124" w:history="1">
        <w:r>
          <w:rPr>
            <w:rStyle w:val="a3"/>
            <w:rFonts w:eastAsia="Times New Roman"/>
            <w:sz w:val="20"/>
            <w:szCs w:val="20"/>
          </w:rPr>
          <w:t>Note 12</w:t>
        </w:r>
      </w:hyperlink>
      <w:r>
        <w:rPr>
          <w:rFonts w:eastAsia="Times New Roman"/>
          <w:color w:val="000000"/>
          <w:sz w:val="20"/>
          <w:szCs w:val="20"/>
        </w:rPr>
        <w:t xml:space="preserve"> to the Condensed Consolidated Financial Statements included</w:t>
      </w:r>
      <w:r>
        <w:rPr>
          <w:rFonts w:eastAsia="Times New Roman"/>
          <w:color w:val="000000"/>
          <w:sz w:val="20"/>
          <w:szCs w:val="20"/>
        </w:rPr>
        <w:t xml:space="preserve"> under Part II, Item 8 of this Annual Report on Form 10-K.</w:t>
      </w:r>
    </w:p>
    <w:p w:rsidR="00000000" w:rsidRDefault="00F123EE">
      <w:pPr>
        <w:divId w:val="1674648289"/>
        <w:rPr>
          <w:rFonts w:eastAsia="Times New Roman"/>
        </w:rPr>
      </w:pPr>
    </w:p>
    <w:p w:rsidR="00000000" w:rsidRDefault="00F123EE">
      <w:pPr>
        <w:jc w:val="both"/>
        <w:rPr>
          <w:rFonts w:eastAsia="Times New Roman"/>
        </w:rPr>
      </w:pPr>
      <w:r>
        <w:rPr>
          <w:rFonts w:eastAsia="Times New Roman"/>
          <w:b/>
          <w:bCs/>
          <w:color w:val="000000"/>
          <w:sz w:val="20"/>
          <w:szCs w:val="20"/>
          <w:u w:val="single"/>
        </w:rPr>
        <w:t>Item 4</w:t>
      </w:r>
      <w:r>
        <w:rPr>
          <w:rFonts w:eastAsia="Times New Roman"/>
          <w:b/>
          <w:bCs/>
          <w:color w:val="000000"/>
          <w:sz w:val="20"/>
          <w:szCs w:val="20"/>
        </w:rPr>
        <w:t>.        </w:t>
      </w:r>
      <w:r>
        <w:rPr>
          <w:rFonts w:eastAsia="Times New Roman"/>
          <w:b/>
          <w:bCs/>
          <w:color w:val="000000"/>
          <w:sz w:val="20"/>
          <w:szCs w:val="20"/>
          <w:u w:val="single"/>
        </w:rPr>
        <w:t>Mine Safety Disclosures</w:t>
      </w:r>
    </w:p>
    <w:p w:rsidR="00000000" w:rsidRDefault="00F123EE">
      <w:pPr>
        <w:divId w:val="1092971339"/>
        <w:rPr>
          <w:rFonts w:eastAsia="Times New Roman"/>
        </w:rPr>
      </w:pPr>
    </w:p>
    <w:p w:rsidR="00000000" w:rsidRDefault="00F123EE">
      <w:pPr>
        <w:jc w:val="both"/>
        <w:rPr>
          <w:rFonts w:eastAsia="Times New Roman"/>
        </w:rPr>
      </w:pPr>
      <w:r>
        <w:rPr>
          <w:rFonts w:eastAsia="Times New Roman"/>
          <w:color w:val="000000"/>
          <w:sz w:val="20"/>
          <w:szCs w:val="20"/>
        </w:rPr>
        <w:t>Not applicable.</w:t>
      </w:r>
    </w:p>
    <w:p w:rsidR="00000000" w:rsidRDefault="00F123EE">
      <w:pPr>
        <w:jc w:val="both"/>
        <w:rPr>
          <w:rFonts w:eastAsia="Times New Roman"/>
        </w:rPr>
      </w:pPr>
    </w:p>
    <w:p w:rsidR="00000000" w:rsidRDefault="00F123EE">
      <w:pPr>
        <w:jc w:val="center"/>
        <w:divId w:val="1201741068"/>
        <w:rPr>
          <w:rFonts w:eastAsia="Times New Roman"/>
        </w:rPr>
      </w:pPr>
      <w:r>
        <w:rPr>
          <w:rFonts w:eastAsia="Times New Roman"/>
          <w:color w:val="000000"/>
          <w:sz w:val="20"/>
          <w:szCs w:val="20"/>
        </w:rPr>
        <w:t>26</w:t>
      </w:r>
    </w:p>
    <w:p w:rsidR="00000000" w:rsidRDefault="00F123EE">
      <w:pPr>
        <w:rPr>
          <w:rFonts w:eastAsia="Times New Roman"/>
        </w:rPr>
      </w:pPr>
      <w:r>
        <w:rPr>
          <w:rFonts w:eastAsia="Times New Roman"/>
        </w:rPr>
        <w:pict>
          <v:rect id="_x0000_i1055" style="width:0;height:1.5pt" o:hralign="center" o:hrstd="t" o:hr="t" fillcolor="#a0a0a0" stroked="f"/>
        </w:pict>
      </w:r>
    </w:p>
    <w:p w:rsidR="00000000" w:rsidRDefault="00F123EE">
      <w:pPr>
        <w:divId w:val="982541946"/>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p>
    <w:p w:rsidR="00000000" w:rsidRDefault="00F123EE">
      <w:pPr>
        <w:jc w:val="center"/>
        <w:rPr>
          <w:rFonts w:eastAsia="Times New Roman"/>
        </w:rPr>
      </w:pPr>
      <w:r>
        <w:rPr>
          <w:rFonts w:eastAsia="Times New Roman"/>
          <w:b/>
          <w:bCs/>
          <w:color w:val="000000"/>
          <w:sz w:val="20"/>
          <w:szCs w:val="20"/>
        </w:rPr>
        <w:t>PART II</w:t>
      </w:r>
    </w:p>
    <w:p w:rsidR="00000000" w:rsidRDefault="00F123EE">
      <w:pPr>
        <w:divId w:val="1714385322"/>
        <w:rPr>
          <w:rFonts w:eastAsia="Times New Roman"/>
        </w:rPr>
      </w:pPr>
    </w:p>
    <w:p w:rsidR="00000000" w:rsidRDefault="00F123EE">
      <w:pPr>
        <w:ind w:hanging="1440"/>
        <w:divId w:val="548303622"/>
        <w:rPr>
          <w:rFonts w:eastAsia="Times New Roman"/>
        </w:rPr>
      </w:pPr>
      <w:r>
        <w:rPr>
          <w:rFonts w:eastAsia="Times New Roman"/>
          <w:b/>
          <w:bCs/>
          <w:color w:val="000000"/>
          <w:sz w:val="20"/>
          <w:szCs w:val="20"/>
          <w:u w:val="single"/>
        </w:rPr>
        <w:t>Item 5</w:t>
      </w:r>
      <w:r>
        <w:rPr>
          <w:rFonts w:eastAsia="Times New Roman"/>
          <w:b/>
          <w:bCs/>
          <w:color w:val="000000"/>
          <w:sz w:val="20"/>
          <w:szCs w:val="20"/>
        </w:rPr>
        <w:t>.    </w:t>
      </w:r>
      <w:r>
        <w:rPr>
          <w:rFonts w:eastAsia="Times New Roman"/>
          <w:b/>
          <w:bCs/>
          <w:color w:val="000000"/>
          <w:sz w:val="20"/>
          <w:szCs w:val="20"/>
          <w:u w:val="single"/>
        </w:rPr>
        <w:t>Market for Registrant’s Common Equity, Related Stockholder Matters and Issuer Purchases of Equity Securities</w:t>
      </w:r>
    </w:p>
    <w:p w:rsidR="00000000" w:rsidRDefault="00F123EE">
      <w:pPr>
        <w:divId w:val="1547571133"/>
        <w:rPr>
          <w:rFonts w:eastAsia="Times New Roman"/>
        </w:rPr>
      </w:pPr>
    </w:p>
    <w:p w:rsidR="00000000" w:rsidRDefault="00F123EE">
      <w:pPr>
        <w:jc w:val="both"/>
        <w:rPr>
          <w:rFonts w:eastAsia="Times New Roman"/>
        </w:rPr>
      </w:pPr>
      <w:r>
        <w:rPr>
          <w:rFonts w:eastAsia="Times New Roman"/>
          <w:b/>
          <w:bCs/>
          <w:color w:val="000000"/>
          <w:sz w:val="20"/>
          <w:szCs w:val="20"/>
        </w:rPr>
        <w:t>Common Stock</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Company’</w:t>
      </w:r>
      <w:r>
        <w:rPr>
          <w:rFonts w:eastAsia="Times New Roman"/>
          <w:color w:val="000000"/>
          <w:sz w:val="20"/>
          <w:szCs w:val="20"/>
        </w:rPr>
        <w:t>s common stock trades on the NASDAQ Global Select Market under the symbol, “TSCO.”</w:t>
      </w:r>
    </w:p>
    <w:p w:rsidR="00000000" w:rsidRDefault="00F123EE">
      <w:pPr>
        <w:divId w:val="1247379125"/>
        <w:rPr>
          <w:rFonts w:eastAsia="Times New Roman"/>
        </w:rPr>
      </w:pPr>
    </w:p>
    <w:p w:rsidR="00000000" w:rsidRDefault="00F123EE">
      <w:pPr>
        <w:jc w:val="both"/>
        <w:rPr>
          <w:rFonts w:eastAsia="Times New Roman"/>
        </w:rPr>
      </w:pPr>
      <w:r>
        <w:rPr>
          <w:rFonts w:eastAsia="Times New Roman"/>
          <w:color w:val="000000"/>
          <w:sz w:val="20"/>
          <w:szCs w:val="20"/>
        </w:rPr>
        <w:t>As of January 28, 2023, the number of record holders of our common stock was 761 (excluding individual participants in nominee security position listings).</w:t>
      </w:r>
    </w:p>
    <w:p w:rsidR="00000000" w:rsidRDefault="00F123EE">
      <w:pPr>
        <w:jc w:val="both"/>
        <w:rPr>
          <w:rFonts w:eastAsia="Times New Roman"/>
        </w:rPr>
      </w:pPr>
    </w:p>
    <w:p w:rsidR="00000000" w:rsidRDefault="00F123EE">
      <w:pPr>
        <w:jc w:val="both"/>
        <w:rPr>
          <w:rFonts w:eastAsia="Times New Roman"/>
        </w:rPr>
      </w:pPr>
      <w:r>
        <w:rPr>
          <w:rFonts w:eastAsia="Times New Roman"/>
          <w:b/>
          <w:bCs/>
          <w:color w:val="000000"/>
          <w:sz w:val="20"/>
          <w:szCs w:val="20"/>
        </w:rPr>
        <w:t>Dividends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w:t>
      </w:r>
      <w:r>
        <w:rPr>
          <w:rFonts w:eastAsia="Times New Roman"/>
          <w:color w:val="000000"/>
          <w:sz w:val="20"/>
          <w:szCs w:val="20"/>
        </w:rPr>
        <w:t>e paid cash dividends totaling $409.6 million and $239.0 million in fiscal 2022 and 2021, respectively. In fiscal 2022, we declared and paid cash dividends to stockholders of $3.68 per common share outstanding as compared to $2.08 per common share outstand</w:t>
      </w:r>
      <w:r>
        <w:rPr>
          <w:rFonts w:eastAsia="Times New Roman"/>
          <w:color w:val="000000"/>
          <w:sz w:val="20"/>
          <w:szCs w:val="20"/>
        </w:rPr>
        <w:t xml:space="preserve">ing in fiscal 2021. These payments reflect an increase in the quarterly dividend to $0.92 in all four quarters of fiscal 2022 from $0.52 per share in all four quarters of fiscal 2021.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On February 8, 2023, the Company’s Board of Directors declared a quar</w:t>
      </w:r>
      <w:r>
        <w:rPr>
          <w:rFonts w:eastAsia="Times New Roman"/>
          <w:color w:val="000000"/>
          <w:sz w:val="20"/>
          <w:szCs w:val="20"/>
        </w:rPr>
        <w:t>terly cash dividend of $1.03 per share of the Company’s outstanding common stock. The dividend will be paid on March 14, 2023, to stockholders of record as of the close of business on February 27, 2023.</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 xml:space="preserve">It is the present intention of the Company’s Board </w:t>
      </w:r>
      <w:r>
        <w:rPr>
          <w:rFonts w:eastAsia="Times New Roman"/>
          <w:color w:val="000000"/>
          <w:sz w:val="20"/>
          <w:szCs w:val="20"/>
        </w:rPr>
        <w:t>of Directors to continue to pay a quarterly cash dividend; however, the declaration and payment amount of future dividends will be determined by the Company’s Board of Directors in its sole discretion and will depend upon the earnings, financial condition,</w:t>
      </w:r>
      <w:r>
        <w:rPr>
          <w:rFonts w:eastAsia="Times New Roman"/>
          <w:color w:val="000000"/>
          <w:sz w:val="20"/>
          <w:szCs w:val="20"/>
        </w:rPr>
        <w:t xml:space="preserve"> and capital needs of the Company, along with any other factors which the Company’s Board of Directors deem relevant.</w:t>
      </w:r>
    </w:p>
    <w:p w:rsidR="00000000" w:rsidRDefault="00F123EE">
      <w:pPr>
        <w:divId w:val="407264183"/>
        <w:rPr>
          <w:rFonts w:eastAsia="Times New Roman"/>
        </w:rPr>
      </w:pPr>
    </w:p>
    <w:p w:rsidR="00000000" w:rsidRDefault="00F123EE">
      <w:pPr>
        <w:jc w:val="center"/>
        <w:divId w:val="830100570"/>
        <w:rPr>
          <w:rFonts w:eastAsia="Times New Roman"/>
        </w:rPr>
      </w:pPr>
      <w:r>
        <w:rPr>
          <w:rFonts w:eastAsia="Times New Roman"/>
          <w:color w:val="000000"/>
          <w:sz w:val="20"/>
          <w:szCs w:val="20"/>
        </w:rPr>
        <w:t>27</w:t>
      </w:r>
    </w:p>
    <w:p w:rsidR="00000000" w:rsidRDefault="00F123EE">
      <w:pPr>
        <w:rPr>
          <w:rFonts w:eastAsia="Times New Roman"/>
        </w:rPr>
      </w:pPr>
      <w:r>
        <w:rPr>
          <w:rFonts w:eastAsia="Times New Roman"/>
        </w:rPr>
        <w:pict>
          <v:rect id="_x0000_i1056" style="width:0;height:1.5pt" o:hralign="center" o:hrstd="t" o:hr="t" fillcolor="#a0a0a0" stroked="f"/>
        </w:pict>
      </w:r>
    </w:p>
    <w:p w:rsidR="00000000" w:rsidRDefault="00F123EE">
      <w:pPr>
        <w:divId w:val="934434667"/>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r>
        <w:rPr>
          <w:rFonts w:eastAsia="Times New Roman"/>
          <w:b/>
          <w:bCs/>
          <w:color w:val="000000"/>
          <w:sz w:val="20"/>
          <w:szCs w:val="20"/>
        </w:rPr>
        <w:t>Issuer Purchases of Equity Secur</w:t>
      </w:r>
      <w:r>
        <w:rPr>
          <w:rFonts w:eastAsia="Times New Roman"/>
          <w:b/>
          <w:bCs/>
          <w:color w:val="000000"/>
          <w:sz w:val="20"/>
          <w:szCs w:val="20"/>
        </w:rPr>
        <w:t>ities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Company’s Board of Directors has authorized common stock repurchases under a share repurchase program which was announced in February 2007. The authorization amount of the program, which has been increased from time to time, is currently author</w:t>
      </w:r>
      <w:r>
        <w:rPr>
          <w:rFonts w:eastAsia="Times New Roman"/>
          <w:color w:val="000000"/>
          <w:sz w:val="20"/>
          <w:szCs w:val="20"/>
        </w:rPr>
        <w:t xml:space="preserve">ized for up to $6.50 billion, exclusive of any fees, commissions or other expenses related to such repurchases. The authorized amount reflects a $2.00 billion increase to the repurchase program which was approved by the Company’s Board of Directors </w:t>
      </w:r>
      <w:r>
        <w:rPr>
          <w:rFonts w:eastAsia="Times New Roman"/>
          <w:color w:val="000000"/>
          <w:sz w:val="20"/>
          <w:szCs w:val="20"/>
          <w:shd w:val="clear" w:color="auto" w:fill="FFFFFF"/>
        </w:rPr>
        <w:t>on Janu</w:t>
      </w:r>
      <w:r>
        <w:rPr>
          <w:rFonts w:eastAsia="Times New Roman"/>
          <w:color w:val="000000"/>
          <w:sz w:val="20"/>
          <w:szCs w:val="20"/>
          <w:shd w:val="clear" w:color="auto" w:fill="FFFFFF"/>
        </w:rPr>
        <w:t xml:space="preserve">ary 26, 2022. </w:t>
      </w:r>
      <w:r>
        <w:rPr>
          <w:rFonts w:eastAsia="Times New Roman"/>
          <w:color w:val="000000"/>
          <w:sz w:val="20"/>
          <w:szCs w:val="20"/>
        </w:rPr>
        <w:t>The share repurchase program does not have an expiration date. As of December 31, 2022, the Company had remaining authorization under the share repurchase program of $1.65 billion, exclusive of any fees, commissions or other expenses. Additio</w:t>
      </w:r>
      <w:r>
        <w:rPr>
          <w:rFonts w:eastAsia="Times New Roman"/>
          <w:color w:val="000000"/>
          <w:sz w:val="20"/>
          <w:szCs w:val="20"/>
        </w:rPr>
        <w:t>nally, the Company withholds shares from vested restricted stock units and performance-based restricted share units to satisfy employees’ minimum statutory tax withholding requirements. Stock purchase activity during fiscal 2022 is set forth in the table b</w:t>
      </w:r>
      <w:r>
        <w:rPr>
          <w:rFonts w:eastAsia="Times New Roman"/>
          <w:color w:val="000000"/>
          <w:sz w:val="20"/>
          <w:szCs w:val="20"/>
        </w:rPr>
        <w:t>elow:</w:t>
      </w:r>
    </w:p>
    <w:tbl>
      <w:tblPr>
        <w:tblW w:w="5000" w:type="pct"/>
        <w:tblCellMar>
          <w:top w:w="15" w:type="dxa"/>
          <w:left w:w="15" w:type="dxa"/>
          <w:bottom w:w="15" w:type="dxa"/>
          <w:right w:w="15" w:type="dxa"/>
        </w:tblCellMar>
        <w:tblLook w:val="04A0" w:firstRow="1" w:lastRow="0" w:firstColumn="1" w:lastColumn="0" w:noHBand="0" w:noVBand="1"/>
      </w:tblPr>
      <w:tblGrid>
        <w:gridCol w:w="39"/>
        <w:gridCol w:w="2704"/>
        <w:gridCol w:w="38"/>
        <w:gridCol w:w="36"/>
        <w:gridCol w:w="36"/>
        <w:gridCol w:w="36"/>
        <w:gridCol w:w="84"/>
        <w:gridCol w:w="848"/>
        <w:gridCol w:w="36"/>
        <w:gridCol w:w="36"/>
        <w:gridCol w:w="36"/>
        <w:gridCol w:w="36"/>
        <w:gridCol w:w="120"/>
        <w:gridCol w:w="600"/>
        <w:gridCol w:w="36"/>
        <w:gridCol w:w="36"/>
        <w:gridCol w:w="36"/>
        <w:gridCol w:w="36"/>
        <w:gridCol w:w="94"/>
        <w:gridCol w:w="1537"/>
        <w:gridCol w:w="36"/>
        <w:gridCol w:w="36"/>
        <w:gridCol w:w="36"/>
        <w:gridCol w:w="36"/>
        <w:gridCol w:w="121"/>
        <w:gridCol w:w="1545"/>
        <w:gridCol w:w="36"/>
      </w:tblGrid>
      <w:tr w:rsidR="00000000">
        <w:tc>
          <w:tcPr>
            <w:tcW w:w="50" w:type="pct"/>
            <w:vAlign w:val="center"/>
            <w:hideMark/>
          </w:tcPr>
          <w:p w:rsidR="00000000" w:rsidRDefault="00F123EE">
            <w:pPr>
              <w:jc w:val="both"/>
              <w:rPr>
                <w:rFonts w:eastAsia="Times New Roman"/>
              </w:rPr>
            </w:pPr>
          </w:p>
        </w:tc>
        <w:tc>
          <w:tcPr>
            <w:tcW w:w="189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07"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19"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471"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822"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888"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Period</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Total Number</w:t>
            </w:r>
            <w:r>
              <w:rPr>
                <w:rFonts w:eastAsia="Times New Roman"/>
                <w:b/>
                <w:bCs/>
                <w:color w:val="000000"/>
                <w:sz w:val="20"/>
                <w:szCs w:val="20"/>
              </w:rPr>
              <w:br/>
              <w:t>of Shares</w:t>
            </w:r>
            <w:r>
              <w:rPr>
                <w:rFonts w:eastAsia="Times New Roman"/>
                <w:b/>
                <w:bCs/>
                <w:color w:val="000000"/>
                <w:sz w:val="20"/>
                <w:szCs w:val="20"/>
              </w:rPr>
              <w:br/>
              <w:t>Purchased</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Average</w:t>
            </w:r>
            <w:r>
              <w:rPr>
                <w:rFonts w:eastAsia="Times New Roman"/>
                <w:b/>
                <w:bCs/>
                <w:color w:val="000000"/>
                <w:sz w:val="20"/>
                <w:szCs w:val="20"/>
              </w:rPr>
              <w:br/>
              <w:t>Price Paid</w:t>
            </w:r>
            <w:r>
              <w:rPr>
                <w:rFonts w:eastAsia="Times New Roman"/>
                <w:b/>
                <w:bCs/>
                <w:color w:val="000000"/>
                <w:sz w:val="20"/>
                <w:szCs w:val="20"/>
              </w:rPr>
              <w:br/>
              <w:t>Per Share</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Total Number of Shares Purchased as Part of Publicly Announced Plans or Programs</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Maximum Dollar Value of Shares That May Yet Be</w:t>
            </w:r>
            <w:r>
              <w:rPr>
                <w:rFonts w:eastAsia="Times New Roman"/>
                <w:b/>
                <w:bCs/>
                <w:color w:val="000000"/>
                <w:sz w:val="20"/>
                <w:szCs w:val="20"/>
              </w:rPr>
              <w:br/>
              <w:t>Purchased</w:t>
            </w:r>
            <w:r>
              <w:rPr>
                <w:rFonts w:eastAsia="Times New Roman"/>
                <w:b/>
                <w:bCs/>
                <w:color w:val="000000"/>
                <w:sz w:val="20"/>
                <w:szCs w:val="20"/>
              </w:rPr>
              <w:br/>
              <w:t>Under the Plans or Programs</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divId w:val="98451713"/>
              <w:rPr>
                <w:rFonts w:eastAsia="Times New Roman"/>
              </w:rPr>
            </w:pPr>
            <w:r>
              <w:rPr>
                <w:rFonts w:eastAsia="Times New Roman"/>
                <w:color w:val="000000"/>
                <w:sz w:val="20"/>
                <w:szCs w:val="20"/>
              </w:rPr>
              <w:t>First Quarter</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1,479,272 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218.10 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1,358,205 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2,048,857,479 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F123EE">
            <w:pPr>
              <w:spacing w:after="100"/>
              <w:divId w:val="1512908834"/>
              <w:rPr>
                <w:rFonts w:eastAsia="Times New Roman"/>
              </w:rPr>
            </w:pPr>
            <w:r>
              <w:rPr>
                <w:rFonts w:eastAsia="Times New Roman"/>
                <w:color w:val="000000"/>
                <w:sz w:val="20"/>
                <w:szCs w:val="20"/>
              </w:rPr>
              <w:t>Second Quarter</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947,794 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199.87 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941,631 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1,860,662,810 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divId w:val="932208303"/>
              <w:rPr>
                <w:rFonts w:eastAsia="Times New Roman"/>
              </w:rPr>
            </w:pPr>
            <w:r>
              <w:rPr>
                <w:rFonts w:eastAsia="Times New Roman"/>
                <w:color w:val="000000"/>
                <w:sz w:val="20"/>
                <w:szCs w:val="20"/>
              </w:rPr>
              <w:t>Third Quarter</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641,927 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193.68 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638,222 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1,737,048,869 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trHeight w:val="180"/>
        </w:trPr>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divId w:val="255597895"/>
              <w:rPr>
                <w:rFonts w:eastAsia="Times New Roman"/>
              </w:rPr>
            </w:pPr>
            <w:r>
              <w:rPr>
                <w:rFonts w:eastAsia="Times New Roman"/>
                <w:color w:val="000000"/>
                <w:sz w:val="20"/>
                <w:szCs w:val="20"/>
              </w:rPr>
              <w:t>Fourth Quarter:</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9/25/22 - 10/22/22</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140,019 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194.63 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140,000 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1,709,803,788 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10/23/22 - 11/19/22</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116,958 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213.50 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116,000 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1,685,041,345 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11/20/22 - 12/31/22</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184,192 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217.38 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184,165 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1,645,011,086 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441,169 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209.13 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440,165 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1,645,011,086 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trHeight w:val="180"/>
        </w:trPr>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As of and for the year ended December 31, 2022</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tcBorders>
              <w:bottom w:val="double" w:sz="6"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3,510,162 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207.58 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bottom w:val="double" w:sz="6"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3,378,223 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1,645,011,086 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bl>
    <w:p w:rsidR="00000000" w:rsidRDefault="00F123EE">
      <w:pPr>
        <w:ind w:hanging="180"/>
        <w:jc w:val="both"/>
        <w:rPr>
          <w:rFonts w:eastAsia="Times New Roman"/>
        </w:rPr>
      </w:pPr>
    </w:p>
    <w:p w:rsidR="00000000" w:rsidRDefault="00F123EE">
      <w:pPr>
        <w:ind w:hanging="180"/>
        <w:jc w:val="both"/>
        <w:rPr>
          <w:rFonts w:eastAsia="Times New Roman"/>
        </w:rPr>
      </w:pPr>
      <w:r>
        <w:rPr>
          <w:rFonts w:eastAsia="Times New Roman"/>
          <w:color w:val="000000"/>
          <w:sz w:val="16"/>
          <w:szCs w:val="16"/>
        </w:rPr>
        <w:t>(a) The total number of shares purchased and average price paid per share include shares withheld from vested stock awards to satisfy employees’ minimum statutory tax withholding requirements of 121,067 during the first quarter, 6,163 during</w:t>
      </w:r>
      <w:r>
        <w:rPr>
          <w:rFonts w:eastAsia="Times New Roman"/>
          <w:color w:val="000000"/>
          <w:sz w:val="16"/>
          <w:szCs w:val="16"/>
        </w:rPr>
        <w:t xml:space="preserve"> the second quarter, 3,705 during the third quarter, and 1,004 during the fourth quarter.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expect to implement the balance of the repurchase program through purchases made from time to time either in the open market or through private transactions, in</w:t>
      </w:r>
      <w:r>
        <w:rPr>
          <w:rFonts w:eastAsia="Times New Roman"/>
          <w:color w:val="000000"/>
          <w:sz w:val="20"/>
          <w:szCs w:val="20"/>
        </w:rPr>
        <w:t xml:space="preserve"> accordance with regulations of the SEC and other applicable legal requirements.  The timing and amount of any common stock repurchased under the program will depend on a variety of factors including price, corporate and regulatory requirements, capital av</w:t>
      </w:r>
      <w:r>
        <w:rPr>
          <w:rFonts w:eastAsia="Times New Roman"/>
          <w:color w:val="000000"/>
          <w:sz w:val="20"/>
          <w:szCs w:val="20"/>
        </w:rPr>
        <w:t>ailability, and other market conditions.</w:t>
      </w:r>
    </w:p>
    <w:p w:rsidR="00000000" w:rsidRDefault="00F123EE">
      <w:pPr>
        <w:jc w:val="both"/>
        <w:rPr>
          <w:rFonts w:eastAsia="Times New Roman"/>
        </w:rPr>
      </w:pPr>
      <w:r>
        <w:rPr>
          <w:rFonts w:eastAsia="Times New Roman"/>
          <w:color w:val="000000"/>
          <w:sz w:val="20"/>
          <w:szCs w:val="20"/>
        </w:rPr>
        <w:t> </w:t>
      </w:r>
    </w:p>
    <w:p w:rsidR="00000000" w:rsidRDefault="00F123EE">
      <w:pPr>
        <w:jc w:val="both"/>
        <w:rPr>
          <w:rFonts w:eastAsia="Times New Roman"/>
        </w:rPr>
      </w:pPr>
      <w:r>
        <w:rPr>
          <w:rFonts w:eastAsia="Times New Roman"/>
          <w:color w:val="000000"/>
          <w:sz w:val="20"/>
          <w:szCs w:val="20"/>
        </w:rPr>
        <w:t>Any additional stock repurchase programs will be subject to the discretion of our Board of Directors and will depend upon earnings, financial condition, and capital needs of the Company, along with any other factors which the Board of Directors deem releva</w:t>
      </w:r>
      <w:r>
        <w:rPr>
          <w:rFonts w:eastAsia="Times New Roman"/>
          <w:color w:val="000000"/>
          <w:sz w:val="20"/>
          <w:szCs w:val="20"/>
        </w:rPr>
        <w:t>nt.  The program may be limited, temporarily paused, or terminated at any time, without prior notice.</w:t>
      </w:r>
    </w:p>
    <w:p w:rsidR="00000000" w:rsidRDefault="00F123EE">
      <w:pPr>
        <w:jc w:val="both"/>
        <w:rPr>
          <w:rFonts w:eastAsia="Times New Roman"/>
        </w:rPr>
      </w:pPr>
    </w:p>
    <w:p w:rsidR="00000000" w:rsidRDefault="00F123EE">
      <w:pPr>
        <w:jc w:val="both"/>
        <w:rPr>
          <w:rFonts w:eastAsia="Times New Roman"/>
        </w:rPr>
      </w:pPr>
    </w:p>
    <w:p w:rsidR="00000000" w:rsidRDefault="00F123EE">
      <w:pPr>
        <w:jc w:val="center"/>
        <w:divId w:val="1106656989"/>
        <w:rPr>
          <w:rFonts w:eastAsia="Times New Roman"/>
        </w:rPr>
      </w:pPr>
      <w:r>
        <w:rPr>
          <w:rFonts w:eastAsia="Times New Roman"/>
          <w:color w:val="000000"/>
          <w:sz w:val="20"/>
          <w:szCs w:val="20"/>
        </w:rPr>
        <w:t>28</w:t>
      </w:r>
    </w:p>
    <w:p w:rsidR="00000000" w:rsidRDefault="00F123EE">
      <w:pPr>
        <w:rPr>
          <w:rFonts w:eastAsia="Times New Roman"/>
        </w:rPr>
      </w:pPr>
      <w:r>
        <w:rPr>
          <w:rFonts w:eastAsia="Times New Roman"/>
        </w:rPr>
        <w:pict>
          <v:rect id="_x0000_i1057" style="width:0;height:1.5pt" o:hralign="center" o:hrstd="t" o:hr="t" fillcolor="#a0a0a0" stroked="f"/>
        </w:pict>
      </w:r>
    </w:p>
    <w:p w:rsidR="00000000" w:rsidRDefault="00F123EE">
      <w:pPr>
        <w:divId w:val="197426626"/>
        <w:rPr>
          <w:rFonts w:eastAsia="Times New Roman"/>
        </w:rPr>
      </w:pPr>
      <w:hyperlink w:anchor="i38696b5cc01146d68b9c6b33327cf890_7" w:history="1">
        <w:r>
          <w:rPr>
            <w:rStyle w:val="a3"/>
            <w:rFonts w:eastAsia="Times New Roman"/>
            <w:sz w:val="18"/>
            <w:szCs w:val="18"/>
          </w:rPr>
          <w:t>Index</w:t>
        </w:r>
      </w:hyperlink>
    </w:p>
    <w:p w:rsidR="00000000" w:rsidRDefault="00F123EE">
      <w:pPr>
        <w:jc w:val="center"/>
        <w:rPr>
          <w:rFonts w:eastAsia="Times New Roman"/>
        </w:rPr>
      </w:pPr>
      <w:r>
        <w:rPr>
          <w:rFonts w:eastAsia="Times New Roman"/>
          <w:b/>
          <w:bCs/>
          <w:color w:val="000000"/>
          <w:sz w:val="20"/>
          <w:szCs w:val="20"/>
        </w:rPr>
        <w:t>STOCK PERFORMANCE GRAPH</w:t>
      </w:r>
    </w:p>
    <w:p w:rsidR="00000000" w:rsidRDefault="00F123EE">
      <w:pPr>
        <w:divId w:val="1397359249"/>
        <w:rPr>
          <w:rFonts w:eastAsia="Times New Roman"/>
        </w:rPr>
      </w:pPr>
    </w:p>
    <w:p w:rsidR="00000000" w:rsidRDefault="00F123EE">
      <w:pPr>
        <w:jc w:val="both"/>
        <w:rPr>
          <w:rFonts w:eastAsia="Times New Roman"/>
        </w:rPr>
      </w:pPr>
      <w:r>
        <w:rPr>
          <w:rFonts w:eastAsia="Times New Roman"/>
          <w:color w:val="000000"/>
          <w:sz w:val="20"/>
          <w:szCs w:val="20"/>
        </w:rPr>
        <w:t>This performance gra</w:t>
      </w:r>
      <w:r>
        <w:rPr>
          <w:rFonts w:eastAsia="Times New Roman"/>
          <w:color w:val="000000"/>
          <w:sz w:val="20"/>
          <w:szCs w:val="20"/>
        </w:rPr>
        <w:t>ph shall not be deemed “filed” for purposes of Section 18 of the Securities Exchange Act of 1934, as amended (the “Exchange Act”) or otherwise subject to the liabilities under that Section and shall not be deemed to be incorporated by reference into any fi</w:t>
      </w:r>
      <w:r>
        <w:rPr>
          <w:rFonts w:eastAsia="Times New Roman"/>
          <w:color w:val="000000"/>
          <w:sz w:val="20"/>
          <w:szCs w:val="20"/>
        </w:rPr>
        <w:t>ling of Tractor Supply Company under the Securities Act of 1933, as amended, or the Exchange Act.</w:t>
      </w:r>
    </w:p>
    <w:p w:rsidR="00000000" w:rsidRDefault="00F123EE">
      <w:pPr>
        <w:divId w:val="1814836287"/>
        <w:rPr>
          <w:rFonts w:eastAsia="Times New Roman"/>
        </w:rPr>
      </w:pPr>
    </w:p>
    <w:p w:rsidR="00000000" w:rsidRDefault="00F123EE">
      <w:pPr>
        <w:divId w:val="2124617081"/>
        <w:rPr>
          <w:rFonts w:eastAsia="Times New Roman"/>
        </w:rPr>
      </w:pPr>
      <w:r>
        <w:rPr>
          <w:rFonts w:eastAsia="Times New Roman"/>
          <w:color w:val="000000"/>
          <w:sz w:val="2"/>
          <w:szCs w:val="2"/>
        </w:rPr>
        <w:t> </w:t>
      </w:r>
    </w:p>
    <w:p w:rsidR="00000000" w:rsidRDefault="00F123EE">
      <w:pPr>
        <w:jc w:val="both"/>
        <w:rPr>
          <w:rFonts w:eastAsia="Times New Roman"/>
        </w:rPr>
      </w:pPr>
      <w:r>
        <w:rPr>
          <w:rFonts w:eastAsia="Times New Roman"/>
          <w:color w:val="000000"/>
          <w:sz w:val="20"/>
          <w:szCs w:val="20"/>
        </w:rPr>
        <w:t>The following graph compares the cumulative total stockholder return on our common stock from December 30, 2017 to December 31, 2022 (the Company’s fiscal</w:t>
      </w:r>
      <w:r>
        <w:rPr>
          <w:rFonts w:eastAsia="Times New Roman"/>
          <w:color w:val="000000"/>
          <w:sz w:val="20"/>
          <w:szCs w:val="20"/>
        </w:rPr>
        <w:t xml:space="preserve"> year-end), with the cumulative total returns of the S&amp;P 500 Index and the S&amp;P Retail Index over the same period.  The comparison assumes that $100 was invested on December 30, 2017, in our common stock and in each of the foregoing indices and in each case</w:t>
      </w:r>
      <w:r>
        <w:rPr>
          <w:rFonts w:eastAsia="Times New Roman"/>
          <w:color w:val="000000"/>
          <w:sz w:val="20"/>
          <w:szCs w:val="20"/>
        </w:rPr>
        <w:t xml:space="preserve"> assumes reinvestment of dividends.  The historical stock price performance shown on this graph is not indicative of future performance.</w:t>
      </w:r>
    </w:p>
    <w:p w:rsidR="00000000" w:rsidRDefault="00F123EE">
      <w:pPr>
        <w:jc w:val="both"/>
        <w:rPr>
          <w:rFonts w:eastAsia="Times New Roman"/>
        </w:rPr>
      </w:pPr>
    </w:p>
    <w:p w:rsidR="00000000" w:rsidRDefault="00F123EE">
      <w:pPr>
        <w:jc w:val="center"/>
        <w:rPr>
          <w:rFonts w:eastAsia="Times New Roman"/>
        </w:rPr>
      </w:pPr>
      <w:r>
        <w:rPr>
          <w:rFonts w:eastAsia="Times New Roman"/>
          <w:noProof/>
        </w:rPr>
        <w:drawing>
          <wp:inline distT="0" distB="0" distL="0" distR="0">
            <wp:extent cx="304800" cy="3048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4978" w:type="pct"/>
        <w:jc w:val="center"/>
        <w:tblCellMar>
          <w:top w:w="15" w:type="dxa"/>
          <w:left w:w="15" w:type="dxa"/>
          <w:bottom w:w="15" w:type="dxa"/>
          <w:right w:w="15" w:type="dxa"/>
        </w:tblCellMar>
        <w:tblLook w:val="04A0" w:firstRow="1" w:lastRow="0" w:firstColumn="1" w:lastColumn="0" w:noHBand="0" w:noVBand="1"/>
      </w:tblPr>
      <w:tblGrid>
        <w:gridCol w:w="37"/>
        <w:gridCol w:w="1434"/>
        <w:gridCol w:w="36"/>
        <w:gridCol w:w="36"/>
        <w:gridCol w:w="36"/>
        <w:gridCol w:w="36"/>
        <w:gridCol w:w="121"/>
        <w:gridCol w:w="862"/>
        <w:gridCol w:w="36"/>
        <w:gridCol w:w="36"/>
        <w:gridCol w:w="36"/>
        <w:gridCol w:w="36"/>
        <w:gridCol w:w="121"/>
        <w:gridCol w:w="862"/>
        <w:gridCol w:w="36"/>
        <w:gridCol w:w="36"/>
        <w:gridCol w:w="36"/>
        <w:gridCol w:w="36"/>
        <w:gridCol w:w="121"/>
        <w:gridCol w:w="862"/>
        <w:gridCol w:w="36"/>
        <w:gridCol w:w="36"/>
        <w:gridCol w:w="36"/>
        <w:gridCol w:w="36"/>
        <w:gridCol w:w="121"/>
        <w:gridCol w:w="862"/>
        <w:gridCol w:w="36"/>
        <w:gridCol w:w="36"/>
        <w:gridCol w:w="36"/>
        <w:gridCol w:w="36"/>
        <w:gridCol w:w="121"/>
        <w:gridCol w:w="862"/>
        <w:gridCol w:w="36"/>
        <w:gridCol w:w="36"/>
        <w:gridCol w:w="36"/>
        <w:gridCol w:w="36"/>
        <w:gridCol w:w="121"/>
        <w:gridCol w:w="862"/>
        <w:gridCol w:w="36"/>
      </w:tblGrid>
      <w:tr w:rsidR="00000000">
        <w:trPr>
          <w:jc w:val="center"/>
        </w:trPr>
        <w:tc>
          <w:tcPr>
            <w:tcW w:w="50" w:type="pct"/>
            <w:vAlign w:val="center"/>
            <w:hideMark/>
          </w:tcPr>
          <w:p w:rsidR="00000000" w:rsidRDefault="00F123EE">
            <w:pPr>
              <w:jc w:val="center"/>
              <w:rPr>
                <w:rFonts w:eastAsia="Times New Roman"/>
              </w:rPr>
            </w:pPr>
          </w:p>
        </w:tc>
        <w:tc>
          <w:tcPr>
            <w:tcW w:w="1200"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32"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32"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32"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32"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32"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32"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12/30/2017</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12/29/2018</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12/28/2019</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12/26/2020</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12/25/2021</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12/31/2022</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Tractor Supply Company</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113.03 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127.11 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204.81 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321.76 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322.96 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S&amp;</w:t>
            </w:r>
            <w:r>
              <w:rPr>
                <w:rFonts w:eastAsia="Times New Roman"/>
                <w:color w:val="000000"/>
                <w:sz w:val="20"/>
                <w:szCs w:val="20"/>
              </w:rPr>
              <w:t>P 500</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100.00 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94.80 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126.06 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146.72 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189.92 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156.88 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S&amp;P Retail Index</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100.00 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112.04 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144.71 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207.38 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250.18 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165.00 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bl>
    <w:p w:rsidR="00000000" w:rsidRDefault="00F123EE">
      <w:pPr>
        <w:jc w:val="both"/>
        <w:rPr>
          <w:rFonts w:eastAsia="Times New Roman"/>
        </w:rPr>
      </w:pPr>
    </w:p>
    <w:p w:rsidR="00000000" w:rsidRDefault="00F123EE">
      <w:pPr>
        <w:jc w:val="both"/>
        <w:rPr>
          <w:rFonts w:eastAsia="Times New Roman"/>
        </w:rPr>
      </w:pPr>
    </w:p>
    <w:p w:rsidR="00000000" w:rsidRDefault="00F123EE">
      <w:pPr>
        <w:jc w:val="both"/>
        <w:rPr>
          <w:rFonts w:eastAsia="Times New Roman"/>
        </w:rPr>
      </w:pPr>
      <w:r>
        <w:rPr>
          <w:rFonts w:eastAsia="Times New Roman"/>
          <w:b/>
          <w:bCs/>
          <w:color w:val="000000"/>
          <w:sz w:val="20"/>
          <w:szCs w:val="20"/>
          <w:u w:val="single"/>
        </w:rPr>
        <w:t>Item 6</w:t>
      </w:r>
      <w:r>
        <w:rPr>
          <w:rFonts w:eastAsia="Times New Roman"/>
          <w:b/>
          <w:bCs/>
          <w:color w:val="000000"/>
          <w:sz w:val="20"/>
          <w:szCs w:val="20"/>
        </w:rPr>
        <w:t>.        </w:t>
      </w:r>
      <w:r>
        <w:rPr>
          <w:rFonts w:eastAsia="Times New Roman"/>
          <w:b/>
          <w:bCs/>
          <w:color w:val="000000"/>
          <w:sz w:val="20"/>
          <w:szCs w:val="20"/>
          <w:u w:val="single"/>
        </w:rPr>
        <w:t>[Reserved]</w:t>
      </w:r>
    </w:p>
    <w:p w:rsidR="00000000" w:rsidRDefault="00F123EE">
      <w:pPr>
        <w:divId w:val="351076411"/>
        <w:rPr>
          <w:rFonts w:eastAsia="Times New Roman"/>
        </w:rPr>
      </w:pPr>
    </w:p>
    <w:p w:rsidR="00000000" w:rsidRDefault="00F123EE">
      <w:pPr>
        <w:divId w:val="1354065539"/>
        <w:rPr>
          <w:rFonts w:eastAsia="Times New Roman"/>
        </w:rPr>
      </w:pPr>
    </w:p>
    <w:p w:rsidR="00000000" w:rsidRDefault="00F123EE">
      <w:pPr>
        <w:jc w:val="center"/>
        <w:divId w:val="1765609876"/>
        <w:rPr>
          <w:rFonts w:eastAsia="Times New Roman"/>
        </w:rPr>
      </w:pPr>
      <w:r>
        <w:rPr>
          <w:rFonts w:eastAsia="Times New Roman"/>
          <w:color w:val="000000"/>
          <w:sz w:val="20"/>
          <w:szCs w:val="20"/>
        </w:rPr>
        <w:t>29</w:t>
      </w:r>
    </w:p>
    <w:p w:rsidR="00000000" w:rsidRDefault="00F123EE">
      <w:pPr>
        <w:rPr>
          <w:rFonts w:eastAsia="Times New Roman"/>
        </w:rPr>
      </w:pPr>
      <w:r>
        <w:rPr>
          <w:rFonts w:eastAsia="Times New Roman"/>
        </w:rPr>
        <w:pict>
          <v:rect id="_x0000_i1059" style="width:0;height:1.5pt" o:hralign="center" o:hrstd="t" o:hr="t" fillcolor="#a0a0a0" stroked="f"/>
        </w:pict>
      </w:r>
    </w:p>
    <w:p w:rsidR="00000000" w:rsidRDefault="00F123EE">
      <w:pPr>
        <w:divId w:val="1669089682"/>
        <w:rPr>
          <w:rFonts w:eastAsia="Times New Roman"/>
        </w:rPr>
      </w:pPr>
      <w:hyperlink w:anchor="i38696b5cc01146d68b9c6b33327cf890_7" w:history="1">
        <w:r>
          <w:rPr>
            <w:rStyle w:val="a3"/>
            <w:rFonts w:eastAsia="Times New Roman"/>
            <w:sz w:val="18"/>
            <w:szCs w:val="18"/>
          </w:rPr>
          <w:t>Index</w:t>
        </w:r>
      </w:hyperlink>
    </w:p>
    <w:p w:rsidR="00000000" w:rsidRDefault="00F123EE">
      <w:pPr>
        <w:ind w:hanging="1440"/>
        <w:divId w:val="322392934"/>
        <w:rPr>
          <w:rFonts w:eastAsia="Times New Roman"/>
        </w:rPr>
      </w:pPr>
      <w:r>
        <w:rPr>
          <w:rFonts w:eastAsia="Times New Roman"/>
          <w:b/>
          <w:bCs/>
          <w:color w:val="000000"/>
          <w:sz w:val="20"/>
          <w:szCs w:val="20"/>
          <w:u w:val="single"/>
        </w:rPr>
        <w:t>Item 7</w:t>
      </w:r>
      <w:r>
        <w:rPr>
          <w:rFonts w:eastAsia="Times New Roman"/>
          <w:b/>
          <w:bCs/>
          <w:color w:val="000000"/>
          <w:sz w:val="20"/>
          <w:szCs w:val="20"/>
        </w:rPr>
        <w:t>.    </w:t>
      </w:r>
      <w:r>
        <w:rPr>
          <w:rFonts w:eastAsia="Times New Roman"/>
          <w:b/>
          <w:bCs/>
          <w:color w:val="000000"/>
          <w:sz w:val="20"/>
          <w:szCs w:val="20"/>
          <w:u w:val="single"/>
        </w:rPr>
        <w:t>Management’s Discussion and Analysis of Financial Condition and Results of Operations</w:t>
      </w:r>
    </w:p>
    <w:p w:rsidR="00000000" w:rsidRDefault="00F123EE">
      <w:pPr>
        <w:divId w:val="191068477"/>
        <w:rPr>
          <w:rFonts w:eastAsia="Times New Roman"/>
        </w:rPr>
      </w:pPr>
    </w:p>
    <w:p w:rsidR="00000000" w:rsidRDefault="00F123EE">
      <w:pPr>
        <w:jc w:val="both"/>
        <w:rPr>
          <w:rFonts w:eastAsia="Times New Roman"/>
        </w:rPr>
      </w:pPr>
      <w:r>
        <w:rPr>
          <w:rFonts w:eastAsia="Times New Roman"/>
          <w:i/>
          <w:iCs/>
          <w:color w:val="000000"/>
          <w:sz w:val="18"/>
          <w:szCs w:val="18"/>
        </w:rPr>
        <w:t>The following discussion and analysis is intended to provide the reader with information that will assist in understanding the significant factors affecting our consolidated operating results, financial condition, liquidity, and capital resources during th</w:t>
      </w:r>
      <w:r>
        <w:rPr>
          <w:rFonts w:eastAsia="Times New Roman"/>
          <w:i/>
          <w:iCs/>
          <w:color w:val="000000"/>
          <w:sz w:val="18"/>
          <w:szCs w:val="18"/>
        </w:rPr>
        <w:t>e two-year period ended December 31, 2022 (our fiscal years 2022 and 2021). For a comparison of our results of operations for fiscal year December 25, 2021 and December 26, 2020, see “Part II, Item 7. Management’s Discussion and Analysis of Financial Condi</w:t>
      </w:r>
      <w:r>
        <w:rPr>
          <w:rFonts w:eastAsia="Times New Roman"/>
          <w:i/>
          <w:iCs/>
          <w:color w:val="000000"/>
          <w:sz w:val="18"/>
          <w:szCs w:val="18"/>
        </w:rPr>
        <w:t>tion and Results of Operations” of our Annual Report on Form 10-K for the fiscal year ended December 25, 2021, filed with the SEC on February 17, 2022. This discussion should be read in conjunction with our Consolidated Financial Statements and Notes to th</w:t>
      </w:r>
      <w:r>
        <w:rPr>
          <w:rFonts w:eastAsia="Times New Roman"/>
          <w:i/>
          <w:iCs/>
          <w:color w:val="000000"/>
          <w:sz w:val="18"/>
          <w:szCs w:val="18"/>
        </w:rPr>
        <w:t>e Consolidated Financial Statements included elsewhere in this report. This discussion contains forward-looking statements and information. See “Forward-Looking Statements and Information” and “Risk Factors” included elsewhere in this report.</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18"/>
          <w:szCs w:val="18"/>
        </w:rPr>
        <w:t>Tractor Sup</w:t>
      </w:r>
      <w:r>
        <w:rPr>
          <w:rFonts w:eastAsia="Times New Roman"/>
          <w:i/>
          <w:iCs/>
          <w:color w:val="000000"/>
          <w:sz w:val="18"/>
          <w:szCs w:val="18"/>
        </w:rPr>
        <w:t>ply reports its financial results in accordance with accounting principles generally accepted in the United States of America (“U.S. GAAP”). Tractor Supply also uses certain non-GAAP measures that fall within the meaning of Securities and Exchange Commissi</w:t>
      </w:r>
      <w:r>
        <w:rPr>
          <w:rFonts w:eastAsia="Times New Roman"/>
          <w:i/>
          <w:iCs/>
          <w:color w:val="000000"/>
          <w:sz w:val="18"/>
          <w:szCs w:val="18"/>
        </w:rPr>
        <w:t>on Regulation G and Regulation S-K Item 10(e), which may provide users of the financial information with additional meaningful comparison to prior reported results. Non-GAAP measures do not have standardized definitions and are not defined by U.S. GAAP. Th</w:t>
      </w:r>
      <w:r>
        <w:rPr>
          <w:rFonts w:eastAsia="Times New Roman"/>
          <w:i/>
          <w:iCs/>
          <w:color w:val="000000"/>
          <w:sz w:val="18"/>
          <w:szCs w:val="18"/>
        </w:rPr>
        <w:t>erefore, Tractor Supply’s non-GAAP measures are unlikely to be comparable to similar measures presented by other companies. The presentation of these non-GAAP measures should not be considered in isolation from, as a substitute for, or as superior to the f</w:t>
      </w:r>
      <w:r>
        <w:rPr>
          <w:rFonts w:eastAsia="Times New Roman"/>
          <w:i/>
          <w:iCs/>
          <w:color w:val="000000"/>
          <w:sz w:val="18"/>
          <w:szCs w:val="18"/>
        </w:rPr>
        <w:t xml:space="preserve">inancial information presented in accordance with U.S. GAAP. We believe this information is useful in providing period-to-period comparisons of the results of our continuing operations. </w:t>
      </w:r>
    </w:p>
    <w:p w:rsidR="00000000" w:rsidRDefault="00F123EE">
      <w:pPr>
        <w:divId w:val="989331886"/>
        <w:rPr>
          <w:rFonts w:eastAsia="Times New Roman"/>
        </w:rPr>
      </w:pPr>
    </w:p>
    <w:p w:rsidR="00000000" w:rsidRDefault="00F123EE">
      <w:pPr>
        <w:jc w:val="both"/>
        <w:rPr>
          <w:rFonts w:eastAsia="Times New Roman"/>
        </w:rPr>
      </w:pPr>
      <w:r>
        <w:rPr>
          <w:rFonts w:eastAsia="Times New Roman"/>
          <w:b/>
          <w:bCs/>
          <w:color w:val="000000"/>
          <w:sz w:val="22"/>
          <w:szCs w:val="22"/>
        </w:rPr>
        <w:t>Overview</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Founded in 1938, Tractor Supply Company (the “Company” o</w:t>
      </w:r>
      <w:r>
        <w:rPr>
          <w:rFonts w:eastAsia="Times New Roman"/>
          <w:color w:val="000000"/>
          <w:sz w:val="20"/>
          <w:szCs w:val="20"/>
        </w:rPr>
        <w:t>r “Tractor Supply” or “we” or “our” or “us”) is the largest rural lifestyle retailer in the United States (“U.S.”). The Company is focused on supplying the needs of recreational farmers, ranchers, and all those who enjoy living the rural lifestyle (which w</w:t>
      </w:r>
      <w:r>
        <w:rPr>
          <w:rFonts w:eastAsia="Times New Roman"/>
          <w:color w:val="000000"/>
          <w:sz w:val="20"/>
          <w:szCs w:val="20"/>
        </w:rPr>
        <w:t>e refer to as the “</w:t>
      </w:r>
      <w:r>
        <w:rPr>
          <w:rFonts w:eastAsia="Times New Roman"/>
          <w:i/>
          <w:iCs/>
          <w:color w:val="000000"/>
          <w:sz w:val="20"/>
          <w:szCs w:val="20"/>
        </w:rPr>
        <w:t>Out Here</w:t>
      </w:r>
      <w:r>
        <w:rPr>
          <w:rFonts w:eastAsia="Times New Roman"/>
          <w:color w:val="000000"/>
          <w:sz w:val="20"/>
          <w:szCs w:val="20"/>
        </w:rPr>
        <w:t xml:space="preserve">” lifestyle). As of December 31, 2022, we operated 2,333 retail stores in 49 states under the names </w:t>
      </w:r>
      <w:r>
        <w:rPr>
          <w:rFonts w:eastAsia="Times New Roman"/>
          <w:i/>
          <w:iCs/>
          <w:color w:val="000000"/>
          <w:sz w:val="20"/>
          <w:szCs w:val="20"/>
        </w:rPr>
        <w:t>Tractor Supply Company,</w:t>
      </w:r>
      <w:r>
        <w:rPr>
          <w:rFonts w:eastAsia="Times New Roman"/>
          <w:color w:val="000000"/>
          <w:sz w:val="20"/>
          <w:szCs w:val="20"/>
        </w:rPr>
        <w:t xml:space="preserve"> </w:t>
      </w:r>
      <w:r>
        <w:rPr>
          <w:rFonts w:eastAsia="Times New Roman"/>
          <w:i/>
          <w:iCs/>
          <w:color w:val="000000"/>
          <w:sz w:val="20"/>
          <w:szCs w:val="20"/>
        </w:rPr>
        <w:t>Petsense by Tractor Supply, and Orscheln Farm and Home.</w:t>
      </w:r>
      <w:r>
        <w:rPr>
          <w:rFonts w:eastAsia="Times New Roman"/>
          <w:color w:val="000000"/>
          <w:sz w:val="20"/>
          <w:szCs w:val="20"/>
        </w:rPr>
        <w:t xml:space="preserve"> Our stores are located primarily in towns outlyin</w:t>
      </w:r>
      <w:r>
        <w:rPr>
          <w:rFonts w:eastAsia="Times New Roman"/>
          <w:color w:val="000000"/>
          <w:sz w:val="20"/>
          <w:szCs w:val="20"/>
        </w:rPr>
        <w:t xml:space="preserve">g major metropolitan markets and in rural communities. We also operate websites under the names </w:t>
      </w:r>
      <w:r>
        <w:rPr>
          <w:rFonts w:eastAsia="Times New Roman"/>
          <w:i/>
          <w:iCs/>
          <w:color w:val="000000"/>
          <w:sz w:val="20"/>
          <w:szCs w:val="20"/>
          <w:u w:val="single"/>
        </w:rPr>
        <w:t>TractorSupply.com</w:t>
      </w:r>
      <w:r>
        <w:rPr>
          <w:rFonts w:eastAsia="Times New Roman"/>
          <w:color w:val="000000"/>
          <w:sz w:val="20"/>
          <w:szCs w:val="20"/>
        </w:rPr>
        <w:t xml:space="preserve"> and </w:t>
      </w:r>
      <w:r>
        <w:rPr>
          <w:rFonts w:eastAsia="Times New Roman"/>
          <w:i/>
          <w:iCs/>
          <w:color w:val="000000"/>
          <w:sz w:val="20"/>
          <w:szCs w:val="20"/>
          <w:u w:val="single"/>
        </w:rPr>
        <w:t>Petsense.com</w:t>
      </w:r>
      <w:r>
        <w:rPr>
          <w:rFonts w:eastAsia="Times New Roman"/>
          <w:color w:val="000000"/>
          <w:sz w:val="20"/>
          <w:szCs w:val="20"/>
        </w:rPr>
        <w:t>, as well as a Tractor Supply Company mobile application. Through our stores and e-commerce channels, we offer the following c</w:t>
      </w:r>
      <w:r>
        <w:rPr>
          <w:rFonts w:eastAsia="Times New Roman"/>
          <w:color w:val="000000"/>
          <w:sz w:val="20"/>
          <w:szCs w:val="20"/>
        </w:rPr>
        <w:t>omprehensive selection of merchandise:</w:t>
      </w:r>
    </w:p>
    <w:p w:rsidR="00000000" w:rsidRDefault="00F123EE">
      <w:pPr>
        <w:divId w:val="13651725"/>
        <w:rPr>
          <w:rFonts w:eastAsia="Times New Roman"/>
        </w:rPr>
      </w:pPr>
    </w:p>
    <w:p w:rsidR="00000000" w:rsidRDefault="00F123EE">
      <w:pPr>
        <w:ind w:hanging="360"/>
        <w:divId w:val="1341350730"/>
        <w:rPr>
          <w:rFonts w:eastAsia="Times New Roman"/>
        </w:rPr>
      </w:pPr>
      <w:r>
        <w:rPr>
          <w:rFonts w:eastAsia="Times New Roman"/>
          <w:color w:val="000000"/>
          <w:sz w:val="20"/>
          <w:szCs w:val="20"/>
        </w:rPr>
        <w:t>•Equine, livestock, pet, and small animal products, including items necessary for their health, care, growth, and containment (i.e., fencing);</w:t>
      </w:r>
    </w:p>
    <w:p w:rsidR="00000000" w:rsidRDefault="00F123EE">
      <w:pPr>
        <w:ind w:hanging="360"/>
        <w:divId w:val="985091078"/>
        <w:rPr>
          <w:rFonts w:eastAsia="Times New Roman"/>
        </w:rPr>
      </w:pPr>
      <w:r>
        <w:rPr>
          <w:rFonts w:eastAsia="Times New Roman"/>
          <w:color w:val="000000"/>
          <w:sz w:val="20"/>
          <w:szCs w:val="20"/>
        </w:rPr>
        <w:t>•Hardware, truck, towing, and tool products;</w:t>
      </w:r>
    </w:p>
    <w:p w:rsidR="00000000" w:rsidRDefault="00F123EE">
      <w:pPr>
        <w:ind w:hanging="360"/>
        <w:divId w:val="641929170"/>
        <w:rPr>
          <w:rFonts w:eastAsia="Times New Roman"/>
        </w:rPr>
      </w:pPr>
      <w:r>
        <w:rPr>
          <w:rFonts w:eastAsia="Times New Roman"/>
          <w:color w:val="000000"/>
          <w:sz w:val="20"/>
          <w:szCs w:val="20"/>
        </w:rPr>
        <w:t>•Seasonal products, includi</w:t>
      </w:r>
      <w:r>
        <w:rPr>
          <w:rFonts w:eastAsia="Times New Roman"/>
          <w:color w:val="000000"/>
          <w:sz w:val="20"/>
          <w:szCs w:val="20"/>
        </w:rPr>
        <w:t>ng heating, lawn and garden items, power equipment, gifts, and toys;</w:t>
      </w:r>
    </w:p>
    <w:p w:rsidR="00000000" w:rsidRDefault="00F123EE">
      <w:pPr>
        <w:ind w:hanging="360"/>
        <w:divId w:val="1743873099"/>
        <w:rPr>
          <w:rFonts w:eastAsia="Times New Roman"/>
        </w:rPr>
      </w:pPr>
      <w:r>
        <w:rPr>
          <w:rFonts w:eastAsia="Times New Roman"/>
          <w:color w:val="000000"/>
          <w:sz w:val="20"/>
          <w:szCs w:val="20"/>
        </w:rPr>
        <w:t>•Work/recreational clothing and footwear; and</w:t>
      </w:r>
    </w:p>
    <w:p w:rsidR="00000000" w:rsidRDefault="00F123EE">
      <w:pPr>
        <w:ind w:hanging="360"/>
        <w:divId w:val="1079669913"/>
        <w:rPr>
          <w:rFonts w:eastAsia="Times New Roman"/>
        </w:rPr>
      </w:pPr>
      <w:r>
        <w:rPr>
          <w:rFonts w:eastAsia="Times New Roman"/>
          <w:color w:val="000000"/>
          <w:sz w:val="20"/>
          <w:szCs w:val="20"/>
        </w:rPr>
        <w:t>•Maintenance products for agricultural and rural use.</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Tractor Supply Company believes we can grow our business by being a more integral part of our customers’ lives as the dependable supplier of “</w:t>
      </w:r>
      <w:r>
        <w:rPr>
          <w:rFonts w:eastAsia="Times New Roman"/>
          <w:i/>
          <w:iCs/>
          <w:color w:val="000000"/>
          <w:sz w:val="20"/>
          <w:szCs w:val="20"/>
        </w:rPr>
        <w:t>Out Here</w:t>
      </w:r>
      <w:r>
        <w:rPr>
          <w:rFonts w:eastAsia="Times New Roman"/>
          <w:color w:val="000000"/>
          <w:sz w:val="20"/>
          <w:szCs w:val="20"/>
        </w:rPr>
        <w:t>” lifestyle solutions, creating customer loyalty through personalized experiences, and providing convenien</w:t>
      </w:r>
      <w:r>
        <w:rPr>
          <w:rFonts w:eastAsia="Times New Roman"/>
          <w:color w:val="000000"/>
          <w:sz w:val="20"/>
          <w:szCs w:val="20"/>
        </w:rPr>
        <w:t>ce that our customers expect at anytime, anywhere, and in any way they choose. Our long-term growth strategy is to: (1) expand and deepen our customer base by providing personal, localized, and memorable customer engagements by leveraging content, social m</w:t>
      </w:r>
      <w:r>
        <w:rPr>
          <w:rFonts w:eastAsia="Times New Roman"/>
          <w:color w:val="000000"/>
          <w:sz w:val="20"/>
          <w:szCs w:val="20"/>
        </w:rPr>
        <w:t xml:space="preserve">edia, and digital shopping experiences, attracting new customers and driving loyalty, (2) evolve customer experiences by digitizing our business processes and furthering our omni-channel capabilities, (3) offer relevant assortments and services across all </w:t>
      </w:r>
      <w:r>
        <w:rPr>
          <w:rFonts w:eastAsia="Times New Roman"/>
          <w:color w:val="000000"/>
          <w:sz w:val="20"/>
          <w:szCs w:val="20"/>
        </w:rPr>
        <w:t>channels through exclusive and national brands and continue to grow our total addressable market by introducing new products and services through our test and learn strategy, (4) drive operational excellence and productivity through continuous improvement,</w:t>
      </w:r>
      <w:r>
        <w:rPr>
          <w:rFonts w:eastAsia="Times New Roman"/>
          <w:color w:val="000000"/>
          <w:sz w:val="20"/>
          <w:szCs w:val="20"/>
        </w:rPr>
        <w:t xml:space="preserve"> increasing space utilization, and implementing advanced supply chain capabilities to support growth, scale and agility, and (5) expand through selective acquisitions, as such opportunities arise, to add complementary businesses and to enhance penetration </w:t>
      </w:r>
      <w:r>
        <w:rPr>
          <w:rFonts w:eastAsia="Times New Roman"/>
          <w:color w:val="000000"/>
          <w:sz w:val="20"/>
          <w:szCs w:val="20"/>
        </w:rPr>
        <w:t>into new and existing markets to supplement organic growth.</w:t>
      </w:r>
    </w:p>
    <w:p w:rsidR="00000000" w:rsidRDefault="00F123EE">
      <w:pPr>
        <w:divId w:val="703672840"/>
        <w:rPr>
          <w:rFonts w:eastAsia="Times New Roman"/>
        </w:rPr>
      </w:pPr>
    </w:p>
    <w:p w:rsidR="00000000" w:rsidRDefault="00F123EE">
      <w:pPr>
        <w:jc w:val="both"/>
        <w:rPr>
          <w:rFonts w:eastAsia="Times New Roman"/>
        </w:rPr>
      </w:pPr>
      <w:r>
        <w:rPr>
          <w:rFonts w:eastAsia="Times New Roman"/>
          <w:color w:val="000000"/>
          <w:sz w:val="20"/>
          <w:szCs w:val="20"/>
        </w:rPr>
        <w:t>Achieving this strategy will require a foundational focus on: (1) connecting, empowering and growing our team to enhance their lives and the communities they live in, enabling them to provide le</w:t>
      </w:r>
      <w:r>
        <w:rPr>
          <w:rFonts w:eastAsia="Times New Roman"/>
          <w:color w:val="000000"/>
          <w:sz w:val="20"/>
          <w:szCs w:val="20"/>
        </w:rPr>
        <w:t>gendary service to our customers, and (2) allocating resources in a disciplined and efficient manner to drive profitable growth and build stockholder value, including leveraging technology and automation, to align our cost structure to support new business</w:t>
      </w:r>
      <w:r>
        <w:rPr>
          <w:rFonts w:eastAsia="Times New Roman"/>
          <w:color w:val="000000"/>
          <w:sz w:val="20"/>
          <w:szCs w:val="20"/>
        </w:rPr>
        <w:t xml:space="preserve"> capabilities for margin improvement and cost reductions.</w:t>
      </w:r>
    </w:p>
    <w:p w:rsidR="00000000" w:rsidRDefault="00F123EE">
      <w:pPr>
        <w:divId w:val="1710103465"/>
        <w:rPr>
          <w:rFonts w:eastAsia="Times New Roman"/>
        </w:rPr>
      </w:pPr>
    </w:p>
    <w:p w:rsidR="00000000" w:rsidRDefault="00F123EE">
      <w:pPr>
        <w:jc w:val="both"/>
        <w:rPr>
          <w:rFonts w:eastAsia="Times New Roman"/>
        </w:rPr>
      </w:pPr>
      <w:r>
        <w:rPr>
          <w:rFonts w:eastAsia="Times New Roman"/>
          <w:color w:val="000000"/>
          <w:sz w:val="20"/>
          <w:szCs w:val="20"/>
        </w:rPr>
        <w:t>Over the past five years, we have experienced considerable growth in stores, growing from 1,853 stores at the end of fiscal 2017 to 2,333 stores (2,066 Tractor Supply retail stores, 186 Petsense b</w:t>
      </w:r>
      <w:r>
        <w:rPr>
          <w:rFonts w:eastAsia="Times New Roman"/>
          <w:color w:val="000000"/>
          <w:sz w:val="20"/>
          <w:szCs w:val="20"/>
        </w:rPr>
        <w:t>y Tractor Supply retail stores, and 81 Orscheln Farm and Home retail stores) at the end of fiscal 2022, and in net sales, with a compounded annual growth rate of approximately 14.4%. Given the size of the communities that we target, we believe that there i</w:t>
      </w:r>
      <w:r>
        <w:rPr>
          <w:rFonts w:eastAsia="Times New Roman"/>
          <w:color w:val="000000"/>
          <w:sz w:val="20"/>
          <w:szCs w:val="20"/>
        </w:rPr>
        <w:t xml:space="preserve">s ample opportunity for new store growth in many existing and new markets. We have developed a proven method for selecting store sites, and we believe we have significant </w:t>
      </w:r>
    </w:p>
    <w:p w:rsidR="00000000" w:rsidRDefault="00F123EE">
      <w:pPr>
        <w:jc w:val="center"/>
        <w:divId w:val="731579808"/>
        <w:rPr>
          <w:rFonts w:eastAsia="Times New Roman"/>
        </w:rPr>
      </w:pPr>
      <w:r>
        <w:rPr>
          <w:rFonts w:eastAsia="Times New Roman"/>
          <w:color w:val="000000"/>
          <w:sz w:val="20"/>
          <w:szCs w:val="20"/>
        </w:rPr>
        <w:t>30</w:t>
      </w:r>
    </w:p>
    <w:p w:rsidR="00000000" w:rsidRDefault="00F123EE">
      <w:pPr>
        <w:rPr>
          <w:rFonts w:eastAsia="Times New Roman"/>
        </w:rPr>
      </w:pPr>
      <w:r>
        <w:rPr>
          <w:rFonts w:eastAsia="Times New Roman"/>
        </w:rPr>
        <w:pict>
          <v:rect id="_x0000_i1060" style="width:0;height:1.5pt" o:hralign="center" o:hrstd="t" o:hr="t" fillcolor="#a0a0a0" stroked="f"/>
        </w:pict>
      </w:r>
    </w:p>
    <w:p w:rsidR="00000000" w:rsidRDefault="00F123EE">
      <w:pPr>
        <w:divId w:val="586504628"/>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r>
        <w:rPr>
          <w:rFonts w:eastAsia="Times New Roman"/>
          <w:color w:val="000000"/>
          <w:sz w:val="20"/>
          <w:szCs w:val="20"/>
        </w:rPr>
        <w:t>additional opportunities for new Tractor Supply stores. We also believe that there is opportunity for continued growth for Petsense by Tractor Supply stores. In October 2022, we acquired 81 stores from Orscheln Farm and Home that will b</w:t>
      </w:r>
      <w:r>
        <w:rPr>
          <w:rFonts w:eastAsia="Times New Roman"/>
          <w:color w:val="000000"/>
          <w:sz w:val="20"/>
          <w:szCs w:val="20"/>
        </w:rPr>
        <w:t>e rebranded to Tractor Supply by the end of 2023.</w:t>
      </w:r>
    </w:p>
    <w:p w:rsidR="00000000" w:rsidRDefault="00F123EE">
      <w:pPr>
        <w:jc w:val="both"/>
        <w:rPr>
          <w:rFonts w:eastAsia="Times New Roman"/>
        </w:rPr>
      </w:pPr>
    </w:p>
    <w:p w:rsidR="00000000" w:rsidRDefault="00F123EE">
      <w:pPr>
        <w:jc w:val="both"/>
        <w:rPr>
          <w:rFonts w:eastAsia="Times New Roman"/>
        </w:rPr>
      </w:pPr>
      <w:r>
        <w:rPr>
          <w:rFonts w:eastAsia="Times New Roman"/>
          <w:b/>
          <w:bCs/>
          <w:color w:val="000000"/>
          <w:sz w:val="20"/>
          <w:szCs w:val="20"/>
        </w:rPr>
        <w:t>Executive Summary</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In fiscal 2022, we opened 63 new Tractor Supply stores in 25 states and nine new Petsense by Tractor Supply stores in seven states. We also acquired 81 Orscheln Farm and Home stores in eight states. In fiscal 2021, we opened 80 new Tractor Supply stores in</w:t>
      </w:r>
      <w:r>
        <w:rPr>
          <w:rFonts w:eastAsia="Times New Roman"/>
          <w:color w:val="000000"/>
          <w:sz w:val="20"/>
          <w:szCs w:val="20"/>
        </w:rPr>
        <w:t xml:space="preserve"> 27 states and seven new Petsense by Tractor Supply stores in four states. This resulted in a selling square footage increase of approximately 11% in fiscal 2022 and 4% in fiscal 2021.</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Net sales increased 11.6% to $14.20 billion in fiscal 2022 from $12.7</w:t>
      </w:r>
      <w:r>
        <w:rPr>
          <w:rFonts w:eastAsia="Times New Roman"/>
          <w:color w:val="000000"/>
          <w:sz w:val="20"/>
          <w:szCs w:val="20"/>
        </w:rPr>
        <w:t>3 billion in fiscal 2021. The fiscal year included an extra sales week as part of the Company's 53-week calendar in 2022, which represented 1.8 percentage points of the 11.6% sales growth. Comparable store sales increased 6.3% in fiscal 2022 versus a 16.9%</w:t>
      </w:r>
      <w:r>
        <w:rPr>
          <w:rFonts w:eastAsia="Times New Roman"/>
          <w:color w:val="000000"/>
          <w:sz w:val="20"/>
          <w:szCs w:val="20"/>
        </w:rPr>
        <w:t xml:space="preserve"> increase in fiscal 2021. Gross profit increased 11.1% to $4.97 billion in fiscal 2022 from $4.48 billion in fiscal 2021, and gross margin decreased 17 basis points to 35.0% of net sales in fiscal 2022 from 35.2% of net sales in fiscal 2021. Operating inco</w:t>
      </w:r>
      <w:r>
        <w:rPr>
          <w:rFonts w:eastAsia="Times New Roman"/>
          <w:color w:val="000000"/>
          <w:sz w:val="20"/>
          <w:szCs w:val="20"/>
        </w:rPr>
        <w:t xml:space="preserve">me decreased 16 basis points to 10.1% of net sales in fiscal 2022 from 10.3% of net sales in fiscal 2021. For fiscal 2022, net income was $1.09 billion, or $9.71 per diluted share, compared to $997.1 million, or $8.61 per diluted share, in fiscal 2021.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ended fiscal 2022 with $202.5 million in cash and cash equivalents and outstanding debt of $1.16 billion, after returning $1.11 billion to our stockholders through stock repurchases and quarterly cash dividends.</w:t>
      </w:r>
    </w:p>
    <w:p w:rsidR="00000000" w:rsidRDefault="00F123EE">
      <w:pPr>
        <w:jc w:val="both"/>
        <w:rPr>
          <w:rFonts w:eastAsia="Times New Roman"/>
        </w:rPr>
      </w:pPr>
    </w:p>
    <w:p w:rsidR="00000000" w:rsidRDefault="00F123EE">
      <w:pPr>
        <w:jc w:val="both"/>
        <w:rPr>
          <w:rFonts w:eastAsia="Times New Roman"/>
        </w:rPr>
      </w:pPr>
      <w:r>
        <w:rPr>
          <w:rFonts w:eastAsia="Times New Roman"/>
          <w:b/>
          <w:bCs/>
          <w:color w:val="000000"/>
          <w:sz w:val="20"/>
          <w:szCs w:val="20"/>
        </w:rPr>
        <w:t>Performance Metrics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u w:val="single"/>
        </w:rPr>
        <w:t xml:space="preserve">Comparable Store </w:t>
      </w:r>
      <w:r>
        <w:rPr>
          <w:rFonts w:eastAsia="Times New Roman"/>
          <w:color w:val="000000"/>
          <w:sz w:val="20"/>
          <w:szCs w:val="20"/>
          <w:u w:val="single"/>
        </w:rPr>
        <w:t>Metrics</w:t>
      </w:r>
    </w:p>
    <w:p w:rsidR="00000000" w:rsidRDefault="00F123EE">
      <w:pPr>
        <w:divId w:val="807675110"/>
        <w:rPr>
          <w:rFonts w:eastAsia="Times New Roman"/>
        </w:rPr>
      </w:pPr>
    </w:p>
    <w:p w:rsidR="00000000" w:rsidRDefault="00F123EE">
      <w:pPr>
        <w:jc w:val="both"/>
        <w:rPr>
          <w:rFonts w:eastAsia="Times New Roman"/>
        </w:rPr>
      </w:pPr>
      <w:r>
        <w:rPr>
          <w:rFonts w:eastAsia="Times New Roman"/>
          <w:color w:val="000000"/>
          <w:sz w:val="20"/>
          <w:szCs w:val="20"/>
        </w:rPr>
        <w:t>Comparable store metrics are a key performance indicator used in the retail industry and by the Company to measure the performance of the underlying business. Our comparable store metrics are calculated on an annual basis using sales generated fr</w:t>
      </w:r>
      <w:r>
        <w:rPr>
          <w:rFonts w:eastAsia="Times New Roman"/>
          <w:color w:val="000000"/>
          <w:sz w:val="20"/>
          <w:szCs w:val="20"/>
        </w:rPr>
        <w:t>om all stores open at least one year and all online sales and exclude certain adjustments to net sales. Stores closed during either of the years being compared are removed from our comparable store metrics calculations. Stores relocated during either of th</w:t>
      </w:r>
      <w:r>
        <w:rPr>
          <w:rFonts w:eastAsia="Times New Roman"/>
          <w:color w:val="000000"/>
          <w:sz w:val="20"/>
          <w:szCs w:val="20"/>
        </w:rPr>
        <w:t>e years being compared are not removed from our comparable store metrics calculations. If the effect of relocated stores on our comparable store metrics calculations became material, we would remove relocated stores from the calculations.</w:t>
      </w:r>
    </w:p>
    <w:p w:rsidR="00000000" w:rsidRDefault="00F123EE">
      <w:pPr>
        <w:divId w:val="271783256"/>
        <w:rPr>
          <w:rFonts w:eastAsia="Times New Roman"/>
        </w:rPr>
      </w:pPr>
    </w:p>
    <w:p w:rsidR="00000000" w:rsidRDefault="00F123EE">
      <w:pPr>
        <w:jc w:val="both"/>
        <w:rPr>
          <w:rFonts w:eastAsia="Times New Roman"/>
        </w:rPr>
      </w:pPr>
      <w:r>
        <w:rPr>
          <w:rFonts w:eastAsia="Times New Roman"/>
          <w:color w:val="000000"/>
          <w:sz w:val="20"/>
          <w:szCs w:val="20"/>
          <w:u w:val="single"/>
        </w:rPr>
        <w:t>Transaction Cou</w:t>
      </w:r>
      <w:r>
        <w:rPr>
          <w:rFonts w:eastAsia="Times New Roman"/>
          <w:color w:val="000000"/>
          <w:sz w:val="20"/>
          <w:szCs w:val="20"/>
          <w:u w:val="single"/>
        </w:rPr>
        <w:t>nt and Transaction Value</w:t>
      </w:r>
    </w:p>
    <w:p w:rsidR="00000000" w:rsidRDefault="00F123EE">
      <w:pPr>
        <w:divId w:val="1353799834"/>
        <w:rPr>
          <w:rFonts w:eastAsia="Times New Roman"/>
        </w:rPr>
      </w:pPr>
    </w:p>
    <w:p w:rsidR="00000000" w:rsidRDefault="00F123EE">
      <w:pPr>
        <w:jc w:val="both"/>
        <w:rPr>
          <w:rFonts w:eastAsia="Times New Roman"/>
        </w:rPr>
      </w:pPr>
      <w:r>
        <w:rPr>
          <w:rFonts w:eastAsia="Times New Roman"/>
          <w:color w:val="000000"/>
          <w:sz w:val="20"/>
          <w:szCs w:val="20"/>
        </w:rPr>
        <w:t xml:space="preserve">Transaction count and transaction value metrics are used by the Company to measure sales performance. </w:t>
      </w:r>
      <w:r>
        <w:rPr>
          <w:rFonts w:eastAsia="Times New Roman"/>
          <w:color w:val="000000"/>
          <w:sz w:val="20"/>
          <w:szCs w:val="20"/>
        </w:rPr>
        <w:t xml:space="preserve">Transaction count represents the number of customer transactions during a given period. Transaction value represents the average amount paid per transaction and is calculated as net sales divided by the total number of customer transactions during a given </w:t>
      </w:r>
      <w:r>
        <w:rPr>
          <w:rFonts w:eastAsia="Times New Roman"/>
          <w:color w:val="000000"/>
          <w:sz w:val="20"/>
          <w:szCs w:val="20"/>
        </w:rPr>
        <w:t>period.</w:t>
      </w:r>
    </w:p>
    <w:p w:rsidR="00000000" w:rsidRDefault="00F123EE">
      <w:pPr>
        <w:jc w:val="both"/>
        <w:rPr>
          <w:rFonts w:eastAsia="Times New Roman"/>
        </w:rPr>
      </w:pPr>
    </w:p>
    <w:p w:rsidR="00000000" w:rsidRDefault="00F123EE">
      <w:pPr>
        <w:jc w:val="both"/>
        <w:rPr>
          <w:rFonts w:eastAsia="Times New Roman"/>
        </w:rPr>
      </w:pPr>
      <w:r>
        <w:rPr>
          <w:rFonts w:eastAsia="Times New Roman"/>
          <w:b/>
          <w:bCs/>
          <w:color w:val="000000"/>
          <w:sz w:val="22"/>
          <w:szCs w:val="22"/>
        </w:rPr>
        <w:t>Significant Accounting Policies and Estimates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Management’s discussion and analysis of our financial position and results of operations are based upon our Consolidated Financial Statements, which have been prepared in accordance with U.S. GAAP. </w:t>
      </w:r>
      <w:r>
        <w:rPr>
          <w:rFonts w:eastAsia="Times New Roman"/>
          <w:color w:val="000000"/>
          <w:sz w:val="20"/>
          <w:szCs w:val="20"/>
        </w:rPr>
        <w:t> The preparation of these financial statements requires management to make informed estimates and judgments that affect the reported amounts of assets, liabilities, revenues and expenses, and related disclosure of contingent assets and liabilities.  Our fi</w:t>
      </w:r>
      <w:r>
        <w:rPr>
          <w:rFonts w:eastAsia="Times New Roman"/>
          <w:color w:val="000000"/>
          <w:sz w:val="20"/>
          <w:szCs w:val="20"/>
        </w:rPr>
        <w:t>nancial position and/or results of operations may be materially different when reported under different conditions or when using different assumptions in the application of such policies.  In the event estimates or assumptions prove to be different from ac</w:t>
      </w:r>
      <w:r>
        <w:rPr>
          <w:rFonts w:eastAsia="Times New Roman"/>
          <w:color w:val="000000"/>
          <w:sz w:val="20"/>
          <w:szCs w:val="20"/>
        </w:rPr>
        <w:t>tual amounts, adjustments are made in subsequent periods to reflect more current information.  Our significant accounting policies are disclosed in Note 1 to the Consolidated Financial Statements.  The following discussion addresses our most critical accou</w:t>
      </w:r>
      <w:r>
        <w:rPr>
          <w:rFonts w:eastAsia="Times New Roman"/>
          <w:color w:val="000000"/>
          <w:sz w:val="20"/>
          <w:szCs w:val="20"/>
        </w:rPr>
        <w:t>nting policies and estimates, which are those that are both important to the portrayal of our financial condition and results of operations and that require significant judgment or use of complex estimates.</w:t>
      </w:r>
    </w:p>
    <w:p w:rsidR="00000000" w:rsidRDefault="00F123EE">
      <w:pPr>
        <w:jc w:val="both"/>
        <w:rPr>
          <w:rFonts w:eastAsia="Times New Roman"/>
        </w:rPr>
      </w:pPr>
    </w:p>
    <w:p w:rsidR="00000000" w:rsidRDefault="00F123EE">
      <w:pPr>
        <w:jc w:val="center"/>
        <w:divId w:val="837769298"/>
        <w:rPr>
          <w:rFonts w:eastAsia="Times New Roman"/>
        </w:rPr>
      </w:pPr>
      <w:r>
        <w:rPr>
          <w:rFonts w:eastAsia="Times New Roman"/>
          <w:color w:val="000000"/>
          <w:sz w:val="20"/>
          <w:szCs w:val="20"/>
        </w:rPr>
        <w:t>31</w:t>
      </w:r>
    </w:p>
    <w:p w:rsidR="00000000" w:rsidRDefault="00F123EE">
      <w:pPr>
        <w:rPr>
          <w:rFonts w:eastAsia="Times New Roman"/>
        </w:rPr>
      </w:pPr>
      <w:r>
        <w:rPr>
          <w:rFonts w:eastAsia="Times New Roman"/>
        </w:rPr>
        <w:pict>
          <v:rect id="_x0000_i1061" style="width:0;height:1.5pt" o:hralign="center" o:hrstd="t" o:hr="t" fillcolor="#a0a0a0" stroked="f"/>
        </w:pict>
      </w:r>
    </w:p>
    <w:p w:rsidR="00000000" w:rsidRDefault="00F123EE">
      <w:pPr>
        <w:divId w:val="1622346733"/>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r>
        <w:rPr>
          <w:rFonts w:eastAsia="Times New Roman"/>
          <w:b/>
          <w:bCs/>
          <w:color w:val="000000"/>
          <w:sz w:val="20"/>
          <w:szCs w:val="20"/>
        </w:rPr>
        <w:t>Merchandise Inventory:</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identify potentially excess and slow-moving inventory by evaluating turn rates, historical and expected future sales trends, age of merchandise, overall inventory levels, c</w:t>
      </w:r>
      <w:r>
        <w:rPr>
          <w:rFonts w:eastAsia="Times New Roman"/>
          <w:color w:val="000000"/>
          <w:sz w:val="20"/>
          <w:szCs w:val="20"/>
        </w:rPr>
        <w:t>urrent cost of inventory, and other benchmarks. We have established an inventory valuation reserve to recognize the estimated impairment in value (i.e., an inability to realize the full carrying value) based on our aggregate assessment of these valuation i</w:t>
      </w:r>
      <w:r>
        <w:rPr>
          <w:rFonts w:eastAsia="Times New Roman"/>
          <w:color w:val="000000"/>
          <w:sz w:val="20"/>
          <w:szCs w:val="20"/>
        </w:rPr>
        <w:t>ndicators under prevailing market conditions and current merchandising strategies.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also have established a reserve for estimating inventory shrinkage between physical inventory counts. The reserve is established by assessing the chain-wide average shr</w:t>
      </w:r>
      <w:r>
        <w:rPr>
          <w:rFonts w:eastAsia="Times New Roman"/>
          <w:color w:val="000000"/>
          <w:sz w:val="20"/>
          <w:szCs w:val="20"/>
        </w:rPr>
        <w:t>inkage experience rate, applied to the related periods’ sales volumes. Such assessments are updated on a regular basis for the most recent individual store experiences. Our general policy is to perform physical inventories at least once a year for each sto</w:t>
      </w:r>
      <w:r>
        <w:rPr>
          <w:rFonts w:eastAsia="Times New Roman"/>
          <w:color w:val="000000"/>
          <w:sz w:val="20"/>
          <w:szCs w:val="20"/>
        </w:rPr>
        <w:t>re that has been open more than twelve months.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 xml:space="preserve">We do not believe our merchandise inventories are subject to significant risk of obsolescence in the near term. However, changes in market conditions or consumer purchasing patterns could result in the need </w:t>
      </w:r>
      <w:r>
        <w:rPr>
          <w:rFonts w:eastAsia="Times New Roman"/>
          <w:color w:val="000000"/>
          <w:sz w:val="20"/>
          <w:szCs w:val="20"/>
        </w:rPr>
        <w:t>for additional reserves. Our impairment reserves contain uncertainties because the calculations require management to make assumptions and to apply judgment regarding forecasted customer demand and the promotional environment. The estimated store inventory</w:t>
      </w:r>
      <w:r>
        <w:rPr>
          <w:rFonts w:eastAsia="Times New Roman"/>
          <w:color w:val="000000"/>
          <w:sz w:val="20"/>
          <w:szCs w:val="20"/>
        </w:rPr>
        <w:t xml:space="preserve"> shrink rate is based on historical experience. We believe historical rates are a reasonably accurate reflection of future trends. Our shrinkage reserve contains uncertainties because the calculation requires management to make assumptions and to apply jud</w:t>
      </w:r>
      <w:r>
        <w:rPr>
          <w:rFonts w:eastAsia="Times New Roman"/>
          <w:color w:val="000000"/>
          <w:sz w:val="20"/>
          <w:szCs w:val="20"/>
        </w:rPr>
        <w:t>gment regarding future shrinkage trends, the effect of loss prevention measures and merchandising strategies.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have not made any material changes in the accounting methodology used to recognize inventory impairment reserves or shrinkage in the financia</w:t>
      </w:r>
      <w:r>
        <w:rPr>
          <w:rFonts w:eastAsia="Times New Roman"/>
          <w:color w:val="000000"/>
          <w:sz w:val="20"/>
          <w:szCs w:val="20"/>
        </w:rPr>
        <w:t>l periods presented. We do not believe there is a reasonable likelihood that there will be a material change in the future estimates or assumptions we use to calculate impairment or shrinkage. However, if assumptions regarding consumer demand, clearance po</w:t>
      </w:r>
      <w:r>
        <w:rPr>
          <w:rFonts w:eastAsia="Times New Roman"/>
          <w:color w:val="000000"/>
          <w:sz w:val="20"/>
          <w:szCs w:val="20"/>
        </w:rPr>
        <w:t>tential or inventory loss for certain products are inaccurate, we may be exposed to losses or gains that could be material. A 10% change in our inventory impairment reserve as of December 31, 2022, would have affected net income by approximately $1.8 milli</w:t>
      </w:r>
      <w:r>
        <w:rPr>
          <w:rFonts w:eastAsia="Times New Roman"/>
          <w:color w:val="000000"/>
          <w:sz w:val="20"/>
          <w:szCs w:val="20"/>
        </w:rPr>
        <w:t>on in fiscal 2022. A 10% change in our shrinkage reserve as of December 31, 2022, would have affected net income by approximately $4.8 million in fiscal 2022.</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 xml:space="preserve">In addition, we receive funding from substantially all of our significant merchandise vendors, </w:t>
      </w:r>
      <w:r>
        <w:rPr>
          <w:rFonts w:eastAsia="Times New Roman"/>
          <w:color w:val="000000"/>
          <w:sz w:val="20"/>
          <w:szCs w:val="20"/>
        </w:rPr>
        <w:t>in support of our business initiatives, through a variety of programs and arrangements, including guaranteed vendor support funds (“vendor support”) and volume-based rebate funds (“volume rebates”). The amounts received are subject to terms of vendor agree</w:t>
      </w:r>
      <w:r>
        <w:rPr>
          <w:rFonts w:eastAsia="Times New Roman"/>
          <w:color w:val="000000"/>
          <w:sz w:val="20"/>
          <w:szCs w:val="20"/>
        </w:rPr>
        <w:t>ments, most of which are “evergreen”, reflecting the on-going relationship with our significant merchandise vendors. Certain of our agreements, primarily volume rebates, are renegotiated annually, based on expected annual purchases of the vendor’s product.</w:t>
      </w:r>
      <w:r>
        <w:rPr>
          <w:rFonts w:eastAsia="Times New Roman"/>
          <w:color w:val="000000"/>
          <w:sz w:val="20"/>
          <w:szCs w:val="20"/>
        </w:rPr>
        <w:t xml:space="preserve"> Vendor funding is initially deferred as a reduction of the purchase price of inventory, and then recognized as a reduction of cost of merchandise as the related inventory is sold. During interim periods, the amount of vendor support and volume rebates are</w:t>
      </w:r>
      <w:r>
        <w:rPr>
          <w:rFonts w:eastAsia="Times New Roman"/>
          <w:color w:val="000000"/>
          <w:sz w:val="20"/>
          <w:szCs w:val="20"/>
        </w:rPr>
        <w:t xml:space="preserve"> estimated based upon initial commitments and anticipated purchase levels with applicable vendors.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have not made any material changes in the accounting methodology used to establish our vendor funding reserves in the financial periods presented. At th</w:t>
      </w:r>
      <w:r>
        <w:rPr>
          <w:rFonts w:eastAsia="Times New Roman"/>
          <w:color w:val="000000"/>
          <w:sz w:val="20"/>
          <w:szCs w:val="20"/>
        </w:rPr>
        <w:t>e end of each fiscal year, a significant portion of the actual purchase activity is known. Thus, we do not believe there is a reasonable likelihood that there will be a material change in the amounts recorded as vendor funding. We do not believe there is a</w:t>
      </w:r>
      <w:r>
        <w:rPr>
          <w:rFonts w:eastAsia="Times New Roman"/>
          <w:color w:val="000000"/>
          <w:sz w:val="20"/>
          <w:szCs w:val="20"/>
        </w:rPr>
        <w:t xml:space="preserve"> significant collectability risk related to vendor funding amounts due to us at the end of fiscal 2022. If a 10% reserve had been applied against our outstanding vendor funding due as of December 31, 2022, net income would have been affected by approximate</w:t>
      </w:r>
      <w:r>
        <w:rPr>
          <w:rFonts w:eastAsia="Times New Roman"/>
          <w:color w:val="000000"/>
          <w:sz w:val="20"/>
          <w:szCs w:val="20"/>
        </w:rPr>
        <w:t>ly $2.6 million in fiscal 2022. Although it is unlikely that there will be any significant reduction in historical levels of vendor funding, if such a reduction were to occur in future periods, the Company could experience a higher inventory balance and hi</w:t>
      </w:r>
      <w:r>
        <w:rPr>
          <w:rFonts w:eastAsia="Times New Roman"/>
          <w:color w:val="000000"/>
          <w:sz w:val="20"/>
          <w:szCs w:val="20"/>
        </w:rPr>
        <w:t>gher cost of sales.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For vendor funding, we estimate the purchase volume (and related vendor funding) based on our current knowledge of inventory levels, sales trends and expected customer demand, as well as planned new store openings and relocations. Alt</w:t>
      </w:r>
      <w:r>
        <w:rPr>
          <w:rFonts w:eastAsia="Times New Roman"/>
          <w:color w:val="000000"/>
          <w:sz w:val="20"/>
          <w:szCs w:val="20"/>
        </w:rPr>
        <w:t>hough we believe we can reasonably estimate purchase volume and related volume rebates at interim periods, it is possible that actual year-end results could be different from previously estimated amounts. Our allocation methodology contains uncertainties b</w:t>
      </w:r>
      <w:r>
        <w:rPr>
          <w:rFonts w:eastAsia="Times New Roman"/>
          <w:color w:val="000000"/>
          <w:sz w:val="20"/>
          <w:szCs w:val="20"/>
        </w:rPr>
        <w:t>ecause the calculation requires management to make assumptions and to apply judgment regarding customer demand, purchasing activity, target thresholds, vendor attrition and collectability.</w:t>
      </w:r>
    </w:p>
    <w:p w:rsidR="00000000" w:rsidRDefault="00F123EE">
      <w:pPr>
        <w:jc w:val="center"/>
        <w:divId w:val="1795100450"/>
        <w:rPr>
          <w:rFonts w:eastAsia="Times New Roman"/>
        </w:rPr>
      </w:pPr>
      <w:r>
        <w:rPr>
          <w:rFonts w:eastAsia="Times New Roman"/>
          <w:color w:val="000000"/>
          <w:sz w:val="20"/>
          <w:szCs w:val="20"/>
        </w:rPr>
        <w:t>32</w:t>
      </w:r>
    </w:p>
    <w:p w:rsidR="00000000" w:rsidRDefault="00F123EE">
      <w:pPr>
        <w:rPr>
          <w:rFonts w:eastAsia="Times New Roman"/>
        </w:rPr>
      </w:pPr>
      <w:r>
        <w:rPr>
          <w:rFonts w:eastAsia="Times New Roman"/>
        </w:rPr>
        <w:pict>
          <v:rect id="_x0000_i1062" style="width:0;height:1.5pt" o:hralign="center" o:hrstd="t" o:hr="t" fillcolor="#a0a0a0" stroked="f"/>
        </w:pict>
      </w:r>
    </w:p>
    <w:p w:rsidR="00000000" w:rsidRDefault="00F123EE">
      <w:pPr>
        <w:divId w:val="70583409"/>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r>
        <w:rPr>
          <w:rFonts w:eastAsia="Times New Roman"/>
          <w:b/>
          <w:bCs/>
          <w:color w:val="000000"/>
          <w:sz w:val="20"/>
          <w:szCs w:val="20"/>
        </w:rPr>
        <w:t>Self-Insurance Reserves: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 xml:space="preserve">We self-insure a significant portion of our workers’ </w:t>
      </w:r>
      <w:r>
        <w:rPr>
          <w:rFonts w:eastAsia="Times New Roman"/>
          <w:color w:val="000000"/>
          <w:sz w:val="20"/>
          <w:szCs w:val="20"/>
        </w:rPr>
        <w:t>compensation insurance and general liability (including product liability) insurance plans. We have stop-loss insurance policies to protect from individual losses over specified dollar values. Provisions for losses related to our self-insured liabilities a</w:t>
      </w:r>
      <w:r>
        <w:rPr>
          <w:rFonts w:eastAsia="Times New Roman"/>
          <w:color w:val="000000"/>
          <w:sz w:val="20"/>
          <w:szCs w:val="20"/>
        </w:rPr>
        <w:t>re based upon periodic independent actuarially determined estimates that consider a number of factors including historical claims experience, loss development factors, and severity factors.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full extent of certain workers’ compensation and general lia</w:t>
      </w:r>
      <w:r>
        <w:rPr>
          <w:rFonts w:eastAsia="Times New Roman"/>
          <w:color w:val="000000"/>
          <w:sz w:val="20"/>
          <w:szCs w:val="20"/>
        </w:rPr>
        <w:t xml:space="preserve">bility claims may not become fully determined for several years. Our self-insured liabilities contain uncertainties because management is required to make assumptions and to apply judgment to estimate the ultimate cost to settle reported claims and claims </w:t>
      </w:r>
      <w:r>
        <w:rPr>
          <w:rFonts w:eastAsia="Times New Roman"/>
          <w:color w:val="000000"/>
          <w:sz w:val="20"/>
          <w:szCs w:val="20"/>
        </w:rPr>
        <w:t>incurred but not reported as of the balance sheet date based upon historical data and experience, including actuarial calculations.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have not made any material changes in the accounting methodology used to establish our self-insurance reserves in the f</w:t>
      </w:r>
      <w:r>
        <w:rPr>
          <w:rFonts w:eastAsia="Times New Roman"/>
          <w:color w:val="000000"/>
          <w:sz w:val="20"/>
          <w:szCs w:val="20"/>
        </w:rPr>
        <w:t>inancial periods presented. We do not believe there is a reasonable likelihood that there will be a material change in the assumptions we use to calculate insurance reserves. However, if we experience a significant increase in the number of claims or the c</w:t>
      </w:r>
      <w:r>
        <w:rPr>
          <w:rFonts w:eastAsia="Times New Roman"/>
          <w:color w:val="000000"/>
          <w:sz w:val="20"/>
          <w:szCs w:val="20"/>
        </w:rPr>
        <w:t>ost associated with these claims, we may be exposed to losses that could be material. A 10% change in our self-insurance reserves as of December 31, 2022, would have affected net income by approximately $9.8 million in fiscal 2022.</w:t>
      </w:r>
    </w:p>
    <w:p w:rsidR="00000000" w:rsidRDefault="00F123EE">
      <w:pPr>
        <w:jc w:val="both"/>
        <w:rPr>
          <w:rFonts w:eastAsia="Times New Roman"/>
        </w:rPr>
      </w:pPr>
    </w:p>
    <w:p w:rsidR="00000000" w:rsidRDefault="00F123EE">
      <w:pPr>
        <w:jc w:val="both"/>
        <w:rPr>
          <w:rFonts w:eastAsia="Times New Roman"/>
        </w:rPr>
      </w:pPr>
      <w:r>
        <w:rPr>
          <w:rFonts w:eastAsia="Times New Roman"/>
          <w:b/>
          <w:bCs/>
          <w:color w:val="000000"/>
          <w:sz w:val="20"/>
          <w:szCs w:val="20"/>
        </w:rPr>
        <w:t>Impairment of Long-Liv</w:t>
      </w:r>
      <w:r>
        <w:rPr>
          <w:rFonts w:eastAsia="Times New Roman"/>
          <w:b/>
          <w:bCs/>
          <w:color w:val="000000"/>
          <w:sz w:val="20"/>
          <w:szCs w:val="20"/>
        </w:rPr>
        <w:t>ed Assets: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Long-lived assets, including lease right-of-use assets, are evaluated for impairment whenever events or changes in circumstances indicate that the carrying value may not be recoverable. When evaluating long-lived assets for potential impairmen</w:t>
      </w:r>
      <w:r>
        <w:rPr>
          <w:rFonts w:eastAsia="Times New Roman"/>
          <w:color w:val="000000"/>
          <w:sz w:val="20"/>
          <w:szCs w:val="20"/>
        </w:rPr>
        <w:t>t, we first compare the carrying value of the asset or asset group to its estimated undiscounted future cash flows. The evaluation for long-lived assets is performed at the lowest level of identifiable cash flows, which is generally the individual store le</w:t>
      </w:r>
      <w:r>
        <w:rPr>
          <w:rFonts w:eastAsia="Times New Roman"/>
          <w:color w:val="000000"/>
          <w:sz w:val="20"/>
          <w:szCs w:val="20"/>
        </w:rPr>
        <w:t>vel. The significant assumptions used to determine estimated undiscounted cash flows include cash inflows and outflows directly resulting from the use of those assets in operations, including margin on net sales, payroll and related items, occupancy costs,</w:t>
      </w:r>
      <w:r>
        <w:rPr>
          <w:rFonts w:eastAsia="Times New Roman"/>
          <w:color w:val="000000"/>
          <w:sz w:val="20"/>
          <w:szCs w:val="20"/>
        </w:rPr>
        <w:t xml:space="preserve"> insurance allocations, and other costs to operate a store. If the estimated future cash flows are less than the carrying value of the related asset, we calculate an impairment loss. The impairment loss calculation compares the carrying value of the relate</w:t>
      </w:r>
      <w:r>
        <w:rPr>
          <w:rFonts w:eastAsia="Times New Roman"/>
          <w:color w:val="000000"/>
          <w:sz w:val="20"/>
          <w:szCs w:val="20"/>
        </w:rPr>
        <w:t>d asset or asset group to its estimated fair value, which may be based on an estimated future cash flow model, market valuation, or other valuation technique, as appropriate. We recognize an impairment loss if the amount of the asset’s carrying value excee</w:t>
      </w:r>
      <w:r>
        <w:rPr>
          <w:rFonts w:eastAsia="Times New Roman"/>
          <w:color w:val="000000"/>
          <w:sz w:val="20"/>
          <w:szCs w:val="20"/>
        </w:rPr>
        <w:t>ds the asset’s estimated fair value. If we recognize an impairment loss, the adjusted carrying amount of the asset becomes its new cost basis. For a depreciable long-lived asset, the new cost basis will be depreciated (amortized) over the remaining estimat</w:t>
      </w:r>
      <w:r>
        <w:rPr>
          <w:rFonts w:eastAsia="Times New Roman"/>
          <w:color w:val="000000"/>
          <w:sz w:val="20"/>
          <w:szCs w:val="20"/>
        </w:rPr>
        <w:t>ed useful life of that asset.</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Our impairment loss calculations contain uncertainties because they require management to make assumptions and to apply judgment to estimate future cash flows and asset fair values.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have not made any material changes in</w:t>
      </w:r>
      <w:r>
        <w:rPr>
          <w:rFonts w:eastAsia="Times New Roman"/>
          <w:color w:val="000000"/>
          <w:sz w:val="20"/>
          <w:szCs w:val="20"/>
        </w:rPr>
        <w:t xml:space="preserve"> our impairment loss assessment methodology in the financial periods presented.</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do not believe there is a reasonable likelihood that there will be a material change in the estimates or assumptions we use to calculate long-lived asset impairment losses</w:t>
      </w:r>
      <w:r>
        <w:rPr>
          <w:rFonts w:eastAsia="Times New Roman"/>
          <w:color w:val="000000"/>
          <w:sz w:val="20"/>
          <w:szCs w:val="20"/>
        </w:rPr>
        <w:t>. None of these estimates and assumptions are significantly sensitive, and a 10% change in any of these estimates would not have a material impact on our analysis. However, if actual results are not consistent with our estimates and assumptions used in est</w:t>
      </w:r>
      <w:r>
        <w:rPr>
          <w:rFonts w:eastAsia="Times New Roman"/>
          <w:color w:val="000000"/>
          <w:sz w:val="20"/>
          <w:szCs w:val="20"/>
        </w:rPr>
        <w:t xml:space="preserve">imating future cash flows and asset fair values, we may be exposed to losses that could be material.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There were no significant long-lived assets impairment charges recognized in fiscal 2022.</w:t>
      </w:r>
    </w:p>
    <w:p w:rsidR="00000000" w:rsidRDefault="00F123EE">
      <w:pPr>
        <w:jc w:val="both"/>
        <w:rPr>
          <w:rFonts w:eastAsia="Times New Roman"/>
        </w:rPr>
      </w:pPr>
    </w:p>
    <w:p w:rsidR="00000000" w:rsidRDefault="00F123EE">
      <w:pPr>
        <w:jc w:val="both"/>
        <w:rPr>
          <w:rFonts w:eastAsia="Times New Roman"/>
        </w:rPr>
      </w:pPr>
      <w:r>
        <w:rPr>
          <w:rFonts w:eastAsia="Times New Roman"/>
          <w:b/>
          <w:bCs/>
          <w:color w:val="000000"/>
          <w:sz w:val="20"/>
          <w:szCs w:val="20"/>
        </w:rPr>
        <w:t>Impairment of Goodwill and Other Indefinite-Lived Intangible</w:t>
      </w:r>
      <w:r>
        <w:rPr>
          <w:rFonts w:eastAsia="Times New Roman"/>
          <w:b/>
          <w:bCs/>
          <w:color w:val="000000"/>
          <w:sz w:val="20"/>
          <w:szCs w:val="20"/>
        </w:rPr>
        <w:t xml:space="preserve"> Assets: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 xml:space="preserve">Goodwill and other indefinite-lived intangible assets are evaluated for impairment annually, or whenever events or changes in circumstances indicate that the carrying value may not be recoverable. In accordance with the accounting standards, an </w:t>
      </w:r>
      <w:r>
        <w:rPr>
          <w:rFonts w:eastAsia="Times New Roman"/>
          <w:color w:val="000000"/>
          <w:sz w:val="20"/>
          <w:szCs w:val="20"/>
        </w:rPr>
        <w:t>entity has the option first to assess qualitative factors to determine whether events and circumstances indicate that it is more likely than not that goodwill or an indefinite-lived intangible asset is impaired. If after such assessment an entity concludes</w:t>
      </w:r>
      <w:r>
        <w:rPr>
          <w:rFonts w:eastAsia="Times New Roman"/>
          <w:color w:val="000000"/>
          <w:sz w:val="20"/>
          <w:szCs w:val="20"/>
        </w:rPr>
        <w:t xml:space="preserve"> that the asset is not impaired, then the entity is not required to take further action. However, if an entity concludes otherwise, then it is required to determine the fair value of the asset using a quantitative impairment test, and if impaired, the asso</w:t>
      </w:r>
      <w:r>
        <w:rPr>
          <w:rFonts w:eastAsia="Times New Roman"/>
          <w:color w:val="000000"/>
          <w:sz w:val="20"/>
          <w:szCs w:val="20"/>
        </w:rPr>
        <w:t xml:space="preserve">ciated assets must be written down to fair value. </w:t>
      </w:r>
    </w:p>
    <w:p w:rsidR="00000000" w:rsidRDefault="00F123EE">
      <w:pPr>
        <w:jc w:val="both"/>
        <w:rPr>
          <w:rFonts w:eastAsia="Times New Roman"/>
        </w:rPr>
      </w:pPr>
    </w:p>
    <w:p w:rsidR="00000000" w:rsidRDefault="00F123EE">
      <w:pPr>
        <w:jc w:val="center"/>
        <w:divId w:val="182137326"/>
        <w:rPr>
          <w:rFonts w:eastAsia="Times New Roman"/>
        </w:rPr>
      </w:pPr>
      <w:r>
        <w:rPr>
          <w:rFonts w:eastAsia="Times New Roman"/>
          <w:color w:val="000000"/>
          <w:sz w:val="20"/>
          <w:szCs w:val="20"/>
        </w:rPr>
        <w:t>33</w:t>
      </w:r>
    </w:p>
    <w:p w:rsidR="00000000" w:rsidRDefault="00F123EE">
      <w:pPr>
        <w:rPr>
          <w:rFonts w:eastAsia="Times New Roman"/>
        </w:rPr>
      </w:pPr>
      <w:r>
        <w:rPr>
          <w:rFonts w:eastAsia="Times New Roman"/>
        </w:rPr>
        <w:pict>
          <v:rect id="_x0000_i1063" style="width:0;height:1.5pt" o:hralign="center" o:hrstd="t" o:hr="t" fillcolor="#a0a0a0" stroked="f"/>
        </w:pict>
      </w:r>
    </w:p>
    <w:p w:rsidR="00000000" w:rsidRDefault="00F123EE">
      <w:pPr>
        <w:divId w:val="1321231184"/>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r>
        <w:rPr>
          <w:rFonts w:eastAsia="Times New Roman"/>
          <w:color w:val="000000"/>
          <w:sz w:val="20"/>
          <w:szCs w:val="20"/>
        </w:rPr>
        <w:t>The quantitative impairment test for goodwill compares the fair value of a reporting unit with the c</w:t>
      </w:r>
      <w:r>
        <w:rPr>
          <w:rFonts w:eastAsia="Times New Roman"/>
          <w:color w:val="000000"/>
          <w:sz w:val="20"/>
          <w:szCs w:val="20"/>
        </w:rPr>
        <w:t>arrying value of its net assets, including goodwill. If the fair value of the reporting unit is less than the carrying value of the reporting unit, an impairment charge would be recorded to the Company’s operations, for the amount in which the carrying amo</w:t>
      </w:r>
      <w:r>
        <w:rPr>
          <w:rFonts w:eastAsia="Times New Roman"/>
          <w:color w:val="000000"/>
          <w:sz w:val="20"/>
          <w:szCs w:val="20"/>
        </w:rPr>
        <w:t>unt exceeds the reporting unit’s fair value. We determine fair values for each reporting unit using the market approach, when available and appropriate, the income approach, or a combination of both. The income approach involves forecasting projected finan</w:t>
      </w:r>
      <w:r>
        <w:rPr>
          <w:rFonts w:eastAsia="Times New Roman"/>
          <w:color w:val="000000"/>
          <w:sz w:val="20"/>
          <w:szCs w:val="20"/>
        </w:rPr>
        <w:t>cial information (such as revenue growth rates, profit margins, tax rates, and capital expenditures) and selecting a discount rate that reflects the risk inherent in estimated future cash flows. Under the market approach, the fair value is based on observe</w:t>
      </w:r>
      <w:r>
        <w:rPr>
          <w:rFonts w:eastAsia="Times New Roman"/>
          <w:color w:val="000000"/>
          <w:sz w:val="20"/>
          <w:szCs w:val="20"/>
        </w:rPr>
        <w:t xml:space="preserve">d market data. If multiple valuation methodologies are used, the results are weighted appropriately.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quantitative impairment test for oth</w:t>
      </w:r>
      <w:r>
        <w:rPr>
          <w:rFonts w:eastAsia="Times New Roman"/>
          <w:color w:val="000000"/>
          <w:sz w:val="20"/>
          <w:szCs w:val="20"/>
        </w:rPr>
        <w:t>er indefinite-lived intangible assets involves comparing the carrying amount of the asset to the sum of the discounted cash flows expected to be generated by the asset. If the implied fair value of the indefinite-lived intangible asset is less than the car</w:t>
      </w:r>
      <w:r>
        <w:rPr>
          <w:rFonts w:eastAsia="Times New Roman"/>
          <w:color w:val="000000"/>
          <w:sz w:val="20"/>
          <w:szCs w:val="20"/>
        </w:rPr>
        <w:t xml:space="preserve">rying value, an impairment charge would be recorded to the Company’s operations.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 xml:space="preserve">Our impairment loss calculation contains uncertainties because they require management to make assumptions and to apply judgment to qualitative factors as well as estimate </w:t>
      </w:r>
      <w:r>
        <w:rPr>
          <w:rFonts w:eastAsia="Times New Roman"/>
          <w:color w:val="000000"/>
          <w:sz w:val="20"/>
          <w:szCs w:val="20"/>
        </w:rPr>
        <w:t>future cash flows and asset fair values, including forecasting projected financial information and selecting the discount rate that reflects the risk inherent in future cash flows.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valuation approaches utilized to estimate fair value for the purposes</w:t>
      </w:r>
      <w:r>
        <w:rPr>
          <w:rFonts w:eastAsia="Times New Roman"/>
          <w:color w:val="000000"/>
          <w:sz w:val="20"/>
          <w:szCs w:val="20"/>
        </w:rPr>
        <w:t xml:space="preserve"> of the impairment tests of goodwill and other indefinite-lived intangible assets require the use of assumptions and estimates, which involve a degree of uncertainty. If actual results are not consistent with our estimates and assumptions used in estimatin</w:t>
      </w:r>
      <w:r>
        <w:rPr>
          <w:rFonts w:eastAsia="Times New Roman"/>
          <w:color w:val="000000"/>
          <w:sz w:val="20"/>
          <w:szCs w:val="20"/>
        </w:rPr>
        <w:t>g future cash flows and asset fair values, we may be exposed to non-cash impairment losses that could be material.</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There were no goodwill or other indefinite-lived intangible assets impairment charges recognized in fiscal 2022.</w:t>
      </w:r>
    </w:p>
    <w:p w:rsidR="00000000" w:rsidRDefault="00F123EE">
      <w:pPr>
        <w:jc w:val="both"/>
        <w:rPr>
          <w:rFonts w:eastAsia="Times New Roman"/>
        </w:rPr>
      </w:pPr>
    </w:p>
    <w:p w:rsidR="00000000" w:rsidRDefault="00F123EE">
      <w:pPr>
        <w:jc w:val="both"/>
        <w:rPr>
          <w:rFonts w:eastAsia="Times New Roman"/>
        </w:rPr>
      </w:pPr>
      <w:r>
        <w:rPr>
          <w:rFonts w:eastAsia="Times New Roman"/>
          <w:b/>
          <w:bCs/>
          <w:color w:val="000000"/>
          <w:sz w:val="22"/>
          <w:szCs w:val="22"/>
        </w:rPr>
        <w:t>Results of Operations</w:t>
      </w:r>
    </w:p>
    <w:p w:rsidR="00000000" w:rsidRDefault="00F123EE">
      <w:pPr>
        <w:divId w:val="2026438984"/>
        <w:rPr>
          <w:rFonts w:eastAsia="Times New Roman"/>
        </w:rPr>
      </w:pPr>
    </w:p>
    <w:p w:rsidR="00000000" w:rsidRDefault="00F123EE">
      <w:pPr>
        <w:jc w:val="both"/>
        <w:rPr>
          <w:rFonts w:eastAsia="Times New Roman"/>
        </w:rPr>
      </w:pPr>
      <w:r>
        <w:rPr>
          <w:rFonts w:eastAsia="Times New Roman"/>
          <w:color w:val="000000"/>
          <w:sz w:val="20"/>
          <w:szCs w:val="20"/>
        </w:rPr>
        <w:t>The following table sets forth, for the periods indicated, certain items in the Consolidated Statements of Income expressed as a percentage of net sales.</w:t>
      </w:r>
    </w:p>
    <w:tbl>
      <w:tblPr>
        <w:tblW w:w="4963" w:type="pct"/>
        <w:tblCellMar>
          <w:top w:w="15" w:type="dxa"/>
          <w:left w:w="15" w:type="dxa"/>
          <w:bottom w:w="15" w:type="dxa"/>
          <w:right w:w="15" w:type="dxa"/>
        </w:tblCellMar>
        <w:tblLook w:val="04A0" w:firstRow="1" w:lastRow="0" w:firstColumn="1" w:lastColumn="0" w:noHBand="0" w:noVBand="1"/>
      </w:tblPr>
      <w:tblGrid>
        <w:gridCol w:w="39"/>
        <w:gridCol w:w="5740"/>
        <w:gridCol w:w="37"/>
        <w:gridCol w:w="49"/>
        <w:gridCol w:w="845"/>
        <w:gridCol w:w="187"/>
        <w:gridCol w:w="36"/>
        <w:gridCol w:w="36"/>
        <w:gridCol w:w="36"/>
        <w:gridCol w:w="49"/>
        <w:gridCol w:w="788"/>
        <w:gridCol w:w="187"/>
        <w:gridCol w:w="36"/>
        <w:gridCol w:w="36"/>
        <w:gridCol w:w="36"/>
        <w:gridCol w:w="36"/>
        <w:gridCol w:w="36"/>
        <w:gridCol w:w="36"/>
      </w:tblGrid>
      <w:tr w:rsidR="00000000">
        <w:tc>
          <w:tcPr>
            <w:tcW w:w="50" w:type="pct"/>
            <w:vAlign w:val="center"/>
            <w:hideMark/>
          </w:tcPr>
          <w:p w:rsidR="00000000" w:rsidRDefault="00F123EE">
            <w:pPr>
              <w:jc w:val="both"/>
              <w:rPr>
                <w:rFonts w:eastAsia="Times New Roman"/>
              </w:rPr>
            </w:pPr>
          </w:p>
        </w:tc>
        <w:tc>
          <w:tcPr>
            <w:tcW w:w="36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8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8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rPr>
          <w:trHeight w:val="12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9"/>
            <w:vMerge w:val="restart"/>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Fiscal Year</w:t>
            </w: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r>
      <w:tr w:rsidR="00000000">
        <w:trPr>
          <w:trHeight w:val="160"/>
        </w:trPr>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9"/>
            <w:vMerge/>
            <w:vAlign w:val="center"/>
            <w:hideMark/>
          </w:tcPr>
          <w:p w:rsidR="00000000" w:rsidRDefault="00F123EE">
            <w:pPr>
              <w:spacing w:after="100"/>
              <w:rPr>
                <w:rFonts w:eastAsia="Times New Roman"/>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2021</w:t>
            </w:r>
          </w:p>
        </w:tc>
        <w:tc>
          <w:tcPr>
            <w:tcW w:w="0" w:type="auto"/>
            <w:gridSpan w:val="3"/>
            <w:vAlign w:val="center"/>
            <w:hideMark/>
          </w:tcPr>
          <w:p w:rsidR="00000000" w:rsidRDefault="00F123EE">
            <w:pPr>
              <w:spacing w:after="100"/>
              <w:jc w:val="center"/>
              <w:rPr>
                <w:rFonts w:eastAsia="Times New Roman"/>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Net sales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F123EE">
            <w:pPr>
              <w:spacing w:after="100"/>
              <w:jc w:val="right"/>
              <w:rPr>
                <w:rFonts w:eastAsia="Times New Roman"/>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divId w:val="1020469645"/>
              <w:rPr>
                <w:rFonts w:eastAsia="Times New Roman"/>
              </w:rPr>
            </w:pPr>
            <w:r>
              <w:rPr>
                <w:rFonts w:eastAsia="Times New Roman"/>
                <w:color w:val="000000"/>
                <w:sz w:val="20"/>
                <w:szCs w:val="20"/>
              </w:rPr>
              <w:t>Cost of merchandise sold</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65.00 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64.83 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vAlign w:val="center"/>
            <w:hideMark/>
          </w:tcPr>
          <w:p w:rsidR="00000000" w:rsidRDefault="00F123EE">
            <w:pPr>
              <w:spacing w:after="100"/>
              <w:jc w:val="right"/>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divId w:val="659390168"/>
              <w:rPr>
                <w:rFonts w:eastAsia="Times New Roman"/>
              </w:rPr>
            </w:pPr>
            <w:r>
              <w:rPr>
                <w:rFonts w:eastAsia="Times New Roman"/>
                <w:color w:val="000000"/>
                <w:sz w:val="20"/>
                <w:szCs w:val="20"/>
              </w:rPr>
              <w:t>Gross margin</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35.17 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vAlign w:val="center"/>
            <w:hideMark/>
          </w:tcPr>
          <w:p w:rsidR="00000000" w:rsidRDefault="00F123EE">
            <w:pPr>
              <w:spacing w:after="100"/>
              <w:jc w:val="right"/>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divId w:val="1185245651"/>
              <w:rPr>
                <w:rFonts w:eastAsia="Times New Roman"/>
              </w:rPr>
            </w:pPr>
            <w:r>
              <w:rPr>
                <w:rFonts w:eastAsia="Times New Roman"/>
                <w:color w:val="000000"/>
                <w:sz w:val="20"/>
                <w:szCs w:val="20"/>
              </w:rPr>
              <w:t>Selling, general and administrative expenses</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22.48 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22.78 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vAlign w:val="center"/>
            <w:hideMark/>
          </w:tcPr>
          <w:p w:rsidR="00000000" w:rsidRDefault="00F123EE">
            <w:pPr>
              <w:spacing w:after="100"/>
              <w:jc w:val="right"/>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2.42 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2.12 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vAlign w:val="center"/>
            <w:hideMark/>
          </w:tcPr>
          <w:p w:rsidR="00000000" w:rsidRDefault="00F123EE">
            <w:pPr>
              <w:spacing w:after="100"/>
              <w:jc w:val="right"/>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Operating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vAlign w:val="center"/>
            <w:hideMark/>
          </w:tcPr>
          <w:p w:rsidR="00000000" w:rsidRDefault="00F123EE">
            <w:pPr>
              <w:spacing w:after="100"/>
              <w:jc w:val="right"/>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Interest expense, net</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0.22 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0.21 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vAlign w:val="center"/>
            <w:hideMark/>
          </w:tcPr>
          <w:p w:rsidR="00000000" w:rsidRDefault="00F123EE">
            <w:pPr>
              <w:spacing w:after="100"/>
              <w:jc w:val="right"/>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Income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vAlign w:val="center"/>
            <w:hideMark/>
          </w:tcPr>
          <w:p w:rsidR="00000000" w:rsidRDefault="00F123EE">
            <w:pPr>
              <w:spacing w:after="100"/>
              <w:jc w:val="right"/>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Income tax expense</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2.22 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2.22 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vAlign w:val="center"/>
            <w:hideMark/>
          </w:tcPr>
          <w:p w:rsidR="00000000" w:rsidRDefault="00F123EE">
            <w:pPr>
              <w:spacing w:after="100"/>
              <w:jc w:val="right"/>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Net income</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F123EE">
            <w:pPr>
              <w:spacing w:after="100"/>
              <w:jc w:val="right"/>
              <w:rPr>
                <w:rFonts w:eastAsia="Times New Roman"/>
              </w:rPr>
            </w:pPr>
          </w:p>
        </w:tc>
        <w:tc>
          <w:tcPr>
            <w:tcW w:w="0" w:type="auto"/>
            <w:gridSpan w:val="3"/>
            <w:vAlign w:val="center"/>
            <w:hideMark/>
          </w:tcPr>
          <w:p w:rsidR="00000000" w:rsidRDefault="00F123EE">
            <w:pPr>
              <w:spacing w:after="100"/>
              <w:rPr>
                <w:rFonts w:eastAsia="Times New Roman"/>
                <w:sz w:val="20"/>
                <w:szCs w:val="20"/>
              </w:rPr>
            </w:pPr>
          </w:p>
        </w:tc>
      </w:tr>
    </w:tbl>
    <w:p w:rsidR="00000000" w:rsidRDefault="00F123EE">
      <w:pPr>
        <w:ind w:hanging="180"/>
        <w:jc w:val="both"/>
        <w:rPr>
          <w:rFonts w:eastAsia="Times New Roman"/>
        </w:rPr>
      </w:pPr>
    </w:p>
    <w:p w:rsidR="00000000" w:rsidRDefault="00F123EE">
      <w:pPr>
        <w:ind w:hanging="180"/>
        <w:jc w:val="both"/>
        <w:rPr>
          <w:rFonts w:eastAsia="Times New Roman"/>
        </w:rPr>
      </w:pPr>
      <w:r>
        <w:rPr>
          <w:rFonts w:eastAsia="Times New Roman"/>
          <w:color w:val="000000"/>
          <w:sz w:val="16"/>
          <w:szCs w:val="16"/>
        </w:rPr>
        <w:t>(a) Our gross margin amounts may not be comparable to those of other retailers since some retailers include all of the costs related to their distribution facility network in cost of merchandise sold and others (like our Company) exclude a portion of these</w:t>
      </w:r>
      <w:r>
        <w:rPr>
          <w:rFonts w:eastAsia="Times New Roman"/>
          <w:color w:val="000000"/>
          <w:sz w:val="16"/>
          <w:szCs w:val="16"/>
        </w:rPr>
        <w:t xml:space="preserve"> distribution facility network costs from gross margin and instead include them in selling, general, and administrative expenses; refer to Note 1 – Significant Accounting Policies of the Notes to the Consolidated Financial Statements, included in Item 8 Fi</w:t>
      </w:r>
      <w:r>
        <w:rPr>
          <w:rFonts w:eastAsia="Times New Roman"/>
          <w:color w:val="000000"/>
          <w:sz w:val="16"/>
          <w:szCs w:val="16"/>
        </w:rPr>
        <w:t>nancial Statements and Supplementary Data, of this Annual Report on Form 10-K.</w:t>
      </w:r>
    </w:p>
    <w:p w:rsidR="00000000" w:rsidRDefault="00F123EE">
      <w:pPr>
        <w:jc w:val="both"/>
        <w:rPr>
          <w:rFonts w:eastAsia="Times New Roman"/>
        </w:rPr>
      </w:pPr>
    </w:p>
    <w:p w:rsidR="00000000" w:rsidRDefault="00F123EE">
      <w:pPr>
        <w:jc w:val="both"/>
        <w:rPr>
          <w:rFonts w:eastAsia="Times New Roman"/>
        </w:rPr>
      </w:pPr>
      <w:r>
        <w:rPr>
          <w:rFonts w:eastAsia="Times New Roman"/>
          <w:b/>
          <w:bCs/>
          <w:color w:val="000000"/>
          <w:sz w:val="20"/>
          <w:szCs w:val="20"/>
        </w:rPr>
        <w:t xml:space="preserve">Fiscal 2022 Compared to Fiscal 2021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Net sales increased 11.6% to $14.20 billion in fiscal 2022 from $12.73 billion in fiscal 2021. The fiscal year included an extra sales week as part of the Company's 53-week fiscal calendar in 2022, which represented 1.8 percentage points of the 11.6% sales</w:t>
      </w:r>
      <w:r>
        <w:rPr>
          <w:rFonts w:eastAsia="Times New Roman"/>
          <w:color w:val="000000"/>
          <w:sz w:val="20"/>
          <w:szCs w:val="20"/>
        </w:rPr>
        <w:t xml:space="preserve"> growth. Comparable store sales increased 6.3% to $13.80 billion versus a 16.9% increase in fiscal 2021. The comparable store average transaction value increased 6.9% and comparable store average transaction count decreased 0.6% for fiscal 2022, as compare</w:t>
      </w:r>
      <w:r>
        <w:rPr>
          <w:rFonts w:eastAsia="Times New Roman"/>
          <w:color w:val="000000"/>
          <w:sz w:val="20"/>
          <w:szCs w:val="20"/>
        </w:rPr>
        <w:t>d to an increase of 9.8% and 7.1% in fiscal 2021, respectively. Comparable store sales growth reflects continued strength in every day, needs-based merchandise, including consumable, usable, and edible (“C.U.E.”) products, winter seasonal goods and year-ro</w:t>
      </w:r>
      <w:r>
        <w:rPr>
          <w:rFonts w:eastAsia="Times New Roman"/>
          <w:color w:val="000000"/>
          <w:sz w:val="20"/>
          <w:szCs w:val="20"/>
        </w:rPr>
        <w:t xml:space="preserve">und product categories, partially offset by a colder start to the spring selling season of fiscal 2022 along with </w:t>
      </w:r>
    </w:p>
    <w:p w:rsidR="00000000" w:rsidRDefault="00F123EE">
      <w:pPr>
        <w:jc w:val="center"/>
        <w:divId w:val="600840648"/>
        <w:rPr>
          <w:rFonts w:eastAsia="Times New Roman"/>
        </w:rPr>
      </w:pPr>
      <w:r>
        <w:rPr>
          <w:rFonts w:eastAsia="Times New Roman"/>
          <w:color w:val="000000"/>
          <w:sz w:val="20"/>
          <w:szCs w:val="20"/>
        </w:rPr>
        <w:t>34</w:t>
      </w:r>
    </w:p>
    <w:p w:rsidR="00000000" w:rsidRDefault="00F123EE">
      <w:pPr>
        <w:rPr>
          <w:rFonts w:eastAsia="Times New Roman"/>
        </w:rPr>
      </w:pPr>
      <w:r>
        <w:rPr>
          <w:rFonts w:eastAsia="Times New Roman"/>
        </w:rPr>
        <w:pict>
          <v:rect id="_x0000_i1064" style="width:0;height:1.5pt" o:hralign="center" o:hrstd="t" o:hr="t" fillcolor="#a0a0a0" stroked="f"/>
        </w:pict>
      </w:r>
    </w:p>
    <w:p w:rsidR="00000000" w:rsidRDefault="00F123EE">
      <w:pPr>
        <w:divId w:val="1409116720"/>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r>
        <w:rPr>
          <w:rFonts w:eastAsia="Times New Roman"/>
          <w:color w:val="000000"/>
          <w:sz w:val="20"/>
          <w:szCs w:val="20"/>
        </w:rPr>
        <w:t>severe drought during the summer month</w:t>
      </w:r>
      <w:r>
        <w:rPr>
          <w:rFonts w:eastAsia="Times New Roman"/>
          <w:color w:val="000000"/>
          <w:sz w:val="20"/>
          <w:szCs w:val="20"/>
        </w:rPr>
        <w:t>s in many of our markets. The Company’s store sales in the prior year benefited from favorable weather conditions as well as government stimulus throughout fiscal 2021.</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In addition to comparable store sales growth in fiscal 2022, sales from stores opened</w:t>
      </w:r>
      <w:r>
        <w:rPr>
          <w:rFonts w:eastAsia="Times New Roman"/>
          <w:color w:val="000000"/>
          <w:sz w:val="20"/>
          <w:szCs w:val="20"/>
        </w:rPr>
        <w:t xml:space="preserve"> less than one year were $396.2 million in fiscal 2022, which represented 3.1 percentage points of the 11.6% increase over fiscal 2021 net sales. Sales from stores opened less than one year were $324.6 million in fiscal 2021, which represented 3.1 percenta</w:t>
      </w:r>
      <w:r>
        <w:rPr>
          <w:rFonts w:eastAsia="Times New Roman"/>
          <w:color w:val="000000"/>
          <w:sz w:val="20"/>
          <w:szCs w:val="20"/>
        </w:rPr>
        <w:t>ge points of the 19.9% increase over fiscal 2020 net sales. The acquisition of Orscheln Farm and Home in October 2022 added approximately $80.0 million to net sales in the fourth quarter, which were included in the sales from stores opened less than one ye</w:t>
      </w:r>
      <w:r>
        <w:rPr>
          <w:rFonts w:eastAsia="Times New Roman"/>
          <w:color w:val="000000"/>
          <w:sz w:val="20"/>
          <w:szCs w:val="20"/>
        </w:rPr>
        <w:t xml:space="preserve">ar in fiscal 2022.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following table summarizes our store growth during fiscal 2022 and 2021:</w:t>
      </w:r>
    </w:p>
    <w:tbl>
      <w:tblPr>
        <w:tblW w:w="5000" w:type="pct"/>
        <w:tblCellMar>
          <w:top w:w="15" w:type="dxa"/>
          <w:left w:w="15" w:type="dxa"/>
          <w:bottom w:w="15" w:type="dxa"/>
          <w:right w:w="15" w:type="dxa"/>
        </w:tblCellMar>
        <w:tblLook w:val="04A0" w:firstRow="1" w:lastRow="0" w:firstColumn="1" w:lastColumn="0" w:noHBand="0" w:noVBand="1"/>
      </w:tblPr>
      <w:tblGrid>
        <w:gridCol w:w="58"/>
        <w:gridCol w:w="5568"/>
        <w:gridCol w:w="37"/>
        <w:gridCol w:w="36"/>
        <w:gridCol w:w="36"/>
        <w:gridCol w:w="36"/>
        <w:gridCol w:w="41"/>
        <w:gridCol w:w="1134"/>
        <w:gridCol w:w="37"/>
        <w:gridCol w:w="37"/>
        <w:gridCol w:w="37"/>
        <w:gridCol w:w="36"/>
        <w:gridCol w:w="41"/>
        <w:gridCol w:w="1136"/>
        <w:gridCol w:w="36"/>
      </w:tblGrid>
      <w:tr w:rsidR="00000000">
        <w:tc>
          <w:tcPr>
            <w:tcW w:w="50" w:type="pct"/>
            <w:vAlign w:val="center"/>
            <w:hideMark/>
          </w:tcPr>
          <w:p w:rsidR="00000000" w:rsidRDefault="00F123EE">
            <w:pPr>
              <w:jc w:val="both"/>
              <w:rPr>
                <w:rFonts w:eastAsia="Times New Roman"/>
              </w:rPr>
            </w:pPr>
          </w:p>
        </w:tc>
        <w:tc>
          <w:tcPr>
            <w:tcW w:w="336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697"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698"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rPr>
          <w:trHeight w:val="12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9"/>
            <w:vMerge w:val="restart"/>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Fiscal Year</w:t>
            </w:r>
          </w:p>
        </w:tc>
      </w:tr>
      <w:tr w:rsidR="00000000">
        <w:trPr>
          <w:trHeight w:val="120"/>
        </w:trPr>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9"/>
            <w:vMerge/>
            <w:vAlign w:val="center"/>
            <w:hideMark/>
          </w:tcPr>
          <w:p w:rsidR="00000000" w:rsidRDefault="00F123EE">
            <w:pPr>
              <w:spacing w:after="100"/>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b/>
                <w:bCs/>
                <w:color w:val="000000"/>
                <w:sz w:val="20"/>
                <w:szCs w:val="20"/>
              </w:rPr>
              <w:t>Store Count Information:</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2021</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i/>
                <w:iCs/>
                <w:color w:val="000000"/>
                <w:sz w:val="20"/>
                <w:szCs w:val="20"/>
                <w:u w:val="single"/>
              </w:rPr>
              <w:t>Tractor Supply</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Beginning of period</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2,003 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1,923 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New stores opened</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63 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80 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vAlign w:val="center"/>
            <w:hideMark/>
          </w:tcPr>
          <w:p w:rsidR="00000000" w:rsidRDefault="00F123EE">
            <w:pPr>
              <w:spacing w:after="100"/>
              <w:jc w:val="right"/>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Stores closed</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End of period</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2,066 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2,003 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i/>
                <w:iCs/>
                <w:color w:val="000000"/>
                <w:sz w:val="20"/>
                <w:szCs w:val="20"/>
                <w:u w:val="single"/>
              </w:rPr>
              <w:t>Petsense by Tractor Supply</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xml:space="preserve">Beginning of period </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178 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182 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New stores opened</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Stores closed</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End of period</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i/>
                <w:iCs/>
                <w:color w:val="000000"/>
                <w:sz w:val="20"/>
                <w:szCs w:val="20"/>
                <w:u w:val="single"/>
              </w:rPr>
              <w:t>Orscheln Farm and Home</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Stores acquired</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81 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vAlign w:val="center"/>
            <w:hideMark/>
          </w:tcPr>
          <w:p w:rsidR="00000000" w:rsidRDefault="00F123EE">
            <w:pPr>
              <w:spacing w:after="100"/>
              <w:jc w:val="right"/>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End of period</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Consolidated end of period</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2,333 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2,181 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trHeight w:val="60"/>
        </w:trPr>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xml:space="preserve">Stores relocated </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bl>
    <w:p w:rsidR="00000000" w:rsidRDefault="00F123EE">
      <w:pPr>
        <w:divId w:val="1208109465"/>
        <w:rPr>
          <w:rFonts w:eastAsia="Times New Roman"/>
        </w:rPr>
      </w:pPr>
    </w:p>
    <w:p w:rsidR="00000000" w:rsidRDefault="00F123EE">
      <w:pPr>
        <w:jc w:val="both"/>
        <w:rPr>
          <w:rFonts w:eastAsia="Times New Roman"/>
        </w:rPr>
      </w:pPr>
      <w:r>
        <w:rPr>
          <w:rFonts w:eastAsia="Times New Roman"/>
          <w:color w:val="000000"/>
          <w:sz w:val="20"/>
          <w:szCs w:val="20"/>
        </w:rPr>
        <w:t>The following table indicates the percentage of net sales represented by each of our major product categories during fiscal 2022 and 2021:</w:t>
      </w:r>
    </w:p>
    <w:tbl>
      <w:tblPr>
        <w:tblW w:w="5000" w:type="pct"/>
        <w:tblCellMar>
          <w:top w:w="15" w:type="dxa"/>
          <w:left w:w="15" w:type="dxa"/>
          <w:bottom w:w="15" w:type="dxa"/>
          <w:right w:w="15" w:type="dxa"/>
        </w:tblCellMar>
        <w:tblLook w:val="04A0" w:firstRow="1" w:lastRow="0" w:firstColumn="1" w:lastColumn="0" w:noHBand="0" w:noVBand="1"/>
      </w:tblPr>
      <w:tblGrid>
        <w:gridCol w:w="39"/>
        <w:gridCol w:w="5511"/>
        <w:gridCol w:w="38"/>
        <w:gridCol w:w="36"/>
        <w:gridCol w:w="36"/>
        <w:gridCol w:w="36"/>
        <w:gridCol w:w="38"/>
        <w:gridCol w:w="1024"/>
        <w:gridCol w:w="188"/>
        <w:gridCol w:w="37"/>
        <w:gridCol w:w="36"/>
        <w:gridCol w:w="36"/>
        <w:gridCol w:w="37"/>
        <w:gridCol w:w="1027"/>
        <w:gridCol w:w="187"/>
      </w:tblGrid>
      <w:tr w:rsidR="00000000">
        <w:tc>
          <w:tcPr>
            <w:tcW w:w="50" w:type="pct"/>
            <w:vAlign w:val="center"/>
            <w:hideMark/>
          </w:tcPr>
          <w:p w:rsidR="00000000" w:rsidRDefault="00F123EE">
            <w:pPr>
              <w:jc w:val="both"/>
              <w:rPr>
                <w:rFonts w:eastAsia="Times New Roman"/>
              </w:rPr>
            </w:pPr>
          </w:p>
        </w:tc>
        <w:tc>
          <w:tcPr>
            <w:tcW w:w="336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697"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698"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Percent of Net Sales</w:t>
            </w:r>
          </w:p>
        </w:tc>
      </w:tr>
      <w:tr w:rsidR="00000000">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Fiscal Year</w:t>
            </w: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b/>
                <w:bCs/>
                <w:color w:val="000000"/>
                <w:sz w:val="20"/>
                <w:szCs w:val="20"/>
              </w:rPr>
              <w:t>Product Category:</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2021</w:t>
            </w: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Livestock and Pet</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w:t>
            </w:r>
          </w:p>
        </w:tc>
      </w:tr>
      <w:tr w:rsidR="00000000">
        <w:tc>
          <w:tcPr>
            <w:tcW w:w="0" w:type="auto"/>
            <w:gridSpan w:val="3"/>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Seasonal, Gift and Toy Products</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21 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21 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Hardware, Tools and Truck</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Clothing and Footwear</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8 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Agriculture</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tcMar>
              <w:top w:w="30" w:type="dxa"/>
              <w:left w:w="24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Total</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w:t>
            </w:r>
          </w:p>
        </w:tc>
      </w:tr>
    </w:tbl>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Gross profit increased 11.1% to $4.97 billion in fiscal 2022 compared to $4.48 billion in fiscal 2021.  </w:t>
      </w:r>
      <w:r>
        <w:rPr>
          <w:rFonts w:eastAsia="Times New Roman"/>
          <w:color w:val="000000"/>
          <w:sz w:val="20"/>
          <w:szCs w:val="20"/>
        </w:rPr>
        <w:t>As a percent of net sales, gross margin decreased 17 basis points to 35.0% for fiscal 2022 compared to 35.2% for fiscal 2021. The decrease in gross margin as a percent of net sales was primarily driven by higher product cost inflation, higher transportatio</w:t>
      </w:r>
      <w:r>
        <w:rPr>
          <w:rFonts w:eastAsia="Times New Roman"/>
          <w:color w:val="000000"/>
          <w:sz w:val="20"/>
          <w:szCs w:val="20"/>
        </w:rPr>
        <w:t>n costs, and, to a lesser extent, product mix shift towards C.U.E. products, which run at a slightly lower margin rate. Heightened transportation costs were experienced in domestic and import freight, along with rising fuel prices. The Company's price mana</w:t>
      </w:r>
      <w:r>
        <w:rPr>
          <w:rFonts w:eastAsia="Times New Roman"/>
          <w:color w:val="000000"/>
          <w:sz w:val="20"/>
          <w:szCs w:val="20"/>
        </w:rPr>
        <w:t>gement program and other key gross margin enhancing initiatives effectively offset a significant portion of these gross margin pressures.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Total selling, general and administrative (“SG&amp;A”) expenses, including depreciation and amortization, increased 11.6</w:t>
      </w:r>
      <w:r>
        <w:rPr>
          <w:rFonts w:eastAsia="Times New Roman"/>
          <w:color w:val="000000"/>
          <w:sz w:val="20"/>
          <w:szCs w:val="20"/>
        </w:rPr>
        <w:t>% to $3.54 billion in fiscal 2022 from $3.17 billion in fiscal 2021. The Company's strategic growth initiatives, including related depreciation and amortization, investments in team member compensation and benefits, and, to a lesser extent, the impact of t</w:t>
      </w:r>
      <w:r>
        <w:rPr>
          <w:rFonts w:eastAsia="Times New Roman"/>
          <w:color w:val="000000"/>
          <w:sz w:val="20"/>
          <w:szCs w:val="20"/>
        </w:rPr>
        <w:t xml:space="preserve">ransaction expenses and early integration costs associated with the Orscheln Farm and Home acquisition contributed to an increase in SG&amp;A as a percent of net sales. The increase was partially offset by a reduction of COVID-19 response costs, more </w:t>
      </w:r>
    </w:p>
    <w:p w:rsidR="00000000" w:rsidRDefault="00F123EE">
      <w:pPr>
        <w:jc w:val="center"/>
        <w:divId w:val="1776443949"/>
        <w:rPr>
          <w:rFonts w:eastAsia="Times New Roman"/>
        </w:rPr>
      </w:pPr>
      <w:r>
        <w:rPr>
          <w:rFonts w:eastAsia="Times New Roman"/>
          <w:color w:val="000000"/>
          <w:sz w:val="20"/>
          <w:szCs w:val="20"/>
        </w:rPr>
        <w:t>35</w:t>
      </w:r>
    </w:p>
    <w:p w:rsidR="00000000" w:rsidRDefault="00F123EE">
      <w:pPr>
        <w:rPr>
          <w:rFonts w:eastAsia="Times New Roman"/>
        </w:rPr>
      </w:pPr>
      <w:r>
        <w:rPr>
          <w:rFonts w:eastAsia="Times New Roman"/>
        </w:rPr>
        <w:pict>
          <v:rect id="_x0000_i1065" style="width:0;height:1.5pt" o:hralign="center" o:hrstd="t" o:hr="t" fillcolor="#a0a0a0" stroked="f"/>
        </w:pict>
      </w:r>
    </w:p>
    <w:p w:rsidR="00000000" w:rsidRDefault="00F123EE">
      <w:pPr>
        <w:divId w:val="246037930"/>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r>
        <w:rPr>
          <w:rFonts w:eastAsia="Times New Roman"/>
          <w:color w:val="000000"/>
          <w:sz w:val="20"/>
          <w:szCs w:val="20"/>
        </w:rPr>
        <w:t>normalized incentive compensation, and leverage in occupancy and other costs from the increase in comparable stores sales. This culminated in SG&amp;A expenses, as a percent of net sales, being flat at 24.9% compared to fiscal 2021.</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 xml:space="preserve">Our effective income tax </w:t>
      </w:r>
      <w:r>
        <w:rPr>
          <w:rFonts w:eastAsia="Times New Roman"/>
          <w:color w:val="000000"/>
          <w:sz w:val="20"/>
          <w:szCs w:val="20"/>
        </w:rPr>
        <w:t>rate increased to 22.5% for fiscal 2022 compared to 22.1% in fiscal 2021. The primary drivers for the increase in the Company's effective income tax rate were decreased share-based compensation activity and federal tax credits, partially offset by increase</w:t>
      </w:r>
      <w:r>
        <w:rPr>
          <w:rFonts w:eastAsia="Times New Roman"/>
          <w:color w:val="000000"/>
          <w:sz w:val="20"/>
          <w:szCs w:val="20"/>
        </w:rPr>
        <w:t>d state income tax credits.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Net income in fiscal 2022 was $1.09 billion, or $9.71 per diluted share, compared to $997.1 million, or $8.61 per diluted share, in fiscal 2021. The benefit of the 53rd week contributed approximately $0.16 to diluted EPS in fi</w:t>
      </w:r>
      <w:r>
        <w:rPr>
          <w:rFonts w:eastAsia="Times New Roman"/>
          <w:color w:val="000000"/>
          <w:sz w:val="20"/>
          <w:szCs w:val="20"/>
        </w:rPr>
        <w:t>scal 2022.</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 xml:space="preserve">During fiscal 2022, we repurchased approximately 3.4 million shares of the Company’s common stock at a total cost of $700.1 million as part of our share repurchase program.  In fiscal 2021, we repurchased approximately 4.4 million shares at a </w:t>
      </w:r>
      <w:r>
        <w:rPr>
          <w:rFonts w:eastAsia="Times New Roman"/>
          <w:color w:val="000000"/>
          <w:sz w:val="20"/>
          <w:szCs w:val="20"/>
        </w:rPr>
        <w:t>total cost of $798.9 million.</w:t>
      </w:r>
    </w:p>
    <w:p w:rsidR="00000000" w:rsidRDefault="00F123EE">
      <w:pPr>
        <w:jc w:val="both"/>
        <w:rPr>
          <w:rFonts w:eastAsia="Times New Roman"/>
        </w:rPr>
      </w:pPr>
    </w:p>
    <w:p w:rsidR="00000000" w:rsidRDefault="00F123EE">
      <w:pPr>
        <w:jc w:val="both"/>
        <w:rPr>
          <w:rFonts w:eastAsia="Times New Roman"/>
        </w:rPr>
      </w:pPr>
      <w:r>
        <w:rPr>
          <w:rFonts w:eastAsia="Times New Roman"/>
          <w:b/>
          <w:bCs/>
          <w:color w:val="000000"/>
          <w:sz w:val="20"/>
          <w:szCs w:val="20"/>
        </w:rPr>
        <w:t xml:space="preserve">Fiscal 2021 Compared to Fiscal 2020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 xml:space="preserve">For a comparison of our performance and financial metrics for the fiscal years ended December 25, 2021 and December 26, 2020, see “Part II, Item 7. Management’s Discussion and Analysis </w:t>
      </w:r>
      <w:r>
        <w:rPr>
          <w:rFonts w:eastAsia="Times New Roman"/>
          <w:color w:val="000000"/>
          <w:sz w:val="20"/>
          <w:szCs w:val="20"/>
        </w:rPr>
        <w:t>of Financial Condition and Results of Operations” of our Annual Report on Form 10-K for the fiscal year ended December 25, 2021, filed with the SEC on February 17, 2022.</w:t>
      </w:r>
    </w:p>
    <w:p w:rsidR="00000000" w:rsidRDefault="00F123EE">
      <w:pPr>
        <w:divId w:val="1514882587"/>
        <w:rPr>
          <w:rFonts w:eastAsia="Times New Roman"/>
        </w:rPr>
      </w:pPr>
    </w:p>
    <w:p w:rsidR="00000000" w:rsidRDefault="00F123EE">
      <w:pPr>
        <w:jc w:val="both"/>
        <w:rPr>
          <w:rFonts w:eastAsia="Times New Roman"/>
        </w:rPr>
      </w:pPr>
      <w:r>
        <w:rPr>
          <w:rFonts w:eastAsia="Times New Roman"/>
          <w:b/>
          <w:bCs/>
          <w:color w:val="000000"/>
          <w:sz w:val="22"/>
          <w:szCs w:val="22"/>
        </w:rPr>
        <w:t>Liquidity and Capital Resources</w:t>
      </w:r>
    </w:p>
    <w:p w:rsidR="00000000" w:rsidRDefault="00F123EE">
      <w:pPr>
        <w:jc w:val="both"/>
        <w:rPr>
          <w:rFonts w:eastAsia="Times New Roman"/>
        </w:rPr>
      </w:pPr>
      <w:r>
        <w:rPr>
          <w:rFonts w:eastAsia="Times New Roman"/>
          <w:color w:val="000000"/>
          <w:sz w:val="20"/>
          <w:szCs w:val="20"/>
        </w:rPr>
        <w:t> </w:t>
      </w:r>
    </w:p>
    <w:p w:rsidR="00000000" w:rsidRDefault="00F123EE">
      <w:pPr>
        <w:jc w:val="both"/>
        <w:rPr>
          <w:rFonts w:eastAsia="Times New Roman"/>
        </w:rPr>
      </w:pPr>
      <w:r>
        <w:rPr>
          <w:rFonts w:eastAsia="Times New Roman"/>
          <w:color w:val="000000"/>
          <w:sz w:val="20"/>
          <w:szCs w:val="20"/>
        </w:rPr>
        <w:t>In addition to normal operating expenses, our prim</w:t>
      </w:r>
      <w:r>
        <w:rPr>
          <w:rFonts w:eastAsia="Times New Roman"/>
          <w:color w:val="000000"/>
          <w:sz w:val="20"/>
          <w:szCs w:val="20"/>
        </w:rPr>
        <w:t>ary ongoing cash requirements are for new store expansion, existing store remodeling and improvements, store relocations, distribution facility capacity and improvements, information technology, inventory purchases, repayment of existing borrowings under o</w:t>
      </w:r>
      <w:r>
        <w:rPr>
          <w:rFonts w:eastAsia="Times New Roman"/>
          <w:color w:val="000000"/>
          <w:sz w:val="20"/>
          <w:szCs w:val="20"/>
        </w:rPr>
        <w:t>ur debt facilities, share repurchases, cash dividends, and selective acquisitions as opportunities arise.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Our primary ongoing sources of liquidity are existing cash balances, cash provided from operations, remaining funds available under our debt facil</w:t>
      </w:r>
      <w:r>
        <w:rPr>
          <w:rFonts w:eastAsia="Times New Roman"/>
          <w:color w:val="000000"/>
          <w:sz w:val="20"/>
          <w:szCs w:val="20"/>
        </w:rPr>
        <w:t>ities, operating and finance leases, and normal trade credit.  Our inventory and accounts payable levels typically build in the first and third fiscal quarters to support the higher sales volume of the spring and cold-weather selling seasons, respectively.</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believe that our existing cash balances, expected cash flow from future operations, funds available under our debt facilities, operating and finance leases, normal trade credit, and access to the long-term debt capital markets will be sufficient to f</w:t>
      </w:r>
      <w:r>
        <w:rPr>
          <w:rFonts w:eastAsia="Times New Roman"/>
          <w:color w:val="000000"/>
          <w:sz w:val="20"/>
          <w:szCs w:val="20"/>
        </w:rPr>
        <w:t>und our operations and capital allocation needs through the end of fiscal 2023.</w:t>
      </w:r>
    </w:p>
    <w:p w:rsidR="00000000" w:rsidRDefault="00F123EE">
      <w:pPr>
        <w:jc w:val="both"/>
        <w:rPr>
          <w:rFonts w:eastAsia="Times New Roman"/>
        </w:rPr>
      </w:pPr>
    </w:p>
    <w:p w:rsidR="00000000" w:rsidRDefault="00F123EE">
      <w:pPr>
        <w:jc w:val="center"/>
        <w:divId w:val="78254716"/>
        <w:rPr>
          <w:rFonts w:eastAsia="Times New Roman"/>
        </w:rPr>
      </w:pPr>
      <w:r>
        <w:rPr>
          <w:rFonts w:eastAsia="Times New Roman"/>
          <w:color w:val="000000"/>
          <w:sz w:val="20"/>
          <w:szCs w:val="20"/>
        </w:rPr>
        <w:t>36</w:t>
      </w:r>
    </w:p>
    <w:p w:rsidR="00000000" w:rsidRDefault="00F123EE">
      <w:pPr>
        <w:rPr>
          <w:rFonts w:eastAsia="Times New Roman"/>
        </w:rPr>
      </w:pPr>
      <w:r>
        <w:rPr>
          <w:rFonts w:eastAsia="Times New Roman"/>
        </w:rPr>
        <w:pict>
          <v:rect id="_x0000_i1066" style="width:0;height:1.5pt" o:hralign="center" o:hrstd="t" o:hr="t" fillcolor="#a0a0a0" stroked="f"/>
        </w:pict>
      </w:r>
    </w:p>
    <w:p w:rsidR="00000000" w:rsidRDefault="00F123EE">
      <w:pPr>
        <w:divId w:val="198592867"/>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r>
        <w:rPr>
          <w:rFonts w:eastAsia="Times New Roman"/>
          <w:b/>
          <w:bCs/>
          <w:color w:val="000000"/>
          <w:sz w:val="20"/>
          <w:szCs w:val="20"/>
        </w:rPr>
        <w:t>Working Capital</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At December </w:t>
      </w:r>
      <w:r>
        <w:rPr>
          <w:rFonts w:eastAsia="Times New Roman"/>
          <w:color w:val="000000"/>
          <w:sz w:val="20"/>
          <w:szCs w:val="20"/>
        </w:rPr>
        <w:t>31, 2022, the Company had working capital of $781.6 million, which decreased $404.0 million from fiscal 2021.  The shifts in working capital were attributable to changes in the following components of current assets and current liabilities (in millions):</w:t>
      </w:r>
    </w:p>
    <w:tbl>
      <w:tblPr>
        <w:tblW w:w="4912" w:type="pct"/>
        <w:tblCellMar>
          <w:top w:w="15" w:type="dxa"/>
          <w:left w:w="15" w:type="dxa"/>
          <w:bottom w:w="15" w:type="dxa"/>
          <w:right w:w="15" w:type="dxa"/>
        </w:tblCellMar>
        <w:tblLook w:val="04A0" w:firstRow="1" w:lastRow="0" w:firstColumn="1" w:lastColumn="0" w:noHBand="0" w:noVBand="1"/>
      </w:tblPr>
      <w:tblGrid>
        <w:gridCol w:w="39"/>
        <w:gridCol w:w="4508"/>
        <w:gridCol w:w="38"/>
        <w:gridCol w:w="121"/>
        <w:gridCol w:w="989"/>
        <w:gridCol w:w="36"/>
        <w:gridCol w:w="36"/>
        <w:gridCol w:w="36"/>
        <w:gridCol w:w="36"/>
        <w:gridCol w:w="121"/>
        <w:gridCol w:w="948"/>
        <w:gridCol w:w="36"/>
        <w:gridCol w:w="36"/>
        <w:gridCol w:w="36"/>
        <w:gridCol w:w="36"/>
        <w:gridCol w:w="121"/>
        <w:gridCol w:w="951"/>
        <w:gridCol w:w="36"/>
      </w:tblGrid>
      <w:tr w:rsidR="00000000">
        <w:tc>
          <w:tcPr>
            <w:tcW w:w="50" w:type="pct"/>
            <w:vAlign w:val="center"/>
            <w:hideMark/>
          </w:tcPr>
          <w:p w:rsidR="00000000" w:rsidRDefault="00F123EE">
            <w:pPr>
              <w:jc w:val="both"/>
              <w:rPr>
                <w:rFonts w:eastAsia="Times New Roman"/>
              </w:rPr>
            </w:pPr>
          </w:p>
        </w:tc>
        <w:tc>
          <w:tcPr>
            <w:tcW w:w="2794"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63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7"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63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7"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637"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December 31, 2022</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December 25, 2021</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Variance</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b/>
                <w:bCs/>
                <w:color w:val="000000"/>
                <w:sz w:val="20"/>
                <w:szCs w:val="20"/>
              </w:rPr>
              <w:t>Current 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Cash and cash equivalents</w:t>
            </w:r>
          </w:p>
        </w:tc>
        <w:tc>
          <w:tcPr>
            <w:tcW w:w="0" w:type="auto"/>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202.5 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878.0 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(675.5)</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vAlign w:val="center"/>
            <w:hideMark/>
          </w:tcPr>
          <w:p w:rsidR="00000000" w:rsidRDefault="00F123EE">
            <w:pPr>
              <w:spacing w:after="100"/>
              <w:jc w:val="right"/>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Inventories</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2,709.6 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2,191.2 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518.4 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245.7 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164.1 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81.6 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Income taxes receivable</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17.1 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(17.1)</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vAlign w:val="center"/>
            <w:hideMark/>
          </w:tcPr>
          <w:p w:rsidR="00000000" w:rsidRDefault="00F123EE">
            <w:pPr>
              <w:spacing w:after="100"/>
              <w:jc w:val="right"/>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3,157.8 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3,250.4 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b/>
                <w:bCs/>
                <w:color w:val="000000"/>
                <w:sz w:val="20"/>
                <w:szCs w:val="20"/>
              </w:rPr>
              <w:t>Current liabilities: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Accounts payable</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1,398.3 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1,155.6 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242.7 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Accrued employee compensation</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120.3 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109.6 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10.7 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Other accrued expenses</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498.6 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474.4 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24.2 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vAlign w:val="center"/>
            <w:hideMark/>
          </w:tcPr>
          <w:p w:rsidR="00000000" w:rsidRDefault="00F123EE">
            <w:pPr>
              <w:spacing w:after="100"/>
              <w:jc w:val="right"/>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Current portion of finance lease obligations</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3.2 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(0.7)</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Current portion of operating lease obligations</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346.4 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321.3 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25.1 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Income taxes payable</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9.5 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9.5 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2,376.2 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2,064.8 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311.4 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b/>
                <w:bCs/>
                <w:color w:val="000000"/>
                <w:sz w:val="20"/>
                <w:szCs w:val="20"/>
              </w:rPr>
              <w:t>Working capital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781.6 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1,185.6 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(404.0)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bl>
    <w:p w:rsidR="00000000" w:rsidRDefault="00F123EE">
      <w:pPr>
        <w:jc w:val="both"/>
        <w:rPr>
          <w:rFonts w:eastAsia="Times New Roman"/>
        </w:rPr>
      </w:pPr>
      <w:r>
        <w:rPr>
          <w:rFonts w:eastAsia="Times New Roman"/>
          <w:color w:val="000000"/>
          <w:sz w:val="13"/>
          <w:szCs w:val="13"/>
        </w:rPr>
        <w:t>Note: amounts may not sum to totals due to roundin</w:t>
      </w:r>
      <w:r>
        <w:rPr>
          <w:rFonts w:eastAsia="Times New Roman"/>
          <w:color w:val="000000"/>
          <w:sz w:val="13"/>
          <w:szCs w:val="13"/>
        </w:rPr>
        <w:t>g</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In comparison to December 25, 2021, working capital as of December 31, 2022 was impacted most significantly by changes in cash and</w:t>
      </w:r>
      <w:r>
        <w:rPr>
          <w:rFonts w:eastAsia="Times New Roman"/>
          <w:color w:val="000000"/>
          <w:sz w:val="20"/>
          <w:szCs w:val="20"/>
        </w:rPr>
        <w:t xml:space="preserve"> cash equivalents, inventories, and accounts payable.</w:t>
      </w:r>
    </w:p>
    <w:p w:rsidR="00000000" w:rsidRDefault="00F123EE">
      <w:pPr>
        <w:jc w:val="both"/>
        <w:rPr>
          <w:rFonts w:eastAsia="Times New Roman"/>
        </w:rPr>
      </w:pPr>
    </w:p>
    <w:p w:rsidR="00000000" w:rsidRDefault="00F123EE">
      <w:pPr>
        <w:ind w:hanging="360"/>
        <w:jc w:val="both"/>
        <w:rPr>
          <w:rFonts w:eastAsia="Times New Roman"/>
        </w:rPr>
      </w:pPr>
      <w:r>
        <w:rPr>
          <w:rFonts w:eastAsia="Times New Roman"/>
          <w:color w:val="000000"/>
          <w:sz w:val="20"/>
          <w:szCs w:val="20"/>
          <w:shd w:val="clear" w:color="auto" w:fill="FFFFFF"/>
        </w:rPr>
        <w:t xml:space="preserve">•The decrease in cash and cash equivalents was primarily driven by capital expenditures to support strategic growth, share repurchases, cash dividends to stockholders, and the acquisition of Orscheln </w:t>
      </w:r>
      <w:r>
        <w:rPr>
          <w:rFonts w:eastAsia="Times New Roman"/>
          <w:color w:val="000000"/>
          <w:sz w:val="20"/>
          <w:szCs w:val="20"/>
          <w:shd w:val="clear" w:color="auto" w:fill="FFFFFF"/>
        </w:rPr>
        <w:t>Farm and Home, partially offset by positive cash flows generated from operations and net borrowings under the Company’s debt facilities.</w:t>
      </w:r>
    </w:p>
    <w:p w:rsidR="00000000" w:rsidRDefault="00F123EE">
      <w:pPr>
        <w:ind w:hanging="360"/>
        <w:jc w:val="both"/>
        <w:rPr>
          <w:rFonts w:eastAsia="Times New Roman"/>
        </w:rPr>
      </w:pPr>
      <w:r>
        <w:rPr>
          <w:rFonts w:eastAsia="Times New Roman"/>
          <w:color w:val="000000"/>
          <w:sz w:val="20"/>
          <w:szCs w:val="20"/>
          <w:shd w:val="clear" w:color="auto" w:fill="FFFFFF"/>
        </w:rPr>
        <w:t>•The increase in inventories and accounts payable resulted from an increase in average inventory per store driven by ou</w:t>
      </w:r>
      <w:r>
        <w:rPr>
          <w:rFonts w:eastAsia="Times New Roman"/>
          <w:color w:val="000000"/>
          <w:sz w:val="20"/>
          <w:szCs w:val="20"/>
          <w:shd w:val="clear" w:color="auto" w:fill="FFFFFF"/>
        </w:rPr>
        <w:t>r commitment to support our strong sales trends, combined with the impact inflation had on retail prices. Additionally, overall inventory and accounts payable levels increased from the acquisition of Orscheln and the purchase of additional inventory to sup</w:t>
      </w:r>
      <w:r>
        <w:rPr>
          <w:rFonts w:eastAsia="Times New Roman"/>
          <w:color w:val="000000"/>
          <w:sz w:val="20"/>
          <w:szCs w:val="20"/>
          <w:shd w:val="clear" w:color="auto" w:fill="FFFFFF"/>
        </w:rPr>
        <w:t xml:space="preserve">port new store growth. </w:t>
      </w:r>
    </w:p>
    <w:p w:rsidR="00000000" w:rsidRDefault="00F123EE">
      <w:pPr>
        <w:jc w:val="both"/>
        <w:rPr>
          <w:rFonts w:eastAsia="Times New Roman"/>
        </w:rPr>
      </w:pPr>
    </w:p>
    <w:p w:rsidR="00000000" w:rsidRDefault="00F123EE">
      <w:pPr>
        <w:jc w:val="center"/>
        <w:divId w:val="847065973"/>
        <w:rPr>
          <w:rFonts w:eastAsia="Times New Roman"/>
        </w:rPr>
      </w:pPr>
      <w:r>
        <w:rPr>
          <w:rFonts w:eastAsia="Times New Roman"/>
          <w:color w:val="000000"/>
          <w:sz w:val="20"/>
          <w:szCs w:val="20"/>
        </w:rPr>
        <w:t>37</w:t>
      </w:r>
    </w:p>
    <w:p w:rsidR="00000000" w:rsidRDefault="00F123EE">
      <w:pPr>
        <w:rPr>
          <w:rFonts w:eastAsia="Times New Roman"/>
        </w:rPr>
      </w:pPr>
      <w:r>
        <w:rPr>
          <w:rFonts w:eastAsia="Times New Roman"/>
        </w:rPr>
        <w:pict>
          <v:rect id="_x0000_i1067" style="width:0;height:1.5pt" o:hralign="center" o:hrstd="t" o:hr="t" fillcolor="#a0a0a0" stroked="f"/>
        </w:pict>
      </w:r>
    </w:p>
    <w:p w:rsidR="00000000" w:rsidRDefault="00F123EE">
      <w:pPr>
        <w:divId w:val="1244074354"/>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r>
        <w:rPr>
          <w:rFonts w:eastAsia="Times New Roman"/>
          <w:b/>
          <w:bCs/>
          <w:color w:val="000000"/>
          <w:sz w:val="20"/>
          <w:szCs w:val="20"/>
        </w:rPr>
        <w:t>Debt</w:t>
      </w:r>
    </w:p>
    <w:p w:rsidR="00000000" w:rsidRDefault="00F123EE">
      <w:pPr>
        <w:divId w:val="183521185"/>
        <w:rPr>
          <w:rFonts w:eastAsia="Times New Roman"/>
        </w:rPr>
      </w:pPr>
    </w:p>
    <w:p w:rsidR="00000000" w:rsidRDefault="00F123EE">
      <w:pPr>
        <w:jc w:val="both"/>
        <w:rPr>
          <w:rFonts w:eastAsia="Times New Roman"/>
        </w:rPr>
      </w:pPr>
      <w:r>
        <w:rPr>
          <w:rFonts w:eastAsia="Times New Roman"/>
          <w:color w:val="000000"/>
          <w:sz w:val="20"/>
          <w:szCs w:val="20"/>
        </w:rPr>
        <w:t>The following table summarizes the Company’</w:t>
      </w:r>
      <w:r>
        <w:rPr>
          <w:rFonts w:eastAsia="Times New Roman"/>
          <w:color w:val="000000"/>
          <w:sz w:val="20"/>
          <w:szCs w:val="20"/>
        </w:rPr>
        <w:t>s outstanding debt as of the dates indicated (in millions):</w:t>
      </w:r>
    </w:p>
    <w:tbl>
      <w:tblPr>
        <w:tblW w:w="4992" w:type="pct"/>
        <w:tblCellMar>
          <w:top w:w="15" w:type="dxa"/>
          <w:left w:w="15" w:type="dxa"/>
          <w:bottom w:w="15" w:type="dxa"/>
          <w:right w:w="15" w:type="dxa"/>
        </w:tblCellMar>
        <w:tblLook w:val="04A0" w:firstRow="1" w:lastRow="0" w:firstColumn="1" w:lastColumn="0" w:noHBand="0" w:noVBand="1"/>
      </w:tblPr>
      <w:tblGrid>
        <w:gridCol w:w="39"/>
        <w:gridCol w:w="5556"/>
        <w:gridCol w:w="38"/>
        <w:gridCol w:w="36"/>
        <w:gridCol w:w="36"/>
        <w:gridCol w:w="36"/>
        <w:gridCol w:w="121"/>
        <w:gridCol w:w="1028"/>
        <w:gridCol w:w="36"/>
        <w:gridCol w:w="36"/>
        <w:gridCol w:w="36"/>
        <w:gridCol w:w="36"/>
        <w:gridCol w:w="121"/>
        <w:gridCol w:w="1030"/>
        <w:gridCol w:w="36"/>
        <w:gridCol w:w="36"/>
        <w:gridCol w:w="36"/>
      </w:tblGrid>
      <w:tr w:rsidR="00000000">
        <w:tc>
          <w:tcPr>
            <w:tcW w:w="50" w:type="pct"/>
            <w:vAlign w:val="center"/>
            <w:hideMark/>
          </w:tcPr>
          <w:p w:rsidR="00000000" w:rsidRDefault="00F123EE">
            <w:pPr>
              <w:jc w:val="both"/>
              <w:rPr>
                <w:rFonts w:eastAsia="Times New Roman"/>
              </w:rPr>
            </w:pPr>
          </w:p>
        </w:tc>
        <w:tc>
          <w:tcPr>
            <w:tcW w:w="3407"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677"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677"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December 31,</w:t>
            </w:r>
            <w:r>
              <w:rPr>
                <w:rFonts w:eastAsia="Times New Roman"/>
                <w:b/>
                <w:bCs/>
                <w:color w:val="000000"/>
                <w:sz w:val="20"/>
                <w:szCs w:val="20"/>
              </w:rPr>
              <w:br/>
              <w:t>2022</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December 25,</w:t>
            </w:r>
            <w:r>
              <w:rPr>
                <w:rFonts w:eastAsia="Times New Roman"/>
                <w:b/>
                <w:bCs/>
                <w:color w:val="000000"/>
                <w:sz w:val="20"/>
                <w:szCs w:val="20"/>
              </w:rPr>
              <w:br/>
              <w:t>2021</w:t>
            </w:r>
          </w:p>
        </w:tc>
        <w:tc>
          <w:tcPr>
            <w:tcW w:w="0" w:type="auto"/>
            <w:vAlign w:val="center"/>
            <w:hideMark/>
          </w:tcPr>
          <w:p w:rsidR="00000000" w:rsidRDefault="00F123EE">
            <w:pPr>
              <w:spacing w:after="100"/>
              <w:jc w:val="center"/>
              <w:rPr>
                <w:rFonts w:eastAsia="Times New Roman"/>
              </w:rPr>
            </w:pPr>
          </w:p>
        </w:tc>
        <w:tc>
          <w:tcPr>
            <w:tcW w:w="0" w:type="auto"/>
            <w:vAlign w:val="center"/>
            <w:hideMark/>
          </w:tcPr>
          <w:p w:rsidR="00000000" w:rsidRDefault="00F123EE">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1.75% Senior Notes</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vAlign w:val="center"/>
            <w:hideMark/>
          </w:tcPr>
          <w:p w:rsidR="00000000" w:rsidRDefault="00F123EE">
            <w:pPr>
              <w:spacing w:after="100"/>
              <w:jc w:val="right"/>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3.70% Senior Notes</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vAlign w:val="center"/>
            <w:hideMark/>
          </w:tcPr>
          <w:p w:rsidR="00000000" w:rsidRDefault="00F123EE">
            <w:pPr>
              <w:spacing w:after="100"/>
              <w:jc w:val="right"/>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Senior Credit Facility:</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r>
      <w:tr w:rsidR="00000000">
        <w:tc>
          <w:tcPr>
            <w:tcW w:w="0" w:type="auto"/>
            <w:gridSpan w:val="3"/>
            <w:shd w:val="clear" w:color="auto" w:fill="FFFFFF"/>
            <w:tcMar>
              <w:top w:w="30" w:type="dxa"/>
              <w:left w:w="20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November 2020 Term Loan</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200.0 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vAlign w:val="center"/>
            <w:hideMark/>
          </w:tcPr>
          <w:p w:rsidR="00000000" w:rsidRDefault="00F123EE">
            <w:pPr>
              <w:spacing w:after="100"/>
              <w:jc w:val="right"/>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r>
      <w:tr w:rsidR="00000000">
        <w:tc>
          <w:tcPr>
            <w:tcW w:w="0" w:type="auto"/>
            <w:gridSpan w:val="3"/>
            <w:shd w:val="clear" w:color="auto" w:fill="CCEEFF"/>
            <w:tcMar>
              <w:top w:w="30" w:type="dxa"/>
              <w:left w:w="20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Revolving Credit Facility</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378.00 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vAlign w:val="center"/>
            <w:hideMark/>
          </w:tcPr>
          <w:p w:rsidR="00000000" w:rsidRDefault="00F123EE">
            <w:pPr>
              <w:spacing w:after="100"/>
              <w:jc w:val="right"/>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Total outstanding borrowings</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1,178.0 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vAlign w:val="center"/>
            <w:hideMark/>
          </w:tcPr>
          <w:p w:rsidR="00000000" w:rsidRDefault="00F123EE">
            <w:pPr>
              <w:spacing w:after="100"/>
              <w:jc w:val="right"/>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Less: unamortized debt discounts and issuance costs</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(13.9)</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(13.6)</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vAlign w:val="center"/>
            <w:hideMark/>
          </w:tcPr>
          <w:p w:rsidR="00000000" w:rsidRDefault="00F123EE">
            <w:pPr>
              <w:spacing w:after="100"/>
              <w:jc w:val="right"/>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b/>
                <w:bCs/>
                <w:color w:val="000000"/>
                <w:sz w:val="20"/>
                <w:szCs w:val="20"/>
              </w:rPr>
              <w:t>Total debt</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1,164.1 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986.4 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vAlign w:val="center"/>
            <w:hideMark/>
          </w:tcPr>
          <w:p w:rsidR="00000000" w:rsidRDefault="00F123EE">
            <w:pPr>
              <w:spacing w:after="100"/>
              <w:jc w:val="right"/>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Less: current portion of long-term debt</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vAlign w:val="center"/>
            <w:hideMark/>
          </w:tcPr>
          <w:p w:rsidR="00000000" w:rsidRDefault="00F123EE">
            <w:pPr>
              <w:spacing w:after="100"/>
              <w:jc w:val="right"/>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b/>
                <w:bCs/>
                <w:color w:val="000000"/>
                <w:sz w:val="20"/>
                <w:szCs w:val="20"/>
              </w:rPr>
              <w:t>Long-term debt</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1,164.1 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986.4 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vAlign w:val="center"/>
            <w:hideMark/>
          </w:tcPr>
          <w:p w:rsidR="00000000" w:rsidRDefault="00F123EE">
            <w:pPr>
              <w:spacing w:after="100"/>
              <w:jc w:val="right"/>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r>
      <w:tr w:rsidR="00000000">
        <w:trPr>
          <w:trHeight w:val="160"/>
        </w:trPr>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Outstanding letters of credit</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52.6 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52.9 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vAlign w:val="center"/>
            <w:hideMark/>
          </w:tcPr>
          <w:p w:rsidR="00000000" w:rsidRDefault="00F123EE">
            <w:pPr>
              <w:spacing w:after="100"/>
              <w:jc w:val="right"/>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r>
    </w:tbl>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manage our business and financial ratios to target an investment-grade bond rating, which has historically allowed flexible access to financing at reasonable market costs. As of December 31, 2022, and the date of this filing, February 23, 2023, the Comp</w:t>
      </w:r>
      <w:r>
        <w:rPr>
          <w:rFonts w:eastAsia="Times New Roman"/>
          <w:color w:val="000000"/>
          <w:sz w:val="20"/>
          <w:szCs w:val="20"/>
        </w:rPr>
        <w:t>any's senior unsecured debt is rated “Baa1,” by Moody’s Investor Services with a stable outlook and “BBB” by Standard &amp; Poor’s with a stable outlook. These ratings have been obtained with the understanding that Moody’s Investors Services and Standard &amp; Poo</w:t>
      </w:r>
      <w:r>
        <w:rPr>
          <w:rFonts w:eastAsia="Times New Roman"/>
          <w:color w:val="000000"/>
          <w:sz w:val="20"/>
          <w:szCs w:val="20"/>
        </w:rPr>
        <w:t>r’s will continue to monitor our credit and make future adjustments to these ratings to the extent warranted. The ratings are not a recommendation to buy, sell or hold our securities, may be changed, superseded or withdrawn at any time and should be evalua</w:t>
      </w:r>
      <w:r>
        <w:rPr>
          <w:rFonts w:eastAsia="Times New Roman"/>
          <w:color w:val="000000"/>
          <w:sz w:val="20"/>
          <w:szCs w:val="20"/>
        </w:rPr>
        <w:t>ted independently of any other rating.</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 xml:space="preserve">Our current ratings, as well as future rating agency actions, could impact our ability to finance our operations on satisfactory terms and affect our financing costs. There can be no assurance that we will maintain </w:t>
      </w:r>
      <w:r>
        <w:rPr>
          <w:rFonts w:eastAsia="Times New Roman"/>
          <w:color w:val="000000"/>
          <w:sz w:val="20"/>
          <w:szCs w:val="20"/>
        </w:rPr>
        <w:t xml:space="preserve">or improve our current credit ratings.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On September 30, 2022, we entered into a new credit agreement, providing for a credit facility (the “2022 Senior Credit Facility”), consisting of a revolving credit facility (the “Revolving Credit Facility”) in the</w:t>
      </w:r>
      <w:r>
        <w:rPr>
          <w:rFonts w:eastAsia="Times New Roman"/>
          <w:color w:val="000000"/>
          <w:sz w:val="20"/>
          <w:szCs w:val="20"/>
        </w:rPr>
        <w:t xml:space="preserve"> maximum principal amount of $1.20 billion (with a sublimit of $50.0 million for swingline loans and a sublimit of $150.0 million for letters of credit). In addition, we have an option to increase the Revolving Credit Facility or establish term loans in an</w:t>
      </w:r>
      <w:r>
        <w:rPr>
          <w:rFonts w:eastAsia="Times New Roman"/>
          <w:color w:val="000000"/>
          <w:sz w:val="20"/>
          <w:szCs w:val="20"/>
        </w:rPr>
        <w:t xml:space="preserve"> amount not to exceed $500.0 million in the aggregate, subject to, among other things, the receipt of commitments for the increase amount. The 2022 Senior Credit Facility is unsecured and has a five year term with two options to request that the lenders ex</w:t>
      </w:r>
      <w:r>
        <w:rPr>
          <w:rFonts w:eastAsia="Times New Roman"/>
          <w:color w:val="000000"/>
          <w:sz w:val="20"/>
          <w:szCs w:val="20"/>
        </w:rPr>
        <w:t>tend the maturity date of the obligations owed to each lender for one year (and the right to replace any lenders electing not to extend).</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For additional information about the Company’s debt and credit facilities, refer to Note 5 to the Consolidated Finan</w:t>
      </w:r>
      <w:r>
        <w:rPr>
          <w:rFonts w:eastAsia="Times New Roman"/>
          <w:color w:val="000000"/>
          <w:sz w:val="20"/>
          <w:szCs w:val="20"/>
        </w:rPr>
        <w:t xml:space="preserve">cial Statements. </w:t>
      </w:r>
    </w:p>
    <w:p w:rsidR="00000000" w:rsidRDefault="00F123EE">
      <w:pPr>
        <w:jc w:val="both"/>
        <w:rPr>
          <w:rFonts w:eastAsia="Times New Roman"/>
        </w:rPr>
      </w:pPr>
    </w:p>
    <w:p w:rsidR="00000000" w:rsidRDefault="00F123EE">
      <w:pPr>
        <w:jc w:val="both"/>
        <w:rPr>
          <w:rFonts w:eastAsia="Times New Roman"/>
        </w:rPr>
      </w:pPr>
      <w:r>
        <w:rPr>
          <w:rFonts w:eastAsia="Times New Roman"/>
          <w:b/>
          <w:bCs/>
          <w:color w:val="000000"/>
          <w:sz w:val="20"/>
          <w:szCs w:val="20"/>
          <w:shd w:val="clear" w:color="auto" w:fill="FFFFFF"/>
        </w:rPr>
        <w:t>Sources and Uses of Cash</w:t>
      </w:r>
    </w:p>
    <w:p w:rsidR="00000000" w:rsidRDefault="00F123EE">
      <w:pPr>
        <w:divId w:val="1734351437"/>
        <w:rPr>
          <w:rFonts w:eastAsia="Times New Roman"/>
        </w:rPr>
      </w:pPr>
    </w:p>
    <w:p w:rsidR="00000000" w:rsidRDefault="00F123EE">
      <w:pPr>
        <w:jc w:val="both"/>
        <w:rPr>
          <w:rFonts w:eastAsia="Times New Roman"/>
        </w:rPr>
      </w:pPr>
      <w:r>
        <w:rPr>
          <w:rFonts w:eastAsia="Times New Roman"/>
          <w:color w:val="000000"/>
          <w:sz w:val="20"/>
          <w:szCs w:val="20"/>
        </w:rPr>
        <w:t>Our primary source of liquidity is cash provided by operations and funds available under our debt facilities.  Principal uses of cash for investing activities are capital expenditures and acquisitions while pr</w:t>
      </w:r>
      <w:r>
        <w:rPr>
          <w:rFonts w:eastAsia="Times New Roman"/>
          <w:color w:val="000000"/>
          <w:sz w:val="20"/>
          <w:szCs w:val="20"/>
        </w:rPr>
        <w:t>incipal uses of cash for financing activities are repurchase of the Company’s common stock and cash dividends paid to stockholders.  </w:t>
      </w:r>
    </w:p>
    <w:p w:rsidR="00000000" w:rsidRDefault="00F123EE">
      <w:pPr>
        <w:jc w:val="center"/>
        <w:divId w:val="103699878"/>
        <w:rPr>
          <w:rFonts w:eastAsia="Times New Roman"/>
        </w:rPr>
      </w:pPr>
      <w:r>
        <w:rPr>
          <w:rFonts w:eastAsia="Times New Roman"/>
          <w:color w:val="000000"/>
          <w:sz w:val="20"/>
          <w:szCs w:val="20"/>
        </w:rPr>
        <w:t>38</w:t>
      </w:r>
    </w:p>
    <w:p w:rsidR="00000000" w:rsidRDefault="00F123EE">
      <w:pPr>
        <w:rPr>
          <w:rFonts w:eastAsia="Times New Roman"/>
        </w:rPr>
      </w:pPr>
      <w:r>
        <w:rPr>
          <w:rFonts w:eastAsia="Times New Roman"/>
        </w:rPr>
        <w:pict>
          <v:rect id="_x0000_i1068" style="width:0;height:1.5pt" o:hralign="center" o:hrstd="t" o:hr="t" fillcolor="#a0a0a0" stroked="f"/>
        </w:pict>
      </w:r>
    </w:p>
    <w:p w:rsidR="00000000" w:rsidRDefault="00F123EE">
      <w:pPr>
        <w:divId w:val="981733882"/>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following table presents a summary of cash flows provided by or used in operating, investing, and financing activities for fiscal years 2022 and 2021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198"/>
        <w:gridCol w:w="37"/>
        <w:gridCol w:w="120"/>
        <w:gridCol w:w="1323"/>
        <w:gridCol w:w="36"/>
        <w:gridCol w:w="36"/>
        <w:gridCol w:w="36"/>
        <w:gridCol w:w="36"/>
        <w:gridCol w:w="120"/>
        <w:gridCol w:w="1288"/>
        <w:gridCol w:w="36"/>
      </w:tblGrid>
      <w:tr w:rsidR="00000000">
        <w:tc>
          <w:tcPr>
            <w:tcW w:w="50" w:type="pct"/>
            <w:vAlign w:val="center"/>
            <w:hideMark/>
          </w:tcPr>
          <w:p w:rsidR="00000000" w:rsidRDefault="00F123EE">
            <w:pPr>
              <w:jc w:val="both"/>
              <w:rPr>
                <w:rFonts w:eastAsia="Times New Roman"/>
              </w:rPr>
            </w:pPr>
          </w:p>
        </w:tc>
        <w:tc>
          <w:tcPr>
            <w:tcW w:w="3154"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822"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822"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Fiscal Year</w:t>
            </w: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2021</w:t>
            </w:r>
          </w:p>
        </w:tc>
      </w:tr>
      <w:tr w:rsidR="00000000">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(53 weeks)</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(52 weeks)</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Net cash provided by operating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1,357.0 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1,138.7 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Net cash used in investing activities</w:t>
            </w: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(1,093.7)</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(627.3)</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Net cash used in financing activities</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(938.8)</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(975.1)</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Net decrease in cash and cash equivalents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(675.5)</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(463.7)</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F123EE">
            <w:pPr>
              <w:spacing w:after="100"/>
              <w:jc w:val="right"/>
              <w:rPr>
                <w:rFonts w:eastAsia="Times New Roman"/>
              </w:rPr>
            </w:pPr>
          </w:p>
        </w:tc>
      </w:tr>
    </w:tbl>
    <w:p w:rsidR="00000000" w:rsidRDefault="00F123EE">
      <w:pPr>
        <w:ind w:hanging="180"/>
        <w:jc w:val="both"/>
        <w:rPr>
          <w:rFonts w:eastAsia="Times New Roman"/>
        </w:rPr>
      </w:pPr>
    </w:p>
    <w:p w:rsidR="00000000" w:rsidRDefault="00F123EE">
      <w:pPr>
        <w:jc w:val="both"/>
        <w:rPr>
          <w:rFonts w:eastAsia="Times New Roman"/>
        </w:rPr>
      </w:pPr>
      <w:r>
        <w:rPr>
          <w:rFonts w:eastAsia="Times New Roman"/>
          <w:b/>
          <w:bCs/>
          <w:color w:val="000000"/>
          <w:sz w:val="20"/>
          <w:szCs w:val="20"/>
        </w:rPr>
        <w:t>Operating Activities</w:t>
      </w:r>
    </w:p>
    <w:p w:rsidR="00000000" w:rsidRDefault="00F123EE">
      <w:pPr>
        <w:divId w:val="88165646"/>
        <w:rPr>
          <w:rFonts w:eastAsia="Times New Roman"/>
        </w:rPr>
      </w:pPr>
    </w:p>
    <w:p w:rsidR="00000000" w:rsidRDefault="00F123EE">
      <w:pPr>
        <w:jc w:val="both"/>
        <w:rPr>
          <w:rFonts w:eastAsia="Times New Roman"/>
        </w:rPr>
      </w:pPr>
      <w:r>
        <w:rPr>
          <w:rFonts w:eastAsia="Times New Roman"/>
          <w:color w:val="000000"/>
          <w:sz w:val="20"/>
          <w:szCs w:val="20"/>
        </w:rPr>
        <w:t>Operating activities provided cash of $1.36 billion and $1.14 billion in fiscal 2022 and 2021, respectively. The $218.3 million increase in net cash provided by operating activities in fiscal 2022, compared to fiscal 2021, was due to changes in the followi</w:t>
      </w:r>
      <w:r>
        <w:rPr>
          <w:rFonts w:eastAsia="Times New Roman"/>
          <w:color w:val="000000"/>
          <w:sz w:val="20"/>
          <w:szCs w:val="20"/>
        </w:rPr>
        <w:t xml:space="preserve">ng (in millions): </w:t>
      </w:r>
    </w:p>
    <w:tbl>
      <w:tblPr>
        <w:tblW w:w="4992" w:type="pct"/>
        <w:tblCellMar>
          <w:top w:w="15" w:type="dxa"/>
          <w:left w:w="15" w:type="dxa"/>
          <w:bottom w:w="15" w:type="dxa"/>
          <w:right w:w="15" w:type="dxa"/>
        </w:tblCellMar>
        <w:tblLook w:val="04A0" w:firstRow="1" w:lastRow="0" w:firstColumn="1" w:lastColumn="0" w:noHBand="0" w:noVBand="1"/>
      </w:tblPr>
      <w:tblGrid>
        <w:gridCol w:w="39"/>
        <w:gridCol w:w="3658"/>
        <w:gridCol w:w="37"/>
        <w:gridCol w:w="120"/>
        <w:gridCol w:w="1318"/>
        <w:gridCol w:w="36"/>
        <w:gridCol w:w="36"/>
        <w:gridCol w:w="36"/>
        <w:gridCol w:w="36"/>
        <w:gridCol w:w="120"/>
        <w:gridCol w:w="1278"/>
        <w:gridCol w:w="36"/>
        <w:gridCol w:w="36"/>
        <w:gridCol w:w="36"/>
        <w:gridCol w:w="36"/>
        <w:gridCol w:w="121"/>
        <w:gridCol w:w="1278"/>
        <w:gridCol w:w="36"/>
      </w:tblGrid>
      <w:tr w:rsidR="00000000">
        <w:tc>
          <w:tcPr>
            <w:tcW w:w="50" w:type="pct"/>
            <w:vAlign w:val="center"/>
            <w:hideMark/>
          </w:tcPr>
          <w:p w:rsidR="00000000" w:rsidRDefault="00F123EE">
            <w:pPr>
              <w:jc w:val="both"/>
              <w:rPr>
                <w:rFonts w:eastAsia="Times New Roman"/>
              </w:rPr>
            </w:pPr>
          </w:p>
        </w:tc>
        <w:tc>
          <w:tcPr>
            <w:tcW w:w="223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823"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823"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823"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rPr>
          <w:trHeight w:val="12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9"/>
            <w:vMerge w:val="restart"/>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Fiscal Year</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Variance</w:t>
            </w:r>
          </w:p>
        </w:tc>
      </w:tr>
      <w:tr w:rsidR="00000000">
        <w:trPr>
          <w:trHeight w:val="120"/>
        </w:trPr>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9"/>
            <w:vMerge/>
            <w:vAlign w:val="center"/>
            <w:hideMark/>
          </w:tcPr>
          <w:p w:rsidR="00000000" w:rsidRDefault="00F123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vMerge/>
            <w:vAlign w:val="center"/>
            <w:hideMark/>
          </w:tcPr>
          <w:p w:rsidR="00000000" w:rsidRDefault="00F123EE">
            <w:pPr>
              <w:spacing w:after="100"/>
              <w:rPr>
                <w:rFonts w:eastAsia="Times New Roman"/>
              </w:rPr>
            </w:pPr>
          </w:p>
        </w:tc>
      </w:tr>
      <w:tr w:rsidR="00000000">
        <w:trPr>
          <w:trHeight w:val="280"/>
        </w:trPr>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vMerge/>
            <w:vAlign w:val="center"/>
            <w:hideMark/>
          </w:tcPr>
          <w:p w:rsidR="00000000" w:rsidRDefault="00F123EE">
            <w:pPr>
              <w:spacing w:after="100"/>
              <w:rPr>
                <w:rFonts w:eastAsia="Times New Roman"/>
              </w:rPr>
            </w:pPr>
          </w:p>
        </w:tc>
      </w:tr>
      <w:tr w:rsidR="00000000">
        <w:trPr>
          <w:trHeight w:val="28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(53 weeks)</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(52 weeks)</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vMerge/>
            <w:vAlign w:val="center"/>
            <w:hideMark/>
          </w:tcPr>
          <w:p w:rsidR="00000000" w:rsidRDefault="00F123EE">
            <w:pPr>
              <w:spacing w:after="100"/>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1,088.7 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997.1 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343.1 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270.2 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72.9 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vAlign w:val="center"/>
            <w:hideMark/>
          </w:tcPr>
          <w:p w:rsidR="00000000" w:rsidRDefault="00F123EE">
            <w:pPr>
              <w:spacing w:after="100"/>
              <w:jc w:val="right"/>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Share-based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53.8 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47.6 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6.2 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51.7 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29.1 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22.6 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Inventories and accounts payable</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(187.4)</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(228.4)</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41.0 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(64.1)</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(30.5)</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(33.6)</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Accrued expenses</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(6.7)</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127.8 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(134.5)</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26.6 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(37.0)</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63.6 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Other, net</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51.3 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(37.2)</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88.5 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Net cash provided by operating activities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1,357.0 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1,138.7 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218.3 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bl>
    <w:p w:rsidR="00000000" w:rsidRDefault="00F123EE">
      <w:pPr>
        <w:divId w:val="1434201703"/>
        <w:rPr>
          <w:rFonts w:eastAsia="Times New Roman"/>
        </w:rPr>
      </w:pPr>
    </w:p>
    <w:p w:rsidR="00000000" w:rsidRDefault="00F123EE">
      <w:pPr>
        <w:jc w:val="both"/>
        <w:rPr>
          <w:rFonts w:eastAsia="Times New Roman"/>
        </w:rPr>
      </w:pPr>
      <w:r>
        <w:rPr>
          <w:rFonts w:eastAsia="Times New Roman"/>
          <w:color w:val="000000"/>
          <w:sz w:val="20"/>
          <w:szCs w:val="20"/>
        </w:rPr>
        <w:t>The $218.3 million increase in net cash provided by operating activities in fiscal 2022, compared to fiscal 2021, is primarily driv</w:t>
      </w:r>
      <w:r>
        <w:rPr>
          <w:rFonts w:eastAsia="Times New Roman"/>
          <w:color w:val="000000"/>
          <w:sz w:val="20"/>
          <w:szCs w:val="20"/>
          <w:shd w:val="clear" w:color="auto" w:fill="FFFFFF"/>
        </w:rPr>
        <w:t>en by a year-over-year increase in our net income as well as the net impact of changes in our operating assets and liabilitie</w:t>
      </w:r>
      <w:r>
        <w:rPr>
          <w:rFonts w:eastAsia="Times New Roman"/>
          <w:color w:val="000000"/>
          <w:sz w:val="20"/>
          <w:szCs w:val="20"/>
          <w:shd w:val="clear" w:color="auto" w:fill="FFFFFF"/>
        </w:rPr>
        <w:t>s, primarily due to the Company's strategic initiatives as well as the timing of accruals and related payments.</w:t>
      </w:r>
    </w:p>
    <w:p w:rsidR="00000000" w:rsidRDefault="00F123EE">
      <w:pPr>
        <w:jc w:val="both"/>
        <w:rPr>
          <w:rFonts w:eastAsia="Times New Roman"/>
        </w:rPr>
      </w:pPr>
    </w:p>
    <w:p w:rsidR="00000000" w:rsidRDefault="00F123EE">
      <w:pPr>
        <w:jc w:val="both"/>
        <w:rPr>
          <w:rFonts w:eastAsia="Times New Roman"/>
        </w:rPr>
      </w:pPr>
      <w:r>
        <w:rPr>
          <w:rFonts w:eastAsia="Times New Roman"/>
          <w:b/>
          <w:bCs/>
          <w:color w:val="000000"/>
          <w:sz w:val="20"/>
          <w:szCs w:val="20"/>
        </w:rPr>
        <w:t>Investing Activities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Investing activities used cash of $1.09 billion and $627.3 million in fiscal 2022 and 2021, respectively.  The $466.4 m</w:t>
      </w:r>
      <w:r>
        <w:rPr>
          <w:rFonts w:eastAsia="Times New Roman"/>
          <w:color w:val="000000"/>
          <w:sz w:val="20"/>
          <w:szCs w:val="20"/>
        </w:rPr>
        <w:t>illion increase in net cash used in investing activities primarily reflects the acquisition of Orscheln Farm and Home as well as an increase in capital expenditures in fiscal 2022 compared to fiscal 2021, partially offset by cash received from Orscheln sto</w:t>
      </w:r>
      <w:r>
        <w:rPr>
          <w:rFonts w:eastAsia="Times New Roman"/>
          <w:color w:val="000000"/>
          <w:sz w:val="20"/>
          <w:szCs w:val="20"/>
        </w:rPr>
        <w:t>res divestitures.</w:t>
      </w:r>
    </w:p>
    <w:p w:rsidR="00000000" w:rsidRDefault="00F123EE">
      <w:pPr>
        <w:jc w:val="center"/>
        <w:divId w:val="1251815127"/>
        <w:rPr>
          <w:rFonts w:eastAsia="Times New Roman"/>
        </w:rPr>
      </w:pPr>
      <w:r>
        <w:rPr>
          <w:rFonts w:eastAsia="Times New Roman"/>
          <w:color w:val="000000"/>
          <w:sz w:val="20"/>
          <w:szCs w:val="20"/>
        </w:rPr>
        <w:t>39</w:t>
      </w:r>
    </w:p>
    <w:p w:rsidR="00000000" w:rsidRDefault="00F123EE">
      <w:pPr>
        <w:rPr>
          <w:rFonts w:eastAsia="Times New Roman"/>
        </w:rPr>
      </w:pPr>
      <w:r>
        <w:rPr>
          <w:rFonts w:eastAsia="Times New Roman"/>
        </w:rPr>
        <w:pict>
          <v:rect id="_x0000_i1069" style="width:0;height:1.5pt" o:hralign="center" o:hrstd="t" o:hr="t" fillcolor="#a0a0a0" stroked="f"/>
        </w:pict>
      </w:r>
    </w:p>
    <w:p w:rsidR="00000000" w:rsidRDefault="00F123EE">
      <w:pPr>
        <w:divId w:val="833256145"/>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Investing activities, including capital expenditures, for fiscal 2022 and 2021 were as follows (in millions):</w:t>
      </w:r>
    </w:p>
    <w:p w:rsidR="00000000" w:rsidRDefault="00F123EE">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803"/>
        <w:gridCol w:w="37"/>
        <w:gridCol w:w="120"/>
        <w:gridCol w:w="941"/>
        <w:gridCol w:w="36"/>
        <w:gridCol w:w="36"/>
        <w:gridCol w:w="36"/>
        <w:gridCol w:w="36"/>
        <w:gridCol w:w="120"/>
        <w:gridCol w:w="901"/>
        <w:gridCol w:w="36"/>
        <w:gridCol w:w="36"/>
        <w:gridCol w:w="36"/>
        <w:gridCol w:w="36"/>
        <w:gridCol w:w="121"/>
        <w:gridCol w:w="901"/>
        <w:gridCol w:w="36"/>
      </w:tblGrid>
      <w:tr w:rsidR="00000000">
        <w:tc>
          <w:tcPr>
            <w:tcW w:w="50" w:type="pct"/>
            <w:vAlign w:val="center"/>
            <w:hideMark/>
          </w:tcPr>
          <w:p w:rsidR="00000000" w:rsidRDefault="00F123EE">
            <w:pPr>
              <w:jc w:val="both"/>
              <w:rPr>
                <w:rFonts w:eastAsia="Times New Roman"/>
              </w:rPr>
            </w:pPr>
          </w:p>
        </w:tc>
        <w:tc>
          <w:tcPr>
            <w:tcW w:w="2920"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9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9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9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rPr>
          <w:trHeight w:val="12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9"/>
            <w:vMerge w:val="restart"/>
            <w:tcBorders>
              <w:bottom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Fiscal Year</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Variance</w:t>
            </w:r>
          </w:p>
        </w:tc>
      </w:tr>
      <w:tr w:rsidR="00000000">
        <w:trPr>
          <w:trHeight w:val="120"/>
        </w:trPr>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9"/>
            <w:vMerge/>
            <w:tcBorders>
              <w:bottom w:val="single" w:sz="8" w:space="0" w:color="000000"/>
            </w:tcBorders>
            <w:vAlign w:val="center"/>
            <w:hideMark/>
          </w:tcPr>
          <w:p w:rsidR="00000000" w:rsidRDefault="00F123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vMerge/>
            <w:vAlign w:val="center"/>
            <w:hideMark/>
          </w:tcPr>
          <w:p w:rsidR="00000000" w:rsidRDefault="00F123EE">
            <w:pPr>
              <w:spacing w:after="100"/>
              <w:rPr>
                <w:rFonts w:eastAsia="Times New Roman"/>
              </w:rPr>
            </w:pPr>
          </w:p>
        </w:tc>
      </w:tr>
      <w:tr w:rsidR="00000000">
        <w:trPr>
          <w:trHeight w:val="280"/>
        </w:trPr>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vMerge/>
            <w:vAlign w:val="center"/>
            <w:hideMark/>
          </w:tcPr>
          <w:p w:rsidR="00000000" w:rsidRDefault="00F123EE">
            <w:pPr>
              <w:spacing w:after="100"/>
              <w:rPr>
                <w:rFonts w:eastAsia="Times New Roman"/>
              </w:rPr>
            </w:pPr>
          </w:p>
        </w:tc>
      </w:tr>
      <w:tr w:rsidR="00000000">
        <w:trPr>
          <w:trHeight w:val="28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(53 weeks)</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(52 weeks)</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vMerge/>
            <w:vAlign w:val="center"/>
            <w:hideMark/>
          </w:tcPr>
          <w:p w:rsidR="00000000" w:rsidRDefault="00F123EE">
            <w:pPr>
              <w:spacing w:after="100"/>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Existing stores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367.7 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326.9 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Distribution center capacity and improvements</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156.1 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93.3 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62.8 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New and relocated stores and stores not yet opened</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126.7 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73.0 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53.7 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Information technology</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119.5 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124.8 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(5.3)</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Corporate and other</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3.4 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10.4 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(7.0)</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vAlign w:val="center"/>
            <w:hideMark/>
          </w:tcPr>
          <w:p w:rsidR="00000000" w:rsidRDefault="00F123EE">
            <w:pPr>
              <w:spacing w:after="100"/>
              <w:jc w:val="right"/>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Total capital expenditures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773.4 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628.4 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145.0 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Proceeds from sale of property and equipment</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0.1 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Acquisition of Orscheln, net of cash acquired</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390.8 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390.8 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Proceeds from sale of business assets</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(69.4)</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(69.4)</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Net cash used in investing activities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1,093.7 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627.3 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466.4 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bl>
    <w:p w:rsidR="00000000" w:rsidRDefault="00F123EE">
      <w:pPr>
        <w:divId w:val="834148380"/>
        <w:rPr>
          <w:rFonts w:eastAsia="Times New Roman"/>
        </w:rPr>
      </w:pPr>
    </w:p>
    <w:p w:rsidR="00000000" w:rsidRDefault="00F123EE">
      <w:pPr>
        <w:jc w:val="both"/>
        <w:rPr>
          <w:rFonts w:eastAsia="Times New Roman"/>
        </w:rPr>
      </w:pPr>
      <w:r>
        <w:rPr>
          <w:rFonts w:eastAsia="Times New Roman"/>
          <w:color w:val="000000"/>
          <w:sz w:val="20"/>
          <w:szCs w:val="20"/>
          <w:shd w:val="clear" w:color="auto" w:fill="FFFFFF"/>
        </w:rPr>
        <w:t xml:space="preserve">The increase in spending for existing stores in fiscal </w:t>
      </w:r>
      <w:r>
        <w:rPr>
          <w:rFonts w:eastAsia="Times New Roman"/>
          <w:color w:val="000000"/>
          <w:sz w:val="20"/>
          <w:szCs w:val="20"/>
        </w:rPr>
        <w:t>2022</w:t>
      </w:r>
      <w:r>
        <w:rPr>
          <w:rFonts w:eastAsia="Times New Roman"/>
          <w:color w:val="000000"/>
          <w:sz w:val="20"/>
          <w:szCs w:val="20"/>
          <w:shd w:val="clear" w:color="auto" w:fill="FFFFFF"/>
        </w:rPr>
        <w:t xml:space="preserve"> as compared to fiscal </w:t>
      </w:r>
      <w:r>
        <w:rPr>
          <w:rFonts w:eastAsia="Times New Roman"/>
          <w:color w:val="000000"/>
          <w:sz w:val="20"/>
          <w:szCs w:val="20"/>
        </w:rPr>
        <w:t>2021</w:t>
      </w:r>
      <w:r>
        <w:rPr>
          <w:rFonts w:eastAsia="Times New Roman"/>
          <w:color w:val="000000"/>
          <w:sz w:val="20"/>
          <w:szCs w:val="20"/>
          <w:shd w:val="clear" w:color="auto" w:fill="FFFFFF"/>
        </w:rPr>
        <w:t xml:space="preserve"> primarily reflects our strategic initiatives related to store remodels, including internal s</w:t>
      </w:r>
      <w:r>
        <w:rPr>
          <w:rFonts w:eastAsia="Times New Roman"/>
          <w:color w:val="000000"/>
          <w:sz w:val="20"/>
          <w:szCs w:val="20"/>
          <w:shd w:val="clear" w:color="auto" w:fill="FFFFFF"/>
        </w:rPr>
        <w:t xml:space="preserve">pace productivity and the outside garden center transformations. Spending in both fiscal </w:t>
      </w:r>
      <w:r>
        <w:rPr>
          <w:rFonts w:eastAsia="Times New Roman"/>
          <w:color w:val="000000"/>
          <w:sz w:val="20"/>
          <w:szCs w:val="20"/>
        </w:rPr>
        <w:t>2022 and fiscal 2021 also includes routine refresh activity, as well as security enhancements.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increase in spending for distribution center capacity and improvem</w:t>
      </w:r>
      <w:r>
        <w:rPr>
          <w:rFonts w:eastAsia="Times New Roman"/>
          <w:color w:val="000000"/>
          <w:sz w:val="20"/>
          <w:szCs w:val="20"/>
        </w:rPr>
        <w:t>ents in fiscal 2022 as compared to fiscal 2021 is primarily related to the construction of new distribution centers in Navarre, Ohio and Maumelle, Arkansas. On January 18, 2023, the Company opened its ninth distribution center located in Navarre, Ohio, whi</w:t>
      </w:r>
      <w:r>
        <w:rPr>
          <w:rFonts w:eastAsia="Times New Roman"/>
          <w:color w:val="000000"/>
          <w:sz w:val="20"/>
          <w:szCs w:val="20"/>
        </w:rPr>
        <w:t>ch expanded the distribution center capacity by approximately 900,000 square feet. The Maumelle, Arkansas distribution center is currently expected to begin operations in the first quarter of fiscal 2024 and will expand our distribution capacity by approxi</w:t>
      </w:r>
      <w:r>
        <w:rPr>
          <w:rFonts w:eastAsia="Times New Roman"/>
          <w:color w:val="000000"/>
          <w:sz w:val="20"/>
          <w:szCs w:val="20"/>
        </w:rPr>
        <w:t xml:space="preserve">mately 1,200,000 square feet.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 xml:space="preserve">The above table reflects an investment in 63 new Tractor Supply stores, nine new Petsense by Tractor Supply stores, and seven store relocations during fiscal 2022. In fiscal 2021, we opened 80 new Tractor Supply stores and </w:t>
      </w:r>
      <w:r>
        <w:rPr>
          <w:rFonts w:eastAsia="Times New Roman"/>
          <w:color w:val="000000"/>
          <w:sz w:val="20"/>
          <w:szCs w:val="20"/>
        </w:rPr>
        <w:t>seven new Petsense by Tractor Supply stores and had three store relocations.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 xml:space="preserve">The increase in spending for new and relocated stores and stores not yet opened in fiscal 2022 as compared to fiscal 2021 is primarily due to the timing of stores openings, as </w:t>
      </w:r>
      <w:r>
        <w:rPr>
          <w:rFonts w:eastAsia="Times New Roman"/>
          <w:color w:val="000000"/>
          <w:sz w:val="20"/>
          <w:szCs w:val="20"/>
        </w:rPr>
        <w:t>well as acceleration of spend in 2022 for stores expected to open in 2023.</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shd w:val="clear" w:color="auto" w:fill="FFFFFF"/>
        </w:rPr>
        <w:t>The spending on information technology represents continued support of our store growth and our omni-channel initiatives, as well as improvements in security and compliance and ot</w:t>
      </w:r>
      <w:r>
        <w:rPr>
          <w:rFonts w:eastAsia="Times New Roman"/>
          <w:color w:val="000000"/>
          <w:sz w:val="20"/>
          <w:szCs w:val="20"/>
          <w:shd w:val="clear" w:color="auto" w:fill="FFFFFF"/>
        </w:rPr>
        <w:t xml:space="preserve">her strategic initiatives.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shd w:val="clear" w:color="auto" w:fill="FFFFFF"/>
        </w:rPr>
        <w:t>Overall cash flow used in investing activities was also impacted by the acquisition of Orscheln Farm and Home and the subsequent store divestitures to Bomgaars Supply, Inc. and Buchheit Enterprises, Inc.</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shd w:val="clear" w:color="auto" w:fill="FFFFFF"/>
        </w:rPr>
        <w:t>Our projected capita</w:t>
      </w:r>
      <w:r>
        <w:rPr>
          <w:rFonts w:eastAsia="Times New Roman"/>
          <w:color w:val="000000"/>
          <w:sz w:val="20"/>
          <w:szCs w:val="20"/>
          <w:shd w:val="clear" w:color="auto" w:fill="FFFFFF"/>
        </w:rPr>
        <w:t>l expenditures for fiscal 2023 are currently estimated to be in a range of approximately $700.0 million to $775.0 million. The capital expenditures include a plan to open approximately 70 new Tractor Supply stores, complete the Orscheln conversions to Trac</w:t>
      </w:r>
      <w:r>
        <w:rPr>
          <w:rFonts w:eastAsia="Times New Roman"/>
          <w:color w:val="000000"/>
          <w:sz w:val="20"/>
          <w:szCs w:val="20"/>
          <w:shd w:val="clear" w:color="auto" w:fill="FFFFFF"/>
        </w:rPr>
        <w:t>tor Supply, continue the remodeling of our stores (“Project Fusion”) and garden center transformations, and open 10 to 15 new Petsense by Tractor Supply stores. Additionally, we anticipate the continued build out of our tenth distribution center in Maumell</w:t>
      </w:r>
      <w:r>
        <w:rPr>
          <w:rFonts w:eastAsia="Times New Roman"/>
          <w:color w:val="000000"/>
          <w:sz w:val="20"/>
          <w:szCs w:val="20"/>
          <w:shd w:val="clear" w:color="auto" w:fill="FFFFFF"/>
        </w:rPr>
        <w:t>e, Arkansas during 2023 with operations beginning in the first quarter of fiscal 2024. We also plan to support our continued improvements in technology and infrastructure at our existing stores, along with ongoing investments to enhance our digital and omn</w:t>
      </w:r>
      <w:r>
        <w:rPr>
          <w:rFonts w:eastAsia="Times New Roman"/>
          <w:color w:val="000000"/>
          <w:sz w:val="20"/>
          <w:szCs w:val="20"/>
          <w:shd w:val="clear" w:color="auto" w:fill="FFFFFF"/>
        </w:rPr>
        <w:t>i-channel capabilities to better serve our customers.</w:t>
      </w:r>
    </w:p>
    <w:p w:rsidR="00000000" w:rsidRDefault="00F123EE">
      <w:pPr>
        <w:jc w:val="both"/>
        <w:rPr>
          <w:rFonts w:eastAsia="Times New Roman"/>
        </w:rPr>
      </w:pPr>
    </w:p>
    <w:p w:rsidR="00000000" w:rsidRDefault="00F123EE">
      <w:pPr>
        <w:jc w:val="both"/>
        <w:rPr>
          <w:rFonts w:eastAsia="Times New Roman"/>
        </w:rPr>
      </w:pPr>
      <w:r>
        <w:rPr>
          <w:rFonts w:eastAsia="Times New Roman"/>
          <w:b/>
          <w:bCs/>
          <w:color w:val="000000"/>
          <w:sz w:val="20"/>
          <w:szCs w:val="20"/>
        </w:rPr>
        <w:t>Financing Activities</w:t>
      </w:r>
    </w:p>
    <w:p w:rsidR="00000000" w:rsidRDefault="00F123EE">
      <w:pPr>
        <w:divId w:val="139347652"/>
        <w:rPr>
          <w:rFonts w:eastAsia="Times New Roman"/>
        </w:rPr>
      </w:pPr>
    </w:p>
    <w:p w:rsidR="00000000" w:rsidRDefault="00F123EE">
      <w:pPr>
        <w:jc w:val="both"/>
        <w:rPr>
          <w:rFonts w:eastAsia="Times New Roman"/>
        </w:rPr>
      </w:pPr>
      <w:r>
        <w:rPr>
          <w:rFonts w:eastAsia="Times New Roman"/>
          <w:color w:val="000000"/>
          <w:sz w:val="20"/>
          <w:szCs w:val="20"/>
        </w:rPr>
        <w:t>Financing activities used cash of $938.8 million and $975.1 million in fiscal 2022 and 2021, respectively. The $36.3 million decrease in net cash used in financing activities in</w:t>
      </w:r>
      <w:r>
        <w:rPr>
          <w:rFonts w:eastAsia="Times New Roman"/>
          <w:color w:val="000000"/>
          <w:sz w:val="20"/>
          <w:szCs w:val="20"/>
        </w:rPr>
        <w:t xml:space="preserve"> fiscal 2022, compared to fiscal 2021, was due to changes in the following (in millions): </w:t>
      </w:r>
    </w:p>
    <w:p w:rsidR="00000000" w:rsidRDefault="00F123EE">
      <w:pPr>
        <w:jc w:val="both"/>
        <w:rPr>
          <w:rFonts w:eastAsia="Times New Roman"/>
        </w:rPr>
      </w:pPr>
    </w:p>
    <w:p w:rsidR="00000000" w:rsidRDefault="00F123EE">
      <w:pPr>
        <w:jc w:val="center"/>
        <w:divId w:val="1945795651"/>
        <w:rPr>
          <w:rFonts w:eastAsia="Times New Roman"/>
        </w:rPr>
      </w:pPr>
      <w:r>
        <w:rPr>
          <w:rFonts w:eastAsia="Times New Roman"/>
          <w:color w:val="000000"/>
          <w:sz w:val="20"/>
          <w:szCs w:val="20"/>
        </w:rPr>
        <w:t>40</w:t>
      </w:r>
    </w:p>
    <w:p w:rsidR="00000000" w:rsidRDefault="00F123EE">
      <w:pPr>
        <w:rPr>
          <w:rFonts w:eastAsia="Times New Roman"/>
        </w:rPr>
      </w:pPr>
      <w:r>
        <w:rPr>
          <w:rFonts w:eastAsia="Times New Roman"/>
        </w:rPr>
        <w:pict>
          <v:rect id="_x0000_i1070" style="width:0;height:1.5pt" o:hralign="center" o:hrstd="t" o:hr="t" fillcolor="#a0a0a0" stroked="f"/>
        </w:pict>
      </w:r>
    </w:p>
    <w:p w:rsidR="00000000" w:rsidRDefault="00F123EE">
      <w:pPr>
        <w:divId w:val="198475435"/>
        <w:rPr>
          <w:rFonts w:eastAsia="Times New Roman"/>
        </w:rPr>
      </w:pPr>
      <w:hyperlink w:anchor="i38696b5cc01146d68b9c6b33327cf890_7" w:history="1">
        <w:r>
          <w:rPr>
            <w:rStyle w:val="a3"/>
            <w:rFonts w:eastAsia="Times New Roman"/>
            <w:sz w:val="18"/>
            <w:szCs w:val="18"/>
          </w:rPr>
          <w:t>Index</w:t>
        </w:r>
      </w:hyperlink>
    </w:p>
    <w:tbl>
      <w:tblPr>
        <w:tblW w:w="4963" w:type="pct"/>
        <w:tblCellMar>
          <w:top w:w="15" w:type="dxa"/>
          <w:left w:w="15" w:type="dxa"/>
          <w:bottom w:w="15" w:type="dxa"/>
          <w:right w:w="15" w:type="dxa"/>
        </w:tblCellMar>
        <w:tblLook w:val="04A0" w:firstRow="1" w:lastRow="0" w:firstColumn="1" w:lastColumn="0" w:noHBand="0" w:noVBand="1"/>
      </w:tblPr>
      <w:tblGrid>
        <w:gridCol w:w="38"/>
        <w:gridCol w:w="4910"/>
        <w:gridCol w:w="37"/>
        <w:gridCol w:w="120"/>
        <w:gridCol w:w="940"/>
        <w:gridCol w:w="36"/>
        <w:gridCol w:w="36"/>
        <w:gridCol w:w="36"/>
        <w:gridCol w:w="36"/>
        <w:gridCol w:w="120"/>
        <w:gridCol w:w="899"/>
        <w:gridCol w:w="36"/>
        <w:gridCol w:w="36"/>
        <w:gridCol w:w="36"/>
        <w:gridCol w:w="36"/>
        <w:gridCol w:w="121"/>
        <w:gridCol w:w="736"/>
        <w:gridCol w:w="36"/>
      </w:tblGrid>
      <w:tr w:rsidR="00000000">
        <w:tc>
          <w:tcPr>
            <w:tcW w:w="50" w:type="pct"/>
            <w:vAlign w:val="center"/>
            <w:hideMark/>
          </w:tcPr>
          <w:p w:rsidR="00000000" w:rsidRDefault="00F123EE">
            <w:pPr>
              <w:rPr>
                <w:rFonts w:eastAsia="Times New Roman"/>
              </w:rPr>
            </w:pPr>
          </w:p>
        </w:tc>
        <w:tc>
          <w:tcPr>
            <w:tcW w:w="3008"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600"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600"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497"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rPr>
          <w:trHeight w:val="12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9"/>
            <w:vMerge w:val="restart"/>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Fiscal Year</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trHeight w:val="12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9"/>
            <w:vMerge/>
            <w:vAlign w:val="center"/>
            <w:hideMark/>
          </w:tcPr>
          <w:p w:rsidR="00000000" w:rsidRDefault="00F123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trHeight w:val="300"/>
        </w:trPr>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Variance</w:t>
            </w:r>
          </w:p>
        </w:tc>
      </w:tr>
      <w:tr w:rsidR="00000000">
        <w:trPr>
          <w:trHeight w:val="300"/>
        </w:trPr>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(53 weeks)</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(52 weeks)</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vMerge/>
            <w:vAlign w:val="center"/>
            <w:hideMark/>
          </w:tcPr>
          <w:p w:rsidR="00000000" w:rsidRDefault="00F123EE">
            <w:pPr>
              <w:spacing w:after="100"/>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Net borrowings and repayments under debt facilities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(178.0)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(178.0)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Repurchase of common stock</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700.1 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798.9 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(98.8)</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Net proceeds from issuance of common stock</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(25.5)</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(82.2)</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56.7 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Cash dividends paid to stockholders</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409.6 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239.0 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170.6 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Other, net</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32.6 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19.4 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13.2 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Net cash used in financing activities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938.8 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975.1 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(36.3)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bl>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shd w:val="clear" w:color="auto" w:fill="FFFFFF"/>
        </w:rPr>
        <w:t>The decrease in net cash used in financing activities in fiscal 2022, compared to fiscal 2021, is primarily due to borrowings under our new 2022 Senior Credit Facility and increased returns of capital to our stockholders in the form of cash dividends and r</w:t>
      </w:r>
      <w:r>
        <w:rPr>
          <w:rFonts w:eastAsia="Times New Roman"/>
          <w:color w:val="000000"/>
          <w:sz w:val="20"/>
          <w:szCs w:val="20"/>
          <w:shd w:val="clear" w:color="auto" w:fill="FFFFFF"/>
        </w:rPr>
        <w:t xml:space="preserve">epurchases of common stock. </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Repurchase of Common Stock</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Company’s Board of Directors has authorized common stock repurchases under a share repurchase program which was announced in February 2007. The authorization amount of the program, which has b</w:t>
      </w:r>
      <w:r>
        <w:rPr>
          <w:rFonts w:eastAsia="Times New Roman"/>
          <w:color w:val="000000"/>
          <w:sz w:val="20"/>
          <w:szCs w:val="20"/>
        </w:rPr>
        <w:t>een increased from time to time, is currently authorized for up to $6.50 billion, exclusive of any fees, commissions or other expenses related to such repurchases. The authorized amount reflects a $2.00 billion increase to the share repurchase program whic</w:t>
      </w:r>
      <w:r>
        <w:rPr>
          <w:rFonts w:eastAsia="Times New Roman"/>
          <w:color w:val="000000"/>
          <w:sz w:val="20"/>
          <w:szCs w:val="20"/>
        </w:rPr>
        <w:t>h was approved by our Board of Directors o</w:t>
      </w:r>
      <w:r>
        <w:rPr>
          <w:rFonts w:eastAsia="Times New Roman"/>
          <w:color w:val="000000"/>
          <w:sz w:val="20"/>
          <w:szCs w:val="20"/>
          <w:shd w:val="clear" w:color="auto" w:fill="FFFFFF"/>
        </w:rPr>
        <w:t>n January 26, 2022. The s</w:t>
      </w:r>
      <w:r>
        <w:rPr>
          <w:rFonts w:eastAsia="Times New Roman"/>
          <w:color w:val="000000"/>
          <w:sz w:val="20"/>
          <w:szCs w:val="20"/>
        </w:rPr>
        <w:t xml:space="preserve">hare repurchase program does not have an expiration date. The repurchases may be made from time to time on the open market or in privately negotiated transactions. The timing and amount of </w:t>
      </w:r>
      <w:r>
        <w:rPr>
          <w:rFonts w:eastAsia="Times New Roman"/>
          <w:color w:val="000000"/>
          <w:sz w:val="20"/>
          <w:szCs w:val="20"/>
        </w:rPr>
        <w:t>any shares repurchased under the program will depend on a variety of factors, including price, corporate and regulatory requirements, capital availability, and other market conditions. Repurchased shares are accounted for at cost and will be held in treasu</w:t>
      </w:r>
      <w:r>
        <w:rPr>
          <w:rFonts w:eastAsia="Times New Roman"/>
          <w:color w:val="000000"/>
          <w:sz w:val="20"/>
          <w:szCs w:val="20"/>
        </w:rPr>
        <w:t xml:space="preserve">ry for future issuance. The program may be limited, temporarily paused, or terminated at any time without prior notice.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repurchased approximately 3.4 million and 4.4 million shares of common stock under the share repurchase program at a total cost of</w:t>
      </w:r>
      <w:r>
        <w:rPr>
          <w:rFonts w:eastAsia="Times New Roman"/>
          <w:color w:val="000000"/>
          <w:sz w:val="20"/>
          <w:szCs w:val="20"/>
        </w:rPr>
        <w:t xml:space="preserve"> $700.1 million and $798.9 million in fiscal 2022 and 2021, respectively.  Our projected share repurchases for fiscal 2023 are currently estimated to be in a range of approximately $575 million to $675 million. </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Cash Dividends Paid to Stockholders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p</w:t>
      </w:r>
      <w:r>
        <w:rPr>
          <w:rFonts w:eastAsia="Times New Roman"/>
          <w:color w:val="000000"/>
          <w:sz w:val="20"/>
          <w:szCs w:val="20"/>
        </w:rPr>
        <w:t>aid cash dividends totaling $409.6 million and $239.0 million in fiscal 2022 and 2021, respectively. In fiscal 2022, we declared and paid cash dividends to stockholders of $3.68 per common share outstanding as compared to $2.08 per common share outstanding</w:t>
      </w:r>
      <w:r>
        <w:rPr>
          <w:rFonts w:eastAsia="Times New Roman"/>
          <w:color w:val="000000"/>
          <w:sz w:val="20"/>
          <w:szCs w:val="20"/>
        </w:rPr>
        <w:t xml:space="preserve"> in fiscal 2021. These payments reflect an increase in the quarterly dividend in all four quarters of fiscal 2022 to $0.92 per share from $0.52 per share in all four quarters of fiscal 2021.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On February 8, 2023, the Company’s Board of Directors declared</w:t>
      </w:r>
      <w:r>
        <w:rPr>
          <w:rFonts w:eastAsia="Times New Roman"/>
          <w:color w:val="000000"/>
          <w:sz w:val="20"/>
          <w:szCs w:val="20"/>
        </w:rPr>
        <w:t xml:space="preserve"> a quarterly cash dividend of $1.03 per share of the Company’s outstanding common stock.  The dividend will be paid on March 14, 2023, to stockholders of record as of the close of business on February 27, 2023.</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It is the present intention of the Company’</w:t>
      </w:r>
      <w:r>
        <w:rPr>
          <w:rFonts w:eastAsia="Times New Roman"/>
          <w:color w:val="000000"/>
          <w:sz w:val="20"/>
          <w:szCs w:val="20"/>
        </w:rPr>
        <w:t>s Board of Directors to continue to pay a quarterly cash dividend; however, the declaration and payment amount of future dividends will be determined by the Company’s Board of Directors in its sole discretion and will depend upon the earnings, financial co</w:t>
      </w:r>
      <w:r>
        <w:rPr>
          <w:rFonts w:eastAsia="Times New Roman"/>
          <w:color w:val="000000"/>
          <w:sz w:val="20"/>
          <w:szCs w:val="20"/>
        </w:rPr>
        <w:t>ndition, and capital needs of the Company, along with any other factors which the Company’s Board of Directors deem relevant.</w:t>
      </w:r>
    </w:p>
    <w:p w:rsidR="00000000" w:rsidRDefault="00F123EE">
      <w:pPr>
        <w:divId w:val="105119748"/>
        <w:rPr>
          <w:rFonts w:eastAsia="Times New Roman"/>
        </w:rPr>
      </w:pPr>
    </w:p>
    <w:p w:rsidR="00000000" w:rsidRDefault="00F123EE">
      <w:pPr>
        <w:jc w:val="both"/>
        <w:rPr>
          <w:rFonts w:eastAsia="Times New Roman"/>
        </w:rPr>
      </w:pPr>
      <w:r>
        <w:rPr>
          <w:rFonts w:eastAsia="Times New Roman"/>
          <w:b/>
          <w:bCs/>
          <w:color w:val="000000"/>
          <w:sz w:val="20"/>
          <w:szCs w:val="20"/>
        </w:rPr>
        <w:t>New Accounting Pronouncements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Refer</w:t>
      </w:r>
      <w:r>
        <w:rPr>
          <w:rFonts w:eastAsia="Times New Roman"/>
          <w:color w:val="000000"/>
          <w:sz w:val="20"/>
          <w:szCs w:val="20"/>
          <w:shd w:val="clear" w:color="auto" w:fill="FFFFFF"/>
        </w:rPr>
        <w:t xml:space="preserve"> to Note 1 to the </w:t>
      </w:r>
      <w:r>
        <w:rPr>
          <w:rFonts w:eastAsia="Times New Roman"/>
          <w:color w:val="000000"/>
          <w:sz w:val="20"/>
          <w:szCs w:val="20"/>
        </w:rPr>
        <w:t>Consolidated Financial Statements for recently adopted accounting pronoun</w:t>
      </w:r>
      <w:r>
        <w:rPr>
          <w:rFonts w:eastAsia="Times New Roman"/>
          <w:color w:val="000000"/>
          <w:sz w:val="20"/>
          <w:szCs w:val="20"/>
        </w:rPr>
        <w:t>cements and recently issued pronouncements not yet adopted as of December 31, 2022.</w:t>
      </w:r>
    </w:p>
    <w:p w:rsidR="00000000" w:rsidRDefault="00F123EE">
      <w:pPr>
        <w:jc w:val="both"/>
        <w:rPr>
          <w:rFonts w:eastAsia="Times New Roman"/>
        </w:rPr>
      </w:pPr>
    </w:p>
    <w:p w:rsidR="00000000" w:rsidRDefault="00F123EE">
      <w:pPr>
        <w:jc w:val="center"/>
        <w:divId w:val="690034585"/>
        <w:rPr>
          <w:rFonts w:eastAsia="Times New Roman"/>
        </w:rPr>
      </w:pPr>
      <w:r>
        <w:rPr>
          <w:rFonts w:eastAsia="Times New Roman"/>
          <w:color w:val="000000"/>
          <w:sz w:val="20"/>
          <w:szCs w:val="20"/>
        </w:rPr>
        <w:t>41</w:t>
      </w:r>
    </w:p>
    <w:p w:rsidR="00000000" w:rsidRDefault="00F123EE">
      <w:pPr>
        <w:rPr>
          <w:rFonts w:eastAsia="Times New Roman"/>
        </w:rPr>
      </w:pPr>
      <w:r>
        <w:rPr>
          <w:rFonts w:eastAsia="Times New Roman"/>
        </w:rPr>
        <w:pict>
          <v:rect id="_x0000_i1071" style="width:0;height:1.5pt" o:hralign="center" o:hrstd="t" o:hr="t" fillcolor="#a0a0a0" stroked="f"/>
        </w:pict>
      </w:r>
    </w:p>
    <w:p w:rsidR="00000000" w:rsidRDefault="00F123EE">
      <w:pPr>
        <w:divId w:val="1386559518"/>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r>
        <w:rPr>
          <w:rFonts w:eastAsia="Times New Roman"/>
          <w:b/>
          <w:bCs/>
          <w:color w:val="000000"/>
          <w:sz w:val="20"/>
          <w:szCs w:val="20"/>
          <w:u w:val="single"/>
        </w:rPr>
        <w:t>Item 7A</w:t>
      </w:r>
      <w:r>
        <w:rPr>
          <w:rFonts w:eastAsia="Times New Roman"/>
          <w:b/>
          <w:bCs/>
          <w:color w:val="000000"/>
          <w:sz w:val="20"/>
          <w:szCs w:val="20"/>
        </w:rPr>
        <w:t>.     </w:t>
      </w:r>
      <w:r>
        <w:rPr>
          <w:rFonts w:eastAsia="Times New Roman"/>
          <w:b/>
          <w:bCs/>
          <w:color w:val="000000"/>
          <w:sz w:val="20"/>
          <w:szCs w:val="20"/>
          <w:u w:val="single"/>
        </w:rPr>
        <w:t>Quantitative and Qualitative Disclosures About Market</w:t>
      </w:r>
      <w:r>
        <w:rPr>
          <w:rFonts w:eastAsia="Times New Roman"/>
          <w:b/>
          <w:bCs/>
          <w:color w:val="000000"/>
          <w:sz w:val="20"/>
          <w:szCs w:val="20"/>
          <w:u w:val="single"/>
        </w:rPr>
        <w:t xml:space="preserve"> Risk</w:t>
      </w:r>
    </w:p>
    <w:p w:rsidR="00000000" w:rsidRDefault="00F123EE">
      <w:pPr>
        <w:jc w:val="both"/>
        <w:rPr>
          <w:rFonts w:eastAsia="Times New Roman"/>
        </w:rPr>
      </w:pPr>
    </w:p>
    <w:p w:rsidR="00000000" w:rsidRDefault="00F123EE">
      <w:pPr>
        <w:jc w:val="both"/>
        <w:rPr>
          <w:rFonts w:eastAsia="Times New Roman"/>
        </w:rPr>
      </w:pPr>
      <w:r>
        <w:rPr>
          <w:rFonts w:eastAsia="Times New Roman"/>
          <w:b/>
          <w:bCs/>
          <w:color w:val="000000"/>
          <w:sz w:val="20"/>
          <w:szCs w:val="20"/>
        </w:rPr>
        <w:t>Interest Rate Risk</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 xml:space="preserve">We are exposed to interest rate changes, primarily as a result of borrowings under our 2022 Senior Credit Facility (as discussed in Note 5 to the Consolidated Financial Statements), which bear interest based on variable rates. We use an interest rate swap </w:t>
      </w:r>
      <w:r>
        <w:rPr>
          <w:rFonts w:eastAsia="Times New Roman"/>
          <w:color w:val="000000"/>
          <w:sz w:val="20"/>
          <w:szCs w:val="20"/>
        </w:rPr>
        <w:t>to manage our exposure to the impact of interest rate changes. Prior to the issuance of our 2022 Senior Credit Facility on September 30, 2022, our variable-rate debt was fully hedged. At December 31, 2022, we had $378.0 million outstanding under the 2022 S</w:t>
      </w:r>
      <w:r>
        <w:rPr>
          <w:rFonts w:eastAsia="Times New Roman"/>
          <w:color w:val="000000"/>
          <w:sz w:val="20"/>
          <w:szCs w:val="20"/>
        </w:rPr>
        <w:t>enior Credit Facility, of which $200.0 million was hedged by the interest rate swap. Fixed-rate debt and variable-rate debt covered by the interest rate swap represented 85% of total outstanding debt as of December 31, 2022. Therefore, fluctuations in inte</w:t>
      </w:r>
      <w:r>
        <w:rPr>
          <w:rFonts w:eastAsia="Times New Roman"/>
          <w:color w:val="000000"/>
          <w:sz w:val="20"/>
          <w:szCs w:val="20"/>
        </w:rPr>
        <w:t xml:space="preserve">rest rates did not have a material impact on our financial condition and results of operations. </w:t>
      </w:r>
    </w:p>
    <w:p w:rsidR="00000000" w:rsidRDefault="00F123EE">
      <w:pPr>
        <w:jc w:val="both"/>
        <w:rPr>
          <w:rFonts w:eastAsia="Times New Roman"/>
        </w:rPr>
      </w:pPr>
    </w:p>
    <w:p w:rsidR="00000000" w:rsidRDefault="00F123EE">
      <w:pPr>
        <w:jc w:val="both"/>
        <w:rPr>
          <w:rFonts w:eastAsia="Times New Roman"/>
        </w:rPr>
      </w:pPr>
      <w:r>
        <w:rPr>
          <w:rFonts w:eastAsia="Times New Roman"/>
          <w:b/>
          <w:bCs/>
          <w:color w:val="000000"/>
          <w:sz w:val="20"/>
          <w:szCs w:val="20"/>
        </w:rPr>
        <w:t>Purchase Price Volatility</w:t>
      </w:r>
    </w:p>
    <w:p w:rsidR="00000000" w:rsidRDefault="00F123EE">
      <w:pPr>
        <w:divId w:val="398015160"/>
        <w:rPr>
          <w:rFonts w:eastAsia="Times New Roman"/>
        </w:rPr>
      </w:pPr>
    </w:p>
    <w:p w:rsidR="00000000" w:rsidRDefault="00F123EE">
      <w:pPr>
        <w:jc w:val="both"/>
        <w:rPr>
          <w:rFonts w:eastAsia="Times New Roman"/>
        </w:rPr>
      </w:pPr>
      <w:r>
        <w:rPr>
          <w:rFonts w:eastAsia="Times New Roman"/>
          <w:color w:val="000000"/>
          <w:sz w:val="20"/>
          <w:szCs w:val="20"/>
        </w:rPr>
        <w:t>Although we cannot determine the full effect of inflation and deflation on our operations, we believe our sales and results of operations are affected by both.  We are subject to market risk with respect to the pricing of certain products and services, whi</w:t>
      </w:r>
      <w:r>
        <w:rPr>
          <w:rFonts w:eastAsia="Times New Roman"/>
          <w:color w:val="000000"/>
          <w:sz w:val="20"/>
          <w:szCs w:val="20"/>
        </w:rPr>
        <w:t>ch include, among other items, grain, corn, steel, petroleum, cotton, and other commodities, as well as duties, tariffs, diesel fuel, and transportation services.  Therefore, we may experience both inflationary and deflationary pressure on product cost, wh</w:t>
      </w:r>
      <w:r>
        <w:rPr>
          <w:rFonts w:eastAsia="Times New Roman"/>
          <w:color w:val="000000"/>
          <w:sz w:val="20"/>
          <w:szCs w:val="20"/>
        </w:rPr>
        <w:t>ich may impact consumer demand and, as a result, sales and gross margin.  Our strategy is to reduce or mitigate the effects of purchase price volatility, principally by taking advantage of vendor incentive programs, economies of scale from increased volume</w:t>
      </w:r>
      <w:r>
        <w:rPr>
          <w:rFonts w:eastAsia="Times New Roman"/>
          <w:color w:val="000000"/>
          <w:sz w:val="20"/>
          <w:szCs w:val="20"/>
        </w:rPr>
        <w:t xml:space="preserve"> of purchases, adjusting retail prices, and selectively buying from the most competitive vendors without sacrificing quality.</w:t>
      </w:r>
    </w:p>
    <w:p w:rsidR="00000000" w:rsidRDefault="00F123EE">
      <w:pPr>
        <w:jc w:val="both"/>
        <w:rPr>
          <w:rFonts w:eastAsia="Times New Roman"/>
        </w:rPr>
      </w:pPr>
    </w:p>
    <w:p w:rsidR="00000000" w:rsidRDefault="00F123EE">
      <w:pPr>
        <w:jc w:val="center"/>
        <w:divId w:val="889389139"/>
        <w:rPr>
          <w:rFonts w:eastAsia="Times New Roman"/>
        </w:rPr>
      </w:pPr>
      <w:r>
        <w:rPr>
          <w:rFonts w:eastAsia="Times New Roman"/>
          <w:color w:val="000000"/>
          <w:sz w:val="20"/>
          <w:szCs w:val="20"/>
        </w:rPr>
        <w:t>42</w:t>
      </w:r>
    </w:p>
    <w:p w:rsidR="00000000" w:rsidRDefault="00F123EE">
      <w:pPr>
        <w:rPr>
          <w:rFonts w:eastAsia="Times New Roman"/>
        </w:rPr>
      </w:pPr>
      <w:r>
        <w:rPr>
          <w:rFonts w:eastAsia="Times New Roman"/>
        </w:rPr>
        <w:pict>
          <v:rect id="_x0000_i1072" style="width:0;height:1.5pt" o:hralign="center" o:hrstd="t" o:hr="t" fillcolor="#a0a0a0" stroked="f"/>
        </w:pict>
      </w:r>
    </w:p>
    <w:p w:rsidR="00000000" w:rsidRDefault="00F123EE">
      <w:pPr>
        <w:divId w:val="1577477743"/>
        <w:rPr>
          <w:rFonts w:eastAsia="Times New Roman"/>
        </w:rPr>
      </w:pPr>
      <w:hyperlink w:anchor="i38696b5cc01146d68b9c6b33327cf890_7" w:history="1">
        <w:r>
          <w:rPr>
            <w:rStyle w:val="a3"/>
            <w:rFonts w:eastAsia="Times New Roman"/>
            <w:sz w:val="18"/>
            <w:szCs w:val="18"/>
          </w:rPr>
          <w:t>Index</w:t>
        </w:r>
      </w:hyperlink>
    </w:p>
    <w:p w:rsidR="00000000" w:rsidRDefault="00F123EE">
      <w:pPr>
        <w:ind w:hanging="1440"/>
        <w:divId w:val="1770736629"/>
        <w:rPr>
          <w:rFonts w:eastAsia="Times New Roman"/>
        </w:rPr>
      </w:pPr>
      <w:r>
        <w:rPr>
          <w:rFonts w:eastAsia="Times New Roman"/>
          <w:b/>
          <w:bCs/>
          <w:color w:val="000000"/>
          <w:sz w:val="20"/>
          <w:szCs w:val="20"/>
          <w:u w:val="single"/>
        </w:rPr>
        <w:t>Item 8</w:t>
      </w:r>
      <w:r>
        <w:rPr>
          <w:rFonts w:eastAsia="Times New Roman"/>
          <w:b/>
          <w:bCs/>
          <w:color w:val="000000"/>
          <w:sz w:val="20"/>
          <w:szCs w:val="20"/>
        </w:rPr>
        <w:t>.    </w:t>
      </w:r>
      <w:r>
        <w:rPr>
          <w:rFonts w:eastAsia="Times New Roman"/>
          <w:b/>
          <w:bCs/>
          <w:color w:val="000000"/>
          <w:sz w:val="20"/>
          <w:szCs w:val="20"/>
          <w:u w:val="single"/>
        </w:rPr>
        <w:t>Financial Sta</w:t>
      </w:r>
      <w:r>
        <w:rPr>
          <w:rFonts w:eastAsia="Times New Roman"/>
          <w:b/>
          <w:bCs/>
          <w:color w:val="000000"/>
          <w:sz w:val="20"/>
          <w:szCs w:val="20"/>
          <w:u w:val="single"/>
        </w:rPr>
        <w:t>tements and Supplementary Data</w:t>
      </w:r>
    </w:p>
    <w:p w:rsidR="00000000" w:rsidRDefault="00F123EE">
      <w:pPr>
        <w:divId w:val="283585172"/>
        <w:rPr>
          <w:rFonts w:eastAsia="Times New Roman"/>
        </w:rPr>
      </w:pPr>
    </w:p>
    <w:p w:rsidR="00000000" w:rsidRDefault="00F123EE">
      <w:pPr>
        <w:jc w:val="center"/>
        <w:rPr>
          <w:rFonts w:eastAsia="Times New Roman"/>
        </w:rPr>
      </w:pPr>
      <w:r>
        <w:rPr>
          <w:rFonts w:eastAsia="Times New Roman"/>
          <w:b/>
          <w:bCs/>
          <w:color w:val="000000"/>
          <w:sz w:val="20"/>
          <w:szCs w:val="20"/>
        </w:rPr>
        <w:t>INDEX</w:t>
      </w:r>
    </w:p>
    <w:p w:rsidR="00000000" w:rsidRDefault="00F123EE">
      <w:pPr>
        <w:divId w:val="2032604676"/>
        <w:rPr>
          <w:rFonts w:eastAsia="Times New Roman"/>
        </w:rPr>
      </w:pPr>
    </w:p>
    <w:p w:rsidR="00000000" w:rsidRDefault="00F123EE">
      <w:pPr>
        <w:jc w:val="center"/>
        <w:rPr>
          <w:rFonts w:eastAsia="Times New Roman"/>
        </w:rPr>
      </w:pPr>
      <w:r>
        <w:rPr>
          <w:rFonts w:eastAsia="Times New Roman"/>
          <w:b/>
          <w:bCs/>
          <w:color w:val="000000"/>
          <w:sz w:val="20"/>
          <w:szCs w:val="20"/>
        </w:rPr>
        <w:t>TRACTOR SUPPLY COMPANY</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7473"/>
        <w:gridCol w:w="37"/>
        <w:gridCol w:w="69"/>
        <w:gridCol w:w="622"/>
        <w:gridCol w:w="36"/>
      </w:tblGrid>
      <w:tr w:rsidR="00000000">
        <w:trPr>
          <w:jc w:val="center"/>
        </w:trPr>
        <w:tc>
          <w:tcPr>
            <w:tcW w:w="50" w:type="pct"/>
            <w:vAlign w:val="center"/>
            <w:hideMark/>
          </w:tcPr>
          <w:p w:rsidR="00000000" w:rsidRDefault="00F123EE">
            <w:pPr>
              <w:jc w:val="center"/>
              <w:rPr>
                <w:rFonts w:eastAsia="Times New Roman"/>
              </w:rPr>
            </w:pPr>
          </w:p>
        </w:tc>
        <w:tc>
          <w:tcPr>
            <w:tcW w:w="450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383"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 </w:t>
            </w:r>
            <w:r>
              <w:rPr>
                <w:rFonts w:eastAsia="Times New Roman"/>
                <w:b/>
                <w:bCs/>
                <w:color w:val="000000"/>
                <w:sz w:val="20"/>
                <w:szCs w:val="20"/>
                <w:u w:val="single"/>
              </w:rPr>
              <w:t>Page</w:t>
            </w:r>
          </w:p>
        </w:tc>
      </w:tr>
      <w:tr w:rsidR="00000000">
        <w:trPr>
          <w:jc w:val="center"/>
        </w:trPr>
        <w:tc>
          <w:tcPr>
            <w:tcW w:w="0" w:type="auto"/>
            <w:gridSpan w:val="3"/>
            <w:tcMar>
              <w:top w:w="30" w:type="dxa"/>
              <w:left w:w="20" w:type="dxa"/>
              <w:bottom w:w="30" w:type="dxa"/>
              <w:right w:w="20" w:type="dxa"/>
            </w:tcMar>
            <w:vAlign w:val="bottom"/>
            <w:hideMark/>
          </w:tcPr>
          <w:p w:rsidR="00000000" w:rsidRDefault="00F123EE">
            <w:pPr>
              <w:spacing w:after="100"/>
              <w:divId w:val="447168146"/>
              <w:rPr>
                <w:rFonts w:eastAsia="Times New Roman"/>
              </w:rPr>
            </w:pPr>
            <w:hyperlink w:anchor="i38696b5cc01146d68b9c6b33327cf890_67" w:history="1">
              <w:r>
                <w:rPr>
                  <w:rStyle w:val="a3"/>
                  <w:rFonts w:eastAsia="Times New Roman"/>
                  <w:sz w:val="20"/>
                  <w:szCs w:val="20"/>
                </w:rPr>
                <w:t>Management's Report on Internal Control over Financial Reporting</w:t>
              </w:r>
            </w:hyperlink>
          </w:p>
        </w:tc>
        <w:tc>
          <w:tcPr>
            <w:tcW w:w="0" w:type="auto"/>
            <w:gridSpan w:val="3"/>
            <w:tcMar>
              <w:top w:w="30" w:type="dxa"/>
              <w:left w:w="20" w:type="dxa"/>
              <w:bottom w:w="30" w:type="dxa"/>
              <w:right w:w="20" w:type="dxa"/>
            </w:tcMar>
            <w:hideMark/>
          </w:tcPr>
          <w:p w:rsidR="00000000" w:rsidRDefault="00F123EE">
            <w:pPr>
              <w:spacing w:after="100"/>
              <w:jc w:val="center"/>
              <w:rPr>
                <w:rFonts w:eastAsia="Times New Roman"/>
              </w:rPr>
            </w:pPr>
            <w:hyperlink w:anchor="i38696b5cc01146d68b9c6b33327cf890_67" w:history="1">
              <w:r>
                <w:rPr>
                  <w:rStyle w:val="a3"/>
                  <w:rFonts w:eastAsia="Times New Roman"/>
                  <w:sz w:val="20"/>
                  <w:szCs w:val="20"/>
                </w:rPr>
                <w:t>44</w:t>
              </w:r>
            </w:hyperlink>
          </w:p>
        </w:tc>
      </w:tr>
      <w:tr w:rsidR="00000000">
        <w:trPr>
          <w:trHeight w:val="300"/>
          <w:jc w:val="center"/>
        </w:trPr>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F123EE">
            <w:pPr>
              <w:spacing w:after="100"/>
              <w:divId w:val="107356290"/>
              <w:rPr>
                <w:rFonts w:eastAsia="Times New Roman"/>
              </w:rPr>
            </w:pPr>
            <w:hyperlink w:anchor="i38696b5cc01146d68b9c6b33327cf890_70" w:history="1">
              <w:r>
                <w:rPr>
                  <w:rStyle w:val="a3"/>
                  <w:rFonts w:eastAsia="Times New Roman"/>
                  <w:color w:val="3051F2"/>
                  <w:sz w:val="20"/>
                  <w:szCs w:val="20"/>
                </w:rPr>
                <w:t xml:space="preserve">Reports of </w:t>
              </w:r>
            </w:hyperlink>
            <w:r>
              <w:rPr>
                <w:rFonts w:eastAsia="Times New Roman"/>
                <w:color w:val="3051F2"/>
                <w:sz w:val="20"/>
                <w:szCs w:val="20"/>
                <w:u w:val="single"/>
              </w:rPr>
              <w:t>Ernst &amp; Young LLP</w:t>
            </w:r>
            <w:hyperlink w:anchor="i38696b5cc01146d68b9c6b33327cf890_70" w:history="1">
              <w:r>
                <w:rPr>
                  <w:rStyle w:val="a3"/>
                  <w:rFonts w:eastAsia="Times New Roman"/>
                  <w:color w:val="3051F2"/>
                  <w:sz w:val="20"/>
                  <w:szCs w:val="20"/>
                </w:rPr>
                <w:t xml:space="preserve">, Independent Registered Public Accounting Firm (PCAOB ID: </w:t>
              </w:r>
            </w:hyperlink>
            <w:r>
              <w:rPr>
                <w:rFonts w:eastAsia="Times New Roman"/>
                <w:color w:val="3051F2"/>
                <w:sz w:val="20"/>
                <w:szCs w:val="20"/>
                <w:u w:val="single"/>
              </w:rPr>
              <w:t>42</w:t>
            </w:r>
            <w:hyperlink w:anchor="i38696b5cc01146d68b9c6b33327cf890_70" w:history="1">
              <w:r>
                <w:rPr>
                  <w:rStyle w:val="a3"/>
                  <w:rFonts w:eastAsia="Times New Roman"/>
                  <w:color w:val="3051F2"/>
                  <w:sz w:val="20"/>
                  <w:szCs w:val="20"/>
                </w:rPr>
                <w:t>)</w:t>
              </w:r>
            </w:hyperlink>
          </w:p>
        </w:tc>
        <w:tc>
          <w:tcPr>
            <w:tcW w:w="0" w:type="auto"/>
            <w:gridSpan w:val="3"/>
            <w:tcMar>
              <w:top w:w="30" w:type="dxa"/>
              <w:left w:w="20" w:type="dxa"/>
              <w:bottom w:w="30" w:type="dxa"/>
              <w:right w:w="20" w:type="dxa"/>
            </w:tcMar>
            <w:hideMark/>
          </w:tcPr>
          <w:p w:rsidR="00000000" w:rsidRDefault="00F123EE">
            <w:pPr>
              <w:spacing w:after="100"/>
              <w:jc w:val="center"/>
              <w:rPr>
                <w:rFonts w:eastAsia="Times New Roman"/>
              </w:rPr>
            </w:pPr>
            <w:hyperlink w:anchor="i38696b5cc01146d68b9c6b33327cf890_70" w:history="1">
              <w:r>
                <w:rPr>
                  <w:rStyle w:val="a3"/>
                  <w:rFonts w:eastAsia="Times New Roman"/>
                  <w:sz w:val="20"/>
                  <w:szCs w:val="20"/>
                </w:rPr>
                <w:t>45</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color w:val="000000"/>
                <w:sz w:val="20"/>
                <w:szCs w:val="20"/>
              </w:rPr>
              <w:t> </w:t>
            </w:r>
          </w:p>
        </w:tc>
      </w:tr>
      <w:tr w:rsidR="00000000">
        <w:trPr>
          <w:jc w:val="center"/>
        </w:trPr>
        <w:tc>
          <w:tcPr>
            <w:tcW w:w="0" w:type="auto"/>
            <w:gridSpan w:val="3"/>
            <w:tcMar>
              <w:top w:w="30" w:type="dxa"/>
              <w:left w:w="20" w:type="dxa"/>
              <w:bottom w:w="30" w:type="dxa"/>
              <w:right w:w="20" w:type="dxa"/>
            </w:tcMar>
            <w:vAlign w:val="bottom"/>
            <w:hideMark/>
          </w:tcPr>
          <w:p w:rsidR="00000000" w:rsidRDefault="00F123EE">
            <w:pPr>
              <w:spacing w:after="100"/>
              <w:divId w:val="551577474"/>
              <w:rPr>
                <w:rFonts w:eastAsia="Times New Roman"/>
              </w:rPr>
            </w:pPr>
            <w:hyperlink w:anchor="i38696b5cc01146d68b9c6b33327cf890_76" w:history="1">
              <w:r>
                <w:rPr>
                  <w:rStyle w:val="a3"/>
                  <w:rFonts w:eastAsia="Times New Roman"/>
                  <w:sz w:val="20"/>
                  <w:szCs w:val="20"/>
                </w:rPr>
                <w:t xml:space="preserve">Consolidated Statements of Income for the fiscal years ended December </w:t>
              </w:r>
            </w:hyperlink>
            <w:hyperlink w:anchor="i38696b5cc01146d68b9c6b33327cf890_76" w:history="1">
              <w:r>
                <w:rPr>
                  <w:rStyle w:val="a3"/>
                  <w:rFonts w:eastAsia="Times New Roman"/>
                  <w:sz w:val="20"/>
                  <w:szCs w:val="20"/>
                </w:rPr>
                <w:t>31</w:t>
              </w:r>
            </w:hyperlink>
            <w:hyperlink w:anchor="i38696b5cc01146d68b9c6b33327cf890_76" w:history="1">
              <w:r>
                <w:rPr>
                  <w:rStyle w:val="a3"/>
                  <w:rFonts w:eastAsia="Times New Roman"/>
                  <w:sz w:val="20"/>
                  <w:szCs w:val="20"/>
                </w:rPr>
                <w:t>, 202</w:t>
              </w:r>
            </w:hyperlink>
            <w:hyperlink w:anchor="i38696b5cc01146d68b9c6b33327cf890_76" w:history="1">
              <w:r>
                <w:rPr>
                  <w:rStyle w:val="a3"/>
                  <w:rFonts w:eastAsia="Times New Roman"/>
                  <w:sz w:val="20"/>
                  <w:szCs w:val="20"/>
                </w:rPr>
                <w:t>2</w:t>
              </w:r>
            </w:hyperlink>
            <w:hyperlink w:anchor="i38696b5cc01146d68b9c6b33327cf890_76" w:history="1">
              <w:r>
                <w:rPr>
                  <w:rStyle w:val="a3"/>
                  <w:rFonts w:eastAsia="Times New Roman"/>
                  <w:sz w:val="20"/>
                  <w:szCs w:val="20"/>
                </w:rPr>
                <w:t xml:space="preserve">, </w:t>
              </w:r>
            </w:hyperlink>
            <w:hyperlink w:anchor="i38696b5cc01146d68b9c6b33327cf890_76" w:history="1">
              <w:r>
                <w:rPr>
                  <w:rStyle w:val="a3"/>
                  <w:rFonts w:eastAsia="Times New Roman"/>
                  <w:sz w:val="20"/>
                  <w:szCs w:val="20"/>
                </w:rPr>
                <w:t>December 25, 2021</w:t>
              </w:r>
            </w:hyperlink>
            <w:hyperlink w:anchor="i38696b5cc01146d68b9c6b33327cf890_76" w:history="1">
              <w:r>
                <w:rPr>
                  <w:rStyle w:val="a3"/>
                  <w:rFonts w:eastAsia="Times New Roman"/>
                  <w:sz w:val="20"/>
                  <w:szCs w:val="20"/>
                </w:rPr>
                <w:t xml:space="preserve">, and </w:t>
              </w:r>
            </w:hyperlink>
            <w:hyperlink w:anchor="i38696b5cc01146d68b9c6b33327cf890_76" w:history="1">
              <w:r>
                <w:rPr>
                  <w:rStyle w:val="a3"/>
                  <w:rFonts w:eastAsia="Times New Roman"/>
                  <w:sz w:val="20"/>
                  <w:szCs w:val="20"/>
                </w:rPr>
                <w:t>December 26, 2020</w:t>
              </w:r>
            </w:hyperlink>
          </w:p>
        </w:tc>
        <w:tc>
          <w:tcPr>
            <w:tcW w:w="0" w:type="auto"/>
            <w:gridSpan w:val="3"/>
            <w:tcMar>
              <w:top w:w="30" w:type="dxa"/>
              <w:left w:w="20" w:type="dxa"/>
              <w:bottom w:w="30" w:type="dxa"/>
              <w:right w:w="20" w:type="dxa"/>
            </w:tcMar>
            <w:hideMark/>
          </w:tcPr>
          <w:p w:rsidR="00000000" w:rsidRDefault="00F123EE">
            <w:pPr>
              <w:spacing w:after="100"/>
              <w:jc w:val="center"/>
              <w:rPr>
                <w:rFonts w:eastAsia="Times New Roman"/>
              </w:rPr>
            </w:pPr>
            <w:hyperlink w:anchor="i38696b5cc01146d68b9c6b33327cf890_76" w:history="1">
              <w:r>
                <w:rPr>
                  <w:rStyle w:val="a3"/>
                  <w:rFonts w:eastAsia="Times New Roman"/>
                  <w:sz w:val="20"/>
                  <w:szCs w:val="20"/>
                </w:rPr>
                <w:t>48</w:t>
              </w:r>
            </w:hyperlink>
          </w:p>
        </w:tc>
      </w:tr>
      <w:tr w:rsidR="00000000">
        <w:trPr>
          <w:trHeight w:val="300"/>
          <w:jc w:val="center"/>
        </w:trPr>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F123EE">
            <w:pPr>
              <w:spacing w:after="100"/>
              <w:divId w:val="100420216"/>
              <w:rPr>
                <w:rFonts w:eastAsia="Times New Roman"/>
              </w:rPr>
            </w:pPr>
            <w:hyperlink w:anchor="i38696b5cc01146d68b9c6b33327cf890_79" w:history="1">
              <w:r>
                <w:rPr>
                  <w:rStyle w:val="a3"/>
                  <w:rFonts w:eastAsia="Times New Roman"/>
                  <w:sz w:val="20"/>
                  <w:szCs w:val="20"/>
                </w:rPr>
                <w:t xml:space="preserve">Consolidated Statements of Comprehensive Income for the fiscal years ended December </w:t>
              </w:r>
            </w:hyperlink>
            <w:hyperlink w:anchor="i38696b5cc01146d68b9c6b33327cf890_79" w:history="1">
              <w:r>
                <w:rPr>
                  <w:rStyle w:val="a3"/>
                  <w:rFonts w:eastAsia="Times New Roman"/>
                  <w:sz w:val="20"/>
                  <w:szCs w:val="20"/>
                </w:rPr>
                <w:t>31</w:t>
              </w:r>
            </w:hyperlink>
            <w:hyperlink w:anchor="i38696b5cc01146d68b9c6b33327cf890_79" w:history="1">
              <w:r>
                <w:rPr>
                  <w:rStyle w:val="a3"/>
                  <w:rFonts w:eastAsia="Times New Roman"/>
                  <w:sz w:val="20"/>
                  <w:szCs w:val="20"/>
                </w:rPr>
                <w:t>, 202</w:t>
              </w:r>
            </w:hyperlink>
            <w:hyperlink w:anchor="i38696b5cc01146d68b9c6b33327cf890_79" w:history="1">
              <w:r>
                <w:rPr>
                  <w:rStyle w:val="a3"/>
                  <w:rFonts w:eastAsia="Times New Roman"/>
                  <w:sz w:val="20"/>
                  <w:szCs w:val="20"/>
                </w:rPr>
                <w:t>2</w:t>
              </w:r>
            </w:hyperlink>
            <w:hyperlink w:anchor="i38696b5cc01146d68b9c6b33327cf890_79" w:history="1">
              <w:r>
                <w:rPr>
                  <w:rStyle w:val="a3"/>
                  <w:rFonts w:eastAsia="Times New Roman"/>
                  <w:sz w:val="20"/>
                  <w:szCs w:val="20"/>
                </w:rPr>
                <w:t xml:space="preserve">, </w:t>
              </w:r>
            </w:hyperlink>
            <w:hyperlink w:anchor="i38696b5cc01146d68b9c6b33327cf890_79" w:history="1">
              <w:r>
                <w:rPr>
                  <w:rStyle w:val="a3"/>
                  <w:rFonts w:eastAsia="Times New Roman"/>
                  <w:sz w:val="20"/>
                  <w:szCs w:val="20"/>
                </w:rPr>
                <w:t>December 25, 2021</w:t>
              </w:r>
            </w:hyperlink>
            <w:hyperlink w:anchor="i38696b5cc01146d68b9c6b33327cf890_79" w:history="1">
              <w:r>
                <w:rPr>
                  <w:rStyle w:val="a3"/>
                  <w:rFonts w:eastAsia="Times New Roman"/>
                  <w:sz w:val="20"/>
                  <w:szCs w:val="20"/>
                </w:rPr>
                <w:t xml:space="preserve">, and </w:t>
              </w:r>
            </w:hyperlink>
            <w:hyperlink w:anchor="i38696b5cc01146d68b9c6b33327cf890_79" w:history="1">
              <w:r>
                <w:rPr>
                  <w:rStyle w:val="a3"/>
                  <w:rFonts w:eastAsia="Times New Roman"/>
                  <w:sz w:val="20"/>
                  <w:szCs w:val="20"/>
                </w:rPr>
                <w:t>December 26, 2020</w:t>
              </w:r>
            </w:hyperlink>
          </w:p>
        </w:tc>
        <w:tc>
          <w:tcPr>
            <w:tcW w:w="0" w:type="auto"/>
            <w:gridSpan w:val="3"/>
            <w:tcMar>
              <w:top w:w="30" w:type="dxa"/>
              <w:left w:w="20" w:type="dxa"/>
              <w:bottom w:w="30" w:type="dxa"/>
              <w:right w:w="20" w:type="dxa"/>
            </w:tcMar>
            <w:hideMark/>
          </w:tcPr>
          <w:p w:rsidR="00000000" w:rsidRDefault="00F123EE">
            <w:pPr>
              <w:spacing w:after="100"/>
              <w:jc w:val="center"/>
              <w:rPr>
                <w:rFonts w:eastAsia="Times New Roman"/>
              </w:rPr>
            </w:pPr>
            <w:hyperlink w:anchor="i38696b5cc01146d68b9c6b33327cf890_79" w:history="1">
              <w:r>
                <w:rPr>
                  <w:rStyle w:val="a3"/>
                  <w:rFonts w:eastAsia="Times New Roman"/>
                  <w:sz w:val="20"/>
                  <w:szCs w:val="20"/>
                </w:rPr>
                <w:t>49</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color w:val="000000"/>
                <w:sz w:val="20"/>
                <w:szCs w:val="20"/>
              </w:rPr>
              <w:t> </w:t>
            </w:r>
          </w:p>
        </w:tc>
      </w:tr>
      <w:tr w:rsidR="00000000">
        <w:trPr>
          <w:jc w:val="center"/>
        </w:trPr>
        <w:tc>
          <w:tcPr>
            <w:tcW w:w="0" w:type="auto"/>
            <w:gridSpan w:val="3"/>
            <w:tcMar>
              <w:top w:w="30" w:type="dxa"/>
              <w:left w:w="20" w:type="dxa"/>
              <w:bottom w:w="30" w:type="dxa"/>
              <w:right w:w="20" w:type="dxa"/>
            </w:tcMar>
            <w:vAlign w:val="bottom"/>
            <w:hideMark/>
          </w:tcPr>
          <w:p w:rsidR="00000000" w:rsidRDefault="00F123EE">
            <w:pPr>
              <w:spacing w:after="100"/>
              <w:divId w:val="88696826"/>
              <w:rPr>
                <w:rFonts w:eastAsia="Times New Roman"/>
              </w:rPr>
            </w:pPr>
            <w:hyperlink w:anchor="i38696b5cc01146d68b9c6b33327cf890_82" w:history="1">
              <w:r>
                <w:rPr>
                  <w:rStyle w:val="a3"/>
                  <w:rFonts w:eastAsia="Times New Roman"/>
                  <w:sz w:val="20"/>
                  <w:szCs w:val="20"/>
                </w:rPr>
                <w:t xml:space="preserve">Consolidated Balance Sheets as of December </w:t>
              </w:r>
            </w:hyperlink>
            <w:hyperlink w:anchor="i38696b5cc01146d68b9c6b33327cf890_82" w:history="1">
              <w:r>
                <w:rPr>
                  <w:rStyle w:val="a3"/>
                  <w:rFonts w:eastAsia="Times New Roman"/>
                  <w:sz w:val="20"/>
                  <w:szCs w:val="20"/>
                </w:rPr>
                <w:t>31</w:t>
              </w:r>
            </w:hyperlink>
            <w:hyperlink w:anchor="i38696b5cc01146d68b9c6b33327cf890_82" w:history="1">
              <w:r>
                <w:rPr>
                  <w:rStyle w:val="a3"/>
                  <w:rFonts w:eastAsia="Times New Roman"/>
                  <w:sz w:val="20"/>
                  <w:szCs w:val="20"/>
                </w:rPr>
                <w:t>, 202</w:t>
              </w:r>
            </w:hyperlink>
            <w:hyperlink w:anchor="i38696b5cc01146d68b9c6b33327cf890_82" w:history="1">
              <w:r>
                <w:rPr>
                  <w:rStyle w:val="a3"/>
                  <w:rFonts w:eastAsia="Times New Roman"/>
                  <w:sz w:val="20"/>
                  <w:szCs w:val="20"/>
                </w:rPr>
                <w:t>2</w:t>
              </w:r>
            </w:hyperlink>
            <w:hyperlink w:anchor="i38696b5cc01146d68b9c6b33327cf890_82" w:history="1">
              <w:r>
                <w:rPr>
                  <w:rStyle w:val="a3"/>
                  <w:rFonts w:eastAsia="Times New Roman"/>
                  <w:sz w:val="20"/>
                  <w:szCs w:val="20"/>
                </w:rPr>
                <w:t xml:space="preserve"> and </w:t>
              </w:r>
            </w:hyperlink>
            <w:hyperlink w:anchor="i38696b5cc01146d68b9c6b33327cf890_79" w:history="1">
              <w:r>
                <w:rPr>
                  <w:rStyle w:val="a3"/>
                  <w:rFonts w:eastAsia="Times New Roman"/>
                  <w:sz w:val="20"/>
                  <w:szCs w:val="20"/>
                </w:rPr>
                <w:t>December 25, 2021</w:t>
              </w:r>
            </w:hyperlink>
          </w:p>
        </w:tc>
        <w:tc>
          <w:tcPr>
            <w:tcW w:w="0" w:type="auto"/>
            <w:gridSpan w:val="3"/>
            <w:tcMar>
              <w:top w:w="30" w:type="dxa"/>
              <w:left w:w="20" w:type="dxa"/>
              <w:bottom w:w="30" w:type="dxa"/>
              <w:right w:w="20" w:type="dxa"/>
            </w:tcMar>
            <w:hideMark/>
          </w:tcPr>
          <w:p w:rsidR="00000000" w:rsidRDefault="00F123EE">
            <w:pPr>
              <w:spacing w:after="100"/>
              <w:jc w:val="center"/>
              <w:rPr>
                <w:rFonts w:eastAsia="Times New Roman"/>
              </w:rPr>
            </w:pPr>
            <w:hyperlink w:anchor="i38696b5cc01146d68b9c6b33327cf890_82" w:history="1">
              <w:r>
                <w:rPr>
                  <w:rStyle w:val="a3"/>
                  <w:rFonts w:eastAsia="Times New Roman"/>
                  <w:sz w:val="20"/>
                  <w:szCs w:val="20"/>
                </w:rPr>
                <w:t>50</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color w:val="000000"/>
                <w:sz w:val="20"/>
                <w:szCs w:val="20"/>
              </w:rPr>
              <w:t> </w:t>
            </w:r>
          </w:p>
        </w:tc>
      </w:tr>
      <w:tr w:rsidR="00000000">
        <w:trPr>
          <w:jc w:val="center"/>
        </w:trPr>
        <w:tc>
          <w:tcPr>
            <w:tcW w:w="0" w:type="auto"/>
            <w:gridSpan w:val="3"/>
            <w:tcMar>
              <w:top w:w="30" w:type="dxa"/>
              <w:left w:w="20" w:type="dxa"/>
              <w:bottom w:w="30" w:type="dxa"/>
              <w:right w:w="20" w:type="dxa"/>
            </w:tcMar>
            <w:vAlign w:val="bottom"/>
            <w:hideMark/>
          </w:tcPr>
          <w:p w:rsidR="00000000" w:rsidRDefault="00F123EE">
            <w:pPr>
              <w:spacing w:after="100"/>
              <w:divId w:val="126971434"/>
              <w:rPr>
                <w:rFonts w:eastAsia="Times New Roman"/>
              </w:rPr>
            </w:pPr>
            <w:hyperlink w:anchor="i38696b5cc01146d68b9c6b33327cf890_85" w:history="1">
              <w:r>
                <w:rPr>
                  <w:rStyle w:val="a3"/>
                  <w:rFonts w:eastAsia="Times New Roman"/>
                  <w:sz w:val="20"/>
                  <w:szCs w:val="20"/>
                </w:rPr>
                <w:t xml:space="preserve">Consolidated Statements of Stockholders’ Equity for the fiscal years ended December </w:t>
              </w:r>
            </w:hyperlink>
            <w:hyperlink w:anchor="i38696b5cc01146d68b9c6b33327cf890_85" w:history="1">
              <w:r>
                <w:rPr>
                  <w:rStyle w:val="a3"/>
                  <w:rFonts w:eastAsia="Times New Roman"/>
                  <w:sz w:val="20"/>
                  <w:szCs w:val="20"/>
                </w:rPr>
                <w:t>31</w:t>
              </w:r>
            </w:hyperlink>
            <w:hyperlink w:anchor="i38696b5cc01146d68b9c6b33327cf890_85" w:history="1">
              <w:r>
                <w:rPr>
                  <w:rStyle w:val="a3"/>
                  <w:rFonts w:eastAsia="Times New Roman"/>
                  <w:sz w:val="20"/>
                  <w:szCs w:val="20"/>
                </w:rPr>
                <w:t>, 202</w:t>
              </w:r>
            </w:hyperlink>
            <w:hyperlink w:anchor="i38696b5cc01146d68b9c6b33327cf890_85" w:history="1">
              <w:r>
                <w:rPr>
                  <w:rStyle w:val="a3"/>
                  <w:rFonts w:eastAsia="Times New Roman"/>
                  <w:sz w:val="20"/>
                  <w:szCs w:val="20"/>
                </w:rPr>
                <w:t>2</w:t>
              </w:r>
            </w:hyperlink>
            <w:hyperlink w:anchor="i38696b5cc01146d68b9c6b33327cf890_85" w:history="1">
              <w:r>
                <w:rPr>
                  <w:rStyle w:val="a3"/>
                  <w:rFonts w:eastAsia="Times New Roman"/>
                  <w:sz w:val="20"/>
                  <w:szCs w:val="20"/>
                </w:rPr>
                <w:t xml:space="preserve">, </w:t>
              </w:r>
            </w:hyperlink>
            <w:hyperlink w:anchor="i38696b5cc01146d68b9c6b33327cf890_85" w:history="1">
              <w:r>
                <w:rPr>
                  <w:rStyle w:val="a3"/>
                  <w:rFonts w:eastAsia="Times New Roman"/>
                  <w:sz w:val="20"/>
                  <w:szCs w:val="20"/>
                </w:rPr>
                <w:t>December 25, 2021</w:t>
              </w:r>
            </w:hyperlink>
            <w:hyperlink w:anchor="i38696b5cc01146d68b9c6b33327cf890_85" w:history="1">
              <w:r>
                <w:rPr>
                  <w:rStyle w:val="a3"/>
                  <w:rFonts w:eastAsia="Times New Roman"/>
                  <w:sz w:val="20"/>
                  <w:szCs w:val="20"/>
                </w:rPr>
                <w:t xml:space="preserve">, and </w:t>
              </w:r>
            </w:hyperlink>
            <w:hyperlink w:anchor="i38696b5cc01146d68b9c6b33327cf890_85" w:history="1">
              <w:r>
                <w:rPr>
                  <w:rStyle w:val="a3"/>
                  <w:rFonts w:eastAsia="Times New Roman"/>
                  <w:sz w:val="20"/>
                  <w:szCs w:val="20"/>
                </w:rPr>
                <w:t>December 26, 2020</w:t>
              </w:r>
            </w:hyperlink>
          </w:p>
        </w:tc>
        <w:tc>
          <w:tcPr>
            <w:tcW w:w="0" w:type="auto"/>
            <w:gridSpan w:val="3"/>
            <w:tcMar>
              <w:top w:w="30" w:type="dxa"/>
              <w:left w:w="20" w:type="dxa"/>
              <w:bottom w:w="30" w:type="dxa"/>
              <w:right w:w="20" w:type="dxa"/>
            </w:tcMar>
            <w:hideMark/>
          </w:tcPr>
          <w:p w:rsidR="00000000" w:rsidRDefault="00F123EE">
            <w:pPr>
              <w:spacing w:after="100"/>
              <w:jc w:val="center"/>
              <w:rPr>
                <w:rFonts w:eastAsia="Times New Roman"/>
              </w:rPr>
            </w:pPr>
            <w:hyperlink w:anchor="i38696b5cc01146d68b9c6b33327cf890_85" w:history="1">
              <w:r>
                <w:rPr>
                  <w:rStyle w:val="a3"/>
                  <w:rFonts w:eastAsia="Times New Roman"/>
                  <w:sz w:val="20"/>
                  <w:szCs w:val="20"/>
                </w:rPr>
                <w:t>51</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color w:val="000000"/>
                <w:sz w:val="20"/>
                <w:szCs w:val="20"/>
              </w:rPr>
              <w:t> </w:t>
            </w:r>
          </w:p>
        </w:tc>
      </w:tr>
      <w:tr w:rsidR="00000000">
        <w:trPr>
          <w:jc w:val="center"/>
        </w:trPr>
        <w:tc>
          <w:tcPr>
            <w:tcW w:w="0" w:type="auto"/>
            <w:gridSpan w:val="3"/>
            <w:tcMar>
              <w:top w:w="30" w:type="dxa"/>
              <w:left w:w="20" w:type="dxa"/>
              <w:bottom w:w="30" w:type="dxa"/>
              <w:right w:w="20" w:type="dxa"/>
            </w:tcMar>
            <w:vAlign w:val="bottom"/>
            <w:hideMark/>
          </w:tcPr>
          <w:p w:rsidR="00000000" w:rsidRDefault="00F123EE">
            <w:pPr>
              <w:spacing w:after="100"/>
              <w:divId w:val="1859539453"/>
              <w:rPr>
                <w:rFonts w:eastAsia="Times New Roman"/>
              </w:rPr>
            </w:pPr>
            <w:hyperlink w:anchor="i38696b5cc01146d68b9c6b33327cf890_88" w:history="1">
              <w:r>
                <w:rPr>
                  <w:rStyle w:val="a3"/>
                  <w:rFonts w:eastAsia="Times New Roman"/>
                  <w:sz w:val="20"/>
                  <w:szCs w:val="20"/>
                </w:rPr>
                <w:t xml:space="preserve">Consolidated Statements of Cash Flows for the fiscal years ended December </w:t>
              </w:r>
            </w:hyperlink>
            <w:hyperlink w:anchor="i38696b5cc01146d68b9c6b33327cf890_88" w:history="1">
              <w:r>
                <w:rPr>
                  <w:rStyle w:val="a3"/>
                  <w:rFonts w:eastAsia="Times New Roman"/>
                  <w:sz w:val="20"/>
                  <w:szCs w:val="20"/>
                </w:rPr>
                <w:t>31</w:t>
              </w:r>
            </w:hyperlink>
            <w:hyperlink w:anchor="i38696b5cc01146d68b9c6b33327cf890_88" w:history="1">
              <w:r>
                <w:rPr>
                  <w:rStyle w:val="a3"/>
                  <w:rFonts w:eastAsia="Times New Roman"/>
                  <w:sz w:val="20"/>
                  <w:szCs w:val="20"/>
                </w:rPr>
                <w:t>, 2</w:t>
              </w:r>
              <w:r>
                <w:rPr>
                  <w:rStyle w:val="a3"/>
                  <w:rFonts w:eastAsia="Times New Roman"/>
                  <w:sz w:val="20"/>
                  <w:szCs w:val="20"/>
                </w:rPr>
                <w:t>02</w:t>
              </w:r>
            </w:hyperlink>
            <w:hyperlink w:anchor="i38696b5cc01146d68b9c6b33327cf890_88" w:history="1">
              <w:r>
                <w:rPr>
                  <w:rStyle w:val="a3"/>
                  <w:rFonts w:eastAsia="Times New Roman"/>
                  <w:sz w:val="20"/>
                  <w:szCs w:val="20"/>
                </w:rPr>
                <w:t>2</w:t>
              </w:r>
            </w:hyperlink>
            <w:hyperlink w:anchor="i38696b5cc01146d68b9c6b33327cf890_88" w:history="1">
              <w:r>
                <w:rPr>
                  <w:rStyle w:val="a3"/>
                  <w:rFonts w:eastAsia="Times New Roman"/>
                  <w:sz w:val="20"/>
                  <w:szCs w:val="20"/>
                </w:rPr>
                <w:t xml:space="preserve">, </w:t>
              </w:r>
            </w:hyperlink>
            <w:hyperlink w:anchor="i38696b5cc01146d68b9c6b33327cf890_88" w:history="1">
              <w:r>
                <w:rPr>
                  <w:rStyle w:val="a3"/>
                  <w:rFonts w:eastAsia="Times New Roman"/>
                  <w:sz w:val="20"/>
                  <w:szCs w:val="20"/>
                </w:rPr>
                <w:t>December 25, 2021</w:t>
              </w:r>
            </w:hyperlink>
            <w:hyperlink w:anchor="i38696b5cc01146d68b9c6b33327cf890_88" w:history="1">
              <w:r>
                <w:rPr>
                  <w:rStyle w:val="a3"/>
                  <w:rFonts w:eastAsia="Times New Roman"/>
                  <w:sz w:val="20"/>
                  <w:szCs w:val="20"/>
                </w:rPr>
                <w:t xml:space="preserve">, and </w:t>
              </w:r>
            </w:hyperlink>
            <w:hyperlink w:anchor="i38696b5cc01146d68b9c6b33327cf890_88" w:history="1">
              <w:r>
                <w:rPr>
                  <w:rStyle w:val="a3"/>
                  <w:rFonts w:eastAsia="Times New Roman"/>
                  <w:sz w:val="20"/>
                  <w:szCs w:val="20"/>
                </w:rPr>
                <w:t>December 26, 2020</w:t>
              </w:r>
            </w:hyperlink>
          </w:p>
        </w:tc>
        <w:tc>
          <w:tcPr>
            <w:tcW w:w="0" w:type="auto"/>
            <w:gridSpan w:val="3"/>
            <w:tcMar>
              <w:top w:w="30" w:type="dxa"/>
              <w:left w:w="20" w:type="dxa"/>
              <w:bottom w:w="30" w:type="dxa"/>
              <w:right w:w="20" w:type="dxa"/>
            </w:tcMar>
            <w:hideMark/>
          </w:tcPr>
          <w:p w:rsidR="00000000" w:rsidRDefault="00F123EE">
            <w:pPr>
              <w:spacing w:after="100"/>
              <w:jc w:val="center"/>
              <w:rPr>
                <w:rFonts w:eastAsia="Times New Roman"/>
              </w:rPr>
            </w:pPr>
            <w:hyperlink w:anchor="i38696b5cc01146d68b9c6b33327cf890_88" w:history="1">
              <w:r>
                <w:rPr>
                  <w:rStyle w:val="a3"/>
                  <w:rFonts w:eastAsia="Times New Roman"/>
                  <w:sz w:val="20"/>
                  <w:szCs w:val="20"/>
                </w:rPr>
                <w:t>52</w:t>
              </w:r>
            </w:hyperlink>
          </w:p>
        </w:tc>
      </w:tr>
      <w:tr w:rsidR="00000000">
        <w:trPr>
          <w:trHeight w:val="300"/>
          <w:jc w:val="center"/>
        </w:trPr>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F123EE">
            <w:pPr>
              <w:spacing w:after="100"/>
              <w:divId w:val="1972398327"/>
              <w:rPr>
                <w:rFonts w:eastAsia="Times New Roman"/>
              </w:rPr>
            </w:pPr>
            <w:hyperlink w:anchor="i38696b5cc01146d68b9c6b33327cf890_91" w:history="1">
              <w:r>
                <w:rPr>
                  <w:rStyle w:val="a3"/>
                  <w:rFonts w:eastAsia="Times New Roman"/>
                  <w:sz w:val="20"/>
                  <w:szCs w:val="20"/>
                </w:rPr>
                <w:t>Notes to Consolidated Financial Statements</w:t>
              </w:r>
            </w:hyperlink>
          </w:p>
        </w:tc>
        <w:tc>
          <w:tcPr>
            <w:tcW w:w="0" w:type="auto"/>
            <w:gridSpan w:val="3"/>
            <w:tcMar>
              <w:top w:w="30" w:type="dxa"/>
              <w:left w:w="20" w:type="dxa"/>
              <w:bottom w:w="30" w:type="dxa"/>
              <w:right w:w="20" w:type="dxa"/>
            </w:tcMar>
            <w:hideMark/>
          </w:tcPr>
          <w:p w:rsidR="00000000" w:rsidRDefault="00F123EE">
            <w:pPr>
              <w:spacing w:after="100"/>
              <w:jc w:val="center"/>
              <w:rPr>
                <w:rFonts w:eastAsia="Times New Roman"/>
              </w:rPr>
            </w:pPr>
            <w:hyperlink w:anchor="i38696b5cc01146d68b9c6b33327cf890_91" w:history="1">
              <w:r>
                <w:rPr>
                  <w:rStyle w:val="a3"/>
                  <w:rFonts w:eastAsia="Times New Roman"/>
                  <w:sz w:val="20"/>
                  <w:szCs w:val="20"/>
                </w:rPr>
                <w:t>53</w:t>
              </w:r>
            </w:hyperlink>
          </w:p>
        </w:tc>
      </w:tr>
    </w:tbl>
    <w:p w:rsidR="00000000" w:rsidRDefault="00F123EE">
      <w:pPr>
        <w:divId w:val="484711062"/>
        <w:rPr>
          <w:rFonts w:eastAsia="Times New Roman"/>
        </w:rPr>
      </w:pPr>
    </w:p>
    <w:p w:rsidR="00000000" w:rsidRDefault="00F123EE">
      <w:pPr>
        <w:jc w:val="center"/>
        <w:divId w:val="2128617153"/>
        <w:rPr>
          <w:rFonts w:eastAsia="Times New Roman"/>
        </w:rPr>
      </w:pPr>
      <w:r>
        <w:rPr>
          <w:rFonts w:eastAsia="Times New Roman"/>
          <w:color w:val="000000"/>
          <w:sz w:val="20"/>
          <w:szCs w:val="20"/>
        </w:rPr>
        <w:t>43</w:t>
      </w:r>
    </w:p>
    <w:p w:rsidR="00000000" w:rsidRDefault="00F123EE">
      <w:pPr>
        <w:rPr>
          <w:rFonts w:eastAsia="Times New Roman"/>
        </w:rPr>
      </w:pPr>
      <w:r>
        <w:rPr>
          <w:rFonts w:eastAsia="Times New Roman"/>
        </w:rPr>
        <w:pict>
          <v:rect id="_x0000_i1073" style="width:0;height:1.5pt" o:hralign="center" o:hrstd="t" o:hr="t" fillcolor="#a0a0a0" stroked="f"/>
        </w:pict>
      </w:r>
    </w:p>
    <w:p w:rsidR="00000000" w:rsidRDefault="00F123EE">
      <w:pPr>
        <w:divId w:val="823862103"/>
        <w:rPr>
          <w:rFonts w:eastAsia="Times New Roman"/>
        </w:rPr>
      </w:pPr>
      <w:hyperlink w:anchor="i38696b5cc01146d68b9c6b33327cf890_7" w:history="1">
        <w:r>
          <w:rPr>
            <w:rStyle w:val="a3"/>
            <w:rFonts w:eastAsia="Times New Roman"/>
            <w:sz w:val="18"/>
            <w:szCs w:val="18"/>
          </w:rPr>
          <w:t>Index</w:t>
        </w:r>
      </w:hyperlink>
    </w:p>
    <w:p w:rsidR="00000000" w:rsidRDefault="00F123EE">
      <w:pPr>
        <w:jc w:val="center"/>
        <w:rPr>
          <w:rFonts w:eastAsia="Times New Roman"/>
        </w:rPr>
      </w:pPr>
      <w:r>
        <w:rPr>
          <w:rFonts w:eastAsia="Times New Roman"/>
          <w:b/>
          <w:bCs/>
          <w:color w:val="000000"/>
          <w:sz w:val="20"/>
          <w:szCs w:val="20"/>
        </w:rPr>
        <w:t>Management’s Report on Internal Control Over Financial Reporting</w:t>
      </w:r>
    </w:p>
    <w:p w:rsidR="00000000" w:rsidRDefault="00F123EE">
      <w:pPr>
        <w:divId w:val="1882785875"/>
        <w:rPr>
          <w:rFonts w:eastAsia="Times New Roman"/>
        </w:rPr>
      </w:pPr>
    </w:p>
    <w:p w:rsidR="00000000" w:rsidRDefault="00F123EE">
      <w:pPr>
        <w:jc w:val="both"/>
        <w:rPr>
          <w:rFonts w:eastAsia="Times New Roman"/>
        </w:rPr>
      </w:pPr>
      <w:r>
        <w:rPr>
          <w:rFonts w:eastAsia="Times New Roman"/>
          <w:color w:val="000000"/>
          <w:sz w:val="20"/>
          <w:szCs w:val="20"/>
        </w:rPr>
        <w:t>Management is responsible for establishing and maintaining adequate internal control over</w:t>
      </w:r>
      <w:r>
        <w:rPr>
          <w:rFonts w:eastAsia="Times New Roman"/>
          <w:color w:val="000000"/>
          <w:sz w:val="20"/>
          <w:szCs w:val="20"/>
        </w:rPr>
        <w:t xml:space="preserve"> financial reporting (as defined in Rules 13a-15(f) under the Securities Exchange Act of 1934, as amended).  The Company’s internal control over financial reporting is a process designed to provide reasonable assurance regarding the reliability of financia</w:t>
      </w:r>
      <w:r>
        <w:rPr>
          <w:rFonts w:eastAsia="Times New Roman"/>
          <w:color w:val="000000"/>
          <w:sz w:val="20"/>
          <w:szCs w:val="20"/>
        </w:rPr>
        <w:t>l reporting and the preparation of financial statements for external purposes in accordance with generally accepted accounting principles.</w:t>
      </w:r>
    </w:p>
    <w:p w:rsidR="00000000" w:rsidRDefault="00F123EE">
      <w:pPr>
        <w:divId w:val="1556354499"/>
        <w:rPr>
          <w:rFonts w:eastAsia="Times New Roman"/>
        </w:rPr>
      </w:pPr>
    </w:p>
    <w:p w:rsidR="00000000" w:rsidRDefault="00F123EE">
      <w:pPr>
        <w:jc w:val="both"/>
        <w:rPr>
          <w:rFonts w:eastAsia="Times New Roman"/>
        </w:rPr>
      </w:pPr>
      <w:r>
        <w:rPr>
          <w:rFonts w:eastAsia="Times New Roman"/>
          <w:color w:val="000000"/>
          <w:sz w:val="20"/>
          <w:szCs w:val="20"/>
        </w:rPr>
        <w:t>Because of its inherent limitations, internal control over financial reporting may not prevent or detect misstatements.  Therefore, even those systems determined to be effective can provide only reasonable assurance with respect to financial statement prep</w:t>
      </w:r>
      <w:r>
        <w:rPr>
          <w:rFonts w:eastAsia="Times New Roman"/>
          <w:color w:val="000000"/>
          <w:sz w:val="20"/>
          <w:szCs w:val="20"/>
        </w:rPr>
        <w:t>aration and presentation.</w:t>
      </w:r>
    </w:p>
    <w:p w:rsidR="00000000" w:rsidRDefault="00F123EE">
      <w:pPr>
        <w:divId w:val="2020614909"/>
        <w:rPr>
          <w:rFonts w:eastAsia="Times New Roman"/>
        </w:rPr>
      </w:pPr>
    </w:p>
    <w:p w:rsidR="00000000" w:rsidRDefault="00F123EE">
      <w:pPr>
        <w:jc w:val="both"/>
        <w:rPr>
          <w:rFonts w:eastAsia="Times New Roman"/>
        </w:rPr>
      </w:pPr>
      <w:r>
        <w:rPr>
          <w:rFonts w:eastAsia="Times New Roman"/>
          <w:color w:val="000000"/>
          <w:sz w:val="20"/>
          <w:szCs w:val="20"/>
        </w:rPr>
        <w:t>Management assessed the effectiveness of the Company’s internal control over financial reporting as of December 31, 2022.  In making this assessment, management used the criteria established in Internal Control-Integrated Framew</w:t>
      </w:r>
      <w:r>
        <w:rPr>
          <w:rFonts w:eastAsia="Times New Roman"/>
          <w:color w:val="000000"/>
          <w:sz w:val="20"/>
          <w:szCs w:val="20"/>
        </w:rPr>
        <w:t>ork issued by the Committee of Sponsoring Organizations of the Treadway Commission (2013 framework) (the COSO criteria).  Based on this assessment, management believes that, as of December 31, 2022, the Company’s internal control over financial reporting i</w:t>
      </w:r>
      <w:r>
        <w:rPr>
          <w:rFonts w:eastAsia="Times New Roman"/>
          <w:color w:val="000000"/>
          <w:sz w:val="20"/>
          <w:szCs w:val="20"/>
        </w:rPr>
        <w:t>s effective based on those criteria.</w:t>
      </w:r>
    </w:p>
    <w:p w:rsidR="00000000" w:rsidRDefault="00F123EE">
      <w:pPr>
        <w:divId w:val="1524436162"/>
        <w:rPr>
          <w:rFonts w:eastAsia="Times New Roman"/>
        </w:rPr>
      </w:pPr>
    </w:p>
    <w:p w:rsidR="00000000" w:rsidRDefault="00F123EE">
      <w:pPr>
        <w:jc w:val="both"/>
        <w:rPr>
          <w:rFonts w:eastAsia="Times New Roman"/>
        </w:rPr>
      </w:pPr>
      <w:r>
        <w:rPr>
          <w:rFonts w:eastAsia="Times New Roman"/>
          <w:color w:val="000000"/>
          <w:sz w:val="20"/>
          <w:szCs w:val="20"/>
        </w:rPr>
        <w:t xml:space="preserve">Ernst &amp; Young LLP, the independent registered public accounting firm which also audited the Company’s Consolidated Financial Statements, has issued a report on the Company’s internal control over financial reporting, </w:t>
      </w:r>
      <w:r>
        <w:rPr>
          <w:rFonts w:eastAsia="Times New Roman"/>
          <w:color w:val="000000"/>
          <w:sz w:val="20"/>
          <w:szCs w:val="20"/>
        </w:rPr>
        <w:t>which is included herein.</w:t>
      </w:r>
    </w:p>
    <w:p w:rsidR="00000000" w:rsidRDefault="00F123EE">
      <w:pPr>
        <w:divId w:val="2028365020"/>
        <w:rPr>
          <w:rFonts w:eastAsia="Times New Roman"/>
        </w:rPr>
      </w:pPr>
      <w:r>
        <w:rPr>
          <w:rFonts w:eastAsia="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59"/>
        <w:gridCol w:w="3777"/>
        <w:gridCol w:w="36"/>
        <w:gridCol w:w="36"/>
        <w:gridCol w:w="44"/>
        <w:gridCol w:w="36"/>
        <w:gridCol w:w="59"/>
        <w:gridCol w:w="212"/>
        <w:gridCol w:w="36"/>
        <w:gridCol w:w="36"/>
        <w:gridCol w:w="44"/>
        <w:gridCol w:w="36"/>
        <w:gridCol w:w="59"/>
        <w:gridCol w:w="3800"/>
        <w:gridCol w:w="36"/>
      </w:tblGrid>
      <w:tr w:rsidR="00000000">
        <w:trPr>
          <w:divId w:val="2028365020"/>
        </w:trPr>
        <w:tc>
          <w:tcPr>
            <w:tcW w:w="50" w:type="pct"/>
            <w:vAlign w:val="center"/>
            <w:hideMark/>
          </w:tcPr>
          <w:p w:rsidR="00000000" w:rsidRDefault="00F123EE">
            <w:pPr>
              <w:rPr>
                <w:rFonts w:eastAsia="Times New Roman"/>
              </w:rPr>
            </w:pPr>
          </w:p>
        </w:tc>
        <w:tc>
          <w:tcPr>
            <w:tcW w:w="2288"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41"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142"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41"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2302"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rPr>
          <w:divId w:val="2028365020"/>
          <w:trHeight w:val="78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2028365020"/>
          <w:trHeight w:val="24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2028365020"/>
        </w:trPr>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/s/    Harry A. Lawton, III</w:t>
            </w:r>
            <w:r>
              <w:rPr>
                <w:rFonts w:eastAsia="Times New Roman"/>
                <w:color w:val="000000"/>
                <w:sz w:val="14"/>
                <w:szCs w:val="14"/>
              </w:rPr>
              <w:t xml:space="preserve">    </w:t>
            </w:r>
          </w:p>
        </w:tc>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14"/>
                <w:szCs w:val="14"/>
              </w:rPr>
              <w:t> </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14"/>
                <w:szCs w:val="14"/>
              </w:rPr>
              <w:t> </w:t>
            </w: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/s/    Kurt D. Barton</w:t>
            </w:r>
            <w:r>
              <w:rPr>
                <w:rFonts w:eastAsia="Times New Roman"/>
                <w:color w:val="000000"/>
                <w:sz w:val="14"/>
                <w:szCs w:val="14"/>
              </w:rPr>
              <w:t>  </w:t>
            </w:r>
          </w:p>
        </w:tc>
      </w:tr>
      <w:tr w:rsidR="00000000">
        <w:trPr>
          <w:divId w:val="2028365020"/>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F123EE">
            <w:pPr>
              <w:spacing w:after="100"/>
              <w:jc w:val="center"/>
              <w:rPr>
                <w:rFonts w:eastAsia="Times New Roman"/>
              </w:rPr>
            </w:pPr>
            <w:r>
              <w:rPr>
                <w:rFonts w:eastAsia="Times New Roman"/>
                <w:b/>
                <w:bCs/>
                <w:color w:val="000000"/>
                <w:sz w:val="18"/>
                <w:szCs w:val="18"/>
              </w:rPr>
              <w:t>Harry A. Lawton, III</w:t>
            </w:r>
          </w:p>
          <w:p w:rsidR="00000000" w:rsidRDefault="00F123EE">
            <w:pPr>
              <w:spacing w:after="100"/>
              <w:jc w:val="center"/>
              <w:rPr>
                <w:rFonts w:eastAsia="Times New Roman"/>
              </w:rPr>
            </w:pPr>
            <w:r>
              <w:rPr>
                <w:rFonts w:eastAsia="Times New Roman"/>
                <w:b/>
                <w:bCs/>
                <w:color w:val="000000"/>
                <w:sz w:val="18"/>
                <w:szCs w:val="18"/>
              </w:rPr>
              <w:t>President and Chief Executive Officer</w:t>
            </w:r>
          </w:p>
        </w:tc>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18"/>
                <w:szCs w:val="18"/>
              </w:rPr>
              <w:t>Kurt D. Barton</w:t>
            </w:r>
          </w:p>
          <w:p w:rsidR="00000000" w:rsidRDefault="00F123EE">
            <w:pPr>
              <w:spacing w:after="100"/>
              <w:jc w:val="center"/>
              <w:rPr>
                <w:rFonts w:eastAsia="Times New Roman"/>
              </w:rPr>
            </w:pPr>
            <w:r>
              <w:rPr>
                <w:rFonts w:eastAsia="Times New Roman"/>
                <w:b/>
                <w:bCs/>
                <w:color w:val="000000"/>
                <w:sz w:val="18"/>
                <w:szCs w:val="18"/>
              </w:rPr>
              <w:t>Executive Vice President -</w:t>
            </w:r>
          </w:p>
          <w:p w:rsidR="00000000" w:rsidRDefault="00F123EE">
            <w:pPr>
              <w:spacing w:after="100"/>
              <w:jc w:val="center"/>
              <w:divId w:val="2100247625"/>
              <w:rPr>
                <w:rFonts w:eastAsia="Times New Roman"/>
              </w:rPr>
            </w:pPr>
            <w:r>
              <w:rPr>
                <w:rFonts w:eastAsia="Times New Roman"/>
                <w:b/>
                <w:bCs/>
                <w:color w:val="000000"/>
                <w:sz w:val="18"/>
                <w:szCs w:val="18"/>
              </w:rPr>
              <w:t>Chief Financial Officer and Treasurer</w:t>
            </w:r>
          </w:p>
        </w:tc>
      </w:tr>
      <w:tr w:rsidR="00000000">
        <w:trPr>
          <w:divId w:val="2028365020"/>
        </w:trPr>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18"/>
                <w:szCs w:val="18"/>
              </w:rPr>
              <w:t>February 23, 2023</w:t>
            </w:r>
          </w:p>
        </w:tc>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18"/>
                <w:szCs w:val="18"/>
              </w:rPr>
              <w:t>February 23, 2023</w:t>
            </w:r>
          </w:p>
        </w:tc>
      </w:tr>
    </w:tbl>
    <w:p w:rsidR="00000000" w:rsidRDefault="00F123EE">
      <w:pPr>
        <w:divId w:val="81879946"/>
        <w:rPr>
          <w:rFonts w:eastAsia="Times New Roman"/>
        </w:rPr>
      </w:pPr>
    </w:p>
    <w:p w:rsidR="00000000" w:rsidRDefault="00F123EE">
      <w:pPr>
        <w:jc w:val="center"/>
        <w:divId w:val="979769727"/>
        <w:rPr>
          <w:rFonts w:eastAsia="Times New Roman"/>
        </w:rPr>
      </w:pPr>
      <w:r>
        <w:rPr>
          <w:rFonts w:eastAsia="Times New Roman"/>
          <w:color w:val="000000"/>
          <w:sz w:val="20"/>
          <w:szCs w:val="20"/>
        </w:rPr>
        <w:t>44</w:t>
      </w:r>
    </w:p>
    <w:p w:rsidR="00000000" w:rsidRDefault="00F123EE">
      <w:pPr>
        <w:rPr>
          <w:rFonts w:eastAsia="Times New Roman"/>
        </w:rPr>
      </w:pPr>
      <w:r>
        <w:rPr>
          <w:rFonts w:eastAsia="Times New Roman"/>
        </w:rPr>
        <w:pict>
          <v:rect id="_x0000_i1074" style="width:0;height:1.5pt" o:hralign="center" o:hrstd="t" o:hr="t" fillcolor="#a0a0a0" stroked="f"/>
        </w:pict>
      </w:r>
    </w:p>
    <w:p w:rsidR="00000000" w:rsidRDefault="00F123EE">
      <w:pPr>
        <w:divId w:val="598173872"/>
        <w:rPr>
          <w:rFonts w:eastAsia="Times New Roman"/>
        </w:rPr>
      </w:pPr>
      <w:hyperlink w:anchor="i38696b5cc01146d68b9c6b33327cf890_7" w:history="1">
        <w:r>
          <w:rPr>
            <w:rStyle w:val="a3"/>
            <w:rFonts w:eastAsia="Times New Roman"/>
            <w:sz w:val="18"/>
            <w:szCs w:val="18"/>
          </w:rPr>
          <w:t>Index</w:t>
        </w:r>
      </w:hyperlink>
    </w:p>
    <w:p w:rsidR="00000000" w:rsidRDefault="00F123EE">
      <w:pPr>
        <w:jc w:val="center"/>
        <w:rPr>
          <w:rFonts w:eastAsia="Times New Roman"/>
        </w:rPr>
      </w:pPr>
      <w:r>
        <w:rPr>
          <w:rFonts w:eastAsia="Times New Roman"/>
          <w:b/>
          <w:bCs/>
          <w:color w:val="000000"/>
          <w:sz w:val="20"/>
          <w:szCs w:val="20"/>
        </w:rPr>
        <w:t>Report of Independent Registered Public Accounting Firm</w:t>
      </w:r>
    </w:p>
    <w:p w:rsidR="00000000" w:rsidRDefault="00F123EE">
      <w:pPr>
        <w:divId w:val="1508863919"/>
        <w:rPr>
          <w:rFonts w:eastAsia="Times New Roman"/>
        </w:rPr>
      </w:pPr>
    </w:p>
    <w:p w:rsidR="00000000" w:rsidRDefault="00F123EE">
      <w:pPr>
        <w:divId w:val="798839520"/>
        <w:rPr>
          <w:rFonts w:eastAsia="Times New Roman"/>
        </w:rPr>
      </w:pPr>
    </w:p>
    <w:p w:rsidR="00000000" w:rsidRDefault="00F123EE">
      <w:pPr>
        <w:divId w:val="1898317402"/>
        <w:rPr>
          <w:rFonts w:eastAsia="Times New Roman"/>
        </w:rPr>
      </w:pPr>
      <w:r>
        <w:rPr>
          <w:rFonts w:eastAsia="Times New Roman"/>
          <w:b/>
          <w:bCs/>
          <w:color w:val="000000"/>
          <w:sz w:val="20"/>
          <w:szCs w:val="20"/>
        </w:rPr>
        <w:t>To the Shareholders and the Board of Directors of Tractor Supply Company</w:t>
      </w:r>
    </w:p>
    <w:p w:rsidR="00000000" w:rsidRDefault="00F123EE">
      <w:pPr>
        <w:divId w:val="1045057620"/>
        <w:rPr>
          <w:rFonts w:eastAsia="Times New Roman"/>
        </w:rPr>
      </w:pPr>
    </w:p>
    <w:p w:rsidR="00000000" w:rsidRDefault="00F123EE">
      <w:pPr>
        <w:divId w:val="1383335424"/>
        <w:rPr>
          <w:rFonts w:eastAsia="Times New Roman"/>
        </w:rPr>
      </w:pPr>
      <w:r>
        <w:rPr>
          <w:rFonts w:eastAsia="Times New Roman"/>
          <w:b/>
          <w:bCs/>
          <w:color w:val="000000"/>
          <w:sz w:val="20"/>
          <w:szCs w:val="20"/>
        </w:rPr>
        <w:t>Opinion on Internal Control Over Financial Reporting</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 xml:space="preserve">We have audited Tractor Supply Company’s internal control over financial reporting as of December 31, 2022, based on criteria </w:t>
      </w:r>
      <w:r>
        <w:rPr>
          <w:rFonts w:eastAsia="Times New Roman"/>
          <w:color w:val="000000"/>
          <w:sz w:val="20"/>
          <w:szCs w:val="20"/>
        </w:rPr>
        <w:t>established in Internal Control—Integrated Framework issued by the Committee of Sponsoring Organizations of the Treadway Commission (2013 framework) (the COSO criteria). In our opinion, Tractor Supply Company (the Company) maintained, in all material respe</w:t>
      </w:r>
      <w:r>
        <w:rPr>
          <w:rFonts w:eastAsia="Times New Roman"/>
          <w:color w:val="000000"/>
          <w:sz w:val="20"/>
          <w:szCs w:val="20"/>
        </w:rPr>
        <w:t>cts, effective internal control over financial reporting as of December 31, 2022, based on the COSO criteria.</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also have audited, in accordance with the standards of the Public Company Accounting Oversight Board (United States) (PCAOB), the Consolidate</w:t>
      </w:r>
      <w:r>
        <w:rPr>
          <w:rFonts w:eastAsia="Times New Roman"/>
          <w:color w:val="000000"/>
          <w:sz w:val="20"/>
          <w:szCs w:val="20"/>
        </w:rPr>
        <w:t>d Balance Sheets of Tractor Supply Company as of December 31, 2022 and December 25, 2021, and the related Consolidated Statements of Income, Comprehensive Income, Stockholders’ Equity, and Cash Flows for each of the three fiscal years in the period ended D</w:t>
      </w:r>
      <w:r>
        <w:rPr>
          <w:rFonts w:eastAsia="Times New Roman"/>
          <w:color w:val="000000"/>
          <w:sz w:val="20"/>
          <w:szCs w:val="20"/>
        </w:rPr>
        <w:t>ecember 31, 2022, and the related notes and our report dated February 23, 2023, expressed an unqualified opinion thereon.</w:t>
      </w:r>
    </w:p>
    <w:p w:rsidR="00000000" w:rsidRDefault="00F123EE">
      <w:pPr>
        <w:jc w:val="both"/>
        <w:rPr>
          <w:rFonts w:eastAsia="Times New Roman"/>
        </w:rPr>
      </w:pPr>
    </w:p>
    <w:p w:rsidR="00000000" w:rsidRDefault="00F123EE">
      <w:pPr>
        <w:jc w:val="both"/>
        <w:rPr>
          <w:rFonts w:eastAsia="Times New Roman"/>
        </w:rPr>
      </w:pPr>
      <w:r>
        <w:rPr>
          <w:rFonts w:eastAsia="Times New Roman"/>
          <w:b/>
          <w:bCs/>
          <w:color w:val="000000"/>
          <w:sz w:val="20"/>
          <w:szCs w:val="20"/>
        </w:rPr>
        <w:t>Basis for Opinion</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 xml:space="preserve">The Company’s management is responsible for maintaining effective internal control over financial reporting and </w:t>
      </w:r>
      <w:r>
        <w:rPr>
          <w:rFonts w:eastAsia="Times New Roman"/>
          <w:color w:val="000000"/>
          <w:sz w:val="20"/>
          <w:szCs w:val="20"/>
        </w:rPr>
        <w:t>for its assessment of the effectiveness of internal control over financial reporting included in the accompanying Management’s Report on Internal Control Over Financial Reporting. Our responsibility is to express an opinion on the Company’s internal contro</w:t>
      </w:r>
      <w:r>
        <w:rPr>
          <w:rFonts w:eastAsia="Times New Roman"/>
          <w:color w:val="000000"/>
          <w:sz w:val="20"/>
          <w:szCs w:val="20"/>
        </w:rPr>
        <w:t>l over financial reporting based on our audit. We are a public accounting firm registered with the PCAOB and are required to be independent with respect to the Company in accordance with the U.S. federal securities laws and the applicable rules and regulat</w:t>
      </w:r>
      <w:r>
        <w:rPr>
          <w:rFonts w:eastAsia="Times New Roman"/>
          <w:color w:val="000000"/>
          <w:sz w:val="20"/>
          <w:szCs w:val="20"/>
        </w:rPr>
        <w:t>ions of the Securities and Exchange Commission and the PCAOB.</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conducted our audit in accordance with the standards of the PCAOB. Those standards require that we plan and perform the audit to obtain reasonable assurance about whether effective internal</w:t>
      </w:r>
      <w:r>
        <w:rPr>
          <w:rFonts w:eastAsia="Times New Roman"/>
          <w:color w:val="000000"/>
          <w:sz w:val="20"/>
          <w:szCs w:val="20"/>
        </w:rPr>
        <w:t xml:space="preserve"> control over financial reporting was maintained in all material respects.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 xml:space="preserve">Our audit included obtaining an understanding of internal control over financial reporting, assessing the risk that a material weakness exists, testing and evaluating the design </w:t>
      </w:r>
      <w:r>
        <w:rPr>
          <w:rFonts w:eastAsia="Times New Roman"/>
          <w:color w:val="000000"/>
          <w:sz w:val="20"/>
          <w:szCs w:val="20"/>
        </w:rPr>
        <w:t>and operating effectiveness of internal control based on the assessed risk, and performing such other procedures as we considered necessary in the circumstances. We believe that our audit provides a reasonable basis for our opinion.</w:t>
      </w:r>
    </w:p>
    <w:p w:rsidR="00000000" w:rsidRDefault="00F123EE">
      <w:pPr>
        <w:jc w:val="both"/>
        <w:rPr>
          <w:rFonts w:eastAsia="Times New Roman"/>
        </w:rPr>
      </w:pPr>
    </w:p>
    <w:p w:rsidR="00000000" w:rsidRDefault="00F123EE">
      <w:pPr>
        <w:jc w:val="both"/>
        <w:rPr>
          <w:rFonts w:eastAsia="Times New Roman"/>
        </w:rPr>
      </w:pPr>
      <w:r>
        <w:rPr>
          <w:rFonts w:eastAsia="Times New Roman"/>
          <w:b/>
          <w:bCs/>
          <w:color w:val="000000"/>
          <w:sz w:val="20"/>
          <w:szCs w:val="20"/>
        </w:rPr>
        <w:t>Definition and Limitations of Internal Control Over Financial Reporting</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A company’s internal control over financial reporting is a process designed to provide reasonable assurance regarding the reliability of financial reporting and the preparation of fi</w:t>
      </w:r>
      <w:r>
        <w:rPr>
          <w:rFonts w:eastAsia="Times New Roman"/>
          <w:color w:val="000000"/>
          <w:sz w:val="20"/>
          <w:szCs w:val="20"/>
        </w:rPr>
        <w:t>nancial statements for external purposes in accordance with generally accepted accounting principles. A company’s internal control over financial reporting includes those policies and procedures that (1) pertain to the maintenance of records that, in reaso</w:t>
      </w:r>
      <w:r>
        <w:rPr>
          <w:rFonts w:eastAsia="Times New Roman"/>
          <w:color w:val="000000"/>
          <w:sz w:val="20"/>
          <w:szCs w:val="20"/>
        </w:rPr>
        <w:t>nable detail, accurately and fairly reflect the transactions and dispositions of the assets of the company; (2) provide reasonable assurance that transactions are recorded as necessary to permit preparation of financial statements in accordance with genera</w:t>
      </w:r>
      <w:r>
        <w:rPr>
          <w:rFonts w:eastAsia="Times New Roman"/>
          <w:color w:val="000000"/>
          <w:sz w:val="20"/>
          <w:szCs w:val="20"/>
        </w:rPr>
        <w:t>lly accepted accounting principles, and that receipts and expenditures of the company are being made only in accordance with authorizations of management and directors of the company; and (3) provide reasonable assurance regarding prevention or timely dete</w:t>
      </w:r>
      <w:r>
        <w:rPr>
          <w:rFonts w:eastAsia="Times New Roman"/>
          <w:color w:val="000000"/>
          <w:sz w:val="20"/>
          <w:szCs w:val="20"/>
        </w:rPr>
        <w:t>ction of unauthorized acquisition, use, or disposition of the company’s assets that could have a material effect on the financial statements.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Because of its inherent limitations, internal control over financial reporting may not prevent or detect misstat</w:t>
      </w:r>
      <w:r>
        <w:rPr>
          <w:rFonts w:eastAsia="Times New Roman"/>
          <w:color w:val="000000"/>
          <w:sz w:val="20"/>
          <w:szCs w:val="20"/>
        </w:rPr>
        <w:t>ements. Also, projections of any evaluation of effectiveness to future periods are subject to the risk that controls may become inadequate because of changes in conditions, or that the degree of compliance with the policies or procedures may deteriorate.</w:t>
      </w:r>
    </w:p>
    <w:p w:rsidR="00000000" w:rsidRDefault="00F123EE">
      <w:pPr>
        <w:jc w:val="both"/>
        <w:rPr>
          <w:rFonts w:eastAsia="Times New Roman"/>
        </w:rPr>
      </w:pPr>
    </w:p>
    <w:p w:rsidR="00000000" w:rsidRDefault="00F123EE">
      <w:pPr>
        <w:jc w:val="both"/>
        <w:rPr>
          <w:rFonts w:eastAsia="Times New Roman"/>
        </w:rPr>
      </w:pPr>
    </w:p>
    <w:p w:rsidR="00000000" w:rsidRDefault="00F123EE">
      <w:pPr>
        <w:divId w:val="620258790"/>
        <w:rPr>
          <w:rFonts w:eastAsia="Times New Roman"/>
        </w:rPr>
      </w:pPr>
    </w:p>
    <w:p w:rsidR="00000000" w:rsidRDefault="00F123EE">
      <w:pPr>
        <w:divId w:val="1493139306"/>
        <w:rPr>
          <w:rFonts w:eastAsia="Times New Roman"/>
        </w:rPr>
      </w:pPr>
    </w:p>
    <w:p w:rsidR="00000000" w:rsidRDefault="00F123EE">
      <w:pPr>
        <w:ind w:firstLine="5040"/>
        <w:jc w:val="both"/>
        <w:rPr>
          <w:rFonts w:eastAsia="Times New Roman"/>
        </w:rPr>
      </w:pPr>
      <w:r>
        <w:rPr>
          <w:rFonts w:eastAsia="Times New Roman"/>
          <w:color w:val="000000"/>
          <w:sz w:val="20"/>
          <w:szCs w:val="20"/>
        </w:rPr>
        <w:t>/s/ Ernst &amp; Young LLP</w:t>
      </w:r>
    </w:p>
    <w:p w:rsidR="00000000" w:rsidRDefault="00F123EE">
      <w:pPr>
        <w:divId w:val="1122378688"/>
        <w:rPr>
          <w:rFonts w:eastAsia="Times New Roman"/>
        </w:rPr>
      </w:pPr>
      <w:r>
        <w:rPr>
          <w:rFonts w:eastAsia="Times New Roman"/>
          <w:color w:val="000000"/>
          <w:sz w:val="20"/>
          <w:szCs w:val="20"/>
        </w:rPr>
        <w:t>Nashville, Tennessee</w:t>
      </w:r>
    </w:p>
    <w:p w:rsidR="00000000" w:rsidRDefault="00F123EE">
      <w:pPr>
        <w:divId w:val="2126538927"/>
        <w:rPr>
          <w:rFonts w:eastAsia="Times New Roman"/>
        </w:rPr>
      </w:pPr>
      <w:r>
        <w:rPr>
          <w:rFonts w:eastAsia="Times New Roman"/>
          <w:color w:val="000000"/>
          <w:sz w:val="20"/>
          <w:szCs w:val="20"/>
        </w:rPr>
        <w:t xml:space="preserve">February 23, 2023 </w:t>
      </w:r>
    </w:p>
    <w:p w:rsidR="00000000" w:rsidRDefault="00F123EE">
      <w:pPr>
        <w:jc w:val="center"/>
        <w:divId w:val="854541508"/>
        <w:rPr>
          <w:rFonts w:eastAsia="Times New Roman"/>
        </w:rPr>
      </w:pPr>
      <w:r>
        <w:rPr>
          <w:rFonts w:eastAsia="Times New Roman"/>
          <w:color w:val="000000"/>
          <w:sz w:val="20"/>
          <w:szCs w:val="20"/>
        </w:rPr>
        <w:t>45</w:t>
      </w:r>
    </w:p>
    <w:p w:rsidR="00000000" w:rsidRDefault="00F123EE">
      <w:pPr>
        <w:rPr>
          <w:rFonts w:eastAsia="Times New Roman"/>
        </w:rPr>
      </w:pPr>
      <w:r>
        <w:rPr>
          <w:rFonts w:eastAsia="Times New Roman"/>
        </w:rPr>
        <w:pict>
          <v:rect id="_x0000_i1075" style="width:0;height:1.5pt" o:hralign="center" o:hrstd="t" o:hr="t" fillcolor="#a0a0a0" stroked="f"/>
        </w:pict>
      </w:r>
    </w:p>
    <w:p w:rsidR="00000000" w:rsidRDefault="00F123EE">
      <w:pPr>
        <w:divId w:val="1809781332"/>
        <w:rPr>
          <w:rFonts w:eastAsia="Times New Roman"/>
        </w:rPr>
      </w:pPr>
      <w:hyperlink w:anchor="i38696b5cc01146d68b9c6b33327cf890_7" w:history="1">
        <w:r>
          <w:rPr>
            <w:rStyle w:val="a3"/>
            <w:rFonts w:eastAsia="Times New Roman"/>
            <w:sz w:val="18"/>
            <w:szCs w:val="18"/>
          </w:rPr>
          <w:t>Index</w:t>
        </w:r>
      </w:hyperlink>
    </w:p>
    <w:p w:rsidR="00000000" w:rsidRDefault="00F123EE">
      <w:pPr>
        <w:jc w:val="center"/>
        <w:rPr>
          <w:rFonts w:eastAsia="Times New Roman"/>
        </w:rPr>
      </w:pPr>
      <w:r>
        <w:rPr>
          <w:rFonts w:eastAsia="Times New Roman"/>
          <w:b/>
          <w:bCs/>
          <w:color w:val="000000"/>
          <w:sz w:val="20"/>
          <w:szCs w:val="20"/>
        </w:rPr>
        <w:t>Report of Independent Registered Public Accounting Firm</w:t>
      </w:r>
    </w:p>
    <w:p w:rsidR="00000000" w:rsidRDefault="00F123EE">
      <w:pPr>
        <w:divId w:val="1345549084"/>
        <w:rPr>
          <w:rFonts w:eastAsia="Times New Roman"/>
        </w:rPr>
      </w:pPr>
    </w:p>
    <w:p w:rsidR="00000000" w:rsidRDefault="00F123EE">
      <w:pPr>
        <w:divId w:val="561523502"/>
        <w:rPr>
          <w:rFonts w:eastAsia="Times New Roman"/>
        </w:rPr>
      </w:pPr>
    </w:p>
    <w:p w:rsidR="00000000" w:rsidRDefault="00F123EE">
      <w:pPr>
        <w:divId w:val="245111316"/>
        <w:rPr>
          <w:rFonts w:eastAsia="Times New Roman"/>
        </w:rPr>
      </w:pPr>
      <w:r>
        <w:rPr>
          <w:rFonts w:eastAsia="Times New Roman"/>
          <w:b/>
          <w:bCs/>
          <w:color w:val="000000"/>
          <w:sz w:val="20"/>
          <w:szCs w:val="20"/>
        </w:rPr>
        <w:t>To the Shareholders and the Board of Directors of Tractor Supply Company</w:t>
      </w:r>
    </w:p>
    <w:p w:rsidR="00000000" w:rsidRDefault="00F123EE">
      <w:pPr>
        <w:divId w:val="111753167"/>
        <w:rPr>
          <w:rFonts w:eastAsia="Times New Roman"/>
        </w:rPr>
      </w:pPr>
    </w:p>
    <w:p w:rsidR="00000000" w:rsidRDefault="00F123EE">
      <w:pPr>
        <w:divId w:val="455874036"/>
        <w:rPr>
          <w:rFonts w:eastAsia="Times New Roman"/>
        </w:rPr>
      </w:pPr>
      <w:r>
        <w:rPr>
          <w:rFonts w:eastAsia="Times New Roman"/>
          <w:b/>
          <w:bCs/>
          <w:color w:val="000000"/>
          <w:sz w:val="20"/>
          <w:szCs w:val="20"/>
        </w:rPr>
        <w:t>Opinion on the Financ</w:t>
      </w:r>
      <w:r>
        <w:rPr>
          <w:rFonts w:eastAsia="Times New Roman"/>
          <w:b/>
          <w:bCs/>
          <w:color w:val="000000"/>
          <w:sz w:val="20"/>
          <w:szCs w:val="20"/>
        </w:rPr>
        <w:t>ial Statements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have audited the accompanying Consolidated Balance Sheets of Tractor Supply Company (the Company) as of December 31, 2022 and December 25, 2021, the related Consolidated Statements of Income, Comprehensive Income, Stockholders’ Equity a</w:t>
      </w:r>
      <w:r>
        <w:rPr>
          <w:rFonts w:eastAsia="Times New Roman"/>
          <w:color w:val="000000"/>
          <w:sz w:val="20"/>
          <w:szCs w:val="20"/>
        </w:rPr>
        <w:t>nd Cash Flows for each of the three fiscal years in the period ended December 31, 2022, and the related notes (collectively referred to as the “consolidated financial statements”). In our opinion, the consolidated financial statements present fairly, in al</w:t>
      </w:r>
      <w:r>
        <w:rPr>
          <w:rFonts w:eastAsia="Times New Roman"/>
          <w:color w:val="000000"/>
          <w:sz w:val="20"/>
          <w:szCs w:val="20"/>
        </w:rPr>
        <w:t>l material respects, the financial position of the Company at December 31, 2022 and December 25, 2021, and the results of its operations and its cash flows for each of the three fiscal years in the period ended December 31, 2022, in conformity with U.S. ge</w:t>
      </w:r>
      <w:r>
        <w:rPr>
          <w:rFonts w:eastAsia="Times New Roman"/>
          <w:color w:val="000000"/>
          <w:sz w:val="20"/>
          <w:szCs w:val="20"/>
        </w:rPr>
        <w:t>nerally accepted accounting principles.</w:t>
      </w:r>
    </w:p>
    <w:p w:rsidR="00000000" w:rsidRDefault="00F123EE">
      <w:pPr>
        <w:divId w:val="875852976"/>
        <w:rPr>
          <w:rFonts w:eastAsia="Times New Roman"/>
        </w:rPr>
      </w:pPr>
    </w:p>
    <w:p w:rsidR="00000000" w:rsidRDefault="00F123EE">
      <w:pPr>
        <w:jc w:val="both"/>
        <w:rPr>
          <w:rFonts w:eastAsia="Times New Roman"/>
        </w:rPr>
      </w:pPr>
      <w:r>
        <w:rPr>
          <w:rFonts w:eastAsia="Times New Roman"/>
          <w:color w:val="000000"/>
          <w:sz w:val="20"/>
          <w:szCs w:val="20"/>
        </w:rPr>
        <w:t>We also have audited, in accordance with the standards of the Public Company Accounting Oversight Board (United States) (PCAOB), the Company’s internal control over financial reporting as of December 31, 2022, base</w:t>
      </w:r>
      <w:r>
        <w:rPr>
          <w:rFonts w:eastAsia="Times New Roman"/>
          <w:color w:val="000000"/>
          <w:sz w:val="20"/>
          <w:szCs w:val="20"/>
        </w:rPr>
        <w:t>d on criteria established in Internal Control-Integrated Framework issued by the Committee of Sponsoring Organizations of the Treadway Commission (2013 framework) and our report dated February 23, 2023, expressed an unqualified opinion thereon.</w:t>
      </w:r>
    </w:p>
    <w:p w:rsidR="00000000" w:rsidRDefault="00F123EE">
      <w:pPr>
        <w:jc w:val="both"/>
        <w:rPr>
          <w:rFonts w:eastAsia="Times New Roman"/>
        </w:rPr>
      </w:pPr>
    </w:p>
    <w:p w:rsidR="00000000" w:rsidRDefault="00F123EE">
      <w:pPr>
        <w:jc w:val="both"/>
        <w:rPr>
          <w:rFonts w:eastAsia="Times New Roman"/>
        </w:rPr>
      </w:pPr>
      <w:r>
        <w:rPr>
          <w:rFonts w:eastAsia="Times New Roman"/>
          <w:b/>
          <w:bCs/>
          <w:color w:val="000000"/>
          <w:sz w:val="20"/>
          <w:szCs w:val="20"/>
        </w:rPr>
        <w:t>Basis for</w:t>
      </w:r>
      <w:r>
        <w:rPr>
          <w:rFonts w:eastAsia="Times New Roman"/>
          <w:b/>
          <w:bCs/>
          <w:color w:val="000000"/>
          <w:sz w:val="20"/>
          <w:szCs w:val="20"/>
        </w:rPr>
        <w:t xml:space="preserve"> Opinion</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These financial statements are the responsibility of the Company’s management. Our responsibility is to express an opinion on the Company’s financial statements based on our audits. We are a public accounting firm registered with the PCAOB and a</w:t>
      </w:r>
      <w:r>
        <w:rPr>
          <w:rFonts w:eastAsia="Times New Roman"/>
          <w:color w:val="000000"/>
          <w:sz w:val="20"/>
          <w:szCs w:val="20"/>
        </w:rPr>
        <w:t>re required to be independent with respect to the Company in accordance with the U.S. federal securities laws and the applicable rules and regulations of the Securities and Exchange Commission and the PCAOB.</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conducted our audits in accordance with the</w:t>
      </w:r>
      <w:r>
        <w:rPr>
          <w:rFonts w:eastAsia="Times New Roman"/>
          <w:color w:val="000000"/>
          <w:sz w:val="20"/>
          <w:szCs w:val="20"/>
        </w:rPr>
        <w:t xml:space="preserve"> standards of the PCAOB. Those standards require that we plan and perform the audit to obtain reasonable assurance about whether the financial statements are free of material misstatement, whether due to error or fraud. Our audits included performing proce</w:t>
      </w:r>
      <w:r>
        <w:rPr>
          <w:rFonts w:eastAsia="Times New Roman"/>
          <w:color w:val="000000"/>
          <w:sz w:val="20"/>
          <w:szCs w:val="20"/>
        </w:rPr>
        <w:t>dures to assess the risks of material misstatement of the financial statements, whether due to error or fraud, and performing procedures that respond to those risks. Such procedures included examining, on a test basis, evidence regarding the amounts and di</w:t>
      </w:r>
      <w:r>
        <w:rPr>
          <w:rFonts w:eastAsia="Times New Roman"/>
          <w:color w:val="000000"/>
          <w:sz w:val="20"/>
          <w:szCs w:val="20"/>
        </w:rPr>
        <w:t>sclosures in the financial statements. Our audits also included evaluating the accounting principles used and significant estimates made by management, as well as evaluating the overall presentation of the financial statements. We believe that our audits p</w:t>
      </w:r>
      <w:r>
        <w:rPr>
          <w:rFonts w:eastAsia="Times New Roman"/>
          <w:color w:val="000000"/>
          <w:sz w:val="20"/>
          <w:szCs w:val="20"/>
        </w:rPr>
        <w:t>rovide a reasonable basis for our opinion.</w:t>
      </w:r>
    </w:p>
    <w:p w:rsidR="00000000" w:rsidRDefault="00F123EE">
      <w:pPr>
        <w:jc w:val="both"/>
        <w:rPr>
          <w:rFonts w:eastAsia="Times New Roman"/>
        </w:rPr>
      </w:pPr>
    </w:p>
    <w:p w:rsidR="00000000" w:rsidRDefault="00F123EE">
      <w:pPr>
        <w:jc w:val="both"/>
        <w:rPr>
          <w:rFonts w:eastAsia="Times New Roman"/>
        </w:rPr>
      </w:pPr>
      <w:r>
        <w:rPr>
          <w:rFonts w:eastAsia="Times New Roman"/>
          <w:b/>
          <w:bCs/>
          <w:color w:val="000000"/>
          <w:sz w:val="20"/>
          <w:szCs w:val="20"/>
        </w:rPr>
        <w:t>Critical Audit Matter</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critical audit matter communicated below is a matter arising from the current period audit of the financial statements that was communicated or required to be communicated to the audi</w:t>
      </w:r>
      <w:r>
        <w:rPr>
          <w:rFonts w:eastAsia="Times New Roman"/>
          <w:color w:val="000000"/>
          <w:sz w:val="20"/>
          <w:szCs w:val="20"/>
        </w:rPr>
        <w:t>t committee and that: (1) relates to accounts or disclosures that are material to the financial statements and (2) involved our especially challenging, subjective or complex judgments. The communication of the critical audit matter does not alter in any wa</w:t>
      </w:r>
      <w:r>
        <w:rPr>
          <w:rFonts w:eastAsia="Times New Roman"/>
          <w:color w:val="000000"/>
          <w:sz w:val="20"/>
          <w:szCs w:val="20"/>
        </w:rPr>
        <w:t>y our opinion on the consolidated financial statements, taken as a whole, and we are not, by communicating the critical audit matter below, providing a separate opinion on the critical audit matter or on the account or disclosure to which it relates.</w:t>
      </w:r>
    </w:p>
    <w:p w:rsidR="00000000" w:rsidRDefault="00F123EE">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1242"/>
        <w:gridCol w:w="36"/>
        <w:gridCol w:w="69"/>
        <w:gridCol w:w="6854"/>
        <w:gridCol w:w="36"/>
      </w:tblGrid>
      <w:tr w:rsidR="00000000">
        <w:tc>
          <w:tcPr>
            <w:tcW w:w="50" w:type="pct"/>
            <w:vAlign w:val="center"/>
            <w:hideMark/>
          </w:tcPr>
          <w:p w:rsidR="00000000" w:rsidRDefault="00F123EE">
            <w:pPr>
              <w:jc w:val="both"/>
              <w:rPr>
                <w:rFonts w:eastAsia="Times New Roman"/>
              </w:rPr>
            </w:pPr>
          </w:p>
        </w:tc>
        <w:tc>
          <w:tcPr>
            <w:tcW w:w="75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4133"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b/>
                <w:bCs/>
                <w:i/>
                <w:iCs/>
                <w:color w:val="000000"/>
                <w:sz w:val="20"/>
                <w:szCs w:val="20"/>
              </w:rPr>
              <w:t>Workers' Compensation Self-Insurance Reserves</w:t>
            </w:r>
          </w:p>
        </w:tc>
      </w:tr>
      <w:tr w:rsidR="00000000">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i/>
                <w:iCs/>
                <w:color w:val="000000"/>
                <w:sz w:val="20"/>
                <w:szCs w:val="20"/>
              </w:rPr>
              <w:t>Description of the Matter</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r>
              <w:rPr>
                <w:rFonts w:eastAsia="Times New Roman"/>
                <w:color w:val="000000"/>
                <w:sz w:val="20"/>
                <w:szCs w:val="20"/>
              </w:rPr>
              <w:t>At December 31, 2022, the Company’s reserve for workers’ compensation self-insurance risks was $74.0 million. As discussed in Note 1 of the consolidated financial statemen</w:t>
            </w:r>
            <w:r>
              <w:rPr>
                <w:rFonts w:eastAsia="Times New Roman"/>
                <w:color w:val="000000"/>
                <w:sz w:val="20"/>
                <w:szCs w:val="20"/>
              </w:rPr>
              <w:t xml:space="preserve">ts, the Company retains a significant portion of risk for its workers’ compensation exposures. Accordingly, provisions are recorded based upon periodic estimates of such losses, as determined by management. The future claim costs for workers’ compensation </w:t>
            </w:r>
            <w:r>
              <w:rPr>
                <w:rFonts w:eastAsia="Times New Roman"/>
                <w:color w:val="000000"/>
                <w:sz w:val="20"/>
                <w:szCs w:val="20"/>
              </w:rPr>
              <w:t>exposures are estimated using actuarial methods that consider assumptions for a number of factors including, but not limited to, historical claims experience, loss development factors, and severity factors.</w:t>
            </w:r>
          </w:p>
        </w:tc>
      </w:tr>
      <w:tr w:rsidR="00000000">
        <w:trPr>
          <w:trHeight w:val="300"/>
        </w:trPr>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r>
              <w:rPr>
                <w:rFonts w:eastAsia="Times New Roman"/>
                <w:color w:val="000000"/>
                <w:sz w:val="20"/>
                <w:szCs w:val="20"/>
              </w:rPr>
              <w:t>Auditing management’s estimate of the recorded workers’ compensation self-insurance reserves was complex and judgmental due to the significant assumptions and judgments required by management to project the exposure on incurred claims that remain unresolve</w:t>
            </w:r>
            <w:r>
              <w:rPr>
                <w:rFonts w:eastAsia="Times New Roman"/>
                <w:color w:val="000000"/>
                <w:sz w:val="20"/>
                <w:szCs w:val="20"/>
              </w:rPr>
              <w:t>d, including those which have not yet been reported to the Company.</w:t>
            </w:r>
          </w:p>
        </w:tc>
      </w:tr>
      <w:tr w:rsidR="00000000">
        <w:trPr>
          <w:trHeight w:val="300"/>
        </w:trPr>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bl>
    <w:p w:rsidR="00000000" w:rsidRDefault="00F123EE">
      <w:pPr>
        <w:jc w:val="center"/>
        <w:divId w:val="179439248"/>
        <w:rPr>
          <w:rFonts w:eastAsia="Times New Roman"/>
        </w:rPr>
      </w:pPr>
      <w:r>
        <w:rPr>
          <w:rFonts w:eastAsia="Times New Roman"/>
          <w:color w:val="000000"/>
          <w:sz w:val="20"/>
          <w:szCs w:val="20"/>
        </w:rPr>
        <w:t>46</w:t>
      </w:r>
    </w:p>
    <w:p w:rsidR="00000000" w:rsidRDefault="00F123EE">
      <w:pPr>
        <w:rPr>
          <w:rFonts w:eastAsia="Times New Roman"/>
        </w:rPr>
      </w:pPr>
      <w:r>
        <w:rPr>
          <w:rFonts w:eastAsia="Times New Roman"/>
        </w:rPr>
        <w:pict>
          <v:rect id="_x0000_i1076" style="width:0;height:1.5pt" o:hralign="center" o:hrstd="t" o:hr="t" fillcolor="#a0a0a0" stroked="f"/>
        </w:pict>
      </w:r>
    </w:p>
    <w:p w:rsidR="00000000" w:rsidRDefault="00F123EE">
      <w:pPr>
        <w:divId w:val="1224606273"/>
        <w:rPr>
          <w:rFonts w:eastAsia="Times New Roman"/>
        </w:rPr>
      </w:pPr>
      <w:hyperlink w:anchor="i38696b5cc01146d68b9c6b33327cf890_7" w:history="1">
        <w:r>
          <w:rPr>
            <w:rStyle w:val="a3"/>
            <w:rFonts w:eastAsia="Times New Roman"/>
            <w:sz w:val="18"/>
            <w:szCs w:val="18"/>
          </w:rPr>
          <w:t>Index</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1242"/>
        <w:gridCol w:w="36"/>
        <w:gridCol w:w="69"/>
        <w:gridCol w:w="6853"/>
        <w:gridCol w:w="37"/>
      </w:tblGrid>
      <w:tr w:rsidR="00000000">
        <w:trPr>
          <w:divId w:val="436557325"/>
        </w:trPr>
        <w:tc>
          <w:tcPr>
            <w:tcW w:w="50" w:type="pct"/>
            <w:vAlign w:val="center"/>
            <w:hideMark/>
          </w:tcPr>
          <w:p w:rsidR="00000000" w:rsidRDefault="00F123EE">
            <w:pPr>
              <w:rPr>
                <w:rFonts w:eastAsia="Times New Roman"/>
              </w:rPr>
            </w:pPr>
          </w:p>
        </w:tc>
        <w:tc>
          <w:tcPr>
            <w:tcW w:w="75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4133"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rPr>
          <w:divId w:val="436557325"/>
          <w:trHeight w:val="30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436557325"/>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i/>
                <w:iCs/>
                <w:color w:val="000000"/>
                <w:sz w:val="20"/>
                <w:szCs w:val="20"/>
              </w:rPr>
              <w:t>How We Addressed the Matter in Our Audit</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r>
              <w:rPr>
                <w:rFonts w:eastAsia="Times New Roman"/>
                <w:color w:val="000000"/>
                <w:sz w:val="20"/>
                <w:szCs w:val="20"/>
              </w:rPr>
              <w:t>We obtained an understanding, evaluated the design, and tested the operating effectiveness of controls over the Company’s accounting for workers’ compensation self-insurance exposures. For example, we tested controls over management’s review of the signifi</w:t>
            </w:r>
            <w:r>
              <w:rPr>
                <w:rFonts w:eastAsia="Times New Roman"/>
                <w:color w:val="000000"/>
                <w:sz w:val="20"/>
                <w:szCs w:val="20"/>
              </w:rPr>
              <w:t>cant assumptions described above, including the completeness and accuracy of the underlying data, as well as management’s review of the actuarial calculations.</w:t>
            </w:r>
          </w:p>
        </w:tc>
      </w:tr>
      <w:tr w:rsidR="00000000">
        <w:trPr>
          <w:divId w:val="436557325"/>
          <w:trHeight w:val="300"/>
        </w:trPr>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436557325"/>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r>
              <w:rPr>
                <w:rFonts w:eastAsia="Times New Roman"/>
                <w:color w:val="000000"/>
                <w:sz w:val="20"/>
                <w:szCs w:val="20"/>
              </w:rPr>
              <w:t xml:space="preserve">To test the Company’s estimate of the workers’ </w:t>
            </w:r>
            <w:r>
              <w:rPr>
                <w:rFonts w:eastAsia="Times New Roman"/>
                <w:color w:val="000000"/>
                <w:sz w:val="20"/>
                <w:szCs w:val="20"/>
              </w:rPr>
              <w:t>compensation self-insurance reserves, we performed audit procedures that included, among others, assessing the appropriateness of the actuarial valuation methodologies utilized by management and the significant assumptions within, testing the related under</w:t>
            </w:r>
            <w:r>
              <w:rPr>
                <w:rFonts w:eastAsia="Times New Roman"/>
                <w:color w:val="000000"/>
                <w:sz w:val="20"/>
                <w:szCs w:val="20"/>
              </w:rPr>
              <w:t>lying data used by the Company in its evaluation for completeness and accuracy, and testing the mathematical accuracy of the calculations. Our audit procedures also included, among others, comparing the significant assumptions used by management to industr</w:t>
            </w:r>
            <w:r>
              <w:rPr>
                <w:rFonts w:eastAsia="Times New Roman"/>
                <w:color w:val="000000"/>
                <w:sz w:val="20"/>
                <w:szCs w:val="20"/>
              </w:rPr>
              <w:t>y accepted actuarial assumptions and reassessing the accuracy of management’s historical estimates utilized in prior period evaluations. We involved our actuarial valuation specialists to assist in assessing the valuation methodologies and significant assu</w:t>
            </w:r>
            <w:r>
              <w:rPr>
                <w:rFonts w:eastAsia="Times New Roman"/>
                <w:color w:val="000000"/>
                <w:sz w:val="20"/>
                <w:szCs w:val="20"/>
              </w:rPr>
              <w:t>mptions noted above and to develop an independent range of estimates for the workers’ compensation self-insurance reserves which were then compared to management’s estimates.</w:t>
            </w:r>
          </w:p>
        </w:tc>
      </w:tr>
      <w:tr w:rsidR="00000000">
        <w:trPr>
          <w:divId w:val="436557325"/>
          <w:trHeight w:val="280"/>
        </w:trPr>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bl>
    <w:p w:rsidR="00000000" w:rsidRDefault="00F123EE">
      <w:pPr>
        <w:divId w:val="1451899281"/>
        <w:rPr>
          <w:rFonts w:eastAsia="Times New Roman"/>
        </w:rPr>
      </w:pPr>
    </w:p>
    <w:p w:rsidR="00000000" w:rsidRDefault="00F123EE">
      <w:pPr>
        <w:divId w:val="262341894"/>
        <w:rPr>
          <w:rFonts w:eastAsia="Times New Roman"/>
        </w:rPr>
      </w:pPr>
    </w:p>
    <w:p w:rsidR="00000000" w:rsidRDefault="00F123EE">
      <w:pPr>
        <w:divId w:val="1361980172"/>
        <w:rPr>
          <w:rFonts w:eastAsia="Times New Roman"/>
        </w:rPr>
      </w:pPr>
      <w:r>
        <w:rPr>
          <w:rFonts w:eastAsia="Times New Roman"/>
          <w:color w:val="000000"/>
          <w:sz w:val="20"/>
          <w:szCs w:val="20"/>
        </w:rPr>
        <w:t>/s/ Ernst &amp; Young LLP</w:t>
      </w:r>
    </w:p>
    <w:p w:rsidR="00000000" w:rsidRDefault="00F123EE">
      <w:pPr>
        <w:divId w:val="254480854"/>
        <w:rPr>
          <w:rFonts w:eastAsia="Times New Roman"/>
        </w:rPr>
      </w:pPr>
      <w:r>
        <w:rPr>
          <w:rFonts w:eastAsia="Times New Roman"/>
          <w:color w:val="000000"/>
          <w:sz w:val="20"/>
          <w:szCs w:val="20"/>
        </w:rPr>
        <w:t>We have served as the Company’s auditor since 2001.</w:t>
      </w:r>
    </w:p>
    <w:p w:rsidR="00000000" w:rsidRDefault="00F123EE">
      <w:pPr>
        <w:divId w:val="1499492307"/>
        <w:rPr>
          <w:rFonts w:eastAsia="Times New Roman"/>
        </w:rPr>
      </w:pPr>
      <w:r>
        <w:rPr>
          <w:rFonts w:eastAsia="Times New Roman"/>
          <w:color w:val="000000"/>
          <w:sz w:val="20"/>
          <w:szCs w:val="20"/>
        </w:rPr>
        <w:t>Nashville, Tennessee</w:t>
      </w:r>
    </w:p>
    <w:p w:rsidR="00000000" w:rsidRDefault="00F123EE">
      <w:pPr>
        <w:divId w:val="611590095"/>
        <w:rPr>
          <w:rFonts w:eastAsia="Times New Roman"/>
        </w:rPr>
      </w:pPr>
      <w:r>
        <w:rPr>
          <w:rFonts w:eastAsia="Times New Roman"/>
          <w:color w:val="000000"/>
          <w:sz w:val="20"/>
          <w:szCs w:val="20"/>
        </w:rPr>
        <w:t xml:space="preserve">February 23, 2023 </w:t>
      </w:r>
    </w:p>
    <w:p w:rsidR="00000000" w:rsidRDefault="00F123EE">
      <w:pPr>
        <w:jc w:val="center"/>
        <w:divId w:val="1200968803"/>
        <w:rPr>
          <w:rFonts w:eastAsia="Times New Roman"/>
        </w:rPr>
      </w:pPr>
      <w:r>
        <w:rPr>
          <w:rFonts w:eastAsia="Times New Roman"/>
          <w:color w:val="000000"/>
          <w:sz w:val="20"/>
          <w:szCs w:val="20"/>
        </w:rPr>
        <w:t>47</w:t>
      </w:r>
    </w:p>
    <w:p w:rsidR="00000000" w:rsidRDefault="00F123EE">
      <w:pPr>
        <w:rPr>
          <w:rFonts w:eastAsia="Times New Roman"/>
        </w:rPr>
      </w:pPr>
      <w:r>
        <w:rPr>
          <w:rFonts w:eastAsia="Times New Roman"/>
        </w:rPr>
        <w:pict>
          <v:rect id="_x0000_i1077" style="width:0;height:1.5pt" o:hralign="center" o:hrstd="t" o:hr="t" fillcolor="#a0a0a0" stroked="f"/>
        </w:pict>
      </w:r>
    </w:p>
    <w:p w:rsidR="00000000" w:rsidRDefault="00F123EE">
      <w:pPr>
        <w:divId w:val="1160658068"/>
        <w:rPr>
          <w:rFonts w:eastAsia="Times New Roman"/>
        </w:rPr>
      </w:pPr>
      <w:hyperlink w:anchor="i38696b5cc01146d68b9c6b33327cf890_7" w:history="1">
        <w:r>
          <w:rPr>
            <w:rStyle w:val="a3"/>
            <w:rFonts w:eastAsia="Times New Roman"/>
            <w:sz w:val="18"/>
            <w:szCs w:val="18"/>
          </w:rPr>
          <w:t>Index</w:t>
        </w:r>
      </w:hyperlink>
    </w:p>
    <w:p w:rsidR="00000000" w:rsidRDefault="00F123EE">
      <w:pPr>
        <w:jc w:val="center"/>
        <w:rPr>
          <w:rFonts w:eastAsia="Times New Roman"/>
        </w:rPr>
      </w:pPr>
      <w:r>
        <w:rPr>
          <w:rFonts w:eastAsia="Times New Roman"/>
          <w:b/>
          <w:bCs/>
          <w:color w:val="000000"/>
          <w:sz w:val="20"/>
          <w:szCs w:val="20"/>
        </w:rPr>
        <w:t>TRACTOR SUPPLY COMPANY</w:t>
      </w:r>
    </w:p>
    <w:p w:rsidR="00000000" w:rsidRDefault="00F123EE">
      <w:pPr>
        <w:jc w:val="center"/>
        <w:rPr>
          <w:rFonts w:eastAsia="Times New Roman"/>
        </w:rPr>
      </w:pPr>
      <w:r>
        <w:rPr>
          <w:rFonts w:eastAsia="Times New Roman"/>
          <w:b/>
          <w:bCs/>
          <w:color w:val="000000"/>
          <w:sz w:val="20"/>
          <w:szCs w:val="20"/>
        </w:rPr>
        <w:t>CONSOLIDATED STATEMENTS OF INCOME</w:t>
      </w:r>
    </w:p>
    <w:p w:rsidR="00000000" w:rsidRDefault="00F123EE">
      <w:pPr>
        <w:jc w:val="center"/>
        <w:rPr>
          <w:rFonts w:eastAsia="Times New Roman"/>
        </w:rPr>
      </w:pPr>
      <w:r>
        <w:rPr>
          <w:rFonts w:eastAsia="Times New Roman"/>
          <w:b/>
          <w:bCs/>
          <w:color w:val="000000"/>
          <w:sz w:val="20"/>
          <w:szCs w:val="20"/>
        </w:rPr>
        <w:t>(in</w:t>
      </w:r>
      <w:r>
        <w:rPr>
          <w:rFonts w:eastAsia="Times New Roman"/>
          <w:b/>
          <w:bCs/>
          <w:color w:val="000000"/>
          <w:sz w:val="20"/>
          <w:szCs w:val="20"/>
        </w:rPr>
        <w:t xml:space="preserve"> thousands, except per share amounts)</w:t>
      </w:r>
    </w:p>
    <w:tbl>
      <w:tblPr>
        <w:tblW w:w="4992" w:type="pct"/>
        <w:tblCellMar>
          <w:top w:w="15" w:type="dxa"/>
          <w:left w:w="15" w:type="dxa"/>
          <w:bottom w:w="15" w:type="dxa"/>
          <w:right w:w="15" w:type="dxa"/>
        </w:tblCellMar>
        <w:tblLook w:val="04A0" w:firstRow="1" w:lastRow="0" w:firstColumn="1" w:lastColumn="0" w:noHBand="0" w:noVBand="1"/>
      </w:tblPr>
      <w:tblGrid>
        <w:gridCol w:w="39"/>
        <w:gridCol w:w="4668"/>
        <w:gridCol w:w="37"/>
        <w:gridCol w:w="120"/>
        <w:gridCol w:w="965"/>
        <w:gridCol w:w="36"/>
        <w:gridCol w:w="36"/>
        <w:gridCol w:w="36"/>
        <w:gridCol w:w="36"/>
        <w:gridCol w:w="120"/>
        <w:gridCol w:w="950"/>
        <w:gridCol w:w="36"/>
        <w:gridCol w:w="36"/>
        <w:gridCol w:w="36"/>
        <w:gridCol w:w="36"/>
        <w:gridCol w:w="120"/>
        <w:gridCol w:w="950"/>
        <w:gridCol w:w="36"/>
      </w:tblGrid>
      <w:tr w:rsidR="00000000">
        <w:trPr>
          <w:divId w:val="1339119957"/>
        </w:trPr>
        <w:tc>
          <w:tcPr>
            <w:tcW w:w="50" w:type="pct"/>
            <w:vAlign w:val="center"/>
            <w:hideMark/>
          </w:tcPr>
          <w:p w:rsidR="00000000" w:rsidRDefault="00F123EE">
            <w:pPr>
              <w:jc w:val="center"/>
              <w:rPr>
                <w:rFonts w:eastAsia="Times New Roman"/>
              </w:rPr>
            </w:pPr>
          </w:p>
        </w:tc>
        <w:tc>
          <w:tcPr>
            <w:tcW w:w="2851"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618"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618"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618"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rPr>
          <w:divId w:val="1339119957"/>
        </w:trPr>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Fiscal Year</w:t>
            </w:r>
          </w:p>
        </w:tc>
      </w:tr>
      <w:tr w:rsidR="00000000">
        <w:trPr>
          <w:divId w:val="1339119957"/>
        </w:trPr>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2020</w:t>
            </w:r>
          </w:p>
        </w:tc>
      </w:tr>
      <w:tr w:rsidR="00000000">
        <w:trPr>
          <w:divId w:val="1339119957"/>
        </w:trPr>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(53 weeks)</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(52 weeks)</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(52 weeks)</w:t>
            </w:r>
          </w:p>
        </w:tc>
      </w:tr>
      <w:tr w:rsidR="00000000">
        <w:trPr>
          <w:divId w:val="1339119957"/>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b/>
                <w:bCs/>
                <w:color w:val="000000"/>
                <w:sz w:val="20"/>
                <w:szCs w:val="20"/>
              </w:rPr>
              <w:t>Net sales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14,204,717 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12,731,105 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10,620,352 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divId w:val="1339119957"/>
        </w:trPr>
        <w:tc>
          <w:tcPr>
            <w:tcW w:w="0" w:type="auto"/>
            <w:gridSpan w:val="3"/>
            <w:shd w:val="clear" w:color="auto" w:fill="FFFF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Cost of merchandise sold</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9,232,513 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8,253,952 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6,858,803 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divId w:val="1339119957"/>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b/>
                <w:bCs/>
                <w:color w:val="000000"/>
                <w:sz w:val="20"/>
                <w:szCs w:val="20"/>
              </w:rPr>
              <w:t>Gross profit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4,972,204 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4,477,153 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3,761,549 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divId w:val="1339119957"/>
        </w:trPr>
        <w:tc>
          <w:tcPr>
            <w:tcW w:w="0" w:type="auto"/>
            <w:gridSpan w:val="3"/>
            <w:shd w:val="clear" w:color="auto" w:fill="FFFF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3,194,199 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2,900,297 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2,478,524 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divId w:val="1339119957"/>
        </w:trPr>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343,062 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270,158 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217,124 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divId w:val="1339119957"/>
        </w:trPr>
        <w:tc>
          <w:tcPr>
            <w:tcW w:w="0" w:type="auto"/>
            <w:gridSpan w:val="3"/>
            <w:shd w:val="clear" w:color="auto" w:fill="FFFF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Impairment of goodwill and other intangible assets</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68,973 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divId w:val="1339119957"/>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b/>
                <w:bCs/>
                <w:color w:val="000000"/>
                <w:sz w:val="20"/>
                <w:szCs w:val="20"/>
              </w:rPr>
              <w:t>Operating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1,434,943 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1,306,698 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996,928 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divId w:val="1339119957"/>
        </w:trPr>
        <w:tc>
          <w:tcPr>
            <w:tcW w:w="0" w:type="auto"/>
            <w:gridSpan w:val="3"/>
            <w:shd w:val="clear" w:color="auto" w:fill="FFFF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Interest expense, net</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30,633 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26,610 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28,781 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divId w:val="1339119957"/>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b/>
                <w:bCs/>
                <w:color w:val="000000"/>
                <w:sz w:val="20"/>
                <w:szCs w:val="20"/>
              </w:rPr>
              <w:t>Income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1,404,310 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1,280,088 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968,147 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divId w:val="1339119957"/>
        </w:trPr>
        <w:tc>
          <w:tcPr>
            <w:tcW w:w="0" w:type="auto"/>
            <w:gridSpan w:val="3"/>
            <w:shd w:val="clear" w:color="auto" w:fill="FFFF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Income tax expense</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315,598 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282,974 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219,189 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divId w:val="1339119957"/>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b/>
                <w:bCs/>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1,088,712 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997,114 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748,958 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divId w:val="1339119957"/>
          <w:trHeight w:val="280"/>
        </w:trPr>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1339119957"/>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b/>
                <w:bCs/>
                <w:color w:val="000000"/>
                <w:sz w:val="20"/>
                <w:szCs w:val="20"/>
              </w:rPr>
              <w:t>Net income per share – basic</w:t>
            </w:r>
          </w:p>
        </w:tc>
        <w:tc>
          <w:tcPr>
            <w:tcW w:w="0" w:type="auto"/>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9.78 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8.69 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6.44 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divId w:val="1339119957"/>
        </w:trPr>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b/>
                <w:bCs/>
                <w:color w:val="000000"/>
                <w:sz w:val="20"/>
                <w:szCs w:val="20"/>
              </w:rPr>
              <w:t>Net income per share – diluted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9.71 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8.61 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6.38 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divId w:val="1339119957"/>
          <w:trHeight w:val="280"/>
        </w:trPr>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1339119957"/>
        </w:trPr>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b/>
                <w:bCs/>
                <w:color w:val="000000"/>
                <w:sz w:val="20"/>
                <w:szCs w:val="20"/>
              </w:rPr>
              <w:t>Weighted average shares outstanding</w:t>
            </w: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r>
      <w:tr w:rsidR="00000000">
        <w:trPr>
          <w:divId w:val="1339119957"/>
        </w:trPr>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Basic</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111,336 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114,794 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116,370 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divId w:val="1339119957"/>
        </w:trPr>
        <w:tc>
          <w:tcPr>
            <w:tcW w:w="0" w:type="auto"/>
            <w:gridSpan w:val="3"/>
            <w:shd w:val="clear" w:color="auto" w:fill="FFFF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Diluted</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112,149 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115,824 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117,436 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divId w:val="1339119957"/>
          <w:trHeight w:val="280"/>
        </w:trPr>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1339119957"/>
        </w:trPr>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b/>
                <w:bCs/>
                <w:color w:val="000000"/>
                <w:sz w:val="20"/>
                <w:szCs w:val="20"/>
              </w:rPr>
              <w:t>Dividends declared per common share outstanding</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3.68 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2.08 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1.50 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bl>
    <w:p w:rsidR="00000000" w:rsidRDefault="00F123EE">
      <w:pPr>
        <w:divId w:val="716781993"/>
        <w:rPr>
          <w:rFonts w:eastAsia="Times New Roman"/>
        </w:rPr>
      </w:pPr>
    </w:p>
    <w:p w:rsidR="00000000" w:rsidRDefault="00F123EE">
      <w:pPr>
        <w:jc w:val="center"/>
        <w:rPr>
          <w:rFonts w:eastAsia="Times New Roman"/>
        </w:rPr>
      </w:pPr>
      <w:r>
        <w:rPr>
          <w:rFonts w:eastAsia="Times New Roman"/>
          <w:color w:val="000000"/>
          <w:sz w:val="20"/>
          <w:szCs w:val="20"/>
          <w:shd w:val="clear" w:color="auto" w:fill="FFFFFF"/>
        </w:rPr>
        <w:t>The accompanying notes are an integral part of these Consolidated Financial Statements.</w:t>
      </w:r>
    </w:p>
    <w:p w:rsidR="00000000" w:rsidRDefault="00F123EE">
      <w:pPr>
        <w:jc w:val="center"/>
        <w:divId w:val="486826546"/>
        <w:rPr>
          <w:rFonts w:eastAsia="Times New Roman"/>
        </w:rPr>
      </w:pPr>
      <w:r>
        <w:rPr>
          <w:rFonts w:eastAsia="Times New Roman"/>
          <w:color w:val="000000"/>
          <w:sz w:val="20"/>
          <w:szCs w:val="20"/>
        </w:rPr>
        <w:t>48</w:t>
      </w:r>
    </w:p>
    <w:p w:rsidR="00000000" w:rsidRDefault="00F123EE">
      <w:pPr>
        <w:rPr>
          <w:rFonts w:eastAsia="Times New Roman"/>
        </w:rPr>
      </w:pPr>
      <w:r>
        <w:rPr>
          <w:rFonts w:eastAsia="Times New Roman"/>
        </w:rPr>
        <w:pict>
          <v:rect id="_x0000_i1078" style="width:0;height:1.5pt" o:hralign="center" o:hrstd="t" o:hr="t" fillcolor="#a0a0a0" stroked="f"/>
        </w:pict>
      </w:r>
    </w:p>
    <w:p w:rsidR="00000000" w:rsidRDefault="00F123EE">
      <w:pPr>
        <w:divId w:val="1942032837"/>
        <w:rPr>
          <w:rFonts w:eastAsia="Times New Roman"/>
        </w:rPr>
      </w:pPr>
      <w:hyperlink w:anchor="i38696b5cc01146d68b9c6b33327cf890_7" w:history="1">
        <w:r>
          <w:rPr>
            <w:rStyle w:val="a3"/>
            <w:rFonts w:eastAsia="Times New Roman"/>
            <w:sz w:val="18"/>
            <w:szCs w:val="18"/>
          </w:rPr>
          <w:t>Index</w:t>
        </w:r>
      </w:hyperlink>
    </w:p>
    <w:p w:rsidR="00000000" w:rsidRDefault="00F123EE">
      <w:pPr>
        <w:jc w:val="center"/>
        <w:rPr>
          <w:rFonts w:eastAsia="Times New Roman"/>
        </w:rPr>
      </w:pPr>
      <w:r>
        <w:rPr>
          <w:rFonts w:eastAsia="Times New Roman"/>
          <w:b/>
          <w:bCs/>
          <w:color w:val="000000"/>
          <w:sz w:val="20"/>
          <w:szCs w:val="20"/>
        </w:rPr>
        <w:t>TRACTOR SUPPLY COMPANY</w:t>
      </w:r>
    </w:p>
    <w:p w:rsidR="00000000" w:rsidRDefault="00F123EE">
      <w:pPr>
        <w:jc w:val="center"/>
        <w:rPr>
          <w:rFonts w:eastAsia="Times New Roman"/>
        </w:rPr>
      </w:pPr>
      <w:r>
        <w:rPr>
          <w:rFonts w:eastAsia="Times New Roman"/>
          <w:b/>
          <w:bCs/>
          <w:color w:val="000000"/>
          <w:sz w:val="20"/>
          <w:szCs w:val="20"/>
        </w:rPr>
        <w:t>CONSOLIDATED STATEMENTS OF COMPREHENSIVE INCOME</w:t>
      </w:r>
    </w:p>
    <w:p w:rsidR="00000000" w:rsidRDefault="00F123EE">
      <w:pPr>
        <w:jc w:val="center"/>
        <w:rPr>
          <w:rFonts w:eastAsia="Times New Roman"/>
        </w:rPr>
      </w:pPr>
      <w:r>
        <w:rPr>
          <w:rFonts w:eastAsia="Times New Roman"/>
          <w:b/>
          <w:bCs/>
          <w:color w:val="000000"/>
          <w:sz w:val="20"/>
          <w:szCs w:val="20"/>
        </w:rPr>
        <w:t>(in thousands)</w:t>
      </w:r>
    </w:p>
    <w:tbl>
      <w:tblPr>
        <w:tblW w:w="4985" w:type="pct"/>
        <w:tblCellMar>
          <w:top w:w="15" w:type="dxa"/>
          <w:left w:w="15" w:type="dxa"/>
          <w:bottom w:w="15" w:type="dxa"/>
          <w:right w:w="15" w:type="dxa"/>
        </w:tblCellMar>
        <w:tblLook w:val="04A0" w:firstRow="1" w:lastRow="0" w:firstColumn="1" w:lastColumn="0" w:noHBand="0" w:noVBand="1"/>
      </w:tblPr>
      <w:tblGrid>
        <w:gridCol w:w="39"/>
        <w:gridCol w:w="4777"/>
        <w:gridCol w:w="37"/>
        <w:gridCol w:w="120"/>
        <w:gridCol w:w="941"/>
        <w:gridCol w:w="36"/>
        <w:gridCol w:w="36"/>
        <w:gridCol w:w="36"/>
        <w:gridCol w:w="36"/>
        <w:gridCol w:w="120"/>
        <w:gridCol w:w="901"/>
        <w:gridCol w:w="36"/>
        <w:gridCol w:w="36"/>
        <w:gridCol w:w="36"/>
        <w:gridCol w:w="36"/>
        <w:gridCol w:w="120"/>
        <w:gridCol w:w="902"/>
        <w:gridCol w:w="36"/>
      </w:tblGrid>
      <w:tr w:rsidR="00000000">
        <w:trPr>
          <w:divId w:val="826632093"/>
        </w:trPr>
        <w:tc>
          <w:tcPr>
            <w:tcW w:w="50" w:type="pct"/>
            <w:vAlign w:val="center"/>
            <w:hideMark/>
          </w:tcPr>
          <w:p w:rsidR="00000000" w:rsidRDefault="00F123EE">
            <w:pPr>
              <w:jc w:val="center"/>
              <w:rPr>
                <w:rFonts w:eastAsia="Times New Roman"/>
              </w:rPr>
            </w:pPr>
          </w:p>
        </w:tc>
        <w:tc>
          <w:tcPr>
            <w:tcW w:w="2914"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97"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97"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97"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rPr>
          <w:divId w:val="826632093"/>
        </w:trPr>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15"/>
            <w:tcMar>
              <w:top w:w="30" w:type="dxa"/>
              <w:left w:w="132" w:type="dxa"/>
              <w:bottom w:w="30" w:type="dxa"/>
              <w:right w:w="132" w:type="dxa"/>
            </w:tcMar>
            <w:vAlign w:val="bottom"/>
            <w:hideMark/>
          </w:tcPr>
          <w:p w:rsidR="00000000" w:rsidRDefault="00F123EE">
            <w:pPr>
              <w:spacing w:after="100"/>
              <w:jc w:val="center"/>
              <w:rPr>
                <w:rFonts w:eastAsia="Times New Roman"/>
              </w:rPr>
            </w:pPr>
            <w:r>
              <w:rPr>
                <w:rFonts w:eastAsia="Times New Roman"/>
                <w:b/>
                <w:bCs/>
                <w:color w:val="000000"/>
                <w:sz w:val="20"/>
                <w:szCs w:val="20"/>
              </w:rPr>
              <w:t>Fiscal Year</w:t>
            </w:r>
          </w:p>
        </w:tc>
      </w:tr>
      <w:tr w:rsidR="00000000">
        <w:trPr>
          <w:divId w:val="826632093"/>
        </w:trPr>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2020</w:t>
            </w:r>
          </w:p>
        </w:tc>
      </w:tr>
      <w:tr w:rsidR="00000000">
        <w:trPr>
          <w:divId w:val="826632093"/>
        </w:trPr>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(53 weeks)</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(52 weeks)</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(52 weeks)</w:t>
            </w:r>
          </w:p>
        </w:tc>
      </w:tr>
      <w:tr w:rsidR="00000000">
        <w:trPr>
          <w:divId w:val="826632093"/>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1,088,712 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997,114 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748,958 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divId w:val="826632093"/>
          <w:trHeight w:val="160"/>
        </w:trPr>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826632093"/>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Other comprehensive income/(loss):</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826632093"/>
        </w:trPr>
        <w:tc>
          <w:tcPr>
            <w:tcW w:w="0" w:type="auto"/>
            <w:gridSpan w:val="3"/>
            <w:tcMar>
              <w:top w:w="30" w:type="dxa"/>
              <w:left w:w="24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Change in fair value of interest rate swaps, net of taxes</w:t>
            </w: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9,930 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4,588 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(3,442)</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divId w:val="826632093"/>
        </w:trPr>
        <w:tc>
          <w:tcPr>
            <w:tcW w:w="0" w:type="auto"/>
            <w:gridSpan w:val="3"/>
            <w:vAlign w:val="center"/>
            <w:hideMark/>
          </w:tcPr>
          <w:p w:rsidR="00000000" w:rsidRDefault="00F123EE">
            <w:pPr>
              <w:spacing w:after="100"/>
              <w:jc w:val="right"/>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rPr>
          <w:divId w:val="826632093"/>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Total other comprehensive income/(loss)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9,930 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4,588 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(3,442)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divId w:val="826632093"/>
        </w:trPr>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b/>
                <w:bCs/>
                <w:color w:val="000000"/>
                <w:sz w:val="20"/>
                <w:szCs w:val="20"/>
              </w:rPr>
              <w:t>Total comprehensive income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1,098,642 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1,001,702 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745,516 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bl>
    <w:p w:rsidR="00000000" w:rsidRDefault="00F123EE">
      <w:pPr>
        <w:divId w:val="303509289"/>
        <w:rPr>
          <w:rFonts w:eastAsia="Times New Roman"/>
        </w:rPr>
      </w:pPr>
    </w:p>
    <w:p w:rsidR="00000000" w:rsidRDefault="00F123EE">
      <w:pPr>
        <w:jc w:val="center"/>
        <w:rPr>
          <w:rFonts w:eastAsia="Times New Roman"/>
        </w:rPr>
      </w:pPr>
      <w:r>
        <w:rPr>
          <w:rFonts w:eastAsia="Times New Roman"/>
          <w:color w:val="000000"/>
          <w:sz w:val="20"/>
          <w:szCs w:val="20"/>
        </w:rPr>
        <w:t>The accompanying notes are an integral part of these Consolidated Financial Statements.</w:t>
      </w:r>
    </w:p>
    <w:p w:rsidR="00000000" w:rsidRDefault="00F123EE">
      <w:pPr>
        <w:divId w:val="1580797205"/>
        <w:rPr>
          <w:rFonts w:eastAsia="Times New Roman"/>
        </w:rPr>
      </w:pPr>
    </w:p>
    <w:p w:rsidR="00000000" w:rsidRDefault="00F123EE">
      <w:pPr>
        <w:jc w:val="center"/>
        <w:divId w:val="1542938092"/>
        <w:rPr>
          <w:rFonts w:eastAsia="Times New Roman"/>
        </w:rPr>
      </w:pPr>
      <w:r>
        <w:rPr>
          <w:rFonts w:eastAsia="Times New Roman"/>
          <w:color w:val="000000"/>
          <w:sz w:val="20"/>
          <w:szCs w:val="20"/>
        </w:rPr>
        <w:t>49</w:t>
      </w:r>
    </w:p>
    <w:p w:rsidR="00000000" w:rsidRDefault="00F123EE">
      <w:pPr>
        <w:rPr>
          <w:rFonts w:eastAsia="Times New Roman"/>
        </w:rPr>
      </w:pPr>
      <w:r>
        <w:rPr>
          <w:rFonts w:eastAsia="Times New Roman"/>
        </w:rPr>
        <w:pict>
          <v:rect id="_x0000_i1079" style="width:0;height:1.5pt" o:hralign="center" o:hrstd="t" o:hr="t" fillcolor="#a0a0a0" stroked="f"/>
        </w:pict>
      </w:r>
    </w:p>
    <w:p w:rsidR="00000000" w:rsidRDefault="00F123EE">
      <w:pPr>
        <w:divId w:val="2019573492"/>
        <w:rPr>
          <w:rFonts w:eastAsia="Times New Roman"/>
        </w:rPr>
      </w:pPr>
      <w:hyperlink w:anchor="i38696b5cc01146d68b9c6b33327cf890_7" w:history="1">
        <w:r>
          <w:rPr>
            <w:rStyle w:val="a3"/>
            <w:rFonts w:eastAsia="Times New Roman"/>
            <w:sz w:val="18"/>
            <w:szCs w:val="18"/>
          </w:rPr>
          <w:t>Index</w:t>
        </w:r>
      </w:hyperlink>
    </w:p>
    <w:p w:rsidR="00000000" w:rsidRDefault="00F123EE">
      <w:pPr>
        <w:jc w:val="center"/>
        <w:rPr>
          <w:rFonts w:eastAsia="Times New Roman"/>
        </w:rPr>
      </w:pPr>
      <w:r>
        <w:rPr>
          <w:rFonts w:eastAsia="Times New Roman"/>
          <w:b/>
          <w:bCs/>
          <w:color w:val="000000"/>
          <w:sz w:val="20"/>
          <w:szCs w:val="20"/>
        </w:rPr>
        <w:t>TRACTOR SUPPLY COMPANY</w:t>
      </w:r>
    </w:p>
    <w:p w:rsidR="00000000" w:rsidRDefault="00F123EE">
      <w:pPr>
        <w:jc w:val="center"/>
        <w:rPr>
          <w:rFonts w:eastAsia="Times New Roman"/>
        </w:rPr>
      </w:pPr>
      <w:r>
        <w:rPr>
          <w:rFonts w:eastAsia="Times New Roman"/>
          <w:b/>
          <w:bCs/>
          <w:color w:val="000000"/>
          <w:sz w:val="20"/>
          <w:szCs w:val="20"/>
        </w:rPr>
        <w:t>CONSOLIDATED BALANCE SHEETS</w:t>
      </w:r>
    </w:p>
    <w:p w:rsidR="00000000" w:rsidRDefault="00F123EE">
      <w:pPr>
        <w:jc w:val="center"/>
        <w:rPr>
          <w:rFonts w:eastAsia="Times New Roman"/>
        </w:rPr>
      </w:pPr>
      <w:r>
        <w:rPr>
          <w:rFonts w:eastAsia="Times New Roman"/>
          <w:b/>
          <w:bCs/>
          <w:color w:val="000000"/>
          <w:sz w:val="20"/>
          <w:szCs w:val="20"/>
        </w:rPr>
        <w:t>(in thousands, except per share amounts)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0"/>
        <w:gridCol w:w="5968"/>
        <w:gridCol w:w="38"/>
        <w:gridCol w:w="120"/>
        <w:gridCol w:w="921"/>
        <w:gridCol w:w="36"/>
        <w:gridCol w:w="36"/>
        <w:gridCol w:w="36"/>
        <w:gridCol w:w="36"/>
        <w:gridCol w:w="120"/>
        <w:gridCol w:w="886"/>
        <w:gridCol w:w="36"/>
      </w:tblGrid>
      <w:tr w:rsidR="00000000">
        <w:trPr>
          <w:jc w:val="center"/>
        </w:trPr>
        <w:tc>
          <w:tcPr>
            <w:tcW w:w="50" w:type="pct"/>
            <w:vAlign w:val="center"/>
            <w:hideMark/>
          </w:tcPr>
          <w:p w:rsidR="00000000" w:rsidRDefault="00F123EE">
            <w:pPr>
              <w:jc w:val="center"/>
              <w:rPr>
                <w:rFonts w:eastAsia="Times New Roman"/>
              </w:rPr>
            </w:pPr>
          </w:p>
        </w:tc>
        <w:tc>
          <w:tcPr>
            <w:tcW w:w="3634"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81"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81"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December 31, 2022</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December 25, 2021</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Current assets:</w:t>
            </w: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Cash and cash equivalents</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202,502 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878,030 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Inventories</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2,709,597 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2,191,192 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245,676 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164,118 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Income taxes receivable</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17,100 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60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3,157,775 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3,250,440 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trHeight w:val="100"/>
          <w:jc w:val="center"/>
        </w:trPr>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Property and equipment, net</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2,083,616 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1,617,806 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Operating lease right-of-use assets</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2,953,801 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2,785,858 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Goodwill and other intangible assets                                                                </w:t>
            </w: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253,262 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55,520 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2,437 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41,536 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55,406 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FFFFFF"/>
            <w:tcMar>
              <w:top w:w="30" w:type="dxa"/>
              <w:left w:w="60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8,489,990 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7,767,467 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trHeight w:val="100"/>
          <w:jc w:val="center"/>
        </w:trPr>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b/>
                <w:bCs/>
                <w:color w:val="000000"/>
                <w:sz w:val="20"/>
                <w:szCs w:val="20"/>
              </w:rPr>
              <w:t>LIABILITIES AND STOCKHOLDERS’ EQUITY</w:t>
            </w: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Current liabilities:</w:t>
            </w: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Accounts payable</w:t>
            </w:r>
          </w:p>
        </w:tc>
        <w:tc>
          <w:tcPr>
            <w:tcW w:w="0" w:type="auto"/>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1,398,288 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1,155,630 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Accrued employee compensation</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120,302 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109,618 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Other accrued expenses</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498,575 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474,412 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vAlign w:val="center"/>
            <w:hideMark/>
          </w:tcPr>
          <w:p w:rsidR="00000000" w:rsidRDefault="00F123EE">
            <w:pPr>
              <w:spacing w:after="100"/>
              <w:jc w:val="right"/>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Current portion of finance lease liabilities</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3,179 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3,897 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Current portion of operating lease liabilities</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346,397 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321,285 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Income taxes payable</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9,471 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vAlign w:val="center"/>
            <w:hideMark/>
          </w:tcPr>
          <w:p w:rsidR="00000000" w:rsidRDefault="00F123EE">
            <w:pPr>
              <w:spacing w:after="100"/>
              <w:jc w:val="right"/>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rPr>
          <w:jc w:val="center"/>
        </w:trPr>
        <w:tc>
          <w:tcPr>
            <w:tcW w:w="0" w:type="auto"/>
            <w:gridSpan w:val="3"/>
            <w:shd w:val="clear" w:color="auto" w:fill="FFFFFF"/>
            <w:tcMar>
              <w:top w:w="30" w:type="dxa"/>
              <w:left w:w="60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2,376,212 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2,064,842 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trHeight w:val="100"/>
          <w:jc w:val="center"/>
        </w:trPr>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F123EE">
            <w:pPr>
              <w:spacing w:after="100"/>
              <w:rPr>
                <w:rFonts w:eastAsia="Times New Roman"/>
              </w:rPr>
            </w:pPr>
            <w:r>
              <w:rPr>
                <w:rFonts w:eastAsia="Times New Roman"/>
                <w:color w:val="000000"/>
                <w:sz w:val="20"/>
                <w:szCs w:val="20"/>
              </w:rPr>
              <w:t>Long-term debt</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1,164,056 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986,382 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Finance lease liabilities, less current portion</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34,651 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32,848 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Operating lease liabilities, less current portion</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2,721,877 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2,574,882 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Deferred income taxes</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30,775 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Other long-term liabilities</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120,003 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105,848 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60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6,447,574 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5,764,802 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trHeight w:val="100"/>
          <w:jc w:val="center"/>
        </w:trPr>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Stockholders’ equity:</w:t>
            </w: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Preferred stock</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ind w:hanging="180"/>
              <w:divId w:val="1886722003"/>
              <w:rPr>
                <w:rFonts w:eastAsia="Times New Roman"/>
              </w:rPr>
            </w:pPr>
            <w:r>
              <w:rPr>
                <w:rFonts w:eastAsia="Times New Roman"/>
                <w:color w:val="000000"/>
                <w:sz w:val="20"/>
                <w:szCs w:val="20"/>
              </w:rPr>
              <w:t>Common stock</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1,415 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1,411 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Additional paid-in capital</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1,261,283 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1,210,512 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Treasury stock</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(4,855,909)</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(4,155,846)</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Accumulated other comprehensive income</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11,275 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1,345 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Retained earnings</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5,624,352 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4,945,243 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FFFFFF"/>
            <w:tcMar>
              <w:top w:w="30" w:type="dxa"/>
              <w:left w:w="60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Total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2,042,416 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2,002,665 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60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Total liabilities and stockholders’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8,489,990 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7,767,467 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bl>
    <w:p w:rsidR="00000000" w:rsidRDefault="00F123EE">
      <w:pPr>
        <w:ind w:hanging="1260"/>
        <w:divId w:val="929853538"/>
        <w:rPr>
          <w:rFonts w:eastAsia="Times New Roman"/>
        </w:rPr>
      </w:pPr>
    </w:p>
    <w:p w:rsidR="00000000" w:rsidRDefault="00F123EE">
      <w:pPr>
        <w:ind w:hanging="1260"/>
        <w:divId w:val="175728741"/>
        <w:rPr>
          <w:rFonts w:eastAsia="Times New Roman"/>
        </w:rPr>
      </w:pPr>
      <w:r>
        <w:rPr>
          <w:rFonts w:eastAsia="Times New Roman"/>
          <w:b/>
          <w:bCs/>
          <w:color w:val="000000"/>
          <w:sz w:val="16"/>
          <w:szCs w:val="16"/>
        </w:rPr>
        <w:t>Preferred Stock (shares in thousands):</w:t>
      </w:r>
      <w:r>
        <w:rPr>
          <w:rFonts w:eastAsia="Times New Roman"/>
          <w:color w:val="000000"/>
          <w:sz w:val="16"/>
          <w:szCs w:val="16"/>
        </w:rPr>
        <w:t xml:space="preserve"> $1.00 par value; 40 shares authorized; no shares were issued or outstanding during any period presented.</w:t>
      </w:r>
    </w:p>
    <w:p w:rsidR="00000000" w:rsidRDefault="00F123EE">
      <w:pPr>
        <w:ind w:hanging="1260"/>
        <w:divId w:val="601184253"/>
        <w:rPr>
          <w:rFonts w:eastAsia="Times New Roman"/>
        </w:rPr>
      </w:pPr>
      <w:r>
        <w:rPr>
          <w:rFonts w:eastAsia="Times New Roman"/>
          <w:b/>
          <w:bCs/>
          <w:color w:val="000000"/>
          <w:sz w:val="16"/>
          <w:szCs w:val="16"/>
        </w:rPr>
        <w:t>Common Stock (shares in thousands):</w:t>
      </w:r>
      <w:r>
        <w:rPr>
          <w:rFonts w:eastAsia="Times New Roman"/>
          <w:color w:val="000000"/>
          <w:sz w:val="16"/>
          <w:szCs w:val="16"/>
        </w:rPr>
        <w:t xml:space="preserve"> $0.008 par value; 400,000 shares authorized at all periods presented. 176,87</w:t>
      </w:r>
      <w:r>
        <w:rPr>
          <w:rFonts w:eastAsia="Times New Roman"/>
          <w:color w:val="000000"/>
          <w:sz w:val="16"/>
          <w:szCs w:val="16"/>
        </w:rPr>
        <w:t>6 and 176,371 shares issued; 110,251 and 113,125 shares outstanding at December 31, 2022 and December 25, 2021, respectively.</w:t>
      </w:r>
    </w:p>
    <w:p w:rsidR="00000000" w:rsidRDefault="00F123EE">
      <w:pPr>
        <w:ind w:hanging="1260"/>
        <w:divId w:val="343826667"/>
        <w:rPr>
          <w:rFonts w:eastAsia="Times New Roman"/>
        </w:rPr>
      </w:pPr>
      <w:r>
        <w:rPr>
          <w:rFonts w:eastAsia="Times New Roman"/>
          <w:b/>
          <w:bCs/>
          <w:color w:val="000000"/>
          <w:sz w:val="16"/>
          <w:szCs w:val="16"/>
        </w:rPr>
        <w:t xml:space="preserve">Treasury Stock (at cost, shares in thousands): </w:t>
      </w:r>
      <w:r>
        <w:rPr>
          <w:rFonts w:eastAsia="Times New Roman"/>
          <w:color w:val="000000"/>
          <w:sz w:val="16"/>
          <w:szCs w:val="16"/>
        </w:rPr>
        <w:t>66,625 and 63,246 shares at December 31, 2022 and December </w:t>
      </w:r>
      <w:r>
        <w:rPr>
          <w:rFonts w:eastAsia="Times New Roman"/>
          <w:color w:val="000000"/>
          <w:sz w:val="16"/>
          <w:szCs w:val="16"/>
        </w:rPr>
        <w:t>25, 2021, respectively.</w:t>
      </w:r>
    </w:p>
    <w:p w:rsidR="00000000" w:rsidRDefault="00F123EE">
      <w:pPr>
        <w:ind w:hanging="1260"/>
        <w:divId w:val="888497382"/>
        <w:rPr>
          <w:rFonts w:eastAsia="Times New Roman"/>
        </w:rPr>
      </w:pPr>
    </w:p>
    <w:p w:rsidR="00000000" w:rsidRDefault="00F123EE">
      <w:pPr>
        <w:jc w:val="center"/>
        <w:rPr>
          <w:rFonts w:eastAsia="Times New Roman"/>
        </w:rPr>
      </w:pPr>
      <w:r>
        <w:rPr>
          <w:rFonts w:eastAsia="Times New Roman"/>
          <w:color w:val="000000"/>
          <w:sz w:val="20"/>
          <w:szCs w:val="20"/>
        </w:rPr>
        <w:t>The accompanying notes are an integral part of these Consolidated Financial Statements.</w:t>
      </w:r>
    </w:p>
    <w:p w:rsidR="00000000" w:rsidRDefault="00F123EE">
      <w:pPr>
        <w:jc w:val="center"/>
        <w:divId w:val="2016960921"/>
        <w:rPr>
          <w:rFonts w:eastAsia="Times New Roman"/>
        </w:rPr>
      </w:pPr>
      <w:r>
        <w:rPr>
          <w:rFonts w:eastAsia="Times New Roman"/>
          <w:color w:val="000000"/>
          <w:sz w:val="20"/>
          <w:szCs w:val="20"/>
        </w:rPr>
        <w:t>50</w:t>
      </w:r>
    </w:p>
    <w:p w:rsidR="00000000" w:rsidRDefault="00F123EE">
      <w:pPr>
        <w:rPr>
          <w:rFonts w:eastAsia="Times New Roman"/>
        </w:rPr>
      </w:pPr>
      <w:r>
        <w:rPr>
          <w:rFonts w:eastAsia="Times New Roman"/>
        </w:rPr>
        <w:pict>
          <v:rect id="_x0000_i1080" style="width:0;height:1.5pt" o:hralign="center" o:hrstd="t" o:hr="t" fillcolor="#a0a0a0" stroked="f"/>
        </w:pict>
      </w:r>
    </w:p>
    <w:p w:rsidR="00000000" w:rsidRDefault="00F123EE">
      <w:pPr>
        <w:divId w:val="914902387"/>
        <w:rPr>
          <w:rFonts w:eastAsia="Times New Roman"/>
        </w:rPr>
      </w:pPr>
      <w:hyperlink w:anchor="i38696b5cc01146d68b9c6b33327cf890_7" w:history="1">
        <w:r>
          <w:rPr>
            <w:rStyle w:val="a3"/>
            <w:rFonts w:eastAsia="Times New Roman"/>
            <w:sz w:val="18"/>
            <w:szCs w:val="18"/>
          </w:rPr>
          <w:t>Index</w:t>
        </w:r>
      </w:hyperlink>
    </w:p>
    <w:p w:rsidR="00000000" w:rsidRDefault="00F123EE">
      <w:pPr>
        <w:jc w:val="center"/>
        <w:rPr>
          <w:rFonts w:eastAsia="Times New Roman"/>
        </w:rPr>
      </w:pPr>
      <w:r>
        <w:rPr>
          <w:rFonts w:eastAsia="Times New Roman"/>
          <w:b/>
          <w:bCs/>
          <w:color w:val="000000"/>
          <w:sz w:val="20"/>
          <w:szCs w:val="20"/>
        </w:rPr>
        <w:t>TRACTOR SUPPLY COMPANY</w:t>
      </w:r>
    </w:p>
    <w:p w:rsidR="00000000" w:rsidRDefault="00F123EE">
      <w:pPr>
        <w:jc w:val="center"/>
        <w:rPr>
          <w:rFonts w:eastAsia="Times New Roman"/>
        </w:rPr>
      </w:pPr>
      <w:r>
        <w:rPr>
          <w:rFonts w:eastAsia="Times New Roman"/>
          <w:b/>
          <w:bCs/>
          <w:color w:val="000000"/>
          <w:sz w:val="20"/>
          <w:szCs w:val="20"/>
        </w:rPr>
        <w:t>CONSOLIDATED ST</w:t>
      </w:r>
      <w:r>
        <w:rPr>
          <w:rFonts w:eastAsia="Times New Roman"/>
          <w:b/>
          <w:bCs/>
          <w:color w:val="000000"/>
          <w:sz w:val="20"/>
          <w:szCs w:val="20"/>
        </w:rPr>
        <w:t>ATEMENTS OF STOCKHOLDERS’ EQUITY</w:t>
      </w:r>
    </w:p>
    <w:p w:rsidR="00000000" w:rsidRDefault="00F123EE">
      <w:pPr>
        <w:jc w:val="center"/>
        <w:rPr>
          <w:rFonts w:eastAsia="Times New Roman"/>
        </w:rPr>
      </w:pPr>
      <w:r>
        <w:rPr>
          <w:rFonts w:eastAsia="Times New Roman"/>
          <w:b/>
          <w:bCs/>
          <w:color w:val="000000"/>
          <w:sz w:val="20"/>
          <w:szCs w:val="20"/>
        </w:rPr>
        <w:t>(in thousands)</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1567"/>
        <w:gridCol w:w="36"/>
        <w:gridCol w:w="85"/>
        <w:gridCol w:w="565"/>
        <w:gridCol w:w="36"/>
        <w:gridCol w:w="36"/>
        <w:gridCol w:w="36"/>
        <w:gridCol w:w="36"/>
        <w:gridCol w:w="111"/>
        <w:gridCol w:w="515"/>
        <w:gridCol w:w="37"/>
        <w:gridCol w:w="36"/>
        <w:gridCol w:w="36"/>
        <w:gridCol w:w="36"/>
        <w:gridCol w:w="110"/>
        <w:gridCol w:w="765"/>
        <w:gridCol w:w="36"/>
        <w:gridCol w:w="36"/>
        <w:gridCol w:w="36"/>
        <w:gridCol w:w="36"/>
        <w:gridCol w:w="110"/>
        <w:gridCol w:w="840"/>
        <w:gridCol w:w="36"/>
        <w:gridCol w:w="36"/>
        <w:gridCol w:w="36"/>
        <w:gridCol w:w="36"/>
        <w:gridCol w:w="110"/>
        <w:gridCol w:w="540"/>
        <w:gridCol w:w="36"/>
        <w:gridCol w:w="36"/>
        <w:gridCol w:w="36"/>
        <w:gridCol w:w="36"/>
        <w:gridCol w:w="110"/>
        <w:gridCol w:w="765"/>
        <w:gridCol w:w="36"/>
        <w:gridCol w:w="36"/>
        <w:gridCol w:w="36"/>
        <w:gridCol w:w="36"/>
        <w:gridCol w:w="111"/>
        <w:gridCol w:w="1001"/>
        <w:gridCol w:w="36"/>
      </w:tblGrid>
      <w:tr w:rsidR="00000000">
        <w:trPr>
          <w:jc w:val="center"/>
        </w:trPr>
        <w:tc>
          <w:tcPr>
            <w:tcW w:w="50" w:type="pct"/>
            <w:vAlign w:val="center"/>
            <w:hideMark/>
          </w:tcPr>
          <w:p w:rsidR="00000000" w:rsidRDefault="00F123EE">
            <w:pPr>
              <w:jc w:val="center"/>
              <w:rPr>
                <w:rFonts w:eastAsia="Times New Roman"/>
              </w:rPr>
            </w:pPr>
          </w:p>
        </w:tc>
        <w:tc>
          <w:tcPr>
            <w:tcW w:w="1359"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333"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333"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43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43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472"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414"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53"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rPr>
          <w:trHeight w:val="520"/>
          <w:jc w:val="center"/>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18"/>
                <w:szCs w:val="18"/>
              </w:rPr>
              <w:t>Common Stock</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18"/>
                <w:szCs w:val="18"/>
              </w:rPr>
              <w:t>Additional</w:t>
            </w:r>
          </w:p>
          <w:p w:rsidR="00000000" w:rsidRDefault="00F123EE">
            <w:pPr>
              <w:spacing w:after="100"/>
              <w:jc w:val="center"/>
              <w:rPr>
                <w:rFonts w:eastAsia="Times New Roman"/>
              </w:rPr>
            </w:pPr>
            <w:r>
              <w:rPr>
                <w:rFonts w:eastAsia="Times New Roman"/>
                <w:b/>
                <w:bCs/>
                <w:color w:val="000000"/>
                <w:sz w:val="18"/>
                <w:szCs w:val="18"/>
              </w:rPr>
              <w:t>Paid-in</w:t>
            </w:r>
          </w:p>
          <w:p w:rsidR="00000000" w:rsidRDefault="00F123EE">
            <w:pPr>
              <w:spacing w:after="100"/>
              <w:jc w:val="center"/>
              <w:rPr>
                <w:rFonts w:eastAsia="Times New Roman"/>
              </w:rPr>
            </w:pPr>
            <w:r>
              <w:rPr>
                <w:rFonts w:eastAsia="Times New Roman"/>
                <w:b/>
                <w:bCs/>
                <w:color w:val="000000"/>
                <w:sz w:val="18"/>
                <w:szCs w:val="18"/>
              </w:rPr>
              <w:t>Capital</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18"/>
                <w:szCs w:val="18"/>
              </w:rPr>
              <w:t>Treasury</w:t>
            </w:r>
          </w:p>
          <w:p w:rsidR="00000000" w:rsidRDefault="00F123EE">
            <w:pPr>
              <w:spacing w:after="100"/>
              <w:jc w:val="center"/>
              <w:rPr>
                <w:rFonts w:eastAsia="Times New Roman"/>
              </w:rPr>
            </w:pPr>
            <w:r>
              <w:rPr>
                <w:rFonts w:eastAsia="Times New Roman"/>
                <w:b/>
                <w:bCs/>
                <w:color w:val="000000"/>
                <w:sz w:val="18"/>
                <w:szCs w:val="18"/>
              </w:rPr>
              <w:t>Stock</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18"/>
                <w:szCs w:val="18"/>
              </w:rPr>
              <w:t>Accum. Other Comp. Income</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18"/>
                <w:szCs w:val="18"/>
              </w:rPr>
              <w:t>Retained</w:t>
            </w:r>
          </w:p>
          <w:p w:rsidR="00000000" w:rsidRDefault="00F123EE">
            <w:pPr>
              <w:spacing w:after="100"/>
              <w:jc w:val="center"/>
              <w:rPr>
                <w:rFonts w:eastAsia="Times New Roman"/>
              </w:rPr>
            </w:pPr>
            <w:r>
              <w:rPr>
                <w:rFonts w:eastAsia="Times New Roman"/>
                <w:b/>
                <w:bCs/>
                <w:color w:val="000000"/>
                <w:sz w:val="18"/>
                <w:szCs w:val="18"/>
              </w:rPr>
              <w:t>Earnings</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18"/>
                <w:szCs w:val="18"/>
              </w:rPr>
              <w:t>Total</w:t>
            </w:r>
          </w:p>
          <w:p w:rsidR="00000000" w:rsidRDefault="00F123EE">
            <w:pPr>
              <w:spacing w:after="100"/>
              <w:jc w:val="center"/>
              <w:rPr>
                <w:rFonts w:eastAsia="Times New Roman"/>
              </w:rPr>
            </w:pPr>
            <w:r>
              <w:rPr>
                <w:rFonts w:eastAsia="Times New Roman"/>
                <w:b/>
                <w:bCs/>
                <w:color w:val="000000"/>
                <w:sz w:val="18"/>
                <w:szCs w:val="18"/>
              </w:rPr>
              <w:t>Stockholders’</w:t>
            </w:r>
          </w:p>
          <w:p w:rsidR="00000000" w:rsidRDefault="00F123EE">
            <w:pPr>
              <w:spacing w:after="100"/>
              <w:jc w:val="center"/>
              <w:rPr>
                <w:rFonts w:eastAsia="Times New Roman"/>
              </w:rPr>
            </w:pPr>
            <w:r>
              <w:rPr>
                <w:rFonts w:eastAsia="Times New Roman"/>
                <w:b/>
                <w:bCs/>
                <w:color w:val="000000"/>
                <w:sz w:val="18"/>
                <w:szCs w:val="18"/>
              </w:rPr>
              <w:t>Equity</w:t>
            </w:r>
          </w:p>
        </w:tc>
      </w:tr>
      <w:tr w:rsidR="00000000">
        <w:trPr>
          <w:trHeight w:val="280"/>
          <w:jc w:val="center"/>
        </w:trPr>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18"/>
                <w:szCs w:val="18"/>
              </w:rPr>
              <w:t>Dollars</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vMerge/>
            <w:vAlign w:val="center"/>
            <w:hideMark/>
          </w:tcPr>
          <w:p w:rsidR="00000000" w:rsidRDefault="00F123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vMerge/>
            <w:vAlign w:val="center"/>
            <w:hideMark/>
          </w:tcPr>
          <w:p w:rsidR="00000000" w:rsidRDefault="00F123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vMerge/>
            <w:vAlign w:val="center"/>
            <w:hideMark/>
          </w:tcPr>
          <w:p w:rsidR="00000000" w:rsidRDefault="00F123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vMerge/>
            <w:vAlign w:val="center"/>
            <w:hideMark/>
          </w:tcPr>
          <w:p w:rsidR="00000000" w:rsidRDefault="00F123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vMerge/>
            <w:vAlign w:val="center"/>
            <w:hideMark/>
          </w:tcPr>
          <w:p w:rsidR="00000000" w:rsidRDefault="00F123EE">
            <w:pPr>
              <w:spacing w:after="100"/>
              <w:rPr>
                <w:rFonts w:eastAsia="Times New Roman"/>
              </w:rPr>
            </w:pPr>
          </w:p>
        </w:tc>
      </w:tr>
      <w:tr w:rsidR="00F123EE">
        <w:trPr>
          <w:jc w:val="center"/>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b/>
                <w:bCs/>
                <w:color w:val="000000"/>
                <w:sz w:val="18"/>
                <w:szCs w:val="18"/>
              </w:rPr>
              <w:t>Stockholders’ equity at December 28,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118,165 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1,389 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966,698 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(3,013,996)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199 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3,612,833 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1,567,123 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trHeight w:val="60"/>
          <w:jc w:val="center"/>
        </w:trPr>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18"/>
                <w:szCs w:val="18"/>
              </w:rPr>
              <w:t>Common stock issuance under stock award plans &amp; ESPP</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1,520 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99,328 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99,340 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18"/>
                <w:szCs w:val="18"/>
              </w:rPr>
              <w:t>Share-based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37,273 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37,273 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vAlign w:val="center"/>
            <w:hideMark/>
          </w:tcPr>
          <w:p w:rsidR="00000000" w:rsidRDefault="00F123EE">
            <w:pPr>
              <w:spacing w:after="100"/>
              <w:jc w:val="right"/>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18"/>
                <w:szCs w:val="18"/>
              </w:rPr>
              <w:t>Repurchase of shares to satisfy tax obligations</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(7,799)</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(7,799)</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18"/>
                <w:szCs w:val="18"/>
              </w:rPr>
              <w:t>Repurchase of common stock</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(3,439)</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(342,957)</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(342,957)</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18"/>
                <w:szCs w:val="18"/>
              </w:rPr>
              <w:t>Cash dividends paid to stockholders</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(174,656)</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(174,656)</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18"/>
                <w:szCs w:val="18"/>
              </w:rPr>
              <w:t>Change in fair value of interest rate swaps, net of taxes</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(3,442)</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(3,442)</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18"/>
                <w:szCs w:val="18"/>
              </w:rPr>
              <w:t>Net income</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748,958 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748,958 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vAlign w:val="center"/>
            <w:hideMark/>
          </w:tcPr>
          <w:p w:rsidR="00000000" w:rsidRDefault="00F123EE">
            <w:pPr>
              <w:spacing w:after="100"/>
              <w:jc w:val="right"/>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b/>
                <w:bCs/>
                <w:color w:val="000000"/>
                <w:sz w:val="18"/>
                <w:szCs w:val="18"/>
              </w:rPr>
              <w:t>Stockholders’ equity at December 26, 2020</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116,246 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1,401 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1,095,500 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(3,356,953)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(3,243)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4,187,135 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1,923,840 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trHeight w:val="100"/>
          <w:jc w:val="center"/>
        </w:trPr>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18"/>
                <w:szCs w:val="18"/>
              </w:rPr>
              <w:t>Common stock issuance under stock award plans &amp; ESPP</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1,243 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82,239 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82,249 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18"/>
                <w:szCs w:val="18"/>
              </w:rPr>
              <w:t>Share-based compensation expense</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47,649 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47,649 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18"/>
                <w:szCs w:val="18"/>
              </w:rPr>
              <w:t>Repurchase of shares to satisfy tax obligations</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(14,876)</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(14,876)</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18"/>
                <w:szCs w:val="18"/>
              </w:rPr>
              <w:t>Repurchase of common stock</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(4,364)</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(798,893)</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(798,893)</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18"/>
                <w:szCs w:val="18"/>
              </w:rPr>
              <w:t>Cash dividends paid to stockholders</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(239,006)</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(239,006)</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18"/>
                <w:szCs w:val="18"/>
              </w:rPr>
              <w:t>Change in fair value of interest rate swaps, net of taxes</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4,588 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4,588 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18"/>
                <w:szCs w:val="18"/>
              </w:rPr>
              <w:t>Net income</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997,114 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997,114 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vAlign w:val="center"/>
            <w:hideMark/>
          </w:tcPr>
          <w:p w:rsidR="00000000" w:rsidRDefault="00F123EE">
            <w:pPr>
              <w:spacing w:after="100"/>
              <w:jc w:val="right"/>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b/>
                <w:bCs/>
                <w:color w:val="000000"/>
                <w:sz w:val="18"/>
                <w:szCs w:val="18"/>
              </w:rPr>
              <w:t>Stockholders’ equity at December 25,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113,125 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1,411 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1,210,512 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(4,155,846)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1,345 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4,945,243 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2,002,665 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trHeight w:val="120"/>
          <w:jc w:val="center"/>
        </w:trPr>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18"/>
                <w:szCs w:val="18"/>
              </w:rPr>
              <w:t>Common stock issuance under stock award plans &amp; ESPP</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504 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25,531 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25,535 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18"/>
                <w:szCs w:val="18"/>
              </w:rPr>
              <w:t>Share-based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53,832 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53,832 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18"/>
                <w:szCs w:val="18"/>
              </w:rPr>
              <w:t>Repurchase of shares to satisfy tax obligations</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(28,592)</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(28,592)</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18"/>
                <w:szCs w:val="18"/>
              </w:rPr>
              <w:t>Repurchase of common stock</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(3,378)</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(700,063)</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(700,063)</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18"/>
                <w:szCs w:val="18"/>
              </w:rPr>
              <w:t>Cash dividends paid to stockholders</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(409,603)</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(409,603)</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18"/>
                <w:szCs w:val="18"/>
              </w:rPr>
              <w:t>Change in fair value of interest rate swaps, net of taxes</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9,930 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9,930 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18"/>
                <w:szCs w:val="18"/>
              </w:rPr>
              <w:t>Net income</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1,088,712 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1,088,712 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F123EE">
        <w:trPr>
          <w:jc w:val="center"/>
        </w:trPr>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b/>
                <w:bCs/>
                <w:color w:val="000000"/>
                <w:sz w:val="18"/>
                <w:szCs w:val="18"/>
              </w:rPr>
              <w:t>Stockholders’ equity at December 31, 2022</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110,251 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1,415 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1,261,283 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(4,855,909)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11,275 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5,624,352 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18"/>
                <w:szCs w:val="18"/>
              </w:rPr>
              <w:t>2,042,416 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bl>
    <w:p w:rsidR="00000000" w:rsidRDefault="00F123EE">
      <w:pPr>
        <w:divId w:val="290016988"/>
        <w:rPr>
          <w:rFonts w:eastAsia="Times New Roman"/>
        </w:rPr>
      </w:pPr>
    </w:p>
    <w:p w:rsidR="00000000" w:rsidRDefault="00F123EE">
      <w:pPr>
        <w:jc w:val="center"/>
        <w:rPr>
          <w:rFonts w:eastAsia="Times New Roman"/>
        </w:rPr>
      </w:pPr>
      <w:r>
        <w:rPr>
          <w:rFonts w:eastAsia="Times New Roman"/>
          <w:color w:val="000000"/>
          <w:sz w:val="20"/>
          <w:szCs w:val="20"/>
        </w:rPr>
        <w:t>The accompanying notes are an integral part of these Co</w:t>
      </w:r>
      <w:r>
        <w:rPr>
          <w:rFonts w:eastAsia="Times New Roman"/>
          <w:color w:val="000000"/>
          <w:sz w:val="20"/>
          <w:szCs w:val="20"/>
        </w:rPr>
        <w:t>nsolidated Financial Statements.</w:t>
      </w:r>
    </w:p>
    <w:p w:rsidR="00000000" w:rsidRDefault="00F123EE">
      <w:pPr>
        <w:jc w:val="center"/>
        <w:divId w:val="1978295973"/>
        <w:rPr>
          <w:rFonts w:eastAsia="Times New Roman"/>
        </w:rPr>
      </w:pPr>
      <w:r>
        <w:rPr>
          <w:rFonts w:eastAsia="Times New Roman"/>
          <w:color w:val="000000"/>
          <w:sz w:val="20"/>
          <w:szCs w:val="20"/>
        </w:rPr>
        <w:t>51</w:t>
      </w:r>
    </w:p>
    <w:p w:rsidR="00000000" w:rsidRDefault="00F123EE">
      <w:pPr>
        <w:rPr>
          <w:rFonts w:eastAsia="Times New Roman"/>
        </w:rPr>
      </w:pPr>
      <w:r>
        <w:rPr>
          <w:rFonts w:eastAsia="Times New Roman"/>
        </w:rPr>
        <w:pict>
          <v:rect id="_x0000_i1081" style="width:0;height:1.5pt" o:hralign="center" o:hrstd="t" o:hr="t" fillcolor="#a0a0a0" stroked="f"/>
        </w:pict>
      </w:r>
    </w:p>
    <w:p w:rsidR="00000000" w:rsidRDefault="00F123EE">
      <w:pPr>
        <w:divId w:val="1746953918"/>
        <w:rPr>
          <w:rFonts w:eastAsia="Times New Roman"/>
        </w:rPr>
      </w:pPr>
      <w:hyperlink w:anchor="i38696b5cc01146d68b9c6b33327cf890_7" w:history="1">
        <w:r>
          <w:rPr>
            <w:rStyle w:val="a3"/>
            <w:rFonts w:eastAsia="Times New Roman"/>
            <w:sz w:val="18"/>
            <w:szCs w:val="18"/>
          </w:rPr>
          <w:t>Index</w:t>
        </w:r>
      </w:hyperlink>
    </w:p>
    <w:p w:rsidR="00000000" w:rsidRDefault="00F123EE">
      <w:pPr>
        <w:jc w:val="center"/>
        <w:rPr>
          <w:rFonts w:eastAsia="Times New Roman"/>
        </w:rPr>
      </w:pPr>
      <w:r>
        <w:rPr>
          <w:rFonts w:eastAsia="Times New Roman"/>
          <w:b/>
          <w:bCs/>
          <w:color w:val="000000"/>
          <w:sz w:val="20"/>
          <w:szCs w:val="20"/>
        </w:rPr>
        <w:t>TRACTOR SUPPLY COMPANY</w:t>
      </w:r>
    </w:p>
    <w:p w:rsidR="00000000" w:rsidRDefault="00F123EE">
      <w:pPr>
        <w:jc w:val="center"/>
        <w:rPr>
          <w:rFonts w:eastAsia="Times New Roman"/>
        </w:rPr>
      </w:pPr>
      <w:r>
        <w:rPr>
          <w:rFonts w:eastAsia="Times New Roman"/>
          <w:b/>
          <w:bCs/>
          <w:color w:val="000000"/>
          <w:sz w:val="20"/>
          <w:szCs w:val="20"/>
        </w:rPr>
        <w:t>CONSOLIDATED STATEMENTS OF CASH FLOWS</w:t>
      </w:r>
    </w:p>
    <w:p w:rsidR="00000000" w:rsidRDefault="00F123EE">
      <w:pPr>
        <w:jc w:val="center"/>
        <w:rPr>
          <w:rFonts w:eastAsia="Times New Roman"/>
        </w:rPr>
      </w:pPr>
      <w:r>
        <w:rPr>
          <w:rFonts w:eastAsia="Times New Roman"/>
          <w:b/>
          <w:bCs/>
          <w:color w:val="000000"/>
          <w:sz w:val="20"/>
          <w:szCs w:val="20"/>
        </w:rPr>
        <w:t>(in thousands)</w:t>
      </w:r>
    </w:p>
    <w:tbl>
      <w:tblPr>
        <w:tblW w:w="4978" w:type="pct"/>
        <w:jc w:val="center"/>
        <w:tblCellMar>
          <w:top w:w="15" w:type="dxa"/>
          <w:left w:w="15" w:type="dxa"/>
          <w:bottom w:w="15" w:type="dxa"/>
          <w:right w:w="15" w:type="dxa"/>
        </w:tblCellMar>
        <w:tblLook w:val="04A0" w:firstRow="1" w:lastRow="0" w:firstColumn="1" w:lastColumn="0" w:noHBand="0" w:noVBand="1"/>
      </w:tblPr>
      <w:tblGrid>
        <w:gridCol w:w="42"/>
        <w:gridCol w:w="5025"/>
        <w:gridCol w:w="41"/>
        <w:gridCol w:w="120"/>
        <w:gridCol w:w="850"/>
        <w:gridCol w:w="36"/>
        <w:gridCol w:w="36"/>
        <w:gridCol w:w="36"/>
        <w:gridCol w:w="36"/>
        <w:gridCol w:w="121"/>
        <w:gridCol w:w="776"/>
        <w:gridCol w:w="36"/>
        <w:gridCol w:w="36"/>
        <w:gridCol w:w="36"/>
        <w:gridCol w:w="36"/>
        <w:gridCol w:w="120"/>
        <w:gridCol w:w="850"/>
        <w:gridCol w:w="36"/>
      </w:tblGrid>
      <w:tr w:rsidR="00000000">
        <w:trPr>
          <w:jc w:val="center"/>
        </w:trPr>
        <w:tc>
          <w:tcPr>
            <w:tcW w:w="50" w:type="pct"/>
            <w:vAlign w:val="center"/>
            <w:hideMark/>
          </w:tcPr>
          <w:p w:rsidR="00000000" w:rsidRDefault="00F123EE">
            <w:pPr>
              <w:jc w:val="center"/>
              <w:rPr>
                <w:rFonts w:eastAsia="Times New Roman"/>
              </w:rPr>
            </w:pPr>
          </w:p>
        </w:tc>
        <w:tc>
          <w:tcPr>
            <w:tcW w:w="347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414"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19"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414"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19"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41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Fiscal Year</w:t>
            </w:r>
          </w:p>
        </w:tc>
      </w:tr>
      <w:tr w:rsidR="00000000">
        <w:trPr>
          <w:jc w:val="center"/>
        </w:trPr>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2020</w:t>
            </w:r>
          </w:p>
        </w:tc>
      </w:tr>
      <w:tr w:rsidR="00000000">
        <w:trPr>
          <w:jc w:val="center"/>
        </w:trPr>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18"/>
                <w:szCs w:val="18"/>
              </w:rPr>
              <w:t>(53 weeks)</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18"/>
                <w:szCs w:val="18"/>
              </w:rPr>
              <w:t>(52 weeks)</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18"/>
                <w:szCs w:val="18"/>
              </w:rPr>
              <w:t>(52 weeks)</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b/>
                <w:bCs/>
                <w:color w:val="000000"/>
                <w:sz w:val="20"/>
                <w:szCs w:val="20"/>
              </w:rPr>
              <w:t>Cash flows from operating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Net income</w:t>
            </w:r>
          </w:p>
        </w:tc>
        <w:tc>
          <w:tcPr>
            <w:tcW w:w="0" w:type="auto"/>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1,088,712 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997,114 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748,958 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343,062 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270,158 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217,124 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Impairment of goodwill and other intangible assets</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68,973 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Impairment of other long-lived assets</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5,078 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Loss/(gain) on disposition of property and equipment</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2,158 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4,045 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(1,157)</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Share-based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53,832 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47,649 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37,273 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Deferred income taxes</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51,693 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29,149 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(31,739)</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Change in assets and liabilities (excluding impact from acquisitions and dispositions):</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jc w:val="center"/>
        </w:trPr>
        <w:tc>
          <w:tcPr>
            <w:tcW w:w="0" w:type="auto"/>
            <w:gridSpan w:val="3"/>
            <w:shd w:val="clear" w:color="auto" w:fill="CCEEFF"/>
            <w:tcMar>
              <w:top w:w="30" w:type="dxa"/>
              <w:left w:w="74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Inventories</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(349,742)</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(407,922)</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(180,489)</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FFFFFF"/>
            <w:tcMar>
              <w:top w:w="30" w:type="dxa"/>
              <w:left w:w="74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(64,060)</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(30,459)</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(32,794)</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74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Accounts payable</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162,335 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179,534 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333,060 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FFFFFF"/>
            <w:tcMar>
              <w:top w:w="30" w:type="dxa"/>
              <w:left w:w="74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Accrued employee compensation</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6,433 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(10,083)</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79,946 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74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Other accrued expenses</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(13,137)</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137,833 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72,405 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FFFFFF"/>
            <w:tcMar>
              <w:top w:w="30" w:type="dxa"/>
              <w:left w:w="74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26,570 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(37,038)</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13,954 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74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49,123 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(41,260)</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63,923 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FFFFFF"/>
            <w:tcMar>
              <w:top w:w="30" w:type="dxa"/>
              <w:left w:w="74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Net cash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1,356,979 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1,138,720 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1,394,515 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b/>
                <w:bCs/>
                <w:color w:val="000000"/>
                <w:sz w:val="20"/>
                <w:szCs w:val="20"/>
              </w:rPr>
              <w:t>Cash flows from investing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Capital expenditures</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(773,369)</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(628,431)</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(294,002)</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Proceeds from sale of property and equipment</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1,044 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1,091 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1,792 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Acquisition of Orscheln, net of cash acquired</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(390,765)</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Proceeds from sale of business</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69,364 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vAlign w:val="center"/>
            <w:hideMark/>
          </w:tcPr>
          <w:p w:rsidR="00000000" w:rsidRDefault="00F123EE">
            <w:pPr>
              <w:spacing w:after="100"/>
              <w:jc w:val="right"/>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rPr>
          <w:jc w:val="center"/>
        </w:trPr>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rPr>
          <w:jc w:val="center"/>
        </w:trPr>
        <w:tc>
          <w:tcPr>
            <w:tcW w:w="0" w:type="auto"/>
            <w:gridSpan w:val="3"/>
            <w:shd w:val="clear" w:color="auto" w:fill="FFFFFF"/>
            <w:tcMar>
              <w:top w:w="30" w:type="dxa"/>
              <w:left w:w="74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Net cash used in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(1,093,726)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(627,340)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(292,210)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b/>
                <w:bCs/>
                <w:color w:val="000000"/>
                <w:sz w:val="20"/>
                <w:szCs w:val="20"/>
              </w:rPr>
              <w:t>Cash flows from financing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Borrowings under debt facilities</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1,010,000 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2,009,000 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Repayments under debt facilities</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(832,000)</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(1,406,500)</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Debt discounts and issuance costs</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(17,048)</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vAlign w:val="center"/>
            <w:hideMark/>
          </w:tcPr>
          <w:p w:rsidR="00000000" w:rsidRDefault="00F123EE">
            <w:pPr>
              <w:spacing w:after="100"/>
              <w:jc w:val="right"/>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Principal payments under finance lease liabilities</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(4,058)</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(4,580)</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(4,170)</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Repurchase of shares to satisfy tax obligations</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(28,592)</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(14,876)</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(7,799)</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Repurchase of common stock</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(700,063)</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(798,893)</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(342,957)</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Net proceeds from issuance of common stock</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25,535 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82,249 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99,340 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Cash dividends paid to stockholders</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(409,603)</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(239,006)</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(174,656)</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FFFFFF"/>
            <w:tcMar>
              <w:top w:w="30" w:type="dxa"/>
              <w:left w:w="74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Net cash (used in)/provided by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(938,781)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(975,106)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155,210 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b/>
                <w:bCs/>
                <w:color w:val="000000"/>
                <w:sz w:val="20"/>
                <w:szCs w:val="20"/>
              </w:rPr>
              <w:t>Net (decrease)/increase in cash and cash equivalents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(675,528)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(463,726)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1,257,515 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Cash and cash equivalents at beginning of period</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878,030 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1,341,756 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84,241 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Cash and cash equivalents at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202,502 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878,030 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1,341,756 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b/>
                <w:bCs/>
                <w:color w:val="000000"/>
                <w:sz w:val="20"/>
                <w:szCs w:val="20"/>
              </w:rPr>
              <w:t>Supplemental disclosures of cash flow information:</w:t>
            </w: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Cash paid during the period for:</w:t>
            </w:r>
          </w:p>
        </w:tc>
        <w:tc>
          <w:tcPr>
            <w:tcW w:w="0" w:type="auto"/>
            <w:gridSpan w:val="3"/>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Interest, net of amounts capitalized</w:t>
            </w:r>
          </w:p>
        </w:tc>
        <w:tc>
          <w:tcPr>
            <w:tcW w:w="0" w:type="auto"/>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26,367 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23,601 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24,540 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Income taxes</w:t>
            </w: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239,129 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291,665 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235,319 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b/>
                <w:bCs/>
                <w:color w:val="000000"/>
                <w:sz w:val="20"/>
                <w:szCs w:val="20"/>
              </w:rPr>
              <w:t>Supplemental disclosures of non-cash activities:</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Non-cash accruals for property and equipment</w:t>
            </w:r>
          </w:p>
        </w:tc>
        <w:tc>
          <w:tcPr>
            <w:tcW w:w="0" w:type="auto"/>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45,742 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24,408 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12,642 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Increase of operating lease assets and liabilities from new or modified leases</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416,457 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678,092 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524,141 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Increase of finance lease assets and liabilities from new or modified leases</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5,143 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3,675 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7,395 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vAlign w:val="center"/>
            <w:hideMark/>
          </w:tcPr>
          <w:p w:rsidR="00000000" w:rsidRDefault="00F123EE">
            <w:pPr>
              <w:spacing w:after="100"/>
              <w:jc w:val="right"/>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bl>
    <w:p w:rsidR="00000000" w:rsidRDefault="00F123EE">
      <w:pPr>
        <w:jc w:val="center"/>
        <w:rPr>
          <w:rFonts w:eastAsia="Times New Roman"/>
        </w:rPr>
      </w:pPr>
      <w:r>
        <w:rPr>
          <w:rFonts w:eastAsia="Times New Roman"/>
          <w:color w:val="000000"/>
          <w:sz w:val="20"/>
          <w:szCs w:val="20"/>
        </w:rPr>
        <w:t>The accompanying notes are an integral part of these Consolidated Financial Statements.</w:t>
      </w:r>
    </w:p>
    <w:p w:rsidR="00000000" w:rsidRDefault="00F123EE">
      <w:pPr>
        <w:jc w:val="center"/>
        <w:divId w:val="1268585178"/>
        <w:rPr>
          <w:rFonts w:eastAsia="Times New Roman"/>
        </w:rPr>
      </w:pPr>
      <w:r>
        <w:rPr>
          <w:rFonts w:eastAsia="Times New Roman"/>
          <w:color w:val="000000"/>
          <w:sz w:val="20"/>
          <w:szCs w:val="20"/>
        </w:rPr>
        <w:t>52</w:t>
      </w:r>
    </w:p>
    <w:p w:rsidR="00000000" w:rsidRDefault="00F123EE">
      <w:pPr>
        <w:rPr>
          <w:rFonts w:eastAsia="Times New Roman"/>
        </w:rPr>
      </w:pPr>
      <w:r>
        <w:rPr>
          <w:rFonts w:eastAsia="Times New Roman"/>
        </w:rPr>
        <w:pict>
          <v:rect id="_x0000_i1082" style="width:0;height:1.5pt" o:hralign="center" o:hrstd="t" o:hr="t" fillcolor="#a0a0a0" stroked="f"/>
        </w:pict>
      </w:r>
    </w:p>
    <w:p w:rsidR="00000000" w:rsidRDefault="00F123EE">
      <w:pPr>
        <w:divId w:val="398553535"/>
        <w:rPr>
          <w:rFonts w:eastAsia="Times New Roman"/>
        </w:rPr>
      </w:pPr>
      <w:hyperlink w:anchor="i38696b5cc01146d68b9c6b33327cf890_7" w:history="1">
        <w:r>
          <w:rPr>
            <w:rStyle w:val="a3"/>
            <w:rFonts w:eastAsia="Times New Roman"/>
            <w:sz w:val="18"/>
            <w:szCs w:val="18"/>
          </w:rPr>
          <w:t>Index</w:t>
        </w:r>
      </w:hyperlink>
    </w:p>
    <w:p w:rsidR="00000000" w:rsidRDefault="00F123EE">
      <w:pPr>
        <w:jc w:val="center"/>
        <w:rPr>
          <w:rFonts w:eastAsia="Times New Roman"/>
        </w:rPr>
      </w:pPr>
      <w:r>
        <w:rPr>
          <w:rFonts w:eastAsia="Times New Roman"/>
          <w:b/>
          <w:bCs/>
          <w:color w:val="000000"/>
          <w:sz w:val="20"/>
          <w:szCs w:val="20"/>
        </w:rPr>
        <w:t>TRACTOR SUPPLY COMPANY</w:t>
      </w:r>
    </w:p>
    <w:p w:rsidR="00000000" w:rsidRDefault="00F123EE">
      <w:pPr>
        <w:jc w:val="center"/>
        <w:rPr>
          <w:rFonts w:eastAsia="Times New Roman"/>
        </w:rPr>
      </w:pPr>
      <w:r>
        <w:rPr>
          <w:rFonts w:eastAsia="Times New Roman"/>
          <w:b/>
          <w:bCs/>
          <w:color w:val="000000"/>
          <w:sz w:val="20"/>
          <w:szCs w:val="20"/>
        </w:rPr>
        <w:t>NOTES TO CONSOLIDATED FINANCIAL STATEMENTS</w:t>
      </w:r>
    </w:p>
    <w:p w:rsidR="00000000" w:rsidRDefault="00F123EE">
      <w:pPr>
        <w:jc w:val="center"/>
        <w:rPr>
          <w:rFonts w:eastAsia="Times New Roman"/>
        </w:rPr>
      </w:pPr>
    </w:p>
    <w:p w:rsidR="00000000" w:rsidRDefault="00F123EE">
      <w:pPr>
        <w:divId w:val="786856695"/>
        <w:rPr>
          <w:rFonts w:eastAsia="Times New Roman"/>
        </w:rPr>
      </w:pPr>
      <w:r>
        <w:rPr>
          <w:rFonts w:eastAsia="Times New Roman"/>
          <w:b/>
          <w:bCs/>
          <w:color w:val="000000"/>
          <w:sz w:val="20"/>
          <w:szCs w:val="20"/>
        </w:rPr>
        <w:t>Note 1 – Significant Accounting Policies:</w:t>
      </w:r>
    </w:p>
    <w:p w:rsidR="00000000" w:rsidRDefault="00F123EE">
      <w:pPr>
        <w:divId w:val="326590891"/>
        <w:rPr>
          <w:rFonts w:eastAsia="Times New Roman"/>
        </w:rPr>
      </w:pPr>
    </w:p>
    <w:p w:rsidR="00000000" w:rsidRDefault="00F123EE">
      <w:pPr>
        <w:jc w:val="both"/>
        <w:rPr>
          <w:rFonts w:eastAsia="Times New Roman"/>
        </w:rPr>
      </w:pPr>
      <w:r>
        <w:rPr>
          <w:rFonts w:eastAsia="Times New Roman"/>
          <w:b/>
          <w:bCs/>
          <w:i/>
          <w:iCs/>
          <w:color w:val="000000"/>
          <w:sz w:val="20"/>
          <w:szCs w:val="20"/>
        </w:rPr>
        <w:t>Nature of Business</w:t>
      </w:r>
    </w:p>
    <w:p w:rsidR="00000000" w:rsidRDefault="00F123EE">
      <w:pPr>
        <w:divId w:val="131295889"/>
        <w:rPr>
          <w:rFonts w:eastAsia="Times New Roman"/>
        </w:rPr>
      </w:pPr>
    </w:p>
    <w:p w:rsidR="00000000" w:rsidRDefault="00F123EE">
      <w:pPr>
        <w:jc w:val="both"/>
        <w:rPr>
          <w:rFonts w:eastAsia="Times New Roman"/>
        </w:rPr>
      </w:pPr>
      <w:r>
        <w:rPr>
          <w:rFonts w:eastAsia="Times New Roman"/>
          <w:color w:val="000000"/>
          <w:sz w:val="20"/>
          <w:szCs w:val="20"/>
        </w:rPr>
        <w:t>Founded in 1938, Tractor Supply Company (the “Company” or “Tractor Supply” or “we” or “our” or “us”) is the largest rural lifestyle retailer in the United States (“U.S.”).  The Company is focused on supplying the needs of recreational farmers, ranchers, an</w:t>
      </w:r>
      <w:r>
        <w:rPr>
          <w:rFonts w:eastAsia="Times New Roman"/>
          <w:color w:val="000000"/>
          <w:sz w:val="20"/>
          <w:szCs w:val="20"/>
        </w:rPr>
        <w:t>d all those who enjoy living the rural lifestyle (which we refer to as the “</w:t>
      </w:r>
      <w:r>
        <w:rPr>
          <w:rFonts w:eastAsia="Times New Roman"/>
          <w:i/>
          <w:iCs/>
          <w:color w:val="000000"/>
          <w:sz w:val="20"/>
          <w:szCs w:val="20"/>
        </w:rPr>
        <w:t>Out Here</w:t>
      </w:r>
      <w:r>
        <w:rPr>
          <w:rFonts w:eastAsia="Times New Roman"/>
          <w:color w:val="000000"/>
          <w:sz w:val="20"/>
          <w:szCs w:val="20"/>
        </w:rPr>
        <w:t>” lifestyle). The Company's stores are located primarily in towns outlying major metropolitan markets and in rural communities. The Company also owns and operates Petsense,</w:t>
      </w:r>
      <w:r>
        <w:rPr>
          <w:rFonts w:eastAsia="Times New Roman"/>
          <w:color w:val="000000"/>
          <w:sz w:val="20"/>
          <w:szCs w:val="20"/>
        </w:rPr>
        <w:t xml:space="preserve"> LLC (“Petsense by Tractor Supply”), a small-box pet specialty supply retailer focused on meeting the needs of pet owners, primarily in small and mid-sized communities, and offering a variety of pet products and services.  At December 31, 2022, the Company</w:t>
      </w:r>
      <w:r>
        <w:rPr>
          <w:rFonts w:eastAsia="Times New Roman"/>
          <w:color w:val="000000"/>
          <w:sz w:val="20"/>
          <w:szCs w:val="20"/>
        </w:rPr>
        <w:t xml:space="preserve"> operated a total of 2,333 retail stores in 49 states (2,066 Tractor Supply retail stores, 186 Petsense by Tractor Supply retail stores, and 81 Orscheln Farm and Home retail stores) and also offered an expanded assortment of products through the Tractor Su</w:t>
      </w:r>
      <w:r>
        <w:rPr>
          <w:rFonts w:eastAsia="Times New Roman"/>
          <w:color w:val="000000"/>
          <w:sz w:val="20"/>
          <w:szCs w:val="20"/>
        </w:rPr>
        <w:t xml:space="preserve">pply Company mobile application and online at </w:t>
      </w:r>
      <w:r>
        <w:rPr>
          <w:rFonts w:eastAsia="Times New Roman"/>
          <w:i/>
          <w:iCs/>
          <w:color w:val="000000"/>
          <w:sz w:val="20"/>
          <w:szCs w:val="20"/>
          <w:u w:val="single"/>
        </w:rPr>
        <w:t>TractorSupply.com</w:t>
      </w:r>
      <w:r>
        <w:rPr>
          <w:rFonts w:eastAsia="Times New Roman"/>
          <w:color w:val="000000"/>
          <w:sz w:val="20"/>
          <w:szCs w:val="20"/>
        </w:rPr>
        <w:t xml:space="preserve">, </w:t>
      </w:r>
      <w:r>
        <w:rPr>
          <w:rFonts w:eastAsia="Times New Roman"/>
          <w:i/>
          <w:iCs/>
          <w:color w:val="000000"/>
          <w:sz w:val="20"/>
          <w:szCs w:val="20"/>
          <w:u w:val="single"/>
        </w:rPr>
        <w:t>Petsense.com</w:t>
      </w:r>
      <w:r>
        <w:rPr>
          <w:rFonts w:eastAsia="Times New Roman"/>
          <w:color w:val="000000"/>
          <w:sz w:val="20"/>
          <w:szCs w:val="20"/>
        </w:rPr>
        <w:t xml:space="preserve">, and </w:t>
      </w:r>
      <w:r>
        <w:rPr>
          <w:rFonts w:eastAsia="Times New Roman"/>
          <w:i/>
          <w:iCs/>
          <w:color w:val="000000"/>
          <w:sz w:val="20"/>
          <w:szCs w:val="20"/>
          <w:u w:val="single"/>
        </w:rPr>
        <w:t>Orschelnfarmhome.com</w:t>
      </w:r>
      <w:r>
        <w:rPr>
          <w:rFonts w:eastAsia="Times New Roman"/>
          <w:color w:val="000000"/>
          <w:sz w:val="20"/>
          <w:szCs w:val="20"/>
        </w:rPr>
        <w:t>.</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On October 12, 2022, the Company completed its acquisition of Orscheln Farm and Home, LLC (“Orscheln” or “Orscheln Farm and Home”). The Company acqui</w:t>
      </w:r>
      <w:r>
        <w:rPr>
          <w:rFonts w:eastAsia="Times New Roman"/>
          <w:color w:val="000000"/>
          <w:sz w:val="20"/>
          <w:szCs w:val="20"/>
        </w:rPr>
        <w:t>red 166 Orscheln stores for approximately $397.7 million, exclusive of cash acquired. Concurrently with the closing of the acquisition, the Company divested 85 store locations to two buyers. Net proceeds from the store divestitures were approximately $69.4</w:t>
      </w:r>
      <w:r>
        <w:rPr>
          <w:rFonts w:eastAsia="Times New Roman"/>
          <w:color w:val="000000"/>
          <w:sz w:val="20"/>
          <w:szCs w:val="20"/>
        </w:rPr>
        <w:t xml:space="preserve"> million. In addition, Tractor Supply has agreed to sell the Orscheln corporate headquarters and distribution center to Bomgaars Supply, Inc. for approximately $10 million within 15 months after the closing of the acquisition. The acquisition was financed </w:t>
      </w:r>
      <w:r>
        <w:rPr>
          <w:rFonts w:eastAsia="Times New Roman"/>
          <w:color w:val="000000"/>
          <w:sz w:val="20"/>
          <w:szCs w:val="20"/>
        </w:rPr>
        <w:t>with cash-on-hand and borrowings under the 2022 Senior Credit Facility (as defined below). The Company plans to rebrand all Orscheln stores to Tractor Supply stores by the end of fiscal 2023. See Note 3 to the Consolidated Financial Statements for addition</w:t>
      </w:r>
      <w:r>
        <w:rPr>
          <w:rFonts w:eastAsia="Times New Roman"/>
          <w:color w:val="000000"/>
          <w:sz w:val="20"/>
          <w:szCs w:val="20"/>
        </w:rPr>
        <w:t>al information surrounding the acquisition of Orscheln Farm and Home.</w:t>
      </w:r>
    </w:p>
    <w:p w:rsidR="00000000" w:rsidRDefault="00F123EE">
      <w:pPr>
        <w:jc w:val="both"/>
        <w:rPr>
          <w:rFonts w:eastAsia="Times New Roman"/>
        </w:rPr>
      </w:pPr>
    </w:p>
    <w:p w:rsidR="00000000" w:rsidRDefault="00F123EE">
      <w:pPr>
        <w:jc w:val="both"/>
        <w:rPr>
          <w:rFonts w:eastAsia="Times New Roman"/>
        </w:rPr>
      </w:pPr>
      <w:r>
        <w:rPr>
          <w:rFonts w:eastAsia="Times New Roman"/>
          <w:b/>
          <w:bCs/>
          <w:i/>
          <w:iCs/>
          <w:color w:val="000000"/>
          <w:sz w:val="20"/>
          <w:szCs w:val="20"/>
        </w:rPr>
        <w:t>Basis of Presentation</w:t>
      </w:r>
    </w:p>
    <w:p w:rsidR="00000000" w:rsidRDefault="00F123EE">
      <w:pPr>
        <w:divId w:val="1453205165"/>
        <w:rPr>
          <w:rFonts w:eastAsia="Times New Roman"/>
        </w:rPr>
      </w:pPr>
    </w:p>
    <w:p w:rsidR="00000000" w:rsidRDefault="00F123EE">
      <w:pPr>
        <w:jc w:val="both"/>
        <w:rPr>
          <w:rFonts w:eastAsia="Times New Roman"/>
        </w:rPr>
      </w:pPr>
      <w:r>
        <w:rPr>
          <w:rFonts w:eastAsia="Times New Roman"/>
          <w:color w:val="000000"/>
          <w:sz w:val="20"/>
          <w:szCs w:val="20"/>
          <w:shd w:val="clear" w:color="auto" w:fill="FFFFFF"/>
        </w:rPr>
        <w:t>The accompanying Consolidated Financial Statements have been prepared in accordance with accounting principles generally accepted in the United States of Americ</w:t>
      </w:r>
      <w:r>
        <w:rPr>
          <w:rFonts w:eastAsia="Times New Roman"/>
          <w:color w:val="000000"/>
          <w:sz w:val="20"/>
          <w:szCs w:val="20"/>
          <w:shd w:val="clear" w:color="auto" w:fill="FFFFFF"/>
        </w:rPr>
        <w:t xml:space="preserve">a (“U.S. GAAP”) and the rules and regulations of the Securities and Exchange Commission (“SEC”). </w:t>
      </w:r>
    </w:p>
    <w:p w:rsidR="00000000" w:rsidRDefault="00F123EE">
      <w:pPr>
        <w:jc w:val="both"/>
        <w:rPr>
          <w:rFonts w:eastAsia="Times New Roman"/>
        </w:rPr>
      </w:pPr>
    </w:p>
    <w:p w:rsidR="00000000" w:rsidRDefault="00F123EE">
      <w:pPr>
        <w:jc w:val="both"/>
        <w:rPr>
          <w:rFonts w:eastAsia="Times New Roman"/>
        </w:rPr>
      </w:pPr>
      <w:r>
        <w:rPr>
          <w:rFonts w:eastAsia="Times New Roman"/>
          <w:b/>
          <w:bCs/>
          <w:i/>
          <w:iCs/>
          <w:color w:val="000000"/>
          <w:sz w:val="20"/>
          <w:szCs w:val="20"/>
        </w:rPr>
        <w:t>Fiscal Year</w:t>
      </w:r>
    </w:p>
    <w:p w:rsidR="00000000" w:rsidRDefault="00F123EE">
      <w:pPr>
        <w:divId w:val="1583097867"/>
        <w:rPr>
          <w:rFonts w:eastAsia="Times New Roman"/>
        </w:rPr>
      </w:pPr>
    </w:p>
    <w:p w:rsidR="00000000" w:rsidRDefault="00F123EE">
      <w:pPr>
        <w:jc w:val="both"/>
        <w:rPr>
          <w:rFonts w:eastAsia="Times New Roman"/>
        </w:rPr>
      </w:pPr>
      <w:r>
        <w:rPr>
          <w:rFonts w:eastAsia="Times New Roman"/>
          <w:color w:val="000000"/>
          <w:sz w:val="20"/>
          <w:szCs w:val="20"/>
        </w:rPr>
        <w:t>The Company’</w:t>
      </w:r>
      <w:r>
        <w:rPr>
          <w:rFonts w:eastAsia="Times New Roman"/>
          <w:color w:val="000000"/>
          <w:sz w:val="20"/>
          <w:szCs w:val="20"/>
        </w:rPr>
        <w:t>s fiscal year includes 52 or 53 weeks and ends on the last Saturday of the calendar year.  The fiscal year ended December 31, 2022 consisted of 53 weeks, while the years ended December 25, 2021 and December 26, 2020 each consisted of 52 weeks.</w:t>
      </w:r>
    </w:p>
    <w:p w:rsidR="00000000" w:rsidRDefault="00F123EE">
      <w:pPr>
        <w:divId w:val="840463668"/>
        <w:rPr>
          <w:rFonts w:eastAsia="Times New Roman"/>
        </w:rPr>
      </w:pPr>
    </w:p>
    <w:p w:rsidR="00000000" w:rsidRDefault="00F123EE">
      <w:pPr>
        <w:jc w:val="both"/>
        <w:rPr>
          <w:rFonts w:eastAsia="Times New Roman"/>
        </w:rPr>
      </w:pPr>
      <w:r>
        <w:rPr>
          <w:rFonts w:eastAsia="Times New Roman"/>
          <w:b/>
          <w:bCs/>
          <w:i/>
          <w:iCs/>
          <w:color w:val="000000"/>
          <w:sz w:val="20"/>
          <w:szCs w:val="20"/>
        </w:rPr>
        <w:t>Principles</w:t>
      </w:r>
      <w:r>
        <w:rPr>
          <w:rFonts w:eastAsia="Times New Roman"/>
          <w:b/>
          <w:bCs/>
          <w:i/>
          <w:iCs/>
          <w:color w:val="000000"/>
          <w:sz w:val="20"/>
          <w:szCs w:val="20"/>
        </w:rPr>
        <w:t xml:space="preserve"> of Consolidation</w:t>
      </w:r>
    </w:p>
    <w:p w:rsidR="00000000" w:rsidRDefault="00F123EE">
      <w:pPr>
        <w:divId w:val="147209269"/>
        <w:rPr>
          <w:rFonts w:eastAsia="Times New Roman"/>
        </w:rPr>
      </w:pPr>
    </w:p>
    <w:p w:rsidR="00000000" w:rsidRDefault="00F123EE">
      <w:pPr>
        <w:jc w:val="both"/>
        <w:rPr>
          <w:rFonts w:eastAsia="Times New Roman"/>
        </w:rPr>
      </w:pPr>
      <w:r>
        <w:rPr>
          <w:rFonts w:eastAsia="Times New Roman"/>
          <w:color w:val="000000"/>
          <w:sz w:val="20"/>
          <w:szCs w:val="20"/>
        </w:rPr>
        <w:t>The accompanying Consolidated Financial Statements include the accounts of the Company and its subsidiaries.  All intercompany accounts and transactions have been eliminated.</w:t>
      </w:r>
    </w:p>
    <w:p w:rsidR="00000000" w:rsidRDefault="00F123EE">
      <w:pPr>
        <w:jc w:val="both"/>
        <w:rPr>
          <w:rFonts w:eastAsia="Times New Roman"/>
        </w:rPr>
      </w:pPr>
    </w:p>
    <w:p w:rsidR="00000000" w:rsidRDefault="00F123EE">
      <w:pPr>
        <w:jc w:val="both"/>
        <w:rPr>
          <w:rFonts w:eastAsia="Times New Roman"/>
        </w:rPr>
      </w:pPr>
      <w:r>
        <w:rPr>
          <w:rFonts w:eastAsia="Times New Roman"/>
          <w:b/>
          <w:bCs/>
          <w:i/>
          <w:iCs/>
          <w:color w:val="000000"/>
          <w:sz w:val="20"/>
          <w:szCs w:val="20"/>
        </w:rPr>
        <w:t>Management Estimates</w:t>
      </w:r>
    </w:p>
    <w:p w:rsidR="00000000" w:rsidRDefault="00F123EE">
      <w:pPr>
        <w:divId w:val="1673214384"/>
        <w:rPr>
          <w:rFonts w:eastAsia="Times New Roman"/>
        </w:rPr>
      </w:pPr>
    </w:p>
    <w:p w:rsidR="00000000" w:rsidRDefault="00F123EE">
      <w:pPr>
        <w:jc w:val="both"/>
        <w:rPr>
          <w:rFonts w:eastAsia="Times New Roman"/>
        </w:rPr>
      </w:pPr>
      <w:r>
        <w:rPr>
          <w:rFonts w:eastAsia="Times New Roman"/>
          <w:color w:val="000000"/>
          <w:sz w:val="20"/>
          <w:szCs w:val="20"/>
        </w:rPr>
        <w:t>The preparation of Consolidated Fina</w:t>
      </w:r>
      <w:r>
        <w:rPr>
          <w:rFonts w:eastAsia="Times New Roman"/>
          <w:color w:val="000000"/>
          <w:sz w:val="20"/>
          <w:szCs w:val="20"/>
        </w:rPr>
        <w:t>ncial Statements in conformity with U.S. GAAP inherently requires estimates and assumptions by management of the Company that affect the reported amounts of assets and liabilities, revenues and expenses and related disclosures.  Actual results could differ</w:t>
      </w:r>
      <w:r>
        <w:rPr>
          <w:rFonts w:eastAsia="Times New Roman"/>
          <w:color w:val="000000"/>
          <w:sz w:val="20"/>
          <w:szCs w:val="20"/>
        </w:rPr>
        <w:t xml:space="preserve"> from those estimates.</w:t>
      </w:r>
    </w:p>
    <w:p w:rsidR="00000000" w:rsidRDefault="00F123EE">
      <w:pPr>
        <w:divId w:val="924267709"/>
        <w:rPr>
          <w:rFonts w:eastAsia="Times New Roman"/>
        </w:rPr>
      </w:pPr>
    </w:p>
    <w:p w:rsidR="00000000" w:rsidRDefault="00F123EE">
      <w:pPr>
        <w:jc w:val="center"/>
        <w:divId w:val="1456950539"/>
        <w:rPr>
          <w:rFonts w:eastAsia="Times New Roman"/>
        </w:rPr>
      </w:pPr>
      <w:r>
        <w:rPr>
          <w:rFonts w:eastAsia="Times New Roman"/>
          <w:color w:val="000000"/>
          <w:sz w:val="20"/>
          <w:szCs w:val="20"/>
        </w:rPr>
        <w:t>53</w:t>
      </w:r>
    </w:p>
    <w:p w:rsidR="00000000" w:rsidRDefault="00F123EE">
      <w:pPr>
        <w:rPr>
          <w:rFonts w:eastAsia="Times New Roman"/>
        </w:rPr>
      </w:pPr>
      <w:r>
        <w:rPr>
          <w:rFonts w:eastAsia="Times New Roman"/>
        </w:rPr>
        <w:pict>
          <v:rect id="_x0000_i1083" style="width:0;height:1.5pt" o:hralign="center" o:hrstd="t" o:hr="t" fillcolor="#a0a0a0" stroked="f"/>
        </w:pict>
      </w:r>
    </w:p>
    <w:p w:rsidR="00000000" w:rsidRDefault="00F123EE">
      <w:pPr>
        <w:divId w:val="1502964913"/>
        <w:rPr>
          <w:rFonts w:eastAsia="Times New Roman"/>
        </w:rPr>
      </w:pPr>
      <w:hyperlink w:anchor="i38696b5cc01146d68b9c6b33327cf890_7" w:history="1">
        <w:r>
          <w:rPr>
            <w:rStyle w:val="a3"/>
            <w:rFonts w:eastAsia="Times New Roman"/>
            <w:sz w:val="18"/>
            <w:szCs w:val="18"/>
          </w:rPr>
          <w:t>Index</w:t>
        </w:r>
      </w:hyperlink>
    </w:p>
    <w:p w:rsidR="00000000" w:rsidRDefault="00F123EE">
      <w:pPr>
        <w:divId w:val="586303846"/>
        <w:rPr>
          <w:rFonts w:eastAsia="Times New Roman"/>
        </w:rPr>
      </w:pPr>
      <w:r>
        <w:rPr>
          <w:rFonts w:eastAsia="Times New Roman"/>
          <w:color w:val="000000"/>
          <w:sz w:val="20"/>
          <w:szCs w:val="20"/>
        </w:rPr>
        <w:t>Significant estimates and assumptions by management primarily impact the following key financial statement areas:</w:t>
      </w:r>
    </w:p>
    <w:p w:rsidR="00000000" w:rsidRDefault="00F123EE">
      <w:pPr>
        <w:divId w:val="1828092298"/>
        <w:rPr>
          <w:rFonts w:eastAsia="Times New Roman"/>
        </w:rPr>
      </w:pPr>
    </w:p>
    <w:p w:rsidR="00000000" w:rsidRDefault="00F123EE">
      <w:pPr>
        <w:divId w:val="1490903863"/>
        <w:rPr>
          <w:rFonts w:eastAsia="Times New Roman"/>
        </w:rPr>
      </w:pPr>
      <w:r>
        <w:rPr>
          <w:rFonts w:eastAsia="Times New Roman"/>
          <w:b/>
          <w:bCs/>
          <w:i/>
          <w:iCs/>
          <w:color w:val="000000"/>
          <w:sz w:val="20"/>
          <w:szCs w:val="20"/>
        </w:rPr>
        <w:t>Inventory Valuation</w:t>
      </w:r>
    </w:p>
    <w:p w:rsidR="00000000" w:rsidRDefault="00F123EE">
      <w:pPr>
        <w:jc w:val="both"/>
        <w:rPr>
          <w:rFonts w:eastAsia="Times New Roman"/>
        </w:rPr>
      </w:pPr>
    </w:p>
    <w:p w:rsidR="00000000" w:rsidRDefault="00F123EE">
      <w:pPr>
        <w:ind w:hanging="360"/>
        <w:jc w:val="both"/>
        <w:rPr>
          <w:rFonts w:eastAsia="Times New Roman"/>
        </w:rPr>
      </w:pPr>
      <w:r>
        <w:rPr>
          <w:rFonts w:eastAsia="Times New Roman"/>
          <w:color w:val="000000"/>
          <w:sz w:val="20"/>
          <w:szCs w:val="20"/>
          <w:u w:val="single"/>
        </w:rPr>
        <w:t>Inventory Impairment Risk</w:t>
      </w:r>
    </w:p>
    <w:p w:rsidR="00000000" w:rsidRDefault="00F123EE">
      <w:pPr>
        <w:jc w:val="both"/>
        <w:rPr>
          <w:rFonts w:eastAsia="Times New Roman"/>
        </w:rPr>
      </w:pPr>
      <w:r>
        <w:rPr>
          <w:rFonts w:eastAsia="Times New Roman"/>
          <w:color w:val="000000"/>
          <w:sz w:val="20"/>
          <w:szCs w:val="20"/>
        </w:rPr>
        <w:t>The Company identifies potentially excess and slow-moving inventory by evaluating turn rates</w:t>
      </w:r>
      <w:r>
        <w:rPr>
          <w:rFonts w:eastAsia="Times New Roman"/>
          <w:color w:val="000000"/>
          <w:sz w:val="20"/>
          <w:szCs w:val="20"/>
        </w:rPr>
        <w:t xml:space="preserve">, historical and expected future sales trends, age of merchandise, overall inventory levels, current cost of inventory, and other benchmarks.  The Company has established an inventory valuation reserve to recognize the estimated impairment in value (i.e., </w:t>
      </w:r>
      <w:r>
        <w:rPr>
          <w:rFonts w:eastAsia="Times New Roman"/>
          <w:color w:val="000000"/>
          <w:sz w:val="20"/>
          <w:szCs w:val="20"/>
        </w:rPr>
        <w:t>an inability to realize the full carrying value) based on the Company’s aggregate assessment of these valuation indicators under prevailing market conditions and current merchandising strategies. The Company does not believe its merchandise inventories are</w:t>
      </w:r>
      <w:r>
        <w:rPr>
          <w:rFonts w:eastAsia="Times New Roman"/>
          <w:color w:val="000000"/>
          <w:sz w:val="20"/>
          <w:szCs w:val="20"/>
        </w:rPr>
        <w:t xml:space="preserve"> subject to significant risk of obsolescence in the near term.  However, changes in market conditions or consumer purchasing patterns could result in the need for additional reserves.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u w:val="single"/>
        </w:rPr>
        <w:t>Shrinkage</w:t>
      </w:r>
    </w:p>
    <w:p w:rsidR="00000000" w:rsidRDefault="00F123EE">
      <w:pPr>
        <w:jc w:val="both"/>
        <w:rPr>
          <w:rFonts w:eastAsia="Times New Roman"/>
        </w:rPr>
      </w:pPr>
      <w:r>
        <w:rPr>
          <w:rFonts w:eastAsia="Times New Roman"/>
          <w:color w:val="000000"/>
          <w:sz w:val="20"/>
          <w:szCs w:val="20"/>
        </w:rPr>
        <w:t>The Company typically performs physical inventories at least</w:t>
      </w:r>
      <w:r>
        <w:rPr>
          <w:rFonts w:eastAsia="Times New Roman"/>
          <w:color w:val="000000"/>
          <w:sz w:val="20"/>
          <w:szCs w:val="20"/>
        </w:rPr>
        <w:t xml:space="preserve"> once a year for each store that has been open more than 12 months, and the Company has established a reserve for estimating inventory shrinkage between physical inventory counts.  The reserve is established by assessing the chain-wide average shrinkage ex</w:t>
      </w:r>
      <w:r>
        <w:rPr>
          <w:rFonts w:eastAsia="Times New Roman"/>
          <w:color w:val="000000"/>
          <w:sz w:val="20"/>
          <w:szCs w:val="20"/>
        </w:rPr>
        <w:t>perience rate, applied to the related periods’ sales volumes.  Such assessments are updated on a regular basis for the most recent individual store experiences.  The estimated store inventory shrink rate is based on historical experience.  The Company beli</w:t>
      </w:r>
      <w:r>
        <w:rPr>
          <w:rFonts w:eastAsia="Times New Roman"/>
          <w:color w:val="000000"/>
          <w:sz w:val="20"/>
          <w:szCs w:val="20"/>
        </w:rPr>
        <w:t>eves historical rates are a reasonably accurate reflection of future trends.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u w:val="single"/>
        </w:rPr>
        <w:t>Vendor Funding</w:t>
      </w:r>
    </w:p>
    <w:p w:rsidR="00000000" w:rsidRDefault="00F123EE">
      <w:pPr>
        <w:jc w:val="both"/>
        <w:rPr>
          <w:rFonts w:eastAsia="Times New Roman"/>
        </w:rPr>
      </w:pPr>
      <w:r>
        <w:rPr>
          <w:rFonts w:eastAsia="Times New Roman"/>
          <w:color w:val="000000"/>
          <w:sz w:val="20"/>
          <w:szCs w:val="20"/>
        </w:rPr>
        <w:t xml:space="preserve">The Company receives funding from substantially all of its significant merchandise vendors, in support of its business initiatives, through a variety of programs </w:t>
      </w:r>
      <w:r>
        <w:rPr>
          <w:rFonts w:eastAsia="Times New Roman"/>
          <w:color w:val="000000"/>
          <w:sz w:val="20"/>
          <w:szCs w:val="20"/>
        </w:rPr>
        <w:t>and arrangements, including guaranteed vendor support funds (“vendor support”) and volume-based rebate funds (“volume rebates”).  The amounts received are subject to terms of vendor agreements, most of which are “evergreen,” reflecting the on-going relatio</w:t>
      </w:r>
      <w:r>
        <w:rPr>
          <w:rFonts w:eastAsia="Times New Roman"/>
          <w:color w:val="000000"/>
          <w:sz w:val="20"/>
          <w:szCs w:val="20"/>
        </w:rPr>
        <w:t>nship with our significant merchandise vendors. Certain of the Company’s agreements, primarily volume rebates, are renegotiated annually, based on expected annual purchases of the vendor’s product.  Vendor funding is initially deferred as a reduction of th</w:t>
      </w:r>
      <w:r>
        <w:rPr>
          <w:rFonts w:eastAsia="Times New Roman"/>
          <w:color w:val="000000"/>
          <w:sz w:val="20"/>
          <w:szCs w:val="20"/>
        </w:rPr>
        <w:t>e purchase price of inventory, and then recognized as a reduction of cost of merchandise sold as the related inventory is sold.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During interim periods, the amount of vendor support and volume rebates are estimated based upon initial commitments and ant</w:t>
      </w:r>
      <w:r>
        <w:rPr>
          <w:rFonts w:eastAsia="Times New Roman"/>
          <w:color w:val="000000"/>
          <w:sz w:val="20"/>
          <w:szCs w:val="20"/>
        </w:rPr>
        <w:t xml:space="preserve">icipated purchase levels with applicable vendors.  The estimated purchase volume (and related vendor funding) is based on the Company’s current knowledge of inventory levels, sales trends and expected customer demand, as well as planned new store openings </w:t>
      </w:r>
      <w:r>
        <w:rPr>
          <w:rFonts w:eastAsia="Times New Roman"/>
          <w:color w:val="000000"/>
          <w:sz w:val="20"/>
          <w:szCs w:val="20"/>
        </w:rPr>
        <w:t>and relocations.  Although the Company believes it can reasonably estimate purchase volume and related volume rebates at interim periods, it is possible that actual year-end results could be different from previously estimated amounts.</w:t>
      </w:r>
    </w:p>
    <w:p w:rsidR="00000000" w:rsidRDefault="00F123EE">
      <w:pPr>
        <w:divId w:val="1549293223"/>
        <w:rPr>
          <w:rFonts w:eastAsia="Times New Roman"/>
        </w:rPr>
      </w:pPr>
    </w:p>
    <w:p w:rsidR="00000000" w:rsidRDefault="00F123EE">
      <w:pPr>
        <w:jc w:val="both"/>
        <w:rPr>
          <w:rFonts w:eastAsia="Times New Roman"/>
        </w:rPr>
      </w:pPr>
      <w:r>
        <w:rPr>
          <w:rFonts w:eastAsia="Times New Roman"/>
          <w:b/>
          <w:bCs/>
          <w:i/>
          <w:iCs/>
          <w:color w:val="000000"/>
          <w:sz w:val="20"/>
          <w:szCs w:val="20"/>
        </w:rPr>
        <w:t>Self-Insurance Reserves</w:t>
      </w:r>
    </w:p>
    <w:p w:rsidR="00000000" w:rsidRDefault="00F123EE">
      <w:pPr>
        <w:ind w:firstLine="360"/>
        <w:jc w:val="both"/>
        <w:rPr>
          <w:rFonts w:eastAsia="Times New Roman"/>
        </w:rPr>
      </w:pPr>
    </w:p>
    <w:p w:rsidR="00000000" w:rsidRDefault="00F123EE">
      <w:pPr>
        <w:jc w:val="both"/>
        <w:rPr>
          <w:rFonts w:eastAsia="Times New Roman"/>
        </w:rPr>
      </w:pPr>
      <w:r>
        <w:rPr>
          <w:rFonts w:eastAsia="Times New Roman"/>
          <w:color w:val="000000"/>
          <w:sz w:val="20"/>
          <w:szCs w:val="20"/>
        </w:rPr>
        <w:t>The Company self-insures a significant portion of its workers’ compensation and general liability (including product liability) insurance plans.  The Company has stop-loss insurance policies to protect it from individual losses ov</w:t>
      </w:r>
      <w:r>
        <w:rPr>
          <w:rFonts w:eastAsia="Times New Roman"/>
          <w:color w:val="000000"/>
          <w:sz w:val="20"/>
          <w:szCs w:val="20"/>
        </w:rPr>
        <w:t>er specified dollar values. Our deductible or self-insured retention, as applicable, for each claim involving workers’ compensation insurance and general liability insurance is limited to $500,000 and our Texas Work Injury Policy is limited to $500,000. Fu</w:t>
      </w:r>
      <w:r>
        <w:rPr>
          <w:rFonts w:eastAsia="Times New Roman"/>
          <w:color w:val="000000"/>
          <w:sz w:val="20"/>
          <w:szCs w:val="20"/>
        </w:rPr>
        <w:t>rther, we maintain a commercially reasonable umbrella/excess policy that covers liabilities in excess of the primary insurance policy limits.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full extent of certain workers’ compensation and general liability claims may not become fully determined fo</w:t>
      </w:r>
      <w:r>
        <w:rPr>
          <w:rFonts w:eastAsia="Times New Roman"/>
          <w:color w:val="000000"/>
          <w:sz w:val="20"/>
          <w:szCs w:val="20"/>
        </w:rPr>
        <w:t>r several years. Therefore, the Company estimates potential obligations based upon historical claims experience, loss development factors, severity factors, and other actuarial assumptions. Although the Company believes the reserves established for these o</w:t>
      </w:r>
      <w:r>
        <w:rPr>
          <w:rFonts w:eastAsia="Times New Roman"/>
          <w:color w:val="000000"/>
          <w:sz w:val="20"/>
          <w:szCs w:val="20"/>
        </w:rPr>
        <w:t>bligations are reasonably estimated, any significant change in the number of claims or costs associated with claims made under these plans could have a material effect on the Company’s financial results.  At December 31, 2022, the Company had insurance res</w:t>
      </w:r>
      <w:r>
        <w:rPr>
          <w:rFonts w:eastAsia="Times New Roman"/>
          <w:color w:val="000000"/>
          <w:sz w:val="20"/>
          <w:szCs w:val="20"/>
        </w:rPr>
        <w:t>erves for workers' compensation of $74.0 million, compared to $67.1 million at December 25, 2021. Insurance reserves for general liability plans was $51.5 million at December 31, 2022 compared to $41.3 million at December 25, 2021. In addition, insurance r</w:t>
      </w:r>
      <w:r>
        <w:rPr>
          <w:rFonts w:eastAsia="Times New Roman"/>
          <w:color w:val="000000"/>
          <w:sz w:val="20"/>
          <w:szCs w:val="20"/>
        </w:rPr>
        <w:t xml:space="preserve">eceivables recorded in Other assets on the Consolidated Balance Sheets for claims greater than our insurance stop-loss limits were $18.4 million and $14.9 million as of December 31, 2022 and December 25, 2021. </w:t>
      </w:r>
    </w:p>
    <w:p w:rsidR="00000000" w:rsidRDefault="00F123EE">
      <w:pPr>
        <w:jc w:val="both"/>
        <w:rPr>
          <w:rFonts w:eastAsia="Times New Roman"/>
        </w:rPr>
      </w:pPr>
    </w:p>
    <w:p w:rsidR="00000000" w:rsidRDefault="00F123EE">
      <w:pPr>
        <w:jc w:val="center"/>
        <w:divId w:val="1913079913"/>
        <w:rPr>
          <w:rFonts w:eastAsia="Times New Roman"/>
        </w:rPr>
      </w:pPr>
      <w:r>
        <w:rPr>
          <w:rFonts w:eastAsia="Times New Roman"/>
          <w:color w:val="000000"/>
          <w:sz w:val="20"/>
          <w:szCs w:val="20"/>
        </w:rPr>
        <w:t>54</w:t>
      </w:r>
    </w:p>
    <w:p w:rsidR="00000000" w:rsidRDefault="00F123EE">
      <w:pPr>
        <w:rPr>
          <w:rFonts w:eastAsia="Times New Roman"/>
        </w:rPr>
      </w:pPr>
      <w:r>
        <w:rPr>
          <w:rFonts w:eastAsia="Times New Roman"/>
        </w:rPr>
        <w:pict>
          <v:rect id="_x0000_i1084" style="width:0;height:1.5pt" o:hralign="center" o:hrstd="t" o:hr="t" fillcolor="#a0a0a0" stroked="f"/>
        </w:pict>
      </w:r>
    </w:p>
    <w:p w:rsidR="00000000" w:rsidRDefault="00F123EE">
      <w:pPr>
        <w:divId w:val="1016618006"/>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r>
        <w:rPr>
          <w:rFonts w:eastAsia="Times New Roman"/>
          <w:b/>
          <w:bCs/>
          <w:i/>
          <w:iCs/>
          <w:color w:val="000000"/>
          <w:sz w:val="20"/>
          <w:szCs w:val="20"/>
        </w:rPr>
        <w:t>Impairment of Long-Lived Assets</w:t>
      </w:r>
    </w:p>
    <w:p w:rsidR="00000000" w:rsidRDefault="00F123EE">
      <w:pPr>
        <w:ind w:firstLine="360"/>
        <w:jc w:val="both"/>
        <w:rPr>
          <w:rFonts w:eastAsia="Times New Roman"/>
        </w:rPr>
      </w:pPr>
    </w:p>
    <w:p w:rsidR="00000000" w:rsidRDefault="00F123EE">
      <w:pPr>
        <w:jc w:val="both"/>
        <w:rPr>
          <w:rFonts w:eastAsia="Times New Roman"/>
        </w:rPr>
      </w:pPr>
      <w:r>
        <w:rPr>
          <w:rFonts w:eastAsia="Times New Roman"/>
          <w:color w:val="000000"/>
          <w:sz w:val="20"/>
          <w:szCs w:val="20"/>
        </w:rPr>
        <w:t xml:space="preserve">Long-lived assets, including lease right-of-use assets, are evaluated for impairment whenever events or changes in circumstances indicate that the carrying value </w:t>
      </w:r>
      <w:r>
        <w:rPr>
          <w:rFonts w:eastAsia="Times New Roman"/>
          <w:color w:val="000000"/>
          <w:sz w:val="20"/>
          <w:szCs w:val="20"/>
        </w:rPr>
        <w:t>may not be recoverable.</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When evaluating long-lived assets for potential impairment, the Company first compares the carrying value of the asset or asset group to its estimated undiscounted future cash flows. The evaluation for long-lived assets is perform</w:t>
      </w:r>
      <w:r>
        <w:rPr>
          <w:rFonts w:eastAsia="Times New Roman"/>
          <w:color w:val="000000"/>
          <w:sz w:val="20"/>
          <w:szCs w:val="20"/>
        </w:rPr>
        <w:t>ed at the lowest level of identifiable cash flows, which is generally the individual store level.  The significant assumptions used to determine estimated undiscounted cash flows include cash inflows and outflows directly resulting from the use of those as</w:t>
      </w:r>
      <w:r>
        <w:rPr>
          <w:rFonts w:eastAsia="Times New Roman"/>
          <w:color w:val="000000"/>
          <w:sz w:val="20"/>
          <w:szCs w:val="20"/>
        </w:rPr>
        <w:t xml:space="preserve">sets in operations, including margin on net sales, payroll and related items, occupancy costs, insurance allocations and other costs to operate a store.  If the estimated future cash flows are less than the carrying value of the related asset, the Company </w:t>
      </w:r>
      <w:r>
        <w:rPr>
          <w:rFonts w:eastAsia="Times New Roman"/>
          <w:color w:val="000000"/>
          <w:sz w:val="20"/>
          <w:szCs w:val="20"/>
        </w:rPr>
        <w:t>calculates an impairment loss.  The impairment loss calculation compares the carrying value of the related asset or asset group to its estimated fair value, which may be based on an estimated future cash flow model, market valuation, or other valuation tec</w:t>
      </w:r>
      <w:r>
        <w:rPr>
          <w:rFonts w:eastAsia="Times New Roman"/>
          <w:color w:val="000000"/>
          <w:sz w:val="20"/>
          <w:szCs w:val="20"/>
        </w:rPr>
        <w:t xml:space="preserve">hnique, as appropriate. The Company recognizes an impairment loss if the amount of the asset’s carrying value exceeds the asset’s estimated fair value. If the Company recognizes an impairment loss, the adjusted carrying amount of the asset becomes its new </w:t>
      </w:r>
      <w:r>
        <w:rPr>
          <w:rFonts w:eastAsia="Times New Roman"/>
          <w:color w:val="000000"/>
          <w:sz w:val="20"/>
          <w:szCs w:val="20"/>
        </w:rPr>
        <w:t>cost basis. For a depreciable long-lived asset, the new cost basis will be depreciated (amortized) over the remaining estimated useful life of that asset.</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shd w:val="clear" w:color="auto" w:fill="FFFFFF"/>
        </w:rPr>
        <w:t>No significant impairment charges were recognized in fiscal 2022 or 2021 related to long-lived asse</w:t>
      </w:r>
      <w:r>
        <w:rPr>
          <w:rFonts w:eastAsia="Times New Roman"/>
          <w:color w:val="000000"/>
          <w:sz w:val="20"/>
          <w:szCs w:val="20"/>
          <w:shd w:val="clear" w:color="auto" w:fill="FFFFFF"/>
        </w:rPr>
        <w:t xml:space="preserve">ts. </w:t>
      </w:r>
      <w:r>
        <w:rPr>
          <w:rFonts w:eastAsia="Times New Roman"/>
          <w:color w:val="000000"/>
          <w:sz w:val="20"/>
          <w:szCs w:val="20"/>
        </w:rPr>
        <w:t>In fiscal 2020, we recognized $5.1 million of impairment charges related to long-lived assets for Petsense by Tractor Supply stores.  Impairment charges, if recognized, are included in selling, general and administrative (“SG&amp;A”) expenses in the Consol</w:t>
      </w:r>
      <w:r>
        <w:rPr>
          <w:rFonts w:eastAsia="Times New Roman"/>
          <w:color w:val="000000"/>
          <w:sz w:val="20"/>
          <w:szCs w:val="20"/>
        </w:rPr>
        <w:t>idated Statements of Income.</w:t>
      </w:r>
    </w:p>
    <w:p w:rsidR="00000000" w:rsidRDefault="00F123EE">
      <w:pPr>
        <w:jc w:val="both"/>
        <w:rPr>
          <w:rFonts w:eastAsia="Times New Roman"/>
        </w:rPr>
      </w:pPr>
    </w:p>
    <w:p w:rsidR="00000000" w:rsidRDefault="00F123EE">
      <w:pPr>
        <w:jc w:val="both"/>
        <w:rPr>
          <w:rFonts w:eastAsia="Times New Roman"/>
        </w:rPr>
      </w:pPr>
      <w:r>
        <w:rPr>
          <w:rFonts w:eastAsia="Times New Roman"/>
          <w:b/>
          <w:bCs/>
          <w:i/>
          <w:iCs/>
          <w:color w:val="000000"/>
          <w:sz w:val="20"/>
          <w:szCs w:val="20"/>
        </w:rPr>
        <w:t>Impairment of Indefinite-Lived Intangible Assets</w:t>
      </w:r>
    </w:p>
    <w:p w:rsidR="00000000" w:rsidRDefault="00F123EE">
      <w:pPr>
        <w:jc w:val="both"/>
        <w:rPr>
          <w:rFonts w:eastAsia="Times New Roman"/>
        </w:rPr>
      </w:pPr>
    </w:p>
    <w:p w:rsidR="00000000" w:rsidRDefault="00F123EE">
      <w:pPr>
        <w:divId w:val="171069170"/>
        <w:rPr>
          <w:rFonts w:eastAsia="Times New Roman"/>
        </w:rPr>
      </w:pPr>
      <w:r>
        <w:rPr>
          <w:rFonts w:eastAsia="Times New Roman"/>
          <w:color w:val="000000"/>
          <w:sz w:val="20"/>
          <w:szCs w:val="20"/>
        </w:rPr>
        <w:t>Goodwill and other indefinite-lived intangible assets are evaluated for impairment annually, or whenever events or changes in circumstances indicate that the carrying value m</w:t>
      </w:r>
      <w:r>
        <w:rPr>
          <w:rFonts w:eastAsia="Times New Roman"/>
          <w:color w:val="000000"/>
          <w:sz w:val="20"/>
          <w:szCs w:val="20"/>
        </w:rPr>
        <w:t>ay not be recoverable. Our annual impairment evaluation is conducted on the first day of our fiscal fourth quarter.</w:t>
      </w:r>
    </w:p>
    <w:p w:rsidR="00000000" w:rsidRDefault="00F123EE">
      <w:pPr>
        <w:jc w:val="both"/>
        <w:rPr>
          <w:rFonts w:eastAsia="Times New Roman"/>
        </w:rPr>
      </w:pPr>
      <w:r>
        <w:rPr>
          <w:rFonts w:eastAsia="Times New Roman"/>
          <w:color w:val="000000"/>
          <w:sz w:val="20"/>
          <w:szCs w:val="20"/>
        </w:rPr>
        <w:t>In accordance with the accounting standards, an entity has the option first to assess qualitative factors to determine whether events and ci</w:t>
      </w:r>
      <w:r>
        <w:rPr>
          <w:rFonts w:eastAsia="Times New Roman"/>
          <w:color w:val="000000"/>
          <w:sz w:val="20"/>
          <w:szCs w:val="20"/>
        </w:rPr>
        <w:t>rcumstances indicate that it is more likely than not that goodwill or an indefinite-lived intangible asset is impaired. If after such assessment an entity concludes that the asset is not impaired, then the entity is not required to take further action. How</w:t>
      </w:r>
      <w:r>
        <w:rPr>
          <w:rFonts w:eastAsia="Times New Roman"/>
          <w:color w:val="000000"/>
          <w:sz w:val="20"/>
          <w:szCs w:val="20"/>
        </w:rPr>
        <w:t xml:space="preserve">ever, if an entity concludes otherwise, then it is required to determine the fair value of the asset using a quantitative impairment test, and if impaired, the associated assets must be written down to fair value.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quantitative impairment test for go</w:t>
      </w:r>
      <w:r>
        <w:rPr>
          <w:rFonts w:eastAsia="Times New Roman"/>
          <w:color w:val="000000"/>
          <w:sz w:val="20"/>
          <w:szCs w:val="20"/>
        </w:rPr>
        <w:t xml:space="preserve">odwill compares the fair value of a reporting unit with the carrying value of its net assets, including goodwill.  If the fair value of the reporting unit is less than the carrying value of the reporting unit, an impairment charge would be recorded to the </w:t>
      </w:r>
      <w:r>
        <w:rPr>
          <w:rFonts w:eastAsia="Times New Roman"/>
          <w:color w:val="000000"/>
          <w:sz w:val="20"/>
          <w:szCs w:val="20"/>
        </w:rPr>
        <w:t>Company’s operations for the amount in which the carrying amount exceeds the reporting unit’s fair value. We determine fair values for each reporting unit using the market approach, when available and appropriate, the income approach, or a combination of b</w:t>
      </w:r>
      <w:r>
        <w:rPr>
          <w:rFonts w:eastAsia="Times New Roman"/>
          <w:color w:val="000000"/>
          <w:sz w:val="20"/>
          <w:szCs w:val="20"/>
        </w:rPr>
        <w:t xml:space="preserve">oth. The income approach involves forecasting projected financial information (such as revenue growth rates, profit margins, tax rates, and capital expenditures) and selecting a discount rate that reflects the risk inherent in estimated future cash flows. </w:t>
      </w:r>
      <w:r>
        <w:rPr>
          <w:rFonts w:eastAsia="Times New Roman"/>
          <w:color w:val="000000"/>
          <w:sz w:val="20"/>
          <w:szCs w:val="20"/>
        </w:rPr>
        <w:t>Under the market approach, the fair value is based on observed market data. If multiple valuation methodologies are used, the results are weighted appropriately.</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quantitative impairment test for other indefinite-lived intangible assets involves comparing the carrying amount of the asset to the sum of the discounted cash flows expected to be generated by the asset. If the implied fair value of the indefinite-liv</w:t>
      </w:r>
      <w:r>
        <w:rPr>
          <w:rFonts w:eastAsia="Times New Roman"/>
          <w:color w:val="000000"/>
          <w:sz w:val="20"/>
          <w:szCs w:val="20"/>
        </w:rPr>
        <w:t xml:space="preserve">ed intangible asset is less than the carrying value, an impairment charge would be recorded to the Company’s operations.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 xml:space="preserve">No </w:t>
      </w:r>
      <w:r>
        <w:rPr>
          <w:rFonts w:eastAsia="Times New Roman"/>
          <w:color w:val="000000"/>
          <w:sz w:val="20"/>
          <w:szCs w:val="20"/>
        </w:rPr>
        <w:t>impairment charges were recognized in fiscal 2022 or 2021 related to indefinite-lived intangible assets. As described in further detail in Note 4 to the Consolidated Financial Statements, in fiscal 2020 we recognized goodwill impairment of $60.8 million an</w:t>
      </w:r>
      <w:r>
        <w:rPr>
          <w:rFonts w:eastAsia="Times New Roman"/>
          <w:color w:val="000000"/>
          <w:sz w:val="20"/>
          <w:szCs w:val="20"/>
        </w:rPr>
        <w:t>d trade name asset impairment of $8.2 million related to Petsense by Tractor Supply. Impairment charges, if recognized, are included as a separate line item within</w:t>
      </w:r>
      <w:r>
        <w:rPr>
          <w:rFonts w:eastAsia="Times New Roman"/>
          <w:color w:val="000000"/>
          <w:sz w:val="20"/>
          <w:szCs w:val="20"/>
        </w:rPr>
        <w:t xml:space="preserve"> </w:t>
      </w:r>
      <w:r>
        <w:rPr>
          <w:rFonts w:eastAsia="Times New Roman"/>
          <w:color w:val="000000"/>
          <w:sz w:val="20"/>
          <w:szCs w:val="20"/>
        </w:rPr>
        <w:t>SG&amp;A expense</w:t>
      </w:r>
      <w:r>
        <w:rPr>
          <w:rFonts w:eastAsia="Times New Roman"/>
          <w:color w:val="000000"/>
          <w:sz w:val="20"/>
          <w:szCs w:val="20"/>
        </w:rPr>
        <w:t>s</w:t>
      </w:r>
      <w:r>
        <w:rPr>
          <w:rFonts w:eastAsia="Times New Roman"/>
          <w:color w:val="000000"/>
          <w:sz w:val="20"/>
          <w:szCs w:val="20"/>
        </w:rPr>
        <w:t xml:space="preserve"> in the Consolidated State</w:t>
      </w:r>
      <w:r>
        <w:rPr>
          <w:rFonts w:eastAsia="Times New Roman"/>
          <w:color w:val="000000"/>
          <w:sz w:val="20"/>
          <w:szCs w:val="20"/>
          <w:shd w:val="clear" w:color="auto" w:fill="FFFFFF"/>
        </w:rPr>
        <w:t>ments of Income.</w:t>
      </w:r>
    </w:p>
    <w:p w:rsidR="00000000" w:rsidRDefault="00F123EE">
      <w:pPr>
        <w:divId w:val="1029720014"/>
        <w:rPr>
          <w:rFonts w:eastAsia="Times New Roman"/>
        </w:rPr>
      </w:pPr>
    </w:p>
    <w:p w:rsidR="00000000" w:rsidRDefault="00F123EE">
      <w:pPr>
        <w:jc w:val="both"/>
        <w:rPr>
          <w:rFonts w:eastAsia="Times New Roman"/>
        </w:rPr>
      </w:pPr>
      <w:r>
        <w:rPr>
          <w:rFonts w:eastAsia="Times New Roman"/>
          <w:b/>
          <w:bCs/>
          <w:i/>
          <w:iCs/>
          <w:color w:val="000000"/>
          <w:sz w:val="20"/>
          <w:szCs w:val="20"/>
        </w:rPr>
        <w:t>Revenue Recognition and Sales Retu</w:t>
      </w:r>
      <w:r>
        <w:rPr>
          <w:rFonts w:eastAsia="Times New Roman"/>
          <w:b/>
          <w:bCs/>
          <w:i/>
          <w:iCs/>
          <w:color w:val="000000"/>
          <w:sz w:val="20"/>
          <w:szCs w:val="20"/>
        </w:rPr>
        <w:t>rns</w:t>
      </w:r>
    </w:p>
    <w:p w:rsidR="00000000" w:rsidRDefault="00F123EE">
      <w:pPr>
        <w:divId w:val="1037118751"/>
        <w:rPr>
          <w:rFonts w:eastAsia="Times New Roman"/>
        </w:rPr>
      </w:pPr>
    </w:p>
    <w:p w:rsidR="00000000" w:rsidRDefault="00F123EE">
      <w:pPr>
        <w:jc w:val="both"/>
        <w:rPr>
          <w:rFonts w:eastAsia="Times New Roman"/>
        </w:rPr>
      </w:pPr>
      <w:r>
        <w:rPr>
          <w:rFonts w:eastAsia="Times New Roman"/>
          <w:color w:val="000000"/>
          <w:sz w:val="20"/>
          <w:szCs w:val="20"/>
        </w:rPr>
        <w:t>The Company recognizes revenue at the time the customer takes possession of merchandise.  If the Company receives payment before completion of its customer obligations (as per the Company’s special order and layaway programs), the revenue is deferred</w:t>
      </w:r>
      <w:r>
        <w:rPr>
          <w:rFonts w:eastAsia="Times New Roman"/>
          <w:color w:val="000000"/>
          <w:sz w:val="20"/>
          <w:szCs w:val="20"/>
        </w:rPr>
        <w:t xml:space="preserve"> until the customer takes possession of the merchandise and the sale is complete.</w:t>
      </w:r>
    </w:p>
    <w:p w:rsidR="00000000" w:rsidRDefault="00F123EE">
      <w:pPr>
        <w:jc w:val="center"/>
        <w:divId w:val="503863921"/>
        <w:rPr>
          <w:rFonts w:eastAsia="Times New Roman"/>
        </w:rPr>
      </w:pPr>
      <w:r>
        <w:rPr>
          <w:rFonts w:eastAsia="Times New Roman"/>
          <w:color w:val="000000"/>
          <w:sz w:val="20"/>
          <w:szCs w:val="20"/>
        </w:rPr>
        <w:t>55</w:t>
      </w:r>
    </w:p>
    <w:p w:rsidR="00000000" w:rsidRDefault="00F123EE">
      <w:pPr>
        <w:rPr>
          <w:rFonts w:eastAsia="Times New Roman"/>
        </w:rPr>
      </w:pPr>
      <w:r>
        <w:rPr>
          <w:rFonts w:eastAsia="Times New Roman"/>
        </w:rPr>
        <w:pict>
          <v:rect id="_x0000_i1085" style="width:0;height:1.5pt" o:hralign="center" o:hrstd="t" o:hr="t" fillcolor="#a0a0a0" stroked="f"/>
        </w:pict>
      </w:r>
    </w:p>
    <w:p w:rsidR="00000000" w:rsidRDefault="00F123EE">
      <w:pPr>
        <w:divId w:val="1870530045"/>
        <w:rPr>
          <w:rFonts w:eastAsia="Times New Roman"/>
        </w:rPr>
      </w:pPr>
      <w:hyperlink w:anchor="i38696b5cc01146d68b9c6b33327cf890_7" w:history="1">
        <w:r>
          <w:rPr>
            <w:rStyle w:val="a3"/>
            <w:rFonts w:eastAsia="Times New Roman"/>
            <w:sz w:val="18"/>
            <w:szCs w:val="18"/>
          </w:rPr>
          <w:t>Index</w:t>
        </w:r>
      </w:hyperlink>
    </w:p>
    <w:p w:rsidR="00000000" w:rsidRDefault="00F123EE">
      <w:pPr>
        <w:divId w:val="167256933"/>
        <w:rPr>
          <w:rFonts w:eastAsia="Times New Roman"/>
        </w:rPr>
      </w:pPr>
    </w:p>
    <w:p w:rsidR="00000000" w:rsidRDefault="00F123EE">
      <w:pPr>
        <w:jc w:val="both"/>
        <w:rPr>
          <w:rFonts w:eastAsia="Times New Roman"/>
        </w:rPr>
      </w:pPr>
      <w:r>
        <w:rPr>
          <w:rFonts w:eastAsia="Times New Roman"/>
          <w:color w:val="000000"/>
          <w:sz w:val="20"/>
          <w:szCs w:val="20"/>
        </w:rPr>
        <w:t>The Company is required to collect certain taxes and fees from custo</w:t>
      </w:r>
      <w:r>
        <w:rPr>
          <w:rFonts w:eastAsia="Times New Roman"/>
          <w:color w:val="000000"/>
          <w:sz w:val="20"/>
          <w:szCs w:val="20"/>
        </w:rPr>
        <w:t>mers on behalf of government agencies and remit such collections to the applicable governmental agency on a periodic basis.  These taxes and fees are collected from customers at the time of purchase but are not included in net sales.  The Company records a</w:t>
      </w:r>
      <w:r>
        <w:rPr>
          <w:rFonts w:eastAsia="Times New Roman"/>
          <w:color w:val="000000"/>
          <w:sz w:val="20"/>
          <w:szCs w:val="20"/>
        </w:rPr>
        <w:t xml:space="preserve"> liability upon collection from the customer and relieves the liability when payments are remitted to the applicable governmental agency.</w:t>
      </w:r>
    </w:p>
    <w:p w:rsidR="00000000" w:rsidRDefault="00F123EE">
      <w:pPr>
        <w:divId w:val="1510020171"/>
        <w:rPr>
          <w:rFonts w:eastAsia="Times New Roman"/>
        </w:rPr>
      </w:pPr>
    </w:p>
    <w:p w:rsidR="00000000" w:rsidRDefault="00F123EE">
      <w:pPr>
        <w:jc w:val="both"/>
        <w:rPr>
          <w:rFonts w:eastAsia="Times New Roman"/>
        </w:rPr>
      </w:pPr>
      <w:r>
        <w:rPr>
          <w:rFonts w:eastAsia="Times New Roman"/>
          <w:color w:val="000000"/>
          <w:sz w:val="20"/>
          <w:szCs w:val="20"/>
        </w:rPr>
        <w:t xml:space="preserve">The Company estimates a liability for sales returns based on a rolling average of historical return trends, and the </w:t>
      </w:r>
      <w:r>
        <w:rPr>
          <w:rFonts w:eastAsia="Times New Roman"/>
          <w:color w:val="000000"/>
          <w:sz w:val="20"/>
          <w:szCs w:val="20"/>
        </w:rPr>
        <w:t xml:space="preserve">Company believes that its estimate for sales returns is an accurate reflection of future returns associated with past sales.  However, as with any estimate, refund activity may vary from estimated amounts.  The Company had a liability for sales returns of </w:t>
      </w:r>
      <w:r>
        <w:rPr>
          <w:rFonts w:eastAsia="Times New Roman"/>
          <w:color w:val="000000"/>
          <w:sz w:val="20"/>
          <w:szCs w:val="20"/>
        </w:rPr>
        <w:t>$24.0 million and $17.9 million as of December 31, 2022 and December 25, 2021, respectively.</w:t>
      </w:r>
    </w:p>
    <w:p w:rsidR="00000000" w:rsidRDefault="00F123EE">
      <w:pPr>
        <w:divId w:val="199049951"/>
        <w:rPr>
          <w:rFonts w:eastAsia="Times New Roman"/>
        </w:rPr>
      </w:pPr>
    </w:p>
    <w:p w:rsidR="00000000" w:rsidRDefault="00F123EE">
      <w:pPr>
        <w:jc w:val="both"/>
        <w:rPr>
          <w:rFonts w:eastAsia="Times New Roman"/>
        </w:rPr>
      </w:pPr>
      <w:r>
        <w:rPr>
          <w:rFonts w:eastAsia="Times New Roman"/>
          <w:color w:val="000000"/>
          <w:sz w:val="20"/>
          <w:szCs w:val="20"/>
        </w:rPr>
        <w:t>The Company recognizes revenue when a gift card or merchandise return card is redeemed by the customer and recognizes income when the likelihood of the gift card</w:t>
      </w:r>
      <w:r>
        <w:rPr>
          <w:rFonts w:eastAsia="Times New Roman"/>
          <w:color w:val="000000"/>
          <w:sz w:val="20"/>
          <w:szCs w:val="20"/>
        </w:rPr>
        <w:t xml:space="preserve"> or merchandise return card being redeemed by the customer is remote (referred to as “breakage”).  The gift cards and merchandise return card breakage rate is based upon historical redemption patterns and income is recognized for unredeemed gift cards and </w:t>
      </w:r>
      <w:r>
        <w:rPr>
          <w:rFonts w:eastAsia="Times New Roman"/>
          <w:color w:val="000000"/>
          <w:sz w:val="20"/>
          <w:szCs w:val="20"/>
        </w:rPr>
        <w:t>merchandise return cards in proportion to those historical redemption patterns.  The Company recognized breakage income of $4.6 million, $4.2 million, and $3.6 million in fiscal 2022, 2021, and 2020, respectively.</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Company offers a points-based Neighb</w:t>
      </w:r>
      <w:r>
        <w:rPr>
          <w:rFonts w:eastAsia="Times New Roman"/>
          <w:color w:val="000000"/>
          <w:sz w:val="20"/>
          <w:szCs w:val="20"/>
        </w:rPr>
        <w:t>or’s Club loyalty program to its customers. The points earned by customers can be redeemed for free services or discounts on future purchases. The Company defers the estimated standalone selling price of points related to the loyalty program as a reduction</w:t>
      </w:r>
      <w:r>
        <w:rPr>
          <w:rFonts w:eastAsia="Times New Roman"/>
          <w:color w:val="000000"/>
          <w:sz w:val="20"/>
          <w:szCs w:val="20"/>
        </w:rPr>
        <w:t xml:space="preserve"> to revenue and establish a corresponding liability in deferred revenue on the Consolidated Balance Sheet. The estimated selling price of each point is based on the standard value per point (1 point is generally equivalent to $0.01), net of points not expe</w:t>
      </w:r>
      <w:r>
        <w:rPr>
          <w:rFonts w:eastAsia="Times New Roman"/>
          <w:color w:val="000000"/>
          <w:sz w:val="20"/>
          <w:szCs w:val="20"/>
        </w:rPr>
        <w:t xml:space="preserve">cted to be redeemed, based on historical redemption. When points are relieved (redeemed, expired, cancelled, etc.), revenue is recognized with a corresponding reduction to the program liability. The Company had a liability for the loyalty program of $19.2 </w:t>
      </w:r>
      <w:r>
        <w:rPr>
          <w:rFonts w:eastAsia="Times New Roman"/>
          <w:color w:val="000000"/>
          <w:sz w:val="20"/>
          <w:szCs w:val="20"/>
        </w:rPr>
        <w:t>million and $20.9 million as of December 31, 2022 and December 25, 2021, respectively.</w:t>
      </w:r>
    </w:p>
    <w:p w:rsidR="00000000" w:rsidRDefault="00F123EE">
      <w:pPr>
        <w:divId w:val="98336640"/>
        <w:rPr>
          <w:rFonts w:eastAsia="Times New Roman"/>
        </w:rPr>
      </w:pPr>
    </w:p>
    <w:p w:rsidR="00000000" w:rsidRDefault="00F123EE">
      <w:pPr>
        <w:jc w:val="both"/>
        <w:rPr>
          <w:rFonts w:eastAsia="Times New Roman"/>
        </w:rPr>
      </w:pPr>
      <w:r>
        <w:rPr>
          <w:rFonts w:eastAsia="Times New Roman"/>
          <w:b/>
          <w:bCs/>
          <w:i/>
          <w:iCs/>
          <w:color w:val="000000"/>
          <w:sz w:val="20"/>
          <w:szCs w:val="20"/>
        </w:rPr>
        <w:t>Cost of Merchandise Sold</w:t>
      </w:r>
    </w:p>
    <w:p w:rsidR="00000000" w:rsidRDefault="00F123EE">
      <w:pPr>
        <w:divId w:val="2141148801"/>
        <w:rPr>
          <w:rFonts w:eastAsia="Times New Roman"/>
        </w:rPr>
      </w:pPr>
    </w:p>
    <w:p w:rsidR="00000000" w:rsidRDefault="00F123EE">
      <w:pPr>
        <w:jc w:val="both"/>
        <w:rPr>
          <w:rFonts w:eastAsia="Times New Roman"/>
        </w:rPr>
      </w:pPr>
      <w:r>
        <w:rPr>
          <w:rFonts w:eastAsia="Times New Roman"/>
          <w:color w:val="000000"/>
          <w:sz w:val="20"/>
          <w:szCs w:val="20"/>
        </w:rPr>
        <w:t xml:space="preserve">Cost of merchandise sold includes the total cost of products sold; freight and duty expenses associated with moving merchandise inventories </w:t>
      </w:r>
      <w:r>
        <w:rPr>
          <w:rFonts w:eastAsia="Times New Roman"/>
          <w:color w:val="000000"/>
          <w:sz w:val="20"/>
          <w:szCs w:val="20"/>
        </w:rPr>
        <w:t>from vendors to distribution facilities, from distribution facilities to retail stores, from one distribution facility to another, and directly to our customers; tariffs on imported products; vendor support; damaged, junked or defective product; cash disco</w:t>
      </w:r>
      <w:r>
        <w:rPr>
          <w:rFonts w:eastAsia="Times New Roman"/>
          <w:color w:val="000000"/>
          <w:sz w:val="20"/>
          <w:szCs w:val="20"/>
        </w:rPr>
        <w:t>unts from payments to merchandise vendors; and adjustments for shrinkage (physical inventory losses), lower of cost or net realizable value, slow moving product, and excess inventory quantities.</w:t>
      </w:r>
    </w:p>
    <w:p w:rsidR="00000000" w:rsidRDefault="00F123EE">
      <w:pPr>
        <w:jc w:val="both"/>
        <w:rPr>
          <w:rFonts w:eastAsia="Times New Roman"/>
        </w:rPr>
      </w:pPr>
    </w:p>
    <w:p w:rsidR="00000000" w:rsidRDefault="00F123EE">
      <w:pPr>
        <w:jc w:val="both"/>
        <w:rPr>
          <w:rFonts w:eastAsia="Times New Roman"/>
        </w:rPr>
      </w:pPr>
      <w:r>
        <w:rPr>
          <w:rFonts w:eastAsia="Times New Roman"/>
          <w:b/>
          <w:bCs/>
          <w:i/>
          <w:iCs/>
          <w:color w:val="000000"/>
          <w:sz w:val="20"/>
          <w:szCs w:val="20"/>
        </w:rPr>
        <w:t>Selling, General and Administrative Expenses</w:t>
      </w:r>
    </w:p>
    <w:p w:rsidR="00000000" w:rsidRDefault="00F123EE">
      <w:pPr>
        <w:divId w:val="1068574782"/>
        <w:rPr>
          <w:rFonts w:eastAsia="Times New Roman"/>
        </w:rPr>
      </w:pPr>
    </w:p>
    <w:p w:rsidR="00000000" w:rsidRDefault="00F123EE">
      <w:pPr>
        <w:jc w:val="both"/>
        <w:rPr>
          <w:rFonts w:eastAsia="Times New Roman"/>
        </w:rPr>
      </w:pPr>
      <w:r>
        <w:rPr>
          <w:rFonts w:eastAsia="Times New Roman"/>
          <w:color w:val="000000"/>
          <w:sz w:val="20"/>
          <w:szCs w:val="20"/>
        </w:rPr>
        <w:t>SG&amp;A expense</w:t>
      </w:r>
      <w:r>
        <w:rPr>
          <w:rFonts w:eastAsia="Times New Roman"/>
          <w:color w:val="000000"/>
          <w:sz w:val="20"/>
          <w:szCs w:val="20"/>
        </w:rPr>
        <w:t>s include payroll and benefit costs for retail, distribution facility, and corporate team members; share-based compensation expenses; occupancy costs of retail, distribution, and corporate facilities; advertising; tender costs, including bank charges and c</w:t>
      </w:r>
      <w:r>
        <w:rPr>
          <w:rFonts w:eastAsia="Times New Roman"/>
          <w:color w:val="000000"/>
          <w:sz w:val="20"/>
          <w:szCs w:val="20"/>
        </w:rPr>
        <w:t>osts associated with credit and debit card interchange fees; outside service fees; and other administrative costs, such as computer maintenance, supplies, travel, and lodging.</w:t>
      </w:r>
    </w:p>
    <w:p w:rsidR="00000000" w:rsidRDefault="00F123EE">
      <w:pPr>
        <w:divId w:val="1994947478"/>
        <w:rPr>
          <w:rFonts w:eastAsia="Times New Roman"/>
        </w:rPr>
      </w:pPr>
    </w:p>
    <w:p w:rsidR="00000000" w:rsidRDefault="00F123EE">
      <w:pPr>
        <w:jc w:val="both"/>
        <w:rPr>
          <w:rFonts w:eastAsia="Times New Roman"/>
        </w:rPr>
      </w:pPr>
      <w:r>
        <w:rPr>
          <w:rFonts w:eastAsia="Times New Roman"/>
          <w:b/>
          <w:bCs/>
          <w:i/>
          <w:iCs/>
          <w:color w:val="000000"/>
          <w:sz w:val="20"/>
          <w:szCs w:val="20"/>
        </w:rPr>
        <w:t>Advertising Costs</w:t>
      </w:r>
    </w:p>
    <w:p w:rsidR="00000000" w:rsidRDefault="00F123EE">
      <w:pPr>
        <w:divId w:val="1413238897"/>
        <w:rPr>
          <w:rFonts w:eastAsia="Times New Roman"/>
        </w:rPr>
      </w:pPr>
    </w:p>
    <w:p w:rsidR="00000000" w:rsidRDefault="00F123EE">
      <w:pPr>
        <w:jc w:val="both"/>
        <w:rPr>
          <w:rFonts w:eastAsia="Times New Roman"/>
        </w:rPr>
      </w:pPr>
      <w:r>
        <w:rPr>
          <w:rFonts w:eastAsia="Times New Roman"/>
          <w:color w:val="000000"/>
          <w:sz w:val="20"/>
          <w:szCs w:val="20"/>
        </w:rPr>
        <w:t>Advertising costs consist of expenses incurred in connecti</w:t>
      </w:r>
      <w:r>
        <w:rPr>
          <w:rFonts w:eastAsia="Times New Roman"/>
          <w:color w:val="000000"/>
          <w:sz w:val="20"/>
          <w:szCs w:val="20"/>
        </w:rPr>
        <w:t>on with digital and social media offerings, television, newspaper circulars, and customer-targeted direct e-mail and direct mail, as well as limited events through radio and other media channels.  Costs are expensed when incurred with the exception of tele</w:t>
      </w:r>
      <w:r>
        <w:rPr>
          <w:rFonts w:eastAsia="Times New Roman"/>
          <w:color w:val="000000"/>
          <w:sz w:val="20"/>
          <w:szCs w:val="20"/>
        </w:rPr>
        <w:t>vision advertising and circular and direct mail promotions, which are expensed upon first showing.  Advertising expenses were approximately $94.6 million, $95.4 million, and $100.9 million for fiscal 2022, 2021, and 2020, respectively.  Prepaid advertising</w:t>
      </w:r>
      <w:r>
        <w:rPr>
          <w:rFonts w:eastAsia="Times New Roman"/>
          <w:color w:val="000000"/>
          <w:sz w:val="20"/>
          <w:szCs w:val="20"/>
        </w:rPr>
        <w:t xml:space="preserve"> costs were approximately $2.1 million and $1.7 million as of December 31, 2022, and December 25, 2021, respectively.</w:t>
      </w:r>
    </w:p>
    <w:p w:rsidR="00000000" w:rsidRDefault="00F123EE">
      <w:pPr>
        <w:divId w:val="739522362"/>
        <w:rPr>
          <w:rFonts w:eastAsia="Times New Roman"/>
        </w:rPr>
      </w:pPr>
    </w:p>
    <w:p w:rsidR="00000000" w:rsidRDefault="00F123EE">
      <w:pPr>
        <w:divId w:val="1017317134"/>
        <w:rPr>
          <w:rFonts w:eastAsia="Times New Roman"/>
        </w:rPr>
      </w:pPr>
      <w:r>
        <w:rPr>
          <w:rFonts w:eastAsia="Times New Roman"/>
          <w:b/>
          <w:bCs/>
          <w:i/>
          <w:iCs/>
          <w:color w:val="000000"/>
          <w:sz w:val="20"/>
          <w:szCs w:val="20"/>
        </w:rPr>
        <w:t>Warehousing and Distribution Facility Costs</w:t>
      </w:r>
    </w:p>
    <w:p w:rsidR="00000000" w:rsidRDefault="00F123EE">
      <w:pPr>
        <w:divId w:val="592206600"/>
        <w:rPr>
          <w:rFonts w:eastAsia="Times New Roman"/>
        </w:rPr>
      </w:pPr>
    </w:p>
    <w:p w:rsidR="00000000" w:rsidRDefault="00F123EE">
      <w:pPr>
        <w:jc w:val="both"/>
        <w:rPr>
          <w:rFonts w:eastAsia="Times New Roman"/>
        </w:rPr>
      </w:pPr>
      <w:r>
        <w:rPr>
          <w:rFonts w:eastAsia="Times New Roman"/>
          <w:color w:val="000000"/>
          <w:sz w:val="20"/>
          <w:szCs w:val="20"/>
        </w:rPr>
        <w:t>Costs incurred at the Company’</w:t>
      </w:r>
      <w:r>
        <w:rPr>
          <w:rFonts w:eastAsia="Times New Roman"/>
          <w:color w:val="000000"/>
          <w:sz w:val="20"/>
          <w:szCs w:val="20"/>
        </w:rPr>
        <w:t>s distribution facilities for receiving, warehousing, and preparing product for delivery are expensed as incurred and are included in SG&amp;A expenses in the Consolidated Statements of Income.  Because the Company does not include these costs in cost of sales</w:t>
      </w:r>
      <w:r>
        <w:rPr>
          <w:rFonts w:eastAsia="Times New Roman"/>
          <w:color w:val="000000"/>
          <w:sz w:val="20"/>
          <w:szCs w:val="20"/>
        </w:rPr>
        <w:t>, the Company’s gross margin may not be comparable to other retailers that include these costs in the calculation of gross margin.  Distribution facility costs including depreciation were approximately $424.1 million, $367.4 million, and $292.6 million for</w:t>
      </w:r>
      <w:r>
        <w:rPr>
          <w:rFonts w:eastAsia="Times New Roman"/>
          <w:color w:val="000000"/>
          <w:sz w:val="20"/>
          <w:szCs w:val="20"/>
        </w:rPr>
        <w:t xml:space="preserve"> fiscal 2022, 2021, and 2020, respectively.</w:t>
      </w:r>
    </w:p>
    <w:p w:rsidR="00000000" w:rsidRDefault="00F123EE">
      <w:pPr>
        <w:jc w:val="center"/>
        <w:divId w:val="1704398479"/>
        <w:rPr>
          <w:rFonts w:eastAsia="Times New Roman"/>
        </w:rPr>
      </w:pPr>
      <w:r>
        <w:rPr>
          <w:rFonts w:eastAsia="Times New Roman"/>
          <w:color w:val="000000"/>
          <w:sz w:val="20"/>
          <w:szCs w:val="20"/>
        </w:rPr>
        <w:t>56</w:t>
      </w:r>
    </w:p>
    <w:p w:rsidR="00000000" w:rsidRDefault="00F123EE">
      <w:pPr>
        <w:rPr>
          <w:rFonts w:eastAsia="Times New Roman"/>
        </w:rPr>
      </w:pPr>
      <w:r>
        <w:rPr>
          <w:rFonts w:eastAsia="Times New Roman"/>
        </w:rPr>
        <w:pict>
          <v:rect id="_x0000_i1086" style="width:0;height:1.5pt" o:hralign="center" o:hrstd="t" o:hr="t" fillcolor="#a0a0a0" stroked="f"/>
        </w:pict>
      </w:r>
    </w:p>
    <w:p w:rsidR="00000000" w:rsidRDefault="00F123EE">
      <w:pPr>
        <w:divId w:val="268246293"/>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p>
    <w:p w:rsidR="00000000" w:rsidRDefault="00F123EE">
      <w:pPr>
        <w:jc w:val="both"/>
        <w:rPr>
          <w:rFonts w:eastAsia="Times New Roman"/>
        </w:rPr>
      </w:pPr>
      <w:r>
        <w:rPr>
          <w:rFonts w:eastAsia="Times New Roman"/>
          <w:b/>
          <w:bCs/>
          <w:i/>
          <w:iCs/>
          <w:color w:val="000000"/>
          <w:sz w:val="20"/>
          <w:szCs w:val="20"/>
        </w:rPr>
        <w:t>Pre-Opening Costs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Non-capital expenditures incurred in connection with opening new stores, primarily pay</w:t>
      </w:r>
      <w:r>
        <w:rPr>
          <w:rFonts w:eastAsia="Times New Roman"/>
          <w:color w:val="000000"/>
          <w:sz w:val="20"/>
          <w:szCs w:val="20"/>
        </w:rPr>
        <w:t>roll and rent, are expensed as incurred.  Pre-opening costs were approximately $10.2 million, $10.4 million, and $8.6 million for fiscal 2022, 2021, and 2020, respectively.</w:t>
      </w:r>
    </w:p>
    <w:p w:rsidR="00000000" w:rsidRDefault="00F123EE">
      <w:pPr>
        <w:jc w:val="both"/>
        <w:rPr>
          <w:rFonts w:eastAsia="Times New Roman"/>
        </w:rPr>
      </w:pPr>
    </w:p>
    <w:p w:rsidR="00000000" w:rsidRDefault="00F123EE">
      <w:pPr>
        <w:jc w:val="both"/>
        <w:rPr>
          <w:rFonts w:eastAsia="Times New Roman"/>
        </w:rPr>
      </w:pPr>
      <w:r>
        <w:rPr>
          <w:rFonts w:eastAsia="Times New Roman"/>
          <w:b/>
          <w:bCs/>
          <w:i/>
          <w:iCs/>
          <w:color w:val="000000"/>
          <w:sz w:val="20"/>
          <w:szCs w:val="20"/>
        </w:rPr>
        <w:t>Share-Based Compensation</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Company has share-based compensation plans coverin</w:t>
      </w:r>
      <w:r>
        <w:rPr>
          <w:rFonts w:eastAsia="Times New Roman"/>
          <w:color w:val="000000"/>
          <w:sz w:val="20"/>
          <w:szCs w:val="20"/>
        </w:rPr>
        <w:t>g certain members of management and non-employee directors, which include non-qualified stock options, restricted stock units, and performance-based restricted share units. Performance-based restricted share units are subject to performance conditions that</w:t>
      </w:r>
      <w:r>
        <w:rPr>
          <w:rFonts w:eastAsia="Times New Roman"/>
          <w:color w:val="000000"/>
          <w:sz w:val="20"/>
          <w:szCs w:val="20"/>
        </w:rPr>
        <w:t xml:space="preserve"> include both Company and market performance. In addition, the Company offers an Employee Stock Purchase Plan (“ESPP”) to eligible team members.</w:t>
      </w:r>
    </w:p>
    <w:p w:rsidR="00000000" w:rsidRDefault="00F123EE">
      <w:pPr>
        <w:divId w:val="1962613757"/>
        <w:rPr>
          <w:rFonts w:eastAsia="Times New Roman"/>
        </w:rPr>
      </w:pPr>
    </w:p>
    <w:p w:rsidR="00000000" w:rsidRDefault="00F123EE">
      <w:pPr>
        <w:jc w:val="both"/>
        <w:rPr>
          <w:rFonts w:eastAsia="Times New Roman"/>
        </w:rPr>
      </w:pPr>
      <w:r>
        <w:rPr>
          <w:rFonts w:eastAsia="Times New Roman"/>
          <w:color w:val="000000"/>
          <w:sz w:val="20"/>
          <w:szCs w:val="20"/>
        </w:rPr>
        <w:t xml:space="preserve">The Company estimates the fair value of its stock option awards at the date of grant utilizing a </w:t>
      </w:r>
      <w:r>
        <w:rPr>
          <w:rFonts w:eastAsia="Times New Roman"/>
          <w:i/>
          <w:iCs/>
          <w:color w:val="000000"/>
          <w:sz w:val="20"/>
          <w:szCs w:val="20"/>
        </w:rPr>
        <w:t>Black-Scholes</w:t>
      </w:r>
      <w:r>
        <w:rPr>
          <w:rFonts w:eastAsia="Times New Roman"/>
          <w:color w:val="000000"/>
          <w:sz w:val="20"/>
          <w:szCs w:val="20"/>
        </w:rPr>
        <w:t xml:space="preserve"> option pricing model. The </w:t>
      </w:r>
      <w:r>
        <w:rPr>
          <w:rFonts w:eastAsia="Times New Roman"/>
          <w:i/>
          <w:iCs/>
          <w:color w:val="000000"/>
          <w:sz w:val="20"/>
          <w:szCs w:val="20"/>
        </w:rPr>
        <w:t>Black-Scholes</w:t>
      </w:r>
      <w:r>
        <w:rPr>
          <w:rFonts w:eastAsia="Times New Roman"/>
          <w:color w:val="000000"/>
          <w:sz w:val="20"/>
          <w:szCs w:val="20"/>
        </w:rPr>
        <w:t xml:space="preserve"> option valuation model was developed for use in estimating the fair value of short-term traded options th</w:t>
      </w:r>
      <w:r>
        <w:rPr>
          <w:rFonts w:eastAsia="Times New Roman"/>
          <w:color w:val="000000"/>
          <w:sz w:val="20"/>
          <w:szCs w:val="20"/>
        </w:rPr>
        <w:t xml:space="preserve">at have no vesting restrictions and are fully transferable. However, key assumptions used in the </w:t>
      </w:r>
      <w:r>
        <w:rPr>
          <w:rFonts w:eastAsia="Times New Roman"/>
          <w:i/>
          <w:iCs/>
          <w:color w:val="000000"/>
          <w:sz w:val="20"/>
          <w:szCs w:val="20"/>
        </w:rPr>
        <w:t>Black-Scholes</w:t>
      </w:r>
      <w:r>
        <w:rPr>
          <w:rFonts w:eastAsia="Times New Roman"/>
          <w:color w:val="000000"/>
          <w:sz w:val="20"/>
          <w:szCs w:val="20"/>
        </w:rPr>
        <w:t xml:space="preserve"> model are adjusted to incorporate the unique characteristics of the Company’s stock option awards. Option pricing models and generally accepted v</w:t>
      </w:r>
      <w:r>
        <w:rPr>
          <w:rFonts w:eastAsia="Times New Roman"/>
          <w:color w:val="000000"/>
          <w:sz w:val="20"/>
          <w:szCs w:val="20"/>
        </w:rPr>
        <w:t>aluation techniques require management to make subjective assumptions including expected stock price volatility, expected dividend yield, risk-free interest rate, expected term and forfeiture rates. The Company relies on historical volatility trends to est</w:t>
      </w:r>
      <w:r>
        <w:rPr>
          <w:rFonts w:eastAsia="Times New Roman"/>
          <w:color w:val="000000"/>
          <w:sz w:val="20"/>
          <w:szCs w:val="20"/>
        </w:rPr>
        <w:t>imate future volatility assumptions.  The risk-free interest rates used were actual U.S. Treasury Constant Maturity rates for bonds matching the expected term of the option on the date of grant. The expected term of the option on the date of grant was esti</w:t>
      </w:r>
      <w:r>
        <w:rPr>
          <w:rFonts w:eastAsia="Times New Roman"/>
          <w:color w:val="000000"/>
          <w:sz w:val="20"/>
          <w:szCs w:val="20"/>
        </w:rPr>
        <w:t>mated based on the Company’s historical experience for similar options.</w:t>
      </w:r>
    </w:p>
    <w:p w:rsidR="00000000" w:rsidRDefault="00F123EE">
      <w:pPr>
        <w:divId w:val="1139616386"/>
        <w:rPr>
          <w:rFonts w:eastAsia="Times New Roman"/>
        </w:rPr>
      </w:pPr>
    </w:p>
    <w:p w:rsidR="00000000" w:rsidRDefault="00F123EE">
      <w:pPr>
        <w:jc w:val="both"/>
        <w:rPr>
          <w:rFonts w:eastAsia="Times New Roman"/>
        </w:rPr>
      </w:pPr>
      <w:r>
        <w:rPr>
          <w:rFonts w:eastAsia="Times New Roman"/>
          <w:color w:val="000000"/>
          <w:sz w:val="20"/>
          <w:szCs w:val="20"/>
        </w:rPr>
        <w:t>The forfeiture rate at the time of valuation was estimated based on historical experience for similar options and reduces expense ratably over the vesting period. The Company adjusts</w:t>
      </w:r>
      <w:r>
        <w:rPr>
          <w:rFonts w:eastAsia="Times New Roman"/>
          <w:color w:val="000000"/>
          <w:sz w:val="20"/>
          <w:szCs w:val="20"/>
        </w:rPr>
        <w:t xml:space="preserve"> this estimate periodically, based on the extent to which actual forfeitures differ, or are expected to differ, from the previous estimate.</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fair value of the Company’s restricted stock units is the closing stock price of the Company’s common stock th</w:t>
      </w:r>
      <w:r>
        <w:rPr>
          <w:rFonts w:eastAsia="Times New Roman"/>
          <w:color w:val="000000"/>
          <w:sz w:val="20"/>
          <w:szCs w:val="20"/>
        </w:rPr>
        <w:t>e day preceding the grant date, discounted for the expected dividend yield over the term of the award. The fair value of the Company's performance-based restricted share units is estimated using a Monte Carlo simulation model on the grant date. Key assumpt</w:t>
      </w:r>
      <w:r>
        <w:rPr>
          <w:rFonts w:eastAsia="Times New Roman"/>
          <w:color w:val="000000"/>
          <w:sz w:val="20"/>
          <w:szCs w:val="20"/>
        </w:rPr>
        <w:t xml:space="preserve">ions used in the Monte Carlo simulation include expected volatility, dividend yield and risk-free interest rate. </w:t>
      </w:r>
    </w:p>
    <w:p w:rsidR="00000000" w:rsidRDefault="00F123EE">
      <w:pPr>
        <w:divId w:val="1460344726"/>
        <w:rPr>
          <w:rFonts w:eastAsia="Times New Roman"/>
        </w:rPr>
      </w:pPr>
    </w:p>
    <w:p w:rsidR="00000000" w:rsidRDefault="00F123EE">
      <w:pPr>
        <w:jc w:val="both"/>
        <w:rPr>
          <w:rFonts w:eastAsia="Times New Roman"/>
        </w:rPr>
      </w:pPr>
      <w:r>
        <w:rPr>
          <w:rFonts w:eastAsia="Times New Roman"/>
          <w:color w:val="000000"/>
          <w:sz w:val="20"/>
          <w:szCs w:val="20"/>
        </w:rPr>
        <w:t>The Company believes its estimates are reasonable in the context of historical experience.  Future results will depend on, among other matte</w:t>
      </w:r>
      <w:r>
        <w:rPr>
          <w:rFonts w:eastAsia="Times New Roman"/>
          <w:color w:val="000000"/>
          <w:sz w:val="20"/>
          <w:szCs w:val="20"/>
        </w:rPr>
        <w:t>rs, levels of share-based compensation granted in the future, actual forfeiture rates, and the timing of option exercises.</w:t>
      </w:r>
    </w:p>
    <w:p w:rsidR="00000000" w:rsidRDefault="00F123EE">
      <w:pPr>
        <w:divId w:val="1629822805"/>
        <w:rPr>
          <w:rFonts w:eastAsia="Times New Roman"/>
        </w:rPr>
      </w:pPr>
    </w:p>
    <w:p w:rsidR="00000000" w:rsidRDefault="00F123EE">
      <w:pPr>
        <w:jc w:val="both"/>
        <w:rPr>
          <w:rFonts w:eastAsia="Times New Roman"/>
        </w:rPr>
      </w:pPr>
      <w:r>
        <w:rPr>
          <w:rFonts w:eastAsia="Times New Roman"/>
          <w:b/>
          <w:bCs/>
          <w:i/>
          <w:iCs/>
          <w:color w:val="000000"/>
          <w:sz w:val="20"/>
          <w:szCs w:val="20"/>
        </w:rPr>
        <w:t>Depreciation and Amortization</w:t>
      </w:r>
    </w:p>
    <w:p w:rsidR="00000000" w:rsidRDefault="00F123EE">
      <w:pPr>
        <w:divId w:val="319315465"/>
        <w:rPr>
          <w:rFonts w:eastAsia="Times New Roman"/>
        </w:rPr>
      </w:pPr>
    </w:p>
    <w:p w:rsidR="00000000" w:rsidRDefault="00F123EE">
      <w:pPr>
        <w:jc w:val="both"/>
        <w:rPr>
          <w:rFonts w:eastAsia="Times New Roman"/>
        </w:rPr>
      </w:pPr>
      <w:r>
        <w:rPr>
          <w:rFonts w:eastAsia="Times New Roman"/>
          <w:color w:val="000000"/>
          <w:sz w:val="20"/>
          <w:szCs w:val="20"/>
        </w:rPr>
        <w:t>Depreciation includes expenses related to all retail, distribution facility, and corporate assets. </w:t>
      </w:r>
      <w:r>
        <w:rPr>
          <w:rFonts w:eastAsia="Times New Roman"/>
          <w:color w:val="000000"/>
          <w:sz w:val="20"/>
          <w:szCs w:val="20"/>
        </w:rPr>
        <w:t> Amortization includes expenses related to definite-lived intangible assets.</w:t>
      </w:r>
    </w:p>
    <w:p w:rsidR="00000000" w:rsidRDefault="00F123EE">
      <w:pPr>
        <w:jc w:val="both"/>
        <w:rPr>
          <w:rFonts w:eastAsia="Times New Roman"/>
        </w:rPr>
      </w:pPr>
    </w:p>
    <w:p w:rsidR="00000000" w:rsidRDefault="00F123EE">
      <w:pPr>
        <w:jc w:val="both"/>
        <w:rPr>
          <w:rFonts w:eastAsia="Times New Roman"/>
        </w:rPr>
      </w:pPr>
      <w:r>
        <w:rPr>
          <w:rFonts w:eastAsia="Times New Roman"/>
          <w:b/>
          <w:bCs/>
          <w:i/>
          <w:iCs/>
          <w:color w:val="000000"/>
          <w:sz w:val="20"/>
          <w:szCs w:val="20"/>
        </w:rPr>
        <w:t>Income Taxes</w:t>
      </w:r>
    </w:p>
    <w:p w:rsidR="00000000" w:rsidRDefault="00F123EE">
      <w:pPr>
        <w:divId w:val="748693529"/>
        <w:rPr>
          <w:rFonts w:eastAsia="Times New Roman"/>
        </w:rPr>
      </w:pPr>
    </w:p>
    <w:p w:rsidR="00000000" w:rsidRDefault="00F123EE">
      <w:pPr>
        <w:jc w:val="both"/>
        <w:rPr>
          <w:rFonts w:eastAsia="Times New Roman"/>
        </w:rPr>
      </w:pPr>
      <w:r>
        <w:rPr>
          <w:rFonts w:eastAsia="Times New Roman"/>
          <w:color w:val="000000"/>
          <w:sz w:val="20"/>
          <w:szCs w:val="20"/>
        </w:rPr>
        <w:t>The Company uses the asset and liability method to account for income taxes whereby deferred tax assets and liabilities are determined based on differences between the financial carrying amounts of assets and liabilities and their tax bases. Deferred tax a</w:t>
      </w:r>
      <w:r>
        <w:rPr>
          <w:rFonts w:eastAsia="Times New Roman"/>
          <w:color w:val="000000"/>
          <w:sz w:val="20"/>
          <w:szCs w:val="20"/>
        </w:rPr>
        <w:t xml:space="preserve">ssets and liabilities are measured using the enacted tax rates and laws that are anticipated to be in effect when temporary differences reverse or are settled.  The effect of a tax rate change is recognized in the period in which the law is enacted in the </w:t>
      </w:r>
      <w:r>
        <w:rPr>
          <w:rFonts w:eastAsia="Times New Roman"/>
          <w:color w:val="000000"/>
          <w:sz w:val="20"/>
          <w:szCs w:val="20"/>
        </w:rPr>
        <w:t>provision for income taxes.  The Company records a valuation allowance when it is more likely than not that a deferred tax asset will not be realized.</w:t>
      </w:r>
    </w:p>
    <w:p w:rsidR="00000000" w:rsidRDefault="00F123EE">
      <w:pPr>
        <w:jc w:val="both"/>
        <w:rPr>
          <w:rFonts w:eastAsia="Times New Roman"/>
        </w:rPr>
      </w:pPr>
    </w:p>
    <w:p w:rsidR="00000000" w:rsidRDefault="00F123EE">
      <w:pPr>
        <w:jc w:val="both"/>
        <w:rPr>
          <w:rFonts w:eastAsia="Times New Roman"/>
        </w:rPr>
      </w:pPr>
      <w:r>
        <w:rPr>
          <w:rFonts w:eastAsia="Times New Roman"/>
          <w:b/>
          <w:bCs/>
          <w:i/>
          <w:iCs/>
          <w:color w:val="000000"/>
          <w:sz w:val="20"/>
          <w:szCs w:val="20"/>
        </w:rPr>
        <w:t>Tax Contingencies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Company’s income tax returns are periodically audited by U.S. federal and state</w:t>
      </w:r>
      <w:r>
        <w:rPr>
          <w:rFonts w:eastAsia="Times New Roman"/>
          <w:color w:val="000000"/>
          <w:sz w:val="20"/>
          <w:szCs w:val="20"/>
        </w:rPr>
        <w:t xml:space="preserve"> tax authorities. These audits include questions regarding tax filing positions, including the timing and amount of deductions and the allocation of income among various tax jurisdictions. At any time, multiple tax years are subject to audit by the various</w:t>
      </w:r>
      <w:r>
        <w:rPr>
          <w:rFonts w:eastAsia="Times New Roman"/>
          <w:color w:val="000000"/>
          <w:sz w:val="20"/>
          <w:szCs w:val="20"/>
        </w:rPr>
        <w:t xml:space="preserve"> tax authorities. In evaluating the exposures associated with the Company’s various tax filing positions, the Company records a liability for uncertain tax positions taken or expected to be taken in a tax return.  A number of years may elapse before a part</w:t>
      </w:r>
      <w:r>
        <w:rPr>
          <w:rFonts w:eastAsia="Times New Roman"/>
          <w:color w:val="000000"/>
          <w:sz w:val="20"/>
          <w:szCs w:val="20"/>
        </w:rPr>
        <w:t xml:space="preserve">icular matter, for which the </w:t>
      </w:r>
    </w:p>
    <w:p w:rsidR="00000000" w:rsidRDefault="00F123EE">
      <w:pPr>
        <w:jc w:val="center"/>
        <w:divId w:val="1689795252"/>
        <w:rPr>
          <w:rFonts w:eastAsia="Times New Roman"/>
        </w:rPr>
      </w:pPr>
      <w:r>
        <w:rPr>
          <w:rFonts w:eastAsia="Times New Roman"/>
          <w:color w:val="000000"/>
          <w:sz w:val="20"/>
          <w:szCs w:val="20"/>
        </w:rPr>
        <w:t>57</w:t>
      </w:r>
    </w:p>
    <w:p w:rsidR="00000000" w:rsidRDefault="00F123EE">
      <w:pPr>
        <w:rPr>
          <w:rFonts w:eastAsia="Times New Roman"/>
        </w:rPr>
      </w:pPr>
      <w:r>
        <w:rPr>
          <w:rFonts w:eastAsia="Times New Roman"/>
        </w:rPr>
        <w:pict>
          <v:rect id="_x0000_i1087" style="width:0;height:1.5pt" o:hralign="center" o:hrstd="t" o:hr="t" fillcolor="#a0a0a0" stroked="f"/>
        </w:pict>
      </w:r>
    </w:p>
    <w:p w:rsidR="00000000" w:rsidRDefault="00F123EE">
      <w:pPr>
        <w:divId w:val="81992968"/>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r>
        <w:rPr>
          <w:rFonts w:eastAsia="Times New Roman"/>
          <w:color w:val="000000"/>
          <w:sz w:val="20"/>
          <w:szCs w:val="20"/>
        </w:rPr>
        <w:t>Company has established a reserve, is audited and fully resolved or clarified.  The Company recognizes the effect of incom</w:t>
      </w:r>
      <w:r>
        <w:rPr>
          <w:rFonts w:eastAsia="Times New Roman"/>
          <w:color w:val="000000"/>
          <w:sz w:val="20"/>
          <w:szCs w:val="20"/>
        </w:rPr>
        <w:t>e tax positions only if those positions are more likely than not of being sustained.  Recognized income tax positions are measured at the largest amount that is greater than 50% likely of being realized.  Changes in recognition or measurement are reflected</w:t>
      </w:r>
      <w:r>
        <w:rPr>
          <w:rFonts w:eastAsia="Times New Roman"/>
          <w:color w:val="000000"/>
          <w:sz w:val="20"/>
          <w:szCs w:val="20"/>
        </w:rPr>
        <w:t xml:space="preserve"> in the period in which the change in judgment occurs.  The Company adjusts its tax contingencies reserve and income tax provision in the period in which actual results of a settlement with tax authorities differs from the established reserve, the statute </w:t>
      </w:r>
      <w:r>
        <w:rPr>
          <w:rFonts w:eastAsia="Times New Roman"/>
          <w:color w:val="000000"/>
          <w:sz w:val="20"/>
          <w:szCs w:val="20"/>
        </w:rPr>
        <w:t>of limitations expires for the relevant tax authority to examine the tax position or when more information becomes available.</w:t>
      </w:r>
    </w:p>
    <w:p w:rsidR="00000000" w:rsidRDefault="00F123EE">
      <w:pPr>
        <w:jc w:val="both"/>
        <w:rPr>
          <w:rFonts w:eastAsia="Times New Roman"/>
        </w:rPr>
      </w:pPr>
    </w:p>
    <w:p w:rsidR="00000000" w:rsidRDefault="00F123EE">
      <w:pPr>
        <w:divId w:val="1208029352"/>
        <w:rPr>
          <w:rFonts w:eastAsia="Times New Roman"/>
        </w:rPr>
      </w:pPr>
      <w:r>
        <w:rPr>
          <w:rFonts w:eastAsia="Times New Roman"/>
          <w:b/>
          <w:bCs/>
          <w:i/>
          <w:iCs/>
          <w:color w:val="000000"/>
          <w:sz w:val="20"/>
          <w:szCs w:val="20"/>
        </w:rPr>
        <w:t>Sales Tax Audit Reserve</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A portion of the Company’s sales are to tax-exempt customers, predominantly agricultural-based.  The C</w:t>
      </w:r>
      <w:r>
        <w:rPr>
          <w:rFonts w:eastAsia="Times New Roman"/>
          <w:color w:val="000000"/>
          <w:sz w:val="20"/>
          <w:szCs w:val="20"/>
        </w:rPr>
        <w:t>ompany obtains exemption information as a necessary part of each tax-exempt transaction.  Many of the states in which the Company conducts business will perform audits to verify the Company’s compliance with applicable sales tax laws.  The business activit</w:t>
      </w:r>
      <w:r>
        <w:rPr>
          <w:rFonts w:eastAsia="Times New Roman"/>
          <w:color w:val="000000"/>
          <w:sz w:val="20"/>
          <w:szCs w:val="20"/>
        </w:rPr>
        <w:t>ies of the Company’s customers and the intended use of the unique products sold by the Company create a challenging and complex tax compliance environment.  These circumstances also create some risk that the Company could be challenged as to the accuracy o</w:t>
      </w:r>
      <w:r>
        <w:rPr>
          <w:rFonts w:eastAsia="Times New Roman"/>
          <w:color w:val="000000"/>
          <w:sz w:val="20"/>
          <w:szCs w:val="20"/>
        </w:rPr>
        <w:t>f the Company’s sales tax compliance.</w:t>
      </w:r>
    </w:p>
    <w:p w:rsidR="00000000" w:rsidRDefault="00F123EE">
      <w:pPr>
        <w:divId w:val="344594593"/>
        <w:rPr>
          <w:rFonts w:eastAsia="Times New Roman"/>
        </w:rPr>
      </w:pPr>
    </w:p>
    <w:p w:rsidR="00000000" w:rsidRDefault="00F123EE">
      <w:pPr>
        <w:jc w:val="both"/>
        <w:rPr>
          <w:rFonts w:eastAsia="Times New Roman"/>
        </w:rPr>
      </w:pPr>
      <w:r>
        <w:rPr>
          <w:rFonts w:eastAsia="Times New Roman"/>
          <w:color w:val="000000"/>
          <w:sz w:val="20"/>
          <w:szCs w:val="20"/>
        </w:rPr>
        <w:t>The Company reviews past audit experience and assessments with applicable states to continually determine if it has potential exposure for non-compliance.  Any estimated liability is based on an initial assessment of</w:t>
      </w:r>
      <w:r>
        <w:rPr>
          <w:rFonts w:eastAsia="Times New Roman"/>
          <w:color w:val="000000"/>
          <w:sz w:val="20"/>
          <w:szCs w:val="20"/>
        </w:rPr>
        <w:t xml:space="preserve"> compliance risk and historical experience with each state.  The Company continually reassesses the exposure based on historical audit results, changes in policies, preliminary and final assessments made by state sales tax auditors, and additional document</w:t>
      </w:r>
      <w:r>
        <w:rPr>
          <w:rFonts w:eastAsia="Times New Roman"/>
          <w:color w:val="000000"/>
          <w:sz w:val="20"/>
          <w:szCs w:val="20"/>
        </w:rPr>
        <w:t>ation that may be provided to reduce the assessment.  The reserve for these tax audits can fluctuate depending on numerous factors, including the complexity of agricultural-based exemptions, the ambiguity in state tax regulations, the number of ongoing aud</w:t>
      </w:r>
      <w:r>
        <w:rPr>
          <w:rFonts w:eastAsia="Times New Roman"/>
          <w:color w:val="000000"/>
          <w:sz w:val="20"/>
          <w:szCs w:val="20"/>
        </w:rPr>
        <w:t>its, and the length of time required to settle with the state taxing authorities.</w:t>
      </w:r>
    </w:p>
    <w:p w:rsidR="00000000" w:rsidRDefault="00F123EE">
      <w:pPr>
        <w:jc w:val="both"/>
        <w:rPr>
          <w:rFonts w:eastAsia="Times New Roman"/>
        </w:rPr>
      </w:pPr>
    </w:p>
    <w:p w:rsidR="00000000" w:rsidRDefault="00F123EE">
      <w:pPr>
        <w:jc w:val="both"/>
        <w:rPr>
          <w:rFonts w:eastAsia="Times New Roman"/>
        </w:rPr>
      </w:pPr>
      <w:r>
        <w:rPr>
          <w:rFonts w:eastAsia="Times New Roman"/>
          <w:b/>
          <w:bCs/>
          <w:i/>
          <w:iCs/>
          <w:color w:val="000000"/>
          <w:sz w:val="20"/>
          <w:szCs w:val="20"/>
        </w:rPr>
        <w:t>Net Income Per Share</w:t>
      </w:r>
    </w:p>
    <w:p w:rsidR="00000000" w:rsidRDefault="00F123EE">
      <w:pPr>
        <w:divId w:val="1665350458"/>
        <w:rPr>
          <w:rFonts w:eastAsia="Times New Roman"/>
        </w:rPr>
      </w:pPr>
    </w:p>
    <w:p w:rsidR="00000000" w:rsidRDefault="00F123EE">
      <w:pPr>
        <w:jc w:val="both"/>
        <w:rPr>
          <w:rFonts w:eastAsia="Times New Roman"/>
        </w:rPr>
      </w:pPr>
      <w:r>
        <w:rPr>
          <w:rFonts w:eastAsia="Times New Roman"/>
          <w:color w:val="000000"/>
          <w:sz w:val="20"/>
          <w:szCs w:val="20"/>
        </w:rPr>
        <w:t>The Company presents both basic and diluted net income per share on the Consolidated Statements of Income. Basic net income per share is calculated b</w:t>
      </w:r>
      <w:r>
        <w:rPr>
          <w:rFonts w:eastAsia="Times New Roman"/>
          <w:color w:val="000000"/>
          <w:sz w:val="20"/>
          <w:szCs w:val="20"/>
        </w:rPr>
        <w:t>y dividing net income by the weighted average number of shares outstanding during the period.  Diluted net income per share is calculated by dividing net income by the weighted average diluted shares outstanding during the period. Dilutive shares are compu</w:t>
      </w:r>
      <w:r>
        <w:rPr>
          <w:rFonts w:eastAsia="Times New Roman"/>
          <w:color w:val="000000"/>
          <w:sz w:val="20"/>
          <w:szCs w:val="20"/>
        </w:rPr>
        <w:t xml:space="preserve">ted using the treasury stock method for share-based awards. Performance-based restricted share units are included in diluted shares only if the related performance conditions have been considered satisfied as of the end of the reporting period. </w:t>
      </w:r>
    </w:p>
    <w:p w:rsidR="00000000" w:rsidRDefault="00F123EE">
      <w:pPr>
        <w:jc w:val="both"/>
        <w:rPr>
          <w:rFonts w:eastAsia="Times New Roman"/>
        </w:rPr>
      </w:pPr>
    </w:p>
    <w:p w:rsidR="00000000" w:rsidRDefault="00F123EE">
      <w:pPr>
        <w:jc w:val="both"/>
        <w:rPr>
          <w:rFonts w:eastAsia="Times New Roman"/>
        </w:rPr>
      </w:pPr>
      <w:r>
        <w:rPr>
          <w:rFonts w:eastAsia="Times New Roman"/>
          <w:b/>
          <w:bCs/>
          <w:i/>
          <w:iCs/>
          <w:color w:val="000000"/>
          <w:sz w:val="20"/>
          <w:szCs w:val="20"/>
        </w:rPr>
        <w:t>Cash and</w:t>
      </w:r>
      <w:r>
        <w:rPr>
          <w:rFonts w:eastAsia="Times New Roman"/>
          <w:b/>
          <w:bCs/>
          <w:i/>
          <w:iCs/>
          <w:color w:val="000000"/>
          <w:sz w:val="20"/>
          <w:szCs w:val="20"/>
        </w:rPr>
        <w:t xml:space="preserve"> Cash Equivalents</w:t>
      </w:r>
    </w:p>
    <w:p w:rsidR="00000000" w:rsidRDefault="00F123EE">
      <w:pPr>
        <w:divId w:val="1119296013"/>
        <w:rPr>
          <w:rFonts w:eastAsia="Times New Roman"/>
        </w:rPr>
      </w:pPr>
    </w:p>
    <w:p w:rsidR="00000000" w:rsidRDefault="00F123EE">
      <w:pPr>
        <w:jc w:val="both"/>
        <w:rPr>
          <w:rFonts w:eastAsia="Times New Roman"/>
        </w:rPr>
      </w:pPr>
      <w:r>
        <w:rPr>
          <w:rFonts w:eastAsia="Times New Roman"/>
          <w:color w:val="000000"/>
          <w:sz w:val="20"/>
          <w:szCs w:val="20"/>
        </w:rPr>
        <w:t>Temporary cash investments, with a maturity of three months or less when purchased, are considered to be cash equivalents.  The majority of payments due from banks for customer credit cards are classified as cash and cash equivalents, a</w:t>
      </w:r>
      <w:r>
        <w:rPr>
          <w:rFonts w:eastAsia="Times New Roman"/>
          <w:color w:val="000000"/>
          <w:sz w:val="20"/>
          <w:szCs w:val="20"/>
        </w:rPr>
        <w:t>s they generally settle within 24 - 48 hours.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Sales generated through the Company’s private label credit cards are not reflected as accounts receivable.  Under an agreement with Citi Cards, a division of Citigroup, consumer and business credit is extende</w:t>
      </w:r>
      <w:r>
        <w:rPr>
          <w:rFonts w:eastAsia="Times New Roman"/>
          <w:color w:val="000000"/>
          <w:sz w:val="20"/>
          <w:szCs w:val="20"/>
        </w:rPr>
        <w:t>d directly to customers by Citigroup.  All credit program and related services are performed and controlled directly by Citigroup.  Payments due from Citigroup are classified as cash and cash equivalents as they generally settle within 24 - 48 hours.</w:t>
      </w:r>
    </w:p>
    <w:p w:rsidR="00000000" w:rsidRDefault="00F123EE">
      <w:pPr>
        <w:divId w:val="1934390453"/>
        <w:rPr>
          <w:rFonts w:eastAsia="Times New Roman"/>
        </w:rPr>
      </w:pPr>
    </w:p>
    <w:p w:rsidR="00000000" w:rsidRDefault="00F123EE">
      <w:pPr>
        <w:jc w:val="both"/>
        <w:rPr>
          <w:rFonts w:eastAsia="Times New Roman"/>
        </w:rPr>
      </w:pPr>
      <w:r>
        <w:rPr>
          <w:rFonts w:eastAsia="Times New Roman"/>
          <w:b/>
          <w:bCs/>
          <w:i/>
          <w:iCs/>
          <w:color w:val="000000"/>
          <w:sz w:val="20"/>
          <w:szCs w:val="20"/>
        </w:rPr>
        <w:t>Fair Value of Financial Instruments</w:t>
      </w:r>
    </w:p>
    <w:p w:rsidR="00000000" w:rsidRDefault="00F123EE">
      <w:pPr>
        <w:divId w:val="1960647426"/>
        <w:rPr>
          <w:rFonts w:eastAsia="Times New Roman"/>
        </w:rPr>
      </w:pPr>
    </w:p>
    <w:p w:rsidR="00000000" w:rsidRDefault="00F123EE">
      <w:pPr>
        <w:jc w:val="both"/>
        <w:rPr>
          <w:rFonts w:eastAsia="Times New Roman"/>
        </w:rPr>
      </w:pPr>
      <w:r>
        <w:rPr>
          <w:rFonts w:eastAsia="Times New Roman"/>
          <w:color w:val="000000"/>
          <w:sz w:val="20"/>
          <w:szCs w:val="20"/>
        </w:rPr>
        <w:t>Fair value is defined as the price that would be received to sell an asset or paid to transfer a liability (an exit price) in an orderly transaction between market participants on the measurement date. The Company uses</w:t>
      </w:r>
      <w:r>
        <w:rPr>
          <w:rFonts w:eastAsia="Times New Roman"/>
          <w:color w:val="000000"/>
          <w:sz w:val="20"/>
          <w:szCs w:val="20"/>
        </w:rPr>
        <w:t xml:space="preserve"> a three-tier fair value hierarchy, which prioritizes the inputs used in measuring fair value.  These tiers include: </w:t>
      </w:r>
    </w:p>
    <w:p w:rsidR="00000000" w:rsidRDefault="00F123EE">
      <w:pPr>
        <w:divId w:val="1010985914"/>
        <w:rPr>
          <w:rFonts w:eastAsia="Times New Roman"/>
        </w:rPr>
      </w:pPr>
    </w:p>
    <w:p w:rsidR="00000000" w:rsidRDefault="00F123EE">
      <w:pPr>
        <w:jc w:val="center"/>
        <w:divId w:val="1870558246"/>
        <w:rPr>
          <w:rFonts w:eastAsia="Times New Roman"/>
        </w:rPr>
      </w:pPr>
      <w:r>
        <w:rPr>
          <w:rFonts w:eastAsia="Times New Roman"/>
          <w:color w:val="000000"/>
          <w:sz w:val="20"/>
          <w:szCs w:val="20"/>
        </w:rPr>
        <w:t>58</w:t>
      </w:r>
    </w:p>
    <w:p w:rsidR="00000000" w:rsidRDefault="00F123EE">
      <w:pPr>
        <w:rPr>
          <w:rFonts w:eastAsia="Times New Roman"/>
        </w:rPr>
      </w:pPr>
      <w:r>
        <w:rPr>
          <w:rFonts w:eastAsia="Times New Roman"/>
        </w:rPr>
        <w:pict>
          <v:rect id="_x0000_i1088" style="width:0;height:1.5pt" o:hralign="center" o:hrstd="t" o:hr="t" fillcolor="#a0a0a0" stroked="f"/>
        </w:pict>
      </w:r>
    </w:p>
    <w:p w:rsidR="00000000" w:rsidRDefault="00F123EE">
      <w:pPr>
        <w:divId w:val="805779035"/>
        <w:rPr>
          <w:rFonts w:eastAsia="Times New Roman"/>
        </w:rPr>
      </w:pPr>
      <w:hyperlink w:anchor="i38696b5cc01146d68b9c6b33327cf890_7" w:history="1">
        <w:r>
          <w:rPr>
            <w:rStyle w:val="a3"/>
            <w:rFonts w:eastAsia="Times New Roman"/>
            <w:sz w:val="18"/>
            <w:szCs w:val="18"/>
          </w:rPr>
          <w:t>Index</w:t>
        </w:r>
      </w:hyperlink>
    </w:p>
    <w:p w:rsidR="00000000" w:rsidRDefault="00F123EE">
      <w:pPr>
        <w:ind w:hanging="360"/>
        <w:jc w:val="both"/>
        <w:rPr>
          <w:rFonts w:eastAsia="Times New Roman"/>
        </w:rPr>
      </w:pPr>
      <w:r>
        <w:rPr>
          <w:rFonts w:eastAsia="Times New Roman"/>
          <w:color w:val="000000"/>
          <w:sz w:val="20"/>
          <w:szCs w:val="20"/>
        </w:rPr>
        <w:t xml:space="preserve">•Level 1 - defined as observable inputs such as quoted prices in active markets; </w:t>
      </w:r>
    </w:p>
    <w:p w:rsidR="00000000" w:rsidRDefault="00F123EE">
      <w:pPr>
        <w:ind w:hanging="360"/>
        <w:jc w:val="both"/>
        <w:rPr>
          <w:rFonts w:eastAsia="Times New Roman"/>
        </w:rPr>
      </w:pPr>
      <w:r>
        <w:rPr>
          <w:rFonts w:eastAsia="Times New Roman"/>
          <w:color w:val="000000"/>
          <w:sz w:val="20"/>
          <w:szCs w:val="20"/>
        </w:rPr>
        <w:t>•Level 2 - defined as inputs other than quoted prices in active markets that are either directly or indirectly</w:t>
      </w:r>
      <w:r>
        <w:rPr>
          <w:rFonts w:eastAsia="Times New Roman"/>
          <w:color w:val="000000"/>
          <w:sz w:val="20"/>
          <w:szCs w:val="20"/>
        </w:rPr>
        <w:t xml:space="preserve"> observable; and</w:t>
      </w:r>
    </w:p>
    <w:p w:rsidR="00000000" w:rsidRDefault="00F123EE">
      <w:pPr>
        <w:ind w:hanging="360"/>
        <w:jc w:val="both"/>
        <w:rPr>
          <w:rFonts w:eastAsia="Times New Roman"/>
        </w:rPr>
      </w:pPr>
      <w:r>
        <w:rPr>
          <w:rFonts w:eastAsia="Times New Roman"/>
          <w:color w:val="000000"/>
          <w:sz w:val="20"/>
          <w:szCs w:val="20"/>
        </w:rPr>
        <w:t>•Level 3 - defined as unobservable inputs in which little or no market data exists, therefore requiring an entity to develop its own assumptions.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Company’s financial instruments consist of cash and cash equivalents, short-term receiv</w:t>
      </w:r>
      <w:r>
        <w:rPr>
          <w:rFonts w:eastAsia="Times New Roman"/>
          <w:color w:val="000000"/>
          <w:sz w:val="20"/>
          <w:szCs w:val="20"/>
        </w:rPr>
        <w:t>ables, trade payables, debt instruments, and interest rate swaps.  Due to their short-term nature, the carrying values of cash and cash equivalents, short-term receivables, and trade payables approximate current fair value at each balance sheet date.</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 xml:space="preserve">As </w:t>
      </w:r>
      <w:r>
        <w:rPr>
          <w:rFonts w:eastAsia="Times New Roman"/>
          <w:color w:val="000000"/>
          <w:sz w:val="20"/>
          <w:szCs w:val="20"/>
        </w:rPr>
        <w:t>described in further detail in Note 5 to the Consolidated Financial Statements, the Company had $1.18 billion and $1.00 billion in outstanding borrowings as of December 31, 2022 and December 25, 2021, respectively. The fair value of the Company's $150 mill</w:t>
      </w:r>
      <w:r>
        <w:rPr>
          <w:rFonts w:eastAsia="Times New Roman"/>
          <w:color w:val="000000"/>
          <w:sz w:val="20"/>
          <w:szCs w:val="20"/>
        </w:rPr>
        <w:t>ion 3.70% Senior Notes (the “3.70% Senior Notes”), the $200 million term loan (the “November 2020 Term Loan,” retired on September 30, 2022 and discussed in further detail in Note 5 to the Consolidated Financial Statements), and the $378 million in borrowi</w:t>
      </w:r>
      <w:r>
        <w:rPr>
          <w:rFonts w:eastAsia="Times New Roman"/>
          <w:color w:val="000000"/>
          <w:sz w:val="20"/>
          <w:szCs w:val="20"/>
        </w:rPr>
        <w:t>ngs under the Company's Revolving Credit Facility (as defined below) were determined based on market interest rates (Level 2 inputs). The carrying value of borrowings under the $3.70% Senior Notes, the November 2020 Term Loan, and the Revolving Credit Faci</w:t>
      </w:r>
      <w:r>
        <w:rPr>
          <w:rFonts w:eastAsia="Times New Roman"/>
          <w:color w:val="000000"/>
          <w:sz w:val="20"/>
          <w:szCs w:val="20"/>
        </w:rPr>
        <w:t>lity all approximate fair value for each period reported.</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fair value of the Company's $650 million 1.75% Senior Notes (the “1.75% Senior Notes”) is determined based on quoted prices in active markets, which are considered Level 1 inputs. The carrying</w:t>
      </w:r>
      <w:r>
        <w:rPr>
          <w:rFonts w:eastAsia="Times New Roman"/>
          <w:color w:val="000000"/>
          <w:sz w:val="20"/>
          <w:szCs w:val="20"/>
        </w:rPr>
        <w:t xml:space="preserve"> value and the fair value of the 1.75% Senior Notes, net of discount were as follows (in thousands):</w:t>
      </w:r>
    </w:p>
    <w:p w:rsidR="00000000" w:rsidRDefault="00F123EE">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3713"/>
        <w:gridCol w:w="36"/>
        <w:gridCol w:w="36"/>
        <w:gridCol w:w="36"/>
        <w:gridCol w:w="36"/>
        <w:gridCol w:w="120"/>
        <w:gridCol w:w="874"/>
        <w:gridCol w:w="36"/>
        <w:gridCol w:w="120"/>
        <w:gridCol w:w="875"/>
        <w:gridCol w:w="36"/>
        <w:gridCol w:w="36"/>
        <w:gridCol w:w="36"/>
        <w:gridCol w:w="36"/>
        <w:gridCol w:w="120"/>
        <w:gridCol w:w="875"/>
        <w:gridCol w:w="36"/>
        <w:gridCol w:w="120"/>
        <w:gridCol w:w="876"/>
        <w:gridCol w:w="36"/>
        <w:gridCol w:w="36"/>
        <w:gridCol w:w="36"/>
        <w:gridCol w:w="36"/>
        <w:gridCol w:w="36"/>
        <w:gridCol w:w="36"/>
      </w:tblGrid>
      <w:tr w:rsidR="00000000">
        <w:tc>
          <w:tcPr>
            <w:tcW w:w="50" w:type="pct"/>
            <w:vAlign w:val="center"/>
            <w:hideMark/>
          </w:tcPr>
          <w:p w:rsidR="00000000" w:rsidRDefault="00F123EE">
            <w:pPr>
              <w:jc w:val="both"/>
              <w:rPr>
                <w:rFonts w:eastAsia="Times New Roman"/>
              </w:rPr>
            </w:pPr>
          </w:p>
        </w:tc>
        <w:tc>
          <w:tcPr>
            <w:tcW w:w="2342"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19"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80"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80"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19"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80"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81"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December 31, 2022</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December 25, 2021</w:t>
            </w:r>
          </w:p>
        </w:tc>
        <w:tc>
          <w:tcPr>
            <w:tcW w:w="0" w:type="auto"/>
            <w:vAlign w:val="center"/>
            <w:hideMark/>
          </w:tcPr>
          <w:p w:rsidR="00000000" w:rsidRDefault="00F123EE">
            <w:pPr>
              <w:spacing w:after="100"/>
              <w:jc w:val="center"/>
              <w:rPr>
                <w:rFonts w:eastAsia="Times New Roman"/>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F123EE">
            <w:pPr>
              <w:spacing w:after="100"/>
              <w:jc w:val="center"/>
              <w:rPr>
                <w:rFonts w:eastAsia="Times New Roman"/>
              </w:rPr>
            </w:pPr>
            <w:r>
              <w:rPr>
                <w:rFonts w:eastAsia="Times New Roman"/>
                <w:b/>
                <w:bCs/>
                <w:color w:val="000000"/>
                <w:sz w:val="20"/>
                <w:szCs w:val="20"/>
              </w:rPr>
              <w:t>Carrying Value</w:t>
            </w: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F123EE">
            <w:pPr>
              <w:spacing w:after="100"/>
              <w:jc w:val="center"/>
              <w:rPr>
                <w:rFonts w:eastAsia="Times New Roman"/>
              </w:rPr>
            </w:pPr>
            <w:r>
              <w:rPr>
                <w:rFonts w:eastAsia="Times New Roman"/>
                <w:b/>
                <w:bCs/>
                <w:color w:val="000000"/>
                <w:sz w:val="20"/>
                <w:szCs w:val="20"/>
              </w:rPr>
              <w:t>Fair Value</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F123EE">
            <w:pPr>
              <w:spacing w:after="100"/>
              <w:jc w:val="center"/>
              <w:rPr>
                <w:rFonts w:eastAsia="Times New Roman"/>
              </w:rPr>
            </w:pPr>
            <w:r>
              <w:rPr>
                <w:rFonts w:eastAsia="Times New Roman"/>
                <w:b/>
                <w:bCs/>
                <w:color w:val="000000"/>
                <w:sz w:val="20"/>
                <w:szCs w:val="20"/>
              </w:rPr>
              <w:t>Carrying Value</w:t>
            </w: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F123EE">
            <w:pPr>
              <w:spacing w:after="100"/>
              <w:jc w:val="center"/>
              <w:rPr>
                <w:rFonts w:eastAsia="Times New Roman"/>
              </w:rPr>
            </w:pPr>
            <w:r>
              <w:rPr>
                <w:rFonts w:eastAsia="Times New Roman"/>
                <w:b/>
                <w:bCs/>
                <w:color w:val="000000"/>
                <w:sz w:val="20"/>
                <w:szCs w:val="20"/>
              </w:rPr>
              <w:t>Fair Value</w:t>
            </w:r>
          </w:p>
        </w:tc>
        <w:tc>
          <w:tcPr>
            <w:tcW w:w="0" w:type="auto"/>
            <w:vAlign w:val="center"/>
            <w:hideMark/>
          </w:tcPr>
          <w:p w:rsidR="00000000" w:rsidRDefault="00F123EE">
            <w:pPr>
              <w:spacing w:after="100"/>
              <w:jc w:val="center"/>
              <w:rPr>
                <w:rFonts w:eastAsia="Times New Roman"/>
              </w:rPr>
            </w:pPr>
          </w:p>
        </w:tc>
        <w:tc>
          <w:tcPr>
            <w:tcW w:w="0" w:type="auto"/>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1.75% Senior Notes</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639,220 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500,065 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637,844 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614,881 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vAlign w:val="center"/>
            <w:hideMark/>
          </w:tcPr>
          <w:p w:rsidR="00000000" w:rsidRDefault="00F123EE">
            <w:pPr>
              <w:spacing w:after="100"/>
              <w:jc w:val="right"/>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bl>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Company’s interest rate swap is carried at fair value, which is determined based on the present value of expected future cash flows using forward rate curves,</w:t>
      </w:r>
      <w:r>
        <w:rPr>
          <w:rFonts w:eastAsia="Times New Roman"/>
          <w:color w:val="000000"/>
          <w:sz w:val="20"/>
          <w:szCs w:val="20"/>
        </w:rPr>
        <w:t xml:space="preserve"> which is considered a Level 2 input. In accordance with hedge accounting, the gains and losses on interest rate swaps that are designated and qualify as cash flow hedges are recorded as a component of Other Comprehensive Income, net of related income taxe</w:t>
      </w:r>
      <w:r>
        <w:rPr>
          <w:rFonts w:eastAsia="Times New Roman"/>
          <w:color w:val="000000"/>
          <w:sz w:val="20"/>
          <w:szCs w:val="20"/>
        </w:rPr>
        <w:t>s, and reclassified into earnings in the same income statement line in the period in which the hedged transaction(s) affect earnings. The fair value of the interest rate swap, excluding accrued interest, was as follows (in thousands):</w:t>
      </w:r>
    </w:p>
    <w:p w:rsidR="00000000" w:rsidRDefault="00F123EE">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4589"/>
        <w:gridCol w:w="36"/>
        <w:gridCol w:w="36"/>
        <w:gridCol w:w="36"/>
        <w:gridCol w:w="36"/>
        <w:gridCol w:w="121"/>
        <w:gridCol w:w="1448"/>
        <w:gridCol w:w="37"/>
        <w:gridCol w:w="36"/>
        <w:gridCol w:w="36"/>
        <w:gridCol w:w="36"/>
        <w:gridCol w:w="121"/>
        <w:gridCol w:w="1448"/>
        <w:gridCol w:w="37"/>
        <w:gridCol w:w="36"/>
        <w:gridCol w:w="36"/>
        <w:gridCol w:w="36"/>
        <w:gridCol w:w="36"/>
        <w:gridCol w:w="36"/>
        <w:gridCol w:w="36"/>
      </w:tblGrid>
      <w:tr w:rsidR="00000000">
        <w:tc>
          <w:tcPr>
            <w:tcW w:w="50" w:type="pct"/>
            <w:vAlign w:val="center"/>
            <w:hideMark/>
          </w:tcPr>
          <w:p w:rsidR="00000000" w:rsidRDefault="00F123EE">
            <w:pPr>
              <w:jc w:val="both"/>
              <w:rPr>
                <w:rFonts w:eastAsia="Times New Roman"/>
              </w:rPr>
            </w:pPr>
          </w:p>
        </w:tc>
        <w:tc>
          <w:tcPr>
            <w:tcW w:w="2898"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19"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939"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19"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939"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Fair Value Measurements at</w:t>
            </w: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December 31,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December 25, 2021</w:t>
            </w:r>
          </w:p>
        </w:tc>
        <w:tc>
          <w:tcPr>
            <w:tcW w:w="0" w:type="auto"/>
            <w:gridSpan w:val="3"/>
            <w:vAlign w:val="center"/>
            <w:hideMark/>
          </w:tcPr>
          <w:p w:rsidR="00000000" w:rsidRDefault="00F123EE">
            <w:pPr>
              <w:spacing w:after="100"/>
              <w:jc w:val="center"/>
              <w:rPr>
                <w:rFonts w:eastAsia="Times New Roman"/>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Interest rate swap assets (Level 2)</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15,146 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1,809 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vAlign w:val="center"/>
            <w:hideMark/>
          </w:tcPr>
          <w:p w:rsidR="00000000" w:rsidRDefault="00F123EE">
            <w:pPr>
              <w:spacing w:after="100"/>
              <w:jc w:val="right"/>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bl>
    <w:p w:rsidR="00000000" w:rsidRDefault="00F123EE">
      <w:pPr>
        <w:jc w:val="both"/>
        <w:rPr>
          <w:rFonts w:eastAsia="Times New Roman"/>
        </w:rPr>
      </w:pPr>
    </w:p>
    <w:p w:rsidR="00000000" w:rsidRDefault="00F123EE">
      <w:pPr>
        <w:jc w:val="both"/>
        <w:rPr>
          <w:rFonts w:eastAsia="Times New Roman"/>
        </w:rPr>
      </w:pPr>
      <w:r>
        <w:rPr>
          <w:rFonts w:eastAsia="Times New Roman"/>
          <w:b/>
          <w:bCs/>
          <w:i/>
          <w:iCs/>
          <w:color w:val="000000"/>
          <w:sz w:val="20"/>
          <w:szCs w:val="20"/>
        </w:rPr>
        <w:t>Derivative Financial Instruments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Company accounts for derivative financial instruments in accordance with applicable accounting standards for such instruments and hedging activities, which require that all derivatives are recorded on the balance shee</w:t>
      </w:r>
      <w:r>
        <w:rPr>
          <w:rFonts w:eastAsia="Times New Roman"/>
          <w:color w:val="000000"/>
          <w:sz w:val="20"/>
          <w:szCs w:val="20"/>
        </w:rPr>
        <w:t>t at fair value. The accounting for changes in the fair value of derivatives depends on the intended use of the derivative, whether the Company has elected to designate a derivative in a hedging relationship and apply hedge accounting and whether the hedgi</w:t>
      </w:r>
      <w:r>
        <w:rPr>
          <w:rFonts w:eastAsia="Times New Roman"/>
          <w:color w:val="000000"/>
          <w:sz w:val="20"/>
          <w:szCs w:val="20"/>
        </w:rPr>
        <w:t xml:space="preserve">ng relationship has satisfied the criteria necessary to apply hedge accounting.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Derivatives designated and qualifying as a hedge of the exposure to changes in the fair value of an asset, liability, or firm commitment attributable to a particular risk ar</w:t>
      </w:r>
      <w:r>
        <w:rPr>
          <w:rFonts w:eastAsia="Times New Roman"/>
          <w:color w:val="000000"/>
          <w:sz w:val="20"/>
          <w:szCs w:val="20"/>
        </w:rPr>
        <w:t>e considered fair value hedges. Derivatives designated and qualifying as a hedge of the exposure to variability in expected future cash flows, or other types of forecasted transactions, are considered cash flow hedges. Hedge accounting generally provides f</w:t>
      </w:r>
      <w:r>
        <w:rPr>
          <w:rFonts w:eastAsia="Times New Roman"/>
          <w:color w:val="000000"/>
          <w:sz w:val="20"/>
          <w:szCs w:val="20"/>
        </w:rPr>
        <w:t>or the matching of the timing of gain or loss recognition on the hedging instrument with the recognition of the changes in the fair value of the hedged asset or liability that are attributable to the hedged risk in a fair value hedge or the earnings effect</w:t>
      </w:r>
      <w:r>
        <w:rPr>
          <w:rFonts w:eastAsia="Times New Roman"/>
          <w:color w:val="000000"/>
          <w:sz w:val="20"/>
          <w:szCs w:val="20"/>
        </w:rPr>
        <w:t xml:space="preserve"> of the hedged forecasted transactions in a cash flow hedge. The Company may enter into derivative contracts that are intended to economically hedge a certain portion of its risk, even though hedge accounting does not apply or the Company elects not to app</w:t>
      </w:r>
      <w:r>
        <w:rPr>
          <w:rFonts w:eastAsia="Times New Roman"/>
          <w:color w:val="000000"/>
          <w:sz w:val="20"/>
          <w:szCs w:val="20"/>
        </w:rPr>
        <w:t xml:space="preserve">ly the hedge accounting standards. </w:t>
      </w:r>
    </w:p>
    <w:p w:rsidR="00000000" w:rsidRDefault="00F123EE">
      <w:pPr>
        <w:jc w:val="center"/>
        <w:divId w:val="506672287"/>
        <w:rPr>
          <w:rFonts w:eastAsia="Times New Roman"/>
        </w:rPr>
      </w:pPr>
      <w:r>
        <w:rPr>
          <w:rFonts w:eastAsia="Times New Roman"/>
          <w:color w:val="000000"/>
          <w:sz w:val="20"/>
          <w:szCs w:val="20"/>
        </w:rPr>
        <w:t>59</w:t>
      </w:r>
    </w:p>
    <w:p w:rsidR="00000000" w:rsidRDefault="00F123EE">
      <w:pPr>
        <w:rPr>
          <w:rFonts w:eastAsia="Times New Roman"/>
        </w:rPr>
      </w:pPr>
      <w:r>
        <w:rPr>
          <w:rFonts w:eastAsia="Times New Roman"/>
        </w:rPr>
        <w:pict>
          <v:rect id="_x0000_i1089" style="width:0;height:1.5pt" o:hralign="center" o:hrstd="t" o:hr="t" fillcolor="#a0a0a0" stroked="f"/>
        </w:pict>
      </w:r>
    </w:p>
    <w:p w:rsidR="00000000" w:rsidRDefault="00F123EE">
      <w:pPr>
        <w:divId w:val="917636659"/>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fair value of the interest rate swaps, excluding accrued interest, was a net asset of $15.1 million and $1.8 m</w:t>
      </w:r>
      <w:r>
        <w:rPr>
          <w:rFonts w:eastAsia="Times New Roman"/>
          <w:color w:val="000000"/>
          <w:sz w:val="20"/>
          <w:szCs w:val="20"/>
        </w:rPr>
        <w:t>illion as of December 31, 2022 and December 25, 2021, respectively.</w:t>
      </w:r>
    </w:p>
    <w:p w:rsidR="00000000" w:rsidRDefault="00F123EE">
      <w:pPr>
        <w:divId w:val="1281184512"/>
        <w:rPr>
          <w:rFonts w:eastAsia="Times New Roman"/>
        </w:rPr>
      </w:pPr>
    </w:p>
    <w:p w:rsidR="00000000" w:rsidRDefault="00F123EE">
      <w:pPr>
        <w:divId w:val="1116633761"/>
        <w:rPr>
          <w:rFonts w:eastAsia="Times New Roman"/>
        </w:rPr>
      </w:pPr>
      <w:r>
        <w:rPr>
          <w:rFonts w:eastAsia="Times New Roman"/>
          <w:b/>
          <w:bCs/>
          <w:i/>
          <w:iCs/>
          <w:color w:val="000000"/>
          <w:sz w:val="20"/>
          <w:szCs w:val="20"/>
        </w:rPr>
        <w:t>Inventories</w:t>
      </w:r>
    </w:p>
    <w:p w:rsidR="00000000" w:rsidRDefault="00F123EE">
      <w:pPr>
        <w:divId w:val="458845551"/>
        <w:rPr>
          <w:rFonts w:eastAsia="Times New Roman"/>
        </w:rPr>
      </w:pPr>
    </w:p>
    <w:p w:rsidR="00000000" w:rsidRDefault="00F123EE">
      <w:pPr>
        <w:jc w:val="both"/>
        <w:rPr>
          <w:rFonts w:eastAsia="Times New Roman"/>
        </w:rPr>
      </w:pPr>
      <w:r>
        <w:rPr>
          <w:rFonts w:eastAsia="Times New Roman"/>
          <w:color w:val="000000"/>
          <w:sz w:val="20"/>
          <w:szCs w:val="20"/>
        </w:rPr>
        <w:t>Inventories are stated at the lower of cost, as determined by the average cost method, or net realizable value.  Inventory cost consists of the direct cost of merchandise i</w:t>
      </w:r>
      <w:r>
        <w:rPr>
          <w:rFonts w:eastAsia="Times New Roman"/>
          <w:color w:val="000000"/>
          <w:sz w:val="20"/>
          <w:szCs w:val="20"/>
        </w:rPr>
        <w:t>ncluding freight, duties, and tariffs.  Inventories are net of shrinkage, obsolescence, other valuations, and vendor allowances.</w:t>
      </w:r>
    </w:p>
    <w:p w:rsidR="00000000" w:rsidRDefault="00F123EE">
      <w:pPr>
        <w:jc w:val="both"/>
        <w:rPr>
          <w:rFonts w:eastAsia="Times New Roman"/>
        </w:rPr>
      </w:pPr>
    </w:p>
    <w:p w:rsidR="00000000" w:rsidRDefault="00F123EE">
      <w:pPr>
        <w:jc w:val="both"/>
        <w:rPr>
          <w:rFonts w:eastAsia="Times New Roman"/>
        </w:rPr>
      </w:pPr>
      <w:r>
        <w:rPr>
          <w:rFonts w:eastAsia="Times New Roman"/>
          <w:b/>
          <w:bCs/>
          <w:i/>
          <w:iCs/>
          <w:color w:val="000000"/>
          <w:sz w:val="20"/>
          <w:szCs w:val="20"/>
        </w:rPr>
        <w:t>Property and Equipment</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Property and equipment are initially recorded at cost.  Depreciation is recorded using the straight-</w:t>
      </w:r>
      <w:r>
        <w:rPr>
          <w:rFonts w:eastAsia="Times New Roman"/>
          <w:color w:val="000000"/>
          <w:sz w:val="20"/>
          <w:szCs w:val="20"/>
        </w:rPr>
        <w:t>line method over the estimated useful lives of the assets.  Improvements to leased premises are amortized using the straight-line method over the remaining term of the lease or the useful life of the improvement, whichever is less. The following table summ</w:t>
      </w:r>
      <w:r>
        <w:rPr>
          <w:rFonts w:eastAsia="Times New Roman"/>
          <w:color w:val="000000"/>
          <w:sz w:val="20"/>
          <w:szCs w:val="20"/>
        </w:rPr>
        <w:t>arizes the Company's property and equipment balances and includes the estimated useful lives which are generally applied (in thousands, except estimated useful lives):</w:t>
      </w:r>
    </w:p>
    <w:tbl>
      <w:tblPr>
        <w:tblW w:w="5000" w:type="pct"/>
        <w:tblCellMar>
          <w:top w:w="15" w:type="dxa"/>
          <w:left w:w="15" w:type="dxa"/>
          <w:bottom w:w="15" w:type="dxa"/>
          <w:right w:w="15" w:type="dxa"/>
        </w:tblCellMar>
        <w:tblLook w:val="04A0" w:firstRow="1" w:lastRow="0" w:firstColumn="1" w:lastColumn="0" w:noHBand="0" w:noVBand="1"/>
      </w:tblPr>
      <w:tblGrid>
        <w:gridCol w:w="38"/>
        <w:gridCol w:w="4092"/>
        <w:gridCol w:w="36"/>
        <w:gridCol w:w="52"/>
        <w:gridCol w:w="1162"/>
        <w:gridCol w:w="36"/>
        <w:gridCol w:w="36"/>
        <w:gridCol w:w="36"/>
        <w:gridCol w:w="36"/>
        <w:gridCol w:w="120"/>
        <w:gridCol w:w="1181"/>
        <w:gridCol w:w="36"/>
        <w:gridCol w:w="36"/>
        <w:gridCol w:w="36"/>
        <w:gridCol w:w="36"/>
        <w:gridCol w:w="120"/>
        <w:gridCol w:w="1181"/>
        <w:gridCol w:w="36"/>
      </w:tblGrid>
      <w:tr w:rsidR="00000000">
        <w:tc>
          <w:tcPr>
            <w:tcW w:w="50" w:type="pct"/>
            <w:vAlign w:val="center"/>
            <w:hideMark/>
          </w:tcPr>
          <w:p w:rsidR="00000000" w:rsidRDefault="00F123EE">
            <w:pPr>
              <w:jc w:val="both"/>
              <w:rPr>
                <w:rFonts w:eastAsia="Times New Roman"/>
              </w:rPr>
            </w:pPr>
          </w:p>
        </w:tc>
        <w:tc>
          <w:tcPr>
            <w:tcW w:w="249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741"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19"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741"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19"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741"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18"/>
                <w:szCs w:val="18"/>
              </w:rPr>
              <w:t>Estimated Useful Lives</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December 31,</w:t>
            </w:r>
            <w:r>
              <w:rPr>
                <w:rFonts w:eastAsia="Times New Roman"/>
                <w:b/>
                <w:bCs/>
                <w:color w:val="000000"/>
                <w:sz w:val="20"/>
                <w:szCs w:val="20"/>
              </w:rPr>
              <w:br/>
              <w:t>2022</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December 25,</w:t>
            </w:r>
            <w:r>
              <w:rPr>
                <w:rFonts w:eastAsia="Times New Roman"/>
                <w:b/>
                <w:bCs/>
                <w:color w:val="000000"/>
                <w:sz w:val="20"/>
                <w:szCs w:val="20"/>
              </w:rPr>
              <w:br/>
              <w:t>2021</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Land</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100,129 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100,129 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Buildings and improvements</w:t>
            </w:r>
          </w:p>
        </w:tc>
        <w:tc>
          <w:tcPr>
            <w:tcW w:w="0" w:type="auto"/>
            <w:gridSpan w:val="3"/>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color w:val="000000"/>
                <w:sz w:val="20"/>
                <w:szCs w:val="20"/>
              </w:rPr>
              <w:t>1 – 35 years</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1,753,601 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1,517,052 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Furniture, fixtures and equipment</w:t>
            </w:r>
          </w:p>
        </w:tc>
        <w:tc>
          <w:tcPr>
            <w:tcW w:w="0" w:type="auto"/>
            <w:gridSpan w:val="3"/>
            <w:shd w:val="clear" w:color="auto" w:fill="CCEEFF"/>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color w:val="000000"/>
                <w:sz w:val="20"/>
                <w:szCs w:val="20"/>
              </w:rPr>
              <w:t>5 – 10 years</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1,086,013 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900,272 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Computer software and hardware</w:t>
            </w:r>
          </w:p>
        </w:tc>
        <w:tc>
          <w:tcPr>
            <w:tcW w:w="0" w:type="auto"/>
            <w:gridSpan w:val="3"/>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color w:val="000000"/>
                <w:sz w:val="20"/>
                <w:szCs w:val="20"/>
              </w:rPr>
              <w:t>2 – 7 years</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766,031 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694,455 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Construction in progress</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394,143 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211,486 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tcMar>
              <w:top w:w="30" w:type="dxa"/>
              <w:left w:w="14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Property and equipment, gross</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4,099,917 </w:t>
            </w:r>
          </w:p>
        </w:tc>
        <w:tc>
          <w:tcPr>
            <w:tcW w:w="0" w:type="auto"/>
            <w:tcBorders>
              <w:top w:val="single" w:sz="8" w:space="0" w:color="000000"/>
            </w:tcBorders>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3,423,394 </w:t>
            </w:r>
          </w:p>
        </w:tc>
        <w:tc>
          <w:tcPr>
            <w:tcW w:w="0" w:type="auto"/>
            <w:tcBorders>
              <w:top w:val="single" w:sz="8" w:space="0" w:color="000000"/>
            </w:tcBorders>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Accumulated 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(2,016,301)</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(1,805,588)</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tcMar>
              <w:top w:w="30" w:type="dxa"/>
              <w:left w:w="14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Property and equipment, net</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2,083,616 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1,617,806 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F123EE">
            <w:pPr>
              <w:spacing w:after="100"/>
              <w:jc w:val="right"/>
              <w:rPr>
                <w:rFonts w:eastAsia="Times New Roman"/>
              </w:rPr>
            </w:pPr>
          </w:p>
        </w:tc>
      </w:tr>
    </w:tbl>
    <w:p w:rsidR="00000000" w:rsidRDefault="00F123EE">
      <w:pPr>
        <w:jc w:val="both"/>
        <w:rPr>
          <w:rFonts w:eastAsia="Times New Roman"/>
        </w:rPr>
      </w:pPr>
    </w:p>
    <w:p w:rsidR="00000000" w:rsidRDefault="00F123EE">
      <w:pPr>
        <w:jc w:val="both"/>
        <w:rPr>
          <w:rFonts w:eastAsia="Times New Roman"/>
        </w:rPr>
      </w:pPr>
      <w:r>
        <w:rPr>
          <w:rFonts w:eastAsia="Times New Roman"/>
          <w:b/>
          <w:bCs/>
          <w:i/>
          <w:iCs/>
          <w:color w:val="000000"/>
          <w:sz w:val="20"/>
          <w:szCs w:val="20"/>
        </w:rPr>
        <w:t>Capitalized Software Costs</w:t>
      </w:r>
    </w:p>
    <w:p w:rsidR="00000000" w:rsidRDefault="00F123EE">
      <w:pPr>
        <w:divId w:val="1458840991"/>
        <w:rPr>
          <w:rFonts w:eastAsia="Times New Roman"/>
        </w:rPr>
      </w:pPr>
    </w:p>
    <w:p w:rsidR="00000000" w:rsidRDefault="00F123EE">
      <w:pPr>
        <w:jc w:val="both"/>
        <w:rPr>
          <w:rFonts w:eastAsia="Times New Roman"/>
        </w:rPr>
      </w:pPr>
      <w:r>
        <w:rPr>
          <w:rFonts w:eastAsia="Times New Roman"/>
          <w:color w:val="000000"/>
          <w:sz w:val="20"/>
          <w:szCs w:val="20"/>
        </w:rPr>
        <w:t>The Company capitalizes certain costs related to the acquisition and development of software and amortizes these costs using the straight-line method over the estimated useful life of the software, which is</w:t>
      </w:r>
      <w:r>
        <w:rPr>
          <w:rFonts w:eastAsia="Times New Roman"/>
          <w:color w:val="000000"/>
          <w:sz w:val="20"/>
          <w:szCs w:val="20"/>
        </w:rPr>
        <w:t xml:space="preserve"> </w:t>
      </w:r>
      <w:r>
        <w:rPr>
          <w:rFonts w:eastAsia="Times New Roman"/>
          <w:color w:val="000000"/>
          <w:sz w:val="20"/>
          <w:szCs w:val="20"/>
        </w:rPr>
        <w:t>tw</w:t>
      </w:r>
      <w:r>
        <w:rPr>
          <w:rFonts w:eastAsia="Times New Roman"/>
          <w:color w:val="000000"/>
          <w:sz w:val="20"/>
          <w:szCs w:val="20"/>
        </w:rPr>
        <w:t>o</w:t>
      </w:r>
      <w:r>
        <w:rPr>
          <w:rFonts w:eastAsia="Times New Roman"/>
          <w:color w:val="000000"/>
          <w:sz w:val="20"/>
          <w:szCs w:val="20"/>
        </w:rPr>
        <w:t xml:space="preserve"> to</w:t>
      </w:r>
      <w:r>
        <w:rPr>
          <w:rFonts w:eastAsia="Times New Roman"/>
          <w:color w:val="000000"/>
          <w:sz w:val="20"/>
          <w:szCs w:val="20"/>
        </w:rPr>
        <w:t xml:space="preserve"> </w:t>
      </w:r>
      <w:r>
        <w:rPr>
          <w:rFonts w:eastAsia="Times New Roman"/>
          <w:color w:val="000000"/>
          <w:sz w:val="20"/>
          <w:szCs w:val="20"/>
        </w:rPr>
        <w:t>seve</w:t>
      </w:r>
      <w:r>
        <w:rPr>
          <w:rFonts w:eastAsia="Times New Roman"/>
          <w:color w:val="000000"/>
          <w:sz w:val="20"/>
          <w:szCs w:val="20"/>
        </w:rPr>
        <w:t>n</w:t>
      </w:r>
      <w:r>
        <w:rPr>
          <w:rFonts w:eastAsia="Times New Roman"/>
          <w:color w:val="000000"/>
          <w:sz w:val="20"/>
          <w:szCs w:val="20"/>
        </w:rPr>
        <w:t xml:space="preserve"> years.  Computer software consists o</w:t>
      </w:r>
      <w:r>
        <w:rPr>
          <w:rFonts w:eastAsia="Times New Roman"/>
          <w:color w:val="000000"/>
          <w:sz w:val="20"/>
          <w:szCs w:val="20"/>
        </w:rPr>
        <w:t>f software developed for internal-use and third-party software purchased for internal-use.  A subsequent addition, modification or upgrade to internal-use software is capitalized to the extent that it enhances the software’s functionality or extends its us</w:t>
      </w:r>
      <w:r>
        <w:rPr>
          <w:rFonts w:eastAsia="Times New Roman"/>
          <w:color w:val="000000"/>
          <w:sz w:val="20"/>
          <w:szCs w:val="20"/>
        </w:rPr>
        <w:t>eful life.  These costs are included in property and equipment in the accompanying Consolidated Balance Sheets.  Certain software costs not meeting the criteria for capitalization are expensed as incurred.</w:t>
      </w:r>
    </w:p>
    <w:p w:rsidR="00000000" w:rsidRDefault="00F123EE">
      <w:pPr>
        <w:jc w:val="both"/>
        <w:rPr>
          <w:rFonts w:eastAsia="Times New Roman"/>
        </w:rPr>
      </w:pPr>
    </w:p>
    <w:p w:rsidR="00000000" w:rsidRDefault="00F123EE">
      <w:pPr>
        <w:jc w:val="both"/>
        <w:rPr>
          <w:rFonts w:eastAsia="Times New Roman"/>
        </w:rPr>
      </w:pPr>
      <w:r>
        <w:rPr>
          <w:rFonts w:eastAsia="Times New Roman"/>
          <w:b/>
          <w:bCs/>
          <w:i/>
          <w:iCs/>
          <w:color w:val="000000"/>
          <w:sz w:val="20"/>
          <w:szCs w:val="20"/>
        </w:rPr>
        <w:t>Store Closing Costs</w:t>
      </w:r>
    </w:p>
    <w:p w:rsidR="00000000" w:rsidRDefault="00F123EE">
      <w:pPr>
        <w:divId w:val="1632862159"/>
        <w:rPr>
          <w:rFonts w:eastAsia="Times New Roman"/>
        </w:rPr>
      </w:pPr>
    </w:p>
    <w:p w:rsidR="00000000" w:rsidRDefault="00F123EE">
      <w:pPr>
        <w:jc w:val="both"/>
        <w:rPr>
          <w:rFonts w:eastAsia="Times New Roman"/>
        </w:rPr>
      </w:pPr>
      <w:r>
        <w:rPr>
          <w:rFonts w:eastAsia="Times New Roman"/>
          <w:color w:val="000000"/>
          <w:sz w:val="20"/>
          <w:szCs w:val="20"/>
        </w:rPr>
        <w:t>The Company regularly eval</w:t>
      </w:r>
      <w:r>
        <w:rPr>
          <w:rFonts w:eastAsia="Times New Roman"/>
          <w:color w:val="000000"/>
          <w:sz w:val="20"/>
          <w:szCs w:val="20"/>
        </w:rPr>
        <w:t>uates the performance of its stores and periodically closes those stores that are underperforming.  The Company records a liability for costs associated with an exit or disposal activity when the liability is incurred, usually in the period the store close</w:t>
      </w:r>
      <w:r>
        <w:rPr>
          <w:rFonts w:eastAsia="Times New Roman"/>
          <w:color w:val="000000"/>
          <w:sz w:val="20"/>
          <w:szCs w:val="20"/>
        </w:rPr>
        <w:t>s.  Store closing costs were not significant to the results of operations for any of the fiscal years presented.</w:t>
      </w:r>
    </w:p>
    <w:p w:rsidR="00000000" w:rsidRDefault="00F123EE">
      <w:pPr>
        <w:jc w:val="both"/>
        <w:rPr>
          <w:rFonts w:eastAsia="Times New Roman"/>
        </w:rPr>
      </w:pPr>
    </w:p>
    <w:p w:rsidR="00000000" w:rsidRDefault="00F123EE">
      <w:pPr>
        <w:jc w:val="center"/>
        <w:divId w:val="1386221371"/>
        <w:rPr>
          <w:rFonts w:eastAsia="Times New Roman"/>
        </w:rPr>
      </w:pPr>
      <w:r>
        <w:rPr>
          <w:rFonts w:eastAsia="Times New Roman"/>
          <w:color w:val="000000"/>
          <w:sz w:val="20"/>
          <w:szCs w:val="20"/>
        </w:rPr>
        <w:t>60</w:t>
      </w:r>
    </w:p>
    <w:p w:rsidR="00000000" w:rsidRDefault="00F123EE">
      <w:pPr>
        <w:rPr>
          <w:rFonts w:eastAsia="Times New Roman"/>
        </w:rPr>
      </w:pPr>
      <w:r>
        <w:rPr>
          <w:rFonts w:eastAsia="Times New Roman"/>
        </w:rPr>
        <w:pict>
          <v:rect id="_x0000_i1090" style="width:0;height:1.5pt" o:hralign="center" o:hrstd="t" o:hr="t" fillcolor="#a0a0a0" stroked="f"/>
        </w:pict>
      </w:r>
    </w:p>
    <w:p w:rsidR="00000000" w:rsidRDefault="00F123EE">
      <w:pPr>
        <w:divId w:val="1885949612"/>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r>
        <w:rPr>
          <w:rFonts w:eastAsia="Times New Roman"/>
          <w:b/>
          <w:bCs/>
          <w:i/>
          <w:iCs/>
          <w:color w:val="000000"/>
          <w:sz w:val="20"/>
          <w:szCs w:val="20"/>
        </w:rPr>
        <w:t>Leases</w:t>
      </w:r>
    </w:p>
    <w:p w:rsidR="00000000" w:rsidRDefault="00F123EE">
      <w:pPr>
        <w:divId w:val="532964255"/>
        <w:rPr>
          <w:rFonts w:eastAsia="Times New Roman"/>
        </w:rPr>
      </w:pPr>
    </w:p>
    <w:p w:rsidR="00000000" w:rsidRDefault="00F123EE">
      <w:pPr>
        <w:jc w:val="both"/>
        <w:rPr>
          <w:rFonts w:eastAsia="Times New Roman"/>
        </w:rPr>
      </w:pPr>
      <w:r>
        <w:rPr>
          <w:rFonts w:eastAsia="Times New Roman"/>
          <w:color w:val="212529"/>
          <w:sz w:val="20"/>
          <w:szCs w:val="20"/>
        </w:rPr>
        <w:t>Operating lease assets and li</w:t>
      </w:r>
      <w:r>
        <w:rPr>
          <w:rFonts w:eastAsia="Times New Roman"/>
          <w:color w:val="212529"/>
          <w:sz w:val="20"/>
          <w:szCs w:val="20"/>
        </w:rPr>
        <w:t>abilities are recognized at the lease commencement date. Operating lease liabilities represent the present value of lease payments not yet paid. Operating lease assets represent our right to use an underlying asset and are based upon the operating lease li</w:t>
      </w:r>
      <w:r>
        <w:rPr>
          <w:rFonts w:eastAsia="Times New Roman"/>
          <w:color w:val="212529"/>
          <w:sz w:val="20"/>
          <w:szCs w:val="20"/>
        </w:rPr>
        <w:t xml:space="preserve">abilities adjusted for prepayments or accrued lease payments, initial direct costs, lease incentives, and impairment, if any, of operating lease assets. To determine the present value of lease payments not yet paid, we estimate incremental borrowing rates </w:t>
      </w:r>
      <w:r>
        <w:rPr>
          <w:rFonts w:eastAsia="Times New Roman"/>
          <w:color w:val="212529"/>
          <w:sz w:val="20"/>
          <w:szCs w:val="20"/>
        </w:rPr>
        <w:t xml:space="preserve">corresponding to the reasonably certain lease term. </w:t>
      </w:r>
      <w:r>
        <w:rPr>
          <w:rFonts w:eastAsia="Times New Roman"/>
          <w:color w:val="000000"/>
          <w:sz w:val="20"/>
          <w:szCs w:val="20"/>
        </w:rPr>
        <w:t>As substantially all of our leases do not provide an implicit rate, we estimate our collateralized incremental borrowing rate based upon a Company specific credit rating and yield curve analysis at commen</w:t>
      </w:r>
      <w:r>
        <w:rPr>
          <w:rFonts w:eastAsia="Times New Roman"/>
          <w:color w:val="000000"/>
          <w:sz w:val="20"/>
          <w:szCs w:val="20"/>
        </w:rPr>
        <w:t>cement or modification date in determining the present value of lease payments.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Assets under finance leases are amortized in accordance with the Company’s normal depreciation policy for owned assets or over the lease term, if shorter, and the related cha</w:t>
      </w:r>
      <w:r>
        <w:rPr>
          <w:rFonts w:eastAsia="Times New Roman"/>
          <w:color w:val="000000"/>
          <w:sz w:val="20"/>
          <w:szCs w:val="20"/>
        </w:rPr>
        <w:t>rge to operations is included in depreciation expense in the Consolidated Statements of Income.</w:t>
      </w:r>
    </w:p>
    <w:p w:rsidR="00000000" w:rsidRDefault="00F123EE">
      <w:pPr>
        <w:jc w:val="both"/>
        <w:rPr>
          <w:rFonts w:eastAsia="Times New Roman"/>
        </w:rPr>
      </w:pPr>
    </w:p>
    <w:p w:rsidR="00000000" w:rsidRDefault="00F123EE">
      <w:pPr>
        <w:jc w:val="both"/>
        <w:rPr>
          <w:rFonts w:eastAsia="Times New Roman"/>
        </w:rPr>
      </w:pPr>
      <w:r>
        <w:rPr>
          <w:rFonts w:eastAsia="Times New Roman"/>
          <w:b/>
          <w:bCs/>
          <w:i/>
          <w:iCs/>
          <w:color w:val="000000"/>
          <w:sz w:val="20"/>
          <w:szCs w:val="20"/>
        </w:rPr>
        <w:t>Recently Adopted Accounting Pronouncements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In March 2020, the Financial Accounting Standards Board (the “FASB”) issued Accounting Standards Update (“ASU”) 2</w:t>
      </w:r>
      <w:r>
        <w:rPr>
          <w:rFonts w:eastAsia="Times New Roman"/>
          <w:color w:val="000000"/>
          <w:sz w:val="20"/>
          <w:szCs w:val="20"/>
        </w:rPr>
        <w:t>020-04, “Reference Rate Reform (Topic 848): Facilitation of the Effects of Reference Rate Reform on Financial Reporting.” In January 2021, the FASB issued ASU 2021-01, “Reference Rate Reform (Topic 848): Scope.” This collective guidance is in response to a</w:t>
      </w:r>
      <w:r>
        <w:rPr>
          <w:rFonts w:eastAsia="Times New Roman"/>
          <w:color w:val="000000"/>
          <w:sz w:val="20"/>
          <w:szCs w:val="20"/>
        </w:rPr>
        <w:t>ccounting concerns regarding contract modifications and hedge accounting because of impending rate reform associated with structural risks of interbank offered rates (“IBORs”), and, particularly, the risk of cessation of the London Inter-Bank Offer Rate (“</w:t>
      </w:r>
      <w:r>
        <w:rPr>
          <w:rFonts w:eastAsia="Times New Roman"/>
          <w:color w:val="000000"/>
          <w:sz w:val="20"/>
          <w:szCs w:val="20"/>
        </w:rPr>
        <w:t>LIBOR”) related to regulators in several jurisdictions around the world having undertaken reference rate reform initiatives to identify alternative reference rates. The guidance provides optional expedients and exceptions for applying U.S. GAAP to contract</w:t>
      </w:r>
      <w:r>
        <w:rPr>
          <w:rFonts w:eastAsia="Times New Roman"/>
          <w:color w:val="000000"/>
          <w:sz w:val="20"/>
          <w:szCs w:val="20"/>
        </w:rPr>
        <w:t>s, hedging relationships, and other transactions affected by reference rate reform if certain criteria are met. The adoption of this guidance is effective for all entities as of March 12, 2020 through December 31, 2022. In December 2022, the FASB issued AS</w:t>
      </w:r>
      <w:r>
        <w:rPr>
          <w:rFonts w:eastAsia="Times New Roman"/>
          <w:color w:val="000000"/>
          <w:sz w:val="20"/>
          <w:szCs w:val="20"/>
        </w:rPr>
        <w:t xml:space="preserve">U 2022-06, “Deferral of the Sunset Date of Topic 848,” which deferred the sunset date to Topic 848 from December 31,2022, to December 31, 2024. The Company elected the optional expedients in connection with the debt refinancing and transitioned from LIBOR </w:t>
      </w:r>
      <w:r>
        <w:rPr>
          <w:rFonts w:eastAsia="Times New Roman"/>
          <w:color w:val="000000"/>
          <w:sz w:val="20"/>
          <w:szCs w:val="20"/>
        </w:rPr>
        <w:t>to the Secured Overnight Financing Rate (“SOFR”) on September 30, 2022.</w:t>
      </w:r>
    </w:p>
    <w:p w:rsidR="00000000" w:rsidRDefault="00F123EE">
      <w:pPr>
        <w:jc w:val="both"/>
        <w:rPr>
          <w:rFonts w:eastAsia="Times New Roman"/>
        </w:rPr>
      </w:pPr>
    </w:p>
    <w:p w:rsidR="00000000" w:rsidRDefault="00F123EE">
      <w:pPr>
        <w:jc w:val="both"/>
        <w:rPr>
          <w:rFonts w:eastAsia="Times New Roman"/>
        </w:rPr>
      </w:pPr>
      <w:r>
        <w:rPr>
          <w:rFonts w:eastAsia="Times New Roman"/>
          <w:b/>
          <w:bCs/>
          <w:i/>
          <w:iCs/>
          <w:color w:val="000000"/>
          <w:sz w:val="20"/>
          <w:szCs w:val="20"/>
        </w:rPr>
        <w:t>New Accounting Pronouncements Not Yet Adopted</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In September 2022, the FASB issued ASU 2022-04, “Liabilities - Supplier Finance Programs (Subtopic 405-50): Disclosure of Supplier Fin</w:t>
      </w:r>
      <w:r>
        <w:rPr>
          <w:rFonts w:eastAsia="Times New Roman"/>
          <w:color w:val="000000"/>
          <w:sz w:val="20"/>
          <w:szCs w:val="20"/>
        </w:rPr>
        <w:t>ance Program Obligations,” which makes a number of changes meant to add certain disclosure requirements for a buyer in a supplier finance program. The amendments are effective for all companies for fiscal years beginning after December 15, 2022 on a retros</w:t>
      </w:r>
      <w:r>
        <w:rPr>
          <w:rFonts w:eastAsia="Times New Roman"/>
          <w:color w:val="000000"/>
          <w:sz w:val="20"/>
          <w:szCs w:val="20"/>
        </w:rPr>
        <w:t>pective basis. Upon adoption, the Company will be required to include additional disclosures of the supplier finance program obligations.</w:t>
      </w:r>
    </w:p>
    <w:p w:rsidR="00000000" w:rsidRDefault="00F123EE">
      <w:pPr>
        <w:jc w:val="both"/>
        <w:rPr>
          <w:rFonts w:eastAsia="Times New Roman"/>
        </w:rPr>
      </w:pPr>
    </w:p>
    <w:p w:rsidR="00000000" w:rsidRDefault="00F123EE">
      <w:pPr>
        <w:jc w:val="both"/>
        <w:rPr>
          <w:rFonts w:eastAsia="Times New Roman"/>
        </w:rPr>
      </w:pPr>
      <w:r>
        <w:rPr>
          <w:rFonts w:eastAsia="Times New Roman"/>
          <w:b/>
          <w:bCs/>
          <w:color w:val="000000"/>
          <w:sz w:val="20"/>
          <w:szCs w:val="20"/>
        </w:rPr>
        <w:t>Note 2 – Share-Based Compensation:</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Share-based compensation includes stock options, restricted stock units, perfor</w:t>
      </w:r>
      <w:r>
        <w:rPr>
          <w:rFonts w:eastAsia="Times New Roman"/>
          <w:color w:val="000000"/>
          <w:sz w:val="20"/>
          <w:szCs w:val="20"/>
        </w:rPr>
        <w:t>mance-based restricted share units, and certain transactions under the Company’s ESPP.  Share-based compensation expense is recognized based on the grant date fair value of all stock options, restricted stock units, and performance-based restricted share u</w:t>
      </w:r>
      <w:r>
        <w:rPr>
          <w:rFonts w:eastAsia="Times New Roman"/>
          <w:color w:val="000000"/>
          <w:sz w:val="20"/>
          <w:szCs w:val="20"/>
        </w:rPr>
        <w:t>nits. Share based compensation expense is also recognized for the value of the 15% discount on shares purchased by employees as a part of the ESPP.  The discount under the ESPP represents the difference between the market value on the first day of the purc</w:t>
      </w:r>
      <w:r>
        <w:rPr>
          <w:rFonts w:eastAsia="Times New Roman"/>
          <w:color w:val="000000"/>
          <w:sz w:val="20"/>
          <w:szCs w:val="20"/>
        </w:rPr>
        <w:t>hase period or the market value on the purchase date, whichever is lower, and the employee’s purchase price.</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There were no significant modifications to the Company's share-based compensation plans since the adoption of the 2018 Omnibus Incentive Plan (th</w:t>
      </w:r>
      <w:r>
        <w:rPr>
          <w:rFonts w:eastAsia="Times New Roman"/>
          <w:color w:val="000000"/>
          <w:sz w:val="20"/>
          <w:szCs w:val="20"/>
        </w:rPr>
        <w:t>e “2018 Plan”) on May 10, 2018, which replaced the 2009 Stock Incentive Plan. Following the adoption of the 2018 Plan, no further grants may be made under the 2009 Stock Incentive Plan.</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Under our share-based compensation plans, awards may be granted to officers, non-employee directors, and other employees. The per share exercise price of options granted shall not be less than the fair market value of the stock on the date of grant and suc</w:t>
      </w:r>
      <w:r>
        <w:rPr>
          <w:rFonts w:eastAsia="Times New Roman"/>
          <w:color w:val="000000"/>
          <w:sz w:val="20"/>
          <w:szCs w:val="20"/>
        </w:rPr>
        <w:t>h awards will expire no later than</w:t>
      </w:r>
      <w:r>
        <w:rPr>
          <w:rFonts w:eastAsia="Times New Roman"/>
          <w:color w:val="000000"/>
          <w:sz w:val="20"/>
          <w:szCs w:val="20"/>
        </w:rPr>
        <w:t xml:space="preserve"> </w:t>
      </w:r>
      <w:r>
        <w:rPr>
          <w:rFonts w:eastAsia="Times New Roman"/>
          <w:color w:val="000000"/>
          <w:sz w:val="20"/>
          <w:szCs w:val="20"/>
        </w:rPr>
        <w:t>te</w:t>
      </w:r>
      <w:r>
        <w:rPr>
          <w:rFonts w:eastAsia="Times New Roman"/>
          <w:color w:val="000000"/>
          <w:sz w:val="20"/>
          <w:szCs w:val="20"/>
        </w:rPr>
        <w:t>n</w:t>
      </w:r>
      <w:r>
        <w:rPr>
          <w:rFonts w:eastAsia="Times New Roman"/>
          <w:color w:val="000000"/>
          <w:sz w:val="20"/>
          <w:szCs w:val="20"/>
        </w:rPr>
        <w:t xml:space="preserve"> years from the date of grant. Vesting of awards commences at various anniversary dates following the dates of each grant. Performance-based awards will vest if established performance conditions are met subject to con</w:t>
      </w:r>
      <w:r>
        <w:rPr>
          <w:rFonts w:eastAsia="Times New Roman"/>
          <w:color w:val="000000"/>
          <w:sz w:val="20"/>
          <w:szCs w:val="20"/>
        </w:rPr>
        <w:t>tinued employment. Certain performance-based awards are also subject to a market condition such that the actual number of shares vest are further modified based on the achievement of a relative stockholder return modifier. At December 31, 2022, the Company</w:t>
      </w:r>
      <w:r>
        <w:rPr>
          <w:rFonts w:eastAsia="Times New Roman"/>
          <w:color w:val="000000"/>
          <w:sz w:val="20"/>
          <w:szCs w:val="20"/>
        </w:rPr>
        <w:t xml:space="preserve"> had approximately 9.2 million shares available for future equity awards under the Company’s 2018 Plan.</w:t>
      </w:r>
    </w:p>
    <w:p w:rsidR="00000000" w:rsidRDefault="00F123EE">
      <w:pPr>
        <w:jc w:val="both"/>
        <w:rPr>
          <w:rFonts w:eastAsia="Times New Roman"/>
        </w:rPr>
      </w:pPr>
    </w:p>
    <w:p w:rsidR="00000000" w:rsidRDefault="00F123EE">
      <w:pPr>
        <w:jc w:val="center"/>
        <w:divId w:val="1791512758"/>
        <w:rPr>
          <w:rFonts w:eastAsia="Times New Roman"/>
        </w:rPr>
      </w:pPr>
      <w:r>
        <w:rPr>
          <w:rFonts w:eastAsia="Times New Roman"/>
          <w:color w:val="000000"/>
          <w:sz w:val="20"/>
          <w:szCs w:val="20"/>
        </w:rPr>
        <w:t>61</w:t>
      </w:r>
    </w:p>
    <w:p w:rsidR="00000000" w:rsidRDefault="00F123EE">
      <w:pPr>
        <w:rPr>
          <w:rFonts w:eastAsia="Times New Roman"/>
        </w:rPr>
      </w:pPr>
      <w:r>
        <w:rPr>
          <w:rFonts w:eastAsia="Times New Roman"/>
        </w:rPr>
        <w:pict>
          <v:rect id="_x0000_i1091" style="width:0;height:1.5pt" o:hralign="center" o:hrstd="t" o:hr="t" fillcolor="#a0a0a0" stroked="f"/>
        </w:pict>
      </w:r>
    </w:p>
    <w:p w:rsidR="00000000" w:rsidRDefault="00F123EE">
      <w:pPr>
        <w:divId w:val="526531499"/>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r>
        <w:rPr>
          <w:rFonts w:eastAsia="Times New Roman"/>
          <w:color w:val="000000"/>
          <w:sz w:val="20"/>
          <w:szCs w:val="20"/>
        </w:rPr>
        <w:t xml:space="preserve">Share-based compensation expense of awards was $53.8 million, $47.6 million, and $37.3 million for fiscal 2022, 2021, and 2020, respectively. </w:t>
      </w:r>
    </w:p>
    <w:p w:rsidR="00000000" w:rsidRDefault="00F123EE">
      <w:pPr>
        <w:divId w:val="408694850"/>
        <w:rPr>
          <w:rFonts w:eastAsia="Times New Roman"/>
        </w:rPr>
      </w:pPr>
    </w:p>
    <w:p w:rsidR="00000000" w:rsidRDefault="00F123EE">
      <w:pPr>
        <w:jc w:val="both"/>
        <w:rPr>
          <w:rFonts w:eastAsia="Times New Roman"/>
        </w:rPr>
      </w:pPr>
      <w:r>
        <w:rPr>
          <w:rFonts w:eastAsia="Times New Roman"/>
          <w:i/>
          <w:iCs/>
          <w:color w:val="000000"/>
          <w:sz w:val="20"/>
          <w:szCs w:val="20"/>
        </w:rPr>
        <w:t>Stock Options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fair value is separately estimated for each option grant.  The fair value of each option is</w:t>
      </w:r>
      <w:r>
        <w:rPr>
          <w:rFonts w:eastAsia="Times New Roman"/>
          <w:color w:val="000000"/>
          <w:sz w:val="20"/>
          <w:szCs w:val="20"/>
        </w:rPr>
        <w:t xml:space="preserve"> recognized as compensation expense ratably over the vesting period.  The Company has estimated the fair value of all stock option awards as of the date of the grant by applying a </w:t>
      </w:r>
      <w:r>
        <w:rPr>
          <w:rFonts w:eastAsia="Times New Roman"/>
          <w:i/>
          <w:iCs/>
          <w:color w:val="000000"/>
          <w:sz w:val="20"/>
          <w:szCs w:val="20"/>
        </w:rPr>
        <w:t>Black-Scholes</w:t>
      </w:r>
      <w:r>
        <w:rPr>
          <w:rFonts w:eastAsia="Times New Roman"/>
          <w:color w:val="000000"/>
          <w:sz w:val="20"/>
          <w:szCs w:val="20"/>
        </w:rPr>
        <w:t xml:space="preserve"> pricing valuation model.  The application of this valuation mo</w:t>
      </w:r>
      <w:r>
        <w:rPr>
          <w:rFonts w:eastAsia="Times New Roman"/>
          <w:color w:val="000000"/>
          <w:sz w:val="20"/>
          <w:szCs w:val="20"/>
        </w:rPr>
        <w:t>del involves assumptions that are judgmental and highly sensitive in the determination of compensation expense.  The ranges of key assumptions used in determining the fair value of options granted during fiscal 2022, 2021, and 2020, as well as a summary of</w:t>
      </w:r>
      <w:r>
        <w:rPr>
          <w:rFonts w:eastAsia="Times New Roman"/>
          <w:color w:val="000000"/>
          <w:sz w:val="20"/>
          <w:szCs w:val="20"/>
        </w:rPr>
        <w:t xml:space="preserve"> the methodology applied to develop each assumption, are as follows:</w:t>
      </w:r>
    </w:p>
    <w:tbl>
      <w:tblPr>
        <w:tblW w:w="4985" w:type="pct"/>
        <w:tblCellMar>
          <w:top w:w="15" w:type="dxa"/>
          <w:left w:w="15" w:type="dxa"/>
          <w:bottom w:w="15" w:type="dxa"/>
          <w:right w:w="15" w:type="dxa"/>
        </w:tblCellMar>
        <w:tblLook w:val="04A0" w:firstRow="1" w:lastRow="0" w:firstColumn="1" w:lastColumn="0" w:noHBand="0" w:noVBand="1"/>
      </w:tblPr>
      <w:tblGrid>
        <w:gridCol w:w="37"/>
        <w:gridCol w:w="4678"/>
        <w:gridCol w:w="36"/>
        <w:gridCol w:w="37"/>
        <w:gridCol w:w="984"/>
        <w:gridCol w:w="187"/>
        <w:gridCol w:w="36"/>
        <w:gridCol w:w="36"/>
        <w:gridCol w:w="36"/>
        <w:gridCol w:w="37"/>
        <w:gridCol w:w="829"/>
        <w:gridCol w:w="187"/>
        <w:gridCol w:w="36"/>
        <w:gridCol w:w="36"/>
        <w:gridCol w:w="36"/>
        <w:gridCol w:w="37"/>
        <w:gridCol w:w="829"/>
        <w:gridCol w:w="187"/>
      </w:tblGrid>
      <w:tr w:rsidR="00000000">
        <w:tc>
          <w:tcPr>
            <w:tcW w:w="50" w:type="pct"/>
            <w:vAlign w:val="center"/>
            <w:hideMark/>
          </w:tcPr>
          <w:p w:rsidR="00000000" w:rsidRDefault="00F123EE">
            <w:pPr>
              <w:jc w:val="both"/>
              <w:rPr>
                <w:rFonts w:eastAsia="Times New Roman"/>
              </w:rPr>
            </w:pPr>
          </w:p>
        </w:tc>
        <w:tc>
          <w:tcPr>
            <w:tcW w:w="2877"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648"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90"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90"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Fiscal Year</w:t>
            </w: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2020</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Expected price volatility</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29.9% - 31.3%</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29.8% - 30.3%</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26.7% - 30.0%</w:t>
            </w: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Risk-free interest rate</w:t>
            </w:r>
          </w:p>
        </w:tc>
        <w:tc>
          <w:tcPr>
            <w:tcW w:w="0" w:type="auto"/>
            <w:gridSpan w:val="3"/>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1.7% - 4.3%</w:t>
            </w: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0.3% - 1.0%</w:t>
            </w: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0.2% - 1.3%</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Weighted average expected lives (in years)</w:t>
            </w: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4.1</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4.3</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4.3</w:t>
            </w: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Forfeiture rate</w:t>
            </w: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6.9 </w:t>
            </w:r>
          </w:p>
        </w:tc>
        <w:tc>
          <w:tcPr>
            <w:tcW w:w="0" w:type="auto"/>
            <w:tcMar>
              <w:top w:w="30" w:type="dxa"/>
              <w:left w:w="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7.0 </w:t>
            </w:r>
          </w:p>
        </w:tc>
        <w:tc>
          <w:tcPr>
            <w:tcW w:w="0" w:type="auto"/>
            <w:tcMar>
              <w:top w:w="30" w:type="dxa"/>
              <w:left w:w="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7.0 </w:t>
            </w:r>
          </w:p>
        </w:tc>
        <w:tc>
          <w:tcPr>
            <w:tcW w:w="0" w:type="auto"/>
            <w:tcMar>
              <w:top w:w="30" w:type="dxa"/>
              <w:left w:w="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Dividend yield</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w:t>
            </w:r>
          </w:p>
        </w:tc>
      </w:tr>
    </w:tbl>
    <w:p w:rsidR="00000000" w:rsidRDefault="00F123EE">
      <w:pPr>
        <w:divId w:val="1310741776"/>
        <w:rPr>
          <w:rFonts w:eastAsia="Times New Roman"/>
        </w:rPr>
      </w:pPr>
    </w:p>
    <w:p w:rsidR="00000000" w:rsidRDefault="00F123EE">
      <w:pPr>
        <w:jc w:val="both"/>
        <w:rPr>
          <w:rFonts w:eastAsia="Times New Roman"/>
        </w:rPr>
      </w:pPr>
      <w:r>
        <w:rPr>
          <w:rFonts w:eastAsia="Times New Roman"/>
          <w:i/>
          <w:iCs/>
          <w:color w:val="000000"/>
          <w:sz w:val="20"/>
          <w:szCs w:val="20"/>
        </w:rPr>
        <w:t>Expected Price Volatility</w:t>
      </w:r>
      <w:r>
        <w:rPr>
          <w:rFonts w:eastAsia="Times New Roman"/>
          <w:color w:val="000000"/>
          <w:sz w:val="20"/>
          <w:szCs w:val="20"/>
        </w:rPr>
        <w:t xml:space="preserve"> — This is a measure of the amount by which a price has fluctuated or is expected to fluctuate. The Company calculates the expected price volatility based on the historical volatility of the Company’s stock price, as well as implie</w:t>
      </w:r>
      <w:r>
        <w:rPr>
          <w:rFonts w:eastAsia="Times New Roman"/>
          <w:color w:val="000000"/>
          <w:sz w:val="20"/>
          <w:szCs w:val="20"/>
        </w:rPr>
        <w:t>d volatility. To calculate historical changes in market value, the Company uses daily market value changes from the date of grant over a past period generally representative of the expected life of the options to determine volatility.  The Company believes</w:t>
      </w:r>
      <w:r>
        <w:rPr>
          <w:rFonts w:eastAsia="Times New Roman"/>
          <w:color w:val="000000"/>
          <w:sz w:val="20"/>
          <w:szCs w:val="20"/>
        </w:rPr>
        <w:t xml:space="preserve"> the use of a blended volatility provides an appropriate indicator of future volatility. An increase in the expected volatility will increase compensation expense.</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Risk-Free Interest Rate</w:t>
      </w:r>
      <w:r>
        <w:rPr>
          <w:rFonts w:eastAsia="Times New Roman"/>
          <w:color w:val="000000"/>
          <w:sz w:val="20"/>
          <w:szCs w:val="20"/>
        </w:rPr>
        <w:t xml:space="preserve"> — </w:t>
      </w:r>
      <w:r>
        <w:rPr>
          <w:rFonts w:eastAsia="Times New Roman"/>
          <w:color w:val="000000"/>
          <w:sz w:val="20"/>
          <w:szCs w:val="20"/>
        </w:rPr>
        <w:t>This is the U.S. Treasury Constant Maturity rate over a term equal to the expected term of the option. An increase in the risk-free interest rate will increase compensation expense.</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 xml:space="preserve">Weighted Average Expected Term </w:t>
      </w:r>
      <w:r>
        <w:rPr>
          <w:rFonts w:eastAsia="Times New Roman"/>
          <w:color w:val="000000"/>
          <w:sz w:val="20"/>
          <w:szCs w:val="20"/>
        </w:rPr>
        <w:t>— This is the period of time over which t</w:t>
      </w:r>
      <w:r>
        <w:rPr>
          <w:rFonts w:eastAsia="Times New Roman"/>
          <w:color w:val="000000"/>
          <w:sz w:val="20"/>
          <w:szCs w:val="20"/>
        </w:rPr>
        <w:t>he options granted are expected to remain outstanding and is based on historical experience. Options granted generally have a maximum term of</w:t>
      </w:r>
      <w:r>
        <w:rPr>
          <w:rFonts w:eastAsia="Times New Roman"/>
          <w:color w:val="000000"/>
          <w:sz w:val="20"/>
          <w:szCs w:val="20"/>
        </w:rPr>
        <w:t xml:space="preserve"> </w:t>
      </w:r>
      <w:r>
        <w:rPr>
          <w:rFonts w:eastAsia="Times New Roman"/>
          <w:color w:val="000000"/>
          <w:sz w:val="20"/>
          <w:szCs w:val="20"/>
        </w:rPr>
        <w:t>te</w:t>
      </w:r>
      <w:r>
        <w:rPr>
          <w:rFonts w:eastAsia="Times New Roman"/>
          <w:color w:val="000000"/>
          <w:sz w:val="20"/>
          <w:szCs w:val="20"/>
        </w:rPr>
        <w:t>n</w:t>
      </w:r>
      <w:r>
        <w:rPr>
          <w:rFonts w:eastAsia="Times New Roman"/>
          <w:color w:val="000000"/>
          <w:sz w:val="20"/>
          <w:szCs w:val="20"/>
        </w:rPr>
        <w:t xml:space="preserve"> years. An increase in the expected term will increase compensation expense.</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 xml:space="preserve">Forfeiture Rate </w:t>
      </w:r>
      <w:r>
        <w:rPr>
          <w:rFonts w:eastAsia="Times New Roman"/>
          <w:color w:val="000000"/>
          <w:sz w:val="20"/>
          <w:szCs w:val="20"/>
        </w:rPr>
        <w:t>— This is the es</w:t>
      </w:r>
      <w:r>
        <w:rPr>
          <w:rFonts w:eastAsia="Times New Roman"/>
          <w:color w:val="000000"/>
          <w:sz w:val="20"/>
          <w:szCs w:val="20"/>
        </w:rPr>
        <w:t>timated percentage of options granted that are expected to be forfeited or canceled before becoming fully vested. This estimate is based on historical experience. An increase in the forfeiture rate will decrease compensation expense.</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Dividend Yield</w:t>
      </w:r>
      <w:r>
        <w:rPr>
          <w:rFonts w:eastAsia="Times New Roman"/>
          <w:color w:val="000000"/>
          <w:sz w:val="20"/>
          <w:szCs w:val="20"/>
        </w:rPr>
        <w:t xml:space="preserve"> — Thi</w:t>
      </w:r>
      <w:r>
        <w:rPr>
          <w:rFonts w:eastAsia="Times New Roman"/>
          <w:color w:val="000000"/>
          <w:sz w:val="20"/>
          <w:szCs w:val="20"/>
        </w:rPr>
        <w:t>s is the estimated dividend yield for the weighted average expected term of the option granted. An increase in the dividend yield will decrease compensation expense.</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Company issues shares for options when exercised. A summary of stock option activity</w:t>
      </w:r>
      <w:r>
        <w:rPr>
          <w:rFonts w:eastAsia="Times New Roman"/>
          <w:color w:val="000000"/>
          <w:sz w:val="20"/>
          <w:szCs w:val="20"/>
        </w:rPr>
        <w:t xml:space="preserve"> is as follows:</w:t>
      </w:r>
    </w:p>
    <w:tbl>
      <w:tblPr>
        <w:tblW w:w="4985" w:type="pct"/>
        <w:tblCellMar>
          <w:top w:w="15" w:type="dxa"/>
          <w:left w:w="15" w:type="dxa"/>
          <w:bottom w:w="15" w:type="dxa"/>
          <w:right w:w="15" w:type="dxa"/>
        </w:tblCellMar>
        <w:tblLook w:val="04A0" w:firstRow="1" w:lastRow="0" w:firstColumn="1" w:lastColumn="0" w:noHBand="0" w:noVBand="1"/>
      </w:tblPr>
      <w:tblGrid>
        <w:gridCol w:w="38"/>
        <w:gridCol w:w="2760"/>
        <w:gridCol w:w="37"/>
        <w:gridCol w:w="36"/>
        <w:gridCol w:w="36"/>
        <w:gridCol w:w="36"/>
        <w:gridCol w:w="78"/>
        <w:gridCol w:w="792"/>
        <w:gridCol w:w="36"/>
        <w:gridCol w:w="36"/>
        <w:gridCol w:w="36"/>
        <w:gridCol w:w="36"/>
        <w:gridCol w:w="121"/>
        <w:gridCol w:w="778"/>
        <w:gridCol w:w="36"/>
        <w:gridCol w:w="36"/>
        <w:gridCol w:w="36"/>
        <w:gridCol w:w="36"/>
        <w:gridCol w:w="121"/>
        <w:gridCol w:w="779"/>
        <w:gridCol w:w="36"/>
        <w:gridCol w:w="36"/>
        <w:gridCol w:w="36"/>
        <w:gridCol w:w="36"/>
        <w:gridCol w:w="96"/>
        <w:gridCol w:w="969"/>
        <w:gridCol w:w="36"/>
        <w:gridCol w:w="36"/>
        <w:gridCol w:w="36"/>
        <w:gridCol w:w="36"/>
        <w:gridCol w:w="121"/>
        <w:gridCol w:w="871"/>
        <w:gridCol w:w="36"/>
      </w:tblGrid>
      <w:tr w:rsidR="00000000">
        <w:tc>
          <w:tcPr>
            <w:tcW w:w="50" w:type="pct"/>
            <w:vAlign w:val="center"/>
            <w:hideMark/>
          </w:tcPr>
          <w:p w:rsidR="00000000" w:rsidRDefault="00F123EE">
            <w:pPr>
              <w:jc w:val="both"/>
              <w:rPr>
                <w:rFonts w:eastAsia="Times New Roman"/>
              </w:rPr>
            </w:pPr>
          </w:p>
        </w:tc>
        <w:tc>
          <w:tcPr>
            <w:tcW w:w="1858"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09"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02"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09"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09"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97"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b/>
                <w:bCs/>
                <w:color w:val="000000"/>
                <w:sz w:val="20"/>
                <w:szCs w:val="20"/>
              </w:rPr>
              <w:t>Stock Option Activity</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Options</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Weighted</w:t>
            </w:r>
          </w:p>
          <w:p w:rsidR="00000000" w:rsidRDefault="00F123EE">
            <w:pPr>
              <w:spacing w:after="100"/>
              <w:jc w:val="center"/>
              <w:rPr>
                <w:rFonts w:eastAsia="Times New Roman"/>
              </w:rPr>
            </w:pPr>
            <w:r>
              <w:rPr>
                <w:rFonts w:eastAsia="Times New Roman"/>
                <w:b/>
                <w:bCs/>
                <w:color w:val="000000"/>
                <w:sz w:val="20"/>
                <w:szCs w:val="20"/>
              </w:rPr>
              <w:t>Average Exercise</w:t>
            </w:r>
          </w:p>
          <w:p w:rsidR="00000000" w:rsidRDefault="00F123EE">
            <w:pPr>
              <w:spacing w:after="100"/>
              <w:jc w:val="center"/>
              <w:rPr>
                <w:rFonts w:eastAsia="Times New Roman"/>
              </w:rPr>
            </w:pPr>
            <w:r>
              <w:rPr>
                <w:rFonts w:eastAsia="Times New Roman"/>
                <w:b/>
                <w:bCs/>
                <w:color w:val="000000"/>
                <w:sz w:val="20"/>
                <w:szCs w:val="20"/>
              </w:rPr>
              <w:t>Price</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Weighted Average Fair Value</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Weighted Average</w:t>
            </w:r>
          </w:p>
          <w:p w:rsidR="00000000" w:rsidRDefault="00F123EE">
            <w:pPr>
              <w:spacing w:after="100"/>
              <w:jc w:val="center"/>
              <w:rPr>
                <w:rFonts w:eastAsia="Times New Roman"/>
              </w:rPr>
            </w:pPr>
            <w:r>
              <w:rPr>
                <w:rFonts w:eastAsia="Times New Roman"/>
                <w:b/>
                <w:bCs/>
                <w:color w:val="000000"/>
                <w:sz w:val="20"/>
                <w:szCs w:val="20"/>
              </w:rPr>
              <w:t>Remaining</w:t>
            </w:r>
          </w:p>
          <w:p w:rsidR="00000000" w:rsidRDefault="00F123EE">
            <w:pPr>
              <w:spacing w:after="100"/>
              <w:jc w:val="center"/>
              <w:rPr>
                <w:rFonts w:eastAsia="Times New Roman"/>
              </w:rPr>
            </w:pPr>
            <w:r>
              <w:rPr>
                <w:rFonts w:eastAsia="Times New Roman"/>
                <w:b/>
                <w:bCs/>
                <w:color w:val="000000"/>
                <w:sz w:val="20"/>
                <w:szCs w:val="20"/>
              </w:rPr>
              <w:t>Contractual Term</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Aggregate Intrinsic Value</w:t>
            </w:r>
          </w:p>
          <w:p w:rsidR="00000000" w:rsidRDefault="00F123EE">
            <w:pPr>
              <w:spacing w:after="100"/>
              <w:jc w:val="center"/>
              <w:rPr>
                <w:rFonts w:eastAsia="Times New Roman"/>
              </w:rPr>
            </w:pPr>
            <w:r>
              <w:rPr>
                <w:rFonts w:eastAsia="Times New Roman"/>
                <w:b/>
                <w:bCs/>
                <w:color w:val="000000"/>
                <w:sz w:val="20"/>
                <w:szCs w:val="20"/>
              </w:rPr>
              <w:t>(</w:t>
            </w:r>
            <w:r>
              <w:rPr>
                <w:rFonts w:eastAsia="Times New Roman"/>
                <w:b/>
                <w:bCs/>
                <w:i/>
                <w:iCs/>
                <w:color w:val="000000"/>
                <w:sz w:val="20"/>
                <w:szCs w:val="20"/>
              </w:rPr>
              <w:t>in thousands)</w:t>
            </w:r>
          </w:p>
        </w:tc>
      </w:tr>
      <w:tr w:rsidR="00000000">
        <w:tc>
          <w:tcPr>
            <w:tcW w:w="0" w:type="auto"/>
            <w:gridSpan w:val="3"/>
            <w:vAlign w:val="center"/>
            <w:hideMark/>
          </w:tcPr>
          <w:p w:rsidR="00000000" w:rsidRDefault="00F123EE">
            <w:pPr>
              <w:spacing w:after="100"/>
              <w:jc w:val="center"/>
              <w:rPr>
                <w:rFonts w:eastAsia="Times New Roman"/>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Outstanding at December 25, 2021</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1,168,311 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95.85 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6.9</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154,706 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Granted</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141,803 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220.70 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49.69 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Exercised</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(201,273)</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88.61 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Canceled</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(18,452)</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169.41 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Outstanding at December 31, 2022</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1,090,389 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112.18 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6.3</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122,985 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trHeight w:val="280"/>
        </w:trPr>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Exercisable at December 31, 2022</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tcBorders>
              <w:bottom w:val="double" w:sz="6"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687,825 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87.03 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5.2</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94,875 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bl>
    <w:p w:rsidR="00000000" w:rsidRDefault="00F123EE">
      <w:pPr>
        <w:jc w:val="both"/>
        <w:rPr>
          <w:rFonts w:eastAsia="Times New Roman"/>
        </w:rPr>
      </w:pPr>
    </w:p>
    <w:p w:rsidR="00000000" w:rsidRDefault="00F123EE">
      <w:pPr>
        <w:jc w:val="center"/>
        <w:divId w:val="2093155944"/>
        <w:rPr>
          <w:rFonts w:eastAsia="Times New Roman"/>
        </w:rPr>
      </w:pPr>
      <w:r>
        <w:rPr>
          <w:rFonts w:eastAsia="Times New Roman"/>
          <w:color w:val="000000"/>
          <w:sz w:val="20"/>
          <w:szCs w:val="20"/>
        </w:rPr>
        <w:t>62</w:t>
      </w:r>
    </w:p>
    <w:p w:rsidR="00000000" w:rsidRDefault="00F123EE">
      <w:pPr>
        <w:rPr>
          <w:rFonts w:eastAsia="Times New Roman"/>
        </w:rPr>
      </w:pPr>
      <w:r>
        <w:rPr>
          <w:rFonts w:eastAsia="Times New Roman"/>
        </w:rPr>
        <w:pict>
          <v:rect id="_x0000_i1092" style="width:0;height:1.5pt" o:hralign="center" o:hrstd="t" o:hr="t" fillcolor="#a0a0a0" stroked="f"/>
        </w:pict>
      </w:r>
    </w:p>
    <w:p w:rsidR="00000000" w:rsidRDefault="00F123EE">
      <w:pPr>
        <w:divId w:val="1990012959"/>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r>
        <w:rPr>
          <w:rFonts w:eastAsia="Times New Roman"/>
          <w:color w:val="000000"/>
          <w:sz w:val="20"/>
          <w:szCs w:val="20"/>
        </w:rPr>
        <w:t>The aggregate intrinsic values in the table ab</w:t>
      </w:r>
      <w:r>
        <w:rPr>
          <w:rFonts w:eastAsia="Times New Roman"/>
          <w:color w:val="000000"/>
          <w:sz w:val="20"/>
          <w:szCs w:val="20"/>
        </w:rPr>
        <w:t>ove represent the total difference between the Company’s closing stock price at each year-end and the option exercise price, multiplied by the number of in-the-money options at each year-end. As of December 31, 2022, total unrecognized compensation expense</w:t>
      </w:r>
      <w:r>
        <w:rPr>
          <w:rFonts w:eastAsia="Times New Roman"/>
          <w:color w:val="000000"/>
          <w:sz w:val="20"/>
          <w:szCs w:val="20"/>
        </w:rPr>
        <w:t xml:space="preserve"> related to non-vested stock options was approximately $7.6 million with a weighted average expense recognition period of 1.8 years.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 xml:space="preserve">There were no material modifications to options in fiscal 2022, 2021, or 2020. </w:t>
      </w:r>
    </w:p>
    <w:p w:rsidR="00000000" w:rsidRDefault="00F123EE">
      <w:pPr>
        <w:jc w:val="both"/>
        <w:rPr>
          <w:rFonts w:eastAsia="Times New Roman"/>
        </w:rPr>
      </w:pPr>
    </w:p>
    <w:p w:rsidR="00000000" w:rsidRDefault="00F123EE">
      <w:pPr>
        <w:divId w:val="307831480"/>
        <w:rPr>
          <w:rFonts w:eastAsia="Times New Roman"/>
        </w:rPr>
      </w:pPr>
      <w:r>
        <w:rPr>
          <w:rFonts w:eastAsia="Times New Roman"/>
          <w:color w:val="000000"/>
          <w:sz w:val="20"/>
          <w:szCs w:val="20"/>
        </w:rPr>
        <w:t>Other information relative to options activity during fiscal 2022, 2021, and 2020 is as follows (in thousands):</w:t>
      </w:r>
    </w:p>
    <w:p w:rsidR="00000000" w:rsidRDefault="00F123EE">
      <w:pPr>
        <w:divId w:val="151456477"/>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38"/>
        <w:gridCol w:w="4801"/>
        <w:gridCol w:w="37"/>
        <w:gridCol w:w="120"/>
        <w:gridCol w:w="929"/>
        <w:gridCol w:w="36"/>
        <w:gridCol w:w="36"/>
        <w:gridCol w:w="36"/>
        <w:gridCol w:w="36"/>
        <w:gridCol w:w="120"/>
        <w:gridCol w:w="890"/>
        <w:gridCol w:w="36"/>
        <w:gridCol w:w="36"/>
        <w:gridCol w:w="36"/>
        <w:gridCol w:w="36"/>
        <w:gridCol w:w="120"/>
        <w:gridCol w:w="890"/>
        <w:gridCol w:w="36"/>
      </w:tblGrid>
      <w:tr w:rsidR="00000000">
        <w:trPr>
          <w:divId w:val="699018366"/>
        </w:trPr>
        <w:tc>
          <w:tcPr>
            <w:tcW w:w="50" w:type="pct"/>
            <w:vAlign w:val="center"/>
            <w:hideMark/>
          </w:tcPr>
          <w:p w:rsidR="00000000" w:rsidRDefault="00F123EE">
            <w:pPr>
              <w:rPr>
                <w:rFonts w:eastAsia="Times New Roman"/>
              </w:rPr>
            </w:pPr>
          </w:p>
        </w:tc>
        <w:tc>
          <w:tcPr>
            <w:tcW w:w="2933"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91"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91"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91"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rPr>
          <w:divId w:val="699018366"/>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Fiscal Year</w:t>
            </w:r>
          </w:p>
        </w:tc>
      </w:tr>
      <w:tr w:rsidR="00000000">
        <w:trPr>
          <w:divId w:val="699018366"/>
        </w:trPr>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2020</w:t>
            </w:r>
          </w:p>
        </w:tc>
      </w:tr>
      <w:tr w:rsidR="00000000">
        <w:trPr>
          <w:divId w:val="699018366"/>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Total fair value of stock options vested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7,783 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8,478 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12,546 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divId w:val="699018366"/>
        </w:trPr>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Total intrinsic value of stock options exercised</w:t>
            </w:r>
          </w:p>
        </w:tc>
        <w:tc>
          <w:tcPr>
            <w:tcW w:w="0" w:type="auto"/>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25,024 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90,532 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64,395 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r>
    </w:tbl>
    <w:p w:rsidR="00000000" w:rsidRDefault="00F123EE">
      <w:pPr>
        <w:divId w:val="1938901552"/>
        <w:rPr>
          <w:rFonts w:eastAsia="Times New Roman"/>
        </w:rPr>
      </w:pPr>
    </w:p>
    <w:p w:rsidR="00000000" w:rsidRDefault="00F123EE">
      <w:pPr>
        <w:divId w:val="784547166"/>
        <w:rPr>
          <w:rFonts w:eastAsia="Times New Roman"/>
        </w:rPr>
      </w:pPr>
      <w:r>
        <w:rPr>
          <w:rFonts w:eastAsia="Times New Roman"/>
          <w:i/>
          <w:iCs/>
          <w:color w:val="000000"/>
          <w:sz w:val="20"/>
          <w:szCs w:val="20"/>
        </w:rPr>
        <w:t>Restricted Stock Units</w:t>
      </w:r>
    </w:p>
    <w:p w:rsidR="00000000" w:rsidRDefault="00F123EE">
      <w:pPr>
        <w:divId w:val="1820341614"/>
        <w:rPr>
          <w:rFonts w:eastAsia="Times New Roman"/>
        </w:rPr>
      </w:pPr>
    </w:p>
    <w:p w:rsidR="00000000" w:rsidRDefault="00F123EE">
      <w:pPr>
        <w:jc w:val="both"/>
        <w:rPr>
          <w:rFonts w:eastAsia="Times New Roman"/>
        </w:rPr>
      </w:pPr>
      <w:r>
        <w:rPr>
          <w:rFonts w:eastAsia="Times New Roman"/>
          <w:color w:val="000000"/>
          <w:sz w:val="20"/>
          <w:szCs w:val="20"/>
        </w:rPr>
        <w:t>The Company issues shares for restricted stock units once vesting occurs and related restrictions lapse.  The fair value of the restricted stock units is the closing price of the Company’s common stock the day preceding the grant date, discounted for the e</w:t>
      </w:r>
      <w:r>
        <w:rPr>
          <w:rFonts w:eastAsia="Times New Roman"/>
          <w:color w:val="000000"/>
          <w:sz w:val="20"/>
          <w:szCs w:val="20"/>
        </w:rPr>
        <w:t>xpected dividend yield over the term of the award. The units generally vest over a</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w:t>
      </w:r>
      <w:r>
        <w:rPr>
          <w:rFonts w:eastAsia="Times New Roman"/>
          <w:color w:val="000000"/>
          <w:sz w:val="20"/>
          <w:szCs w:val="20"/>
        </w:rPr>
        <w:t xml:space="preserve"> </w:t>
      </w:r>
      <w:r>
        <w:rPr>
          <w:rFonts w:eastAsia="Times New Roman"/>
          <w:color w:val="000000"/>
          <w:sz w:val="20"/>
          <w:szCs w:val="20"/>
        </w:rPr>
        <w:t>thre</w:t>
      </w:r>
      <w:r>
        <w:rPr>
          <w:rFonts w:eastAsia="Times New Roman"/>
          <w:color w:val="000000"/>
          <w:sz w:val="20"/>
          <w:szCs w:val="20"/>
        </w:rPr>
        <w:t>e</w:t>
      </w:r>
      <w:r>
        <w:rPr>
          <w:rFonts w:eastAsia="Times New Roman"/>
          <w:color w:val="000000"/>
          <w:sz w:val="20"/>
          <w:szCs w:val="20"/>
        </w:rPr>
        <w:t xml:space="preserve">-year term. Some plan participants have elected to defer receipt of shares of common stock upon vesting of restricted stock units, and as a result, those shares </w:t>
      </w:r>
      <w:r>
        <w:rPr>
          <w:rFonts w:eastAsia="Times New Roman"/>
          <w:color w:val="000000"/>
          <w:sz w:val="20"/>
          <w:szCs w:val="20"/>
        </w:rPr>
        <w:t>are not issued until a later date. A summary of restricted stock unit activity is presented below:</w:t>
      </w:r>
    </w:p>
    <w:tbl>
      <w:tblPr>
        <w:tblW w:w="4978" w:type="pct"/>
        <w:tblCellMar>
          <w:top w:w="15" w:type="dxa"/>
          <w:left w:w="15" w:type="dxa"/>
          <w:bottom w:w="15" w:type="dxa"/>
          <w:right w:w="15" w:type="dxa"/>
        </w:tblCellMar>
        <w:tblLook w:val="04A0" w:firstRow="1" w:lastRow="0" w:firstColumn="1" w:lastColumn="0" w:noHBand="0" w:noVBand="1"/>
      </w:tblPr>
      <w:tblGrid>
        <w:gridCol w:w="49"/>
        <w:gridCol w:w="4115"/>
        <w:gridCol w:w="36"/>
        <w:gridCol w:w="36"/>
        <w:gridCol w:w="36"/>
        <w:gridCol w:w="36"/>
        <w:gridCol w:w="39"/>
        <w:gridCol w:w="1816"/>
        <w:gridCol w:w="36"/>
        <w:gridCol w:w="36"/>
        <w:gridCol w:w="36"/>
        <w:gridCol w:w="36"/>
        <w:gridCol w:w="121"/>
        <w:gridCol w:w="1805"/>
        <w:gridCol w:w="36"/>
      </w:tblGrid>
      <w:tr w:rsidR="00000000">
        <w:tc>
          <w:tcPr>
            <w:tcW w:w="50" w:type="pct"/>
            <w:vAlign w:val="center"/>
            <w:hideMark/>
          </w:tcPr>
          <w:p w:rsidR="00000000" w:rsidRDefault="00F123EE">
            <w:pPr>
              <w:jc w:val="both"/>
              <w:rPr>
                <w:rFonts w:eastAsia="Times New Roman"/>
              </w:rPr>
            </w:pPr>
          </w:p>
        </w:tc>
        <w:tc>
          <w:tcPr>
            <w:tcW w:w="2507"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1127"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1127"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b/>
                <w:bCs/>
                <w:color w:val="000000"/>
                <w:sz w:val="20"/>
                <w:szCs w:val="20"/>
              </w:rPr>
              <w:t>Restricted Stock Unit Activity</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Restricted Stock Units</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Weighted Average Grant Date Fair Value</w:t>
            </w:r>
          </w:p>
        </w:tc>
      </w:tr>
      <w:tr w:rsidR="00000000">
        <w:tc>
          <w:tcPr>
            <w:tcW w:w="0" w:type="auto"/>
            <w:gridSpan w:val="3"/>
            <w:vAlign w:val="center"/>
            <w:hideMark/>
          </w:tcPr>
          <w:p w:rsidR="00000000" w:rsidRDefault="00F123EE">
            <w:pPr>
              <w:spacing w:after="100"/>
              <w:jc w:val="center"/>
              <w:rPr>
                <w:rFonts w:eastAsia="Times New Roman"/>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Restricted at December 25, 2021</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523,419 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115.59 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Granted</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200,503 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208.89 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Vested</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(233,777)</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111.34 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Forfeited</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(41,063)</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164.54 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Restricted at December 31, 2022</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449,082 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155.24 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bl>
    <w:p w:rsidR="00000000" w:rsidRDefault="00F123EE">
      <w:pPr>
        <w:divId w:val="932321592"/>
        <w:rPr>
          <w:rFonts w:eastAsia="Times New Roman"/>
        </w:rPr>
      </w:pPr>
    </w:p>
    <w:p w:rsidR="00000000" w:rsidRDefault="00F123EE">
      <w:pPr>
        <w:jc w:val="both"/>
        <w:rPr>
          <w:rFonts w:eastAsia="Times New Roman"/>
        </w:rPr>
      </w:pPr>
      <w:r>
        <w:rPr>
          <w:rFonts w:eastAsia="Times New Roman"/>
          <w:color w:val="000000"/>
          <w:sz w:val="20"/>
          <w:szCs w:val="20"/>
        </w:rPr>
        <w:t>As of December 31, 2022</w:t>
      </w:r>
      <w:r>
        <w:rPr>
          <w:rFonts w:eastAsia="Times New Roman"/>
          <w:color w:val="000000"/>
          <w:sz w:val="20"/>
          <w:szCs w:val="20"/>
        </w:rPr>
        <w:t>, total unrecognized compensation expense related to non-vested restricted stock units was approximately $40.9 million with a weighted average expense recognition period of 1.9 years.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There were no material modifications to restricted stock units in fisc</w:t>
      </w:r>
      <w:r>
        <w:rPr>
          <w:rFonts w:eastAsia="Times New Roman"/>
          <w:color w:val="000000"/>
          <w:sz w:val="20"/>
          <w:szCs w:val="20"/>
        </w:rPr>
        <w:t xml:space="preserve">al 2022, 2021, or 2020. </w:t>
      </w:r>
    </w:p>
    <w:p w:rsidR="00000000" w:rsidRDefault="00F123EE">
      <w:pPr>
        <w:jc w:val="both"/>
        <w:rPr>
          <w:rFonts w:eastAsia="Times New Roman"/>
        </w:rPr>
      </w:pPr>
    </w:p>
    <w:p w:rsidR="00000000" w:rsidRDefault="00F123EE">
      <w:pPr>
        <w:divId w:val="2145272222"/>
        <w:rPr>
          <w:rFonts w:eastAsia="Times New Roman"/>
        </w:rPr>
      </w:pPr>
      <w:r>
        <w:rPr>
          <w:rFonts w:eastAsia="Times New Roman"/>
          <w:color w:val="000000"/>
          <w:sz w:val="20"/>
          <w:szCs w:val="20"/>
        </w:rPr>
        <w:t>Other information relative to restricted stock unit activity during fiscal 2022, 2021, and 2020 is as follows (in thousands):</w:t>
      </w:r>
    </w:p>
    <w:tbl>
      <w:tblPr>
        <w:tblW w:w="4985" w:type="pct"/>
        <w:tblCellMar>
          <w:top w:w="15" w:type="dxa"/>
          <w:left w:w="15" w:type="dxa"/>
          <w:bottom w:w="15" w:type="dxa"/>
          <w:right w:w="15" w:type="dxa"/>
        </w:tblCellMar>
        <w:tblLook w:val="04A0" w:firstRow="1" w:lastRow="0" w:firstColumn="1" w:lastColumn="0" w:noHBand="0" w:noVBand="1"/>
      </w:tblPr>
      <w:tblGrid>
        <w:gridCol w:w="37"/>
        <w:gridCol w:w="4814"/>
        <w:gridCol w:w="36"/>
        <w:gridCol w:w="120"/>
        <w:gridCol w:w="930"/>
        <w:gridCol w:w="36"/>
        <w:gridCol w:w="36"/>
        <w:gridCol w:w="36"/>
        <w:gridCol w:w="36"/>
        <w:gridCol w:w="120"/>
        <w:gridCol w:w="890"/>
        <w:gridCol w:w="36"/>
        <w:gridCol w:w="36"/>
        <w:gridCol w:w="36"/>
        <w:gridCol w:w="36"/>
        <w:gridCol w:w="120"/>
        <w:gridCol w:w="890"/>
        <w:gridCol w:w="36"/>
      </w:tblGrid>
      <w:tr w:rsidR="00000000">
        <w:trPr>
          <w:divId w:val="852914860"/>
        </w:trPr>
        <w:tc>
          <w:tcPr>
            <w:tcW w:w="50" w:type="pct"/>
            <w:vAlign w:val="center"/>
            <w:hideMark/>
          </w:tcPr>
          <w:p w:rsidR="00000000" w:rsidRDefault="00F123EE">
            <w:pPr>
              <w:rPr>
                <w:rFonts w:eastAsia="Times New Roman"/>
              </w:rPr>
            </w:pPr>
          </w:p>
        </w:tc>
        <w:tc>
          <w:tcPr>
            <w:tcW w:w="293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90"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90"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90"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rPr>
          <w:divId w:val="85291486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Fiscal Year</w:t>
            </w:r>
          </w:p>
        </w:tc>
      </w:tr>
      <w:tr w:rsidR="00000000">
        <w:trPr>
          <w:divId w:val="852914860"/>
        </w:trPr>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2020</w:t>
            </w:r>
          </w:p>
        </w:tc>
      </w:tr>
      <w:tr w:rsidR="00000000">
        <w:trPr>
          <w:divId w:val="852914860"/>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Total grant date fair value of restricted stock units vested and issued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26,031 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25,222 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17,935 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divId w:val="852914860"/>
        </w:trPr>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Total intrinsic value of restricted stock units vested and issued</w:t>
            </w:r>
          </w:p>
        </w:tc>
        <w:tc>
          <w:tcPr>
            <w:tcW w:w="0" w:type="auto"/>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50,532 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47,136 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23,011 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r>
    </w:tbl>
    <w:p w:rsidR="00000000" w:rsidRDefault="00F123EE">
      <w:pPr>
        <w:divId w:val="1384402530"/>
        <w:rPr>
          <w:rFonts w:eastAsia="Times New Roman"/>
        </w:rPr>
      </w:pPr>
    </w:p>
    <w:p w:rsidR="00000000" w:rsidRDefault="00F123EE">
      <w:pPr>
        <w:jc w:val="both"/>
        <w:rPr>
          <w:rFonts w:eastAsia="Times New Roman"/>
        </w:rPr>
      </w:pPr>
      <w:r>
        <w:rPr>
          <w:rFonts w:eastAsia="Times New Roman"/>
          <w:i/>
          <w:iCs/>
          <w:color w:val="000000"/>
          <w:sz w:val="20"/>
          <w:szCs w:val="20"/>
        </w:rPr>
        <w:t>Performance-Based Restricted Share Units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We issue performance-based restricted share units to senior executives that represent shares potentially issuable in the future, subject to the achievement of specified performance goals.  The performance metrics for the units are growth in net sales and g</w:t>
      </w:r>
      <w:r>
        <w:rPr>
          <w:rFonts w:eastAsia="Times New Roman"/>
          <w:color w:val="000000"/>
          <w:sz w:val="20"/>
          <w:szCs w:val="20"/>
        </w:rPr>
        <w:t xml:space="preserve">rowth in earnings per diluted share over a specified performance period. The performance metrics for the performance-based restricted share units granted in fiscal 2021 and fiscal 2022 also include a relative total shareholder return (“TSR”) modifier such </w:t>
      </w:r>
      <w:r>
        <w:rPr>
          <w:rFonts w:eastAsia="Times New Roman"/>
          <w:color w:val="000000"/>
          <w:sz w:val="20"/>
          <w:szCs w:val="20"/>
        </w:rPr>
        <w:t xml:space="preserve">that the actual number of shares that vest at the end of the respective three-year period is determined based on the Company's TSR performance relative to the constituents of the S&amp;P 500 as well as the level of achievement of the performance goals. If the </w:t>
      </w:r>
      <w:r>
        <w:rPr>
          <w:rFonts w:eastAsia="Times New Roman"/>
          <w:color w:val="000000"/>
          <w:sz w:val="20"/>
          <w:szCs w:val="20"/>
        </w:rPr>
        <w:t xml:space="preserve">performance targets are achieved, the performance-based restricted share units will be issued based on the achievement level, inclusive of the relative TSR modifier and the grant date fair value, and will cliff vest in full on the third anniversary of the </w:t>
      </w:r>
      <w:r>
        <w:rPr>
          <w:rFonts w:eastAsia="Times New Roman"/>
          <w:color w:val="000000"/>
          <w:sz w:val="20"/>
          <w:szCs w:val="20"/>
        </w:rPr>
        <w:t>date of the grant. The fair value of the performance-based restricted share units is estimated using a Monte Carlo simulation model on the grant date. Key assumptions used in the Monte Carlo simulation for the performance shares with a TSR modifier granted</w:t>
      </w:r>
      <w:r>
        <w:rPr>
          <w:rFonts w:eastAsia="Times New Roman"/>
          <w:color w:val="000000"/>
          <w:sz w:val="20"/>
          <w:szCs w:val="20"/>
        </w:rPr>
        <w:t xml:space="preserve"> during fiscal 2022 and during fiscal 2021 are presented below:</w:t>
      </w:r>
    </w:p>
    <w:p w:rsidR="00000000" w:rsidRDefault="00F123EE">
      <w:pPr>
        <w:jc w:val="both"/>
        <w:rPr>
          <w:rFonts w:eastAsia="Times New Roman"/>
        </w:rPr>
      </w:pPr>
    </w:p>
    <w:p w:rsidR="00000000" w:rsidRDefault="00F123EE">
      <w:pPr>
        <w:jc w:val="center"/>
        <w:divId w:val="794328459"/>
        <w:rPr>
          <w:rFonts w:eastAsia="Times New Roman"/>
        </w:rPr>
      </w:pPr>
      <w:r>
        <w:rPr>
          <w:rFonts w:eastAsia="Times New Roman"/>
          <w:color w:val="000000"/>
          <w:sz w:val="20"/>
          <w:szCs w:val="20"/>
        </w:rPr>
        <w:t>63</w:t>
      </w:r>
    </w:p>
    <w:p w:rsidR="00000000" w:rsidRDefault="00F123EE">
      <w:pPr>
        <w:rPr>
          <w:rFonts w:eastAsia="Times New Roman"/>
        </w:rPr>
      </w:pPr>
      <w:r>
        <w:rPr>
          <w:rFonts w:eastAsia="Times New Roman"/>
        </w:rPr>
        <w:pict>
          <v:rect id="_x0000_i1093" style="width:0;height:1.5pt" o:hralign="center" o:hrstd="t" o:hr="t" fillcolor="#a0a0a0" stroked="f"/>
        </w:pict>
      </w:r>
    </w:p>
    <w:p w:rsidR="00000000" w:rsidRDefault="00F123EE">
      <w:pPr>
        <w:divId w:val="886987321"/>
        <w:rPr>
          <w:rFonts w:eastAsia="Times New Roman"/>
        </w:rPr>
      </w:pPr>
      <w:hyperlink w:anchor="i38696b5cc01146d68b9c6b33327cf890_7" w:history="1">
        <w:r>
          <w:rPr>
            <w:rStyle w:val="a3"/>
            <w:rFonts w:eastAsia="Times New Roman"/>
            <w:sz w:val="18"/>
            <w:szCs w:val="18"/>
          </w:rPr>
          <w:t>Index</w:t>
        </w:r>
      </w:hyperlink>
    </w:p>
    <w:tbl>
      <w:tblPr>
        <w:tblW w:w="5000" w:type="pct"/>
        <w:tblCellMar>
          <w:top w:w="15" w:type="dxa"/>
          <w:left w:w="15" w:type="dxa"/>
          <w:bottom w:w="15" w:type="dxa"/>
          <w:right w:w="15" w:type="dxa"/>
        </w:tblCellMar>
        <w:tblLook w:val="04A0" w:firstRow="1" w:lastRow="0" w:firstColumn="1" w:lastColumn="0" w:noHBand="0" w:noVBand="1"/>
      </w:tblPr>
      <w:tblGrid>
        <w:gridCol w:w="38"/>
        <w:gridCol w:w="4691"/>
        <w:gridCol w:w="37"/>
        <w:gridCol w:w="36"/>
        <w:gridCol w:w="36"/>
        <w:gridCol w:w="36"/>
        <w:gridCol w:w="38"/>
        <w:gridCol w:w="1437"/>
        <w:gridCol w:w="187"/>
        <w:gridCol w:w="36"/>
        <w:gridCol w:w="36"/>
        <w:gridCol w:w="36"/>
        <w:gridCol w:w="38"/>
        <w:gridCol w:w="1437"/>
        <w:gridCol w:w="187"/>
      </w:tblGrid>
      <w:tr w:rsidR="00000000">
        <w:tc>
          <w:tcPr>
            <w:tcW w:w="50" w:type="pct"/>
            <w:vAlign w:val="center"/>
            <w:hideMark/>
          </w:tcPr>
          <w:p w:rsidR="00000000" w:rsidRDefault="00F123EE">
            <w:pPr>
              <w:rPr>
                <w:rFonts w:eastAsia="Times New Roman"/>
              </w:rPr>
            </w:pPr>
          </w:p>
        </w:tc>
        <w:tc>
          <w:tcPr>
            <w:tcW w:w="2898"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19"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939"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19"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939"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Fiscal Year</w:t>
            </w: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b/>
                <w:bCs/>
                <w:color w:val="000000"/>
                <w:sz w:val="20"/>
                <w:szCs w:val="20"/>
              </w:rPr>
              <w:t>Assumption</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2021</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Expected volatility</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30.91 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31.47 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Risk-free interest rate</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1.53 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0.18 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Compounded dividend yield</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1.63 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1.13 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w:t>
            </w:r>
          </w:p>
        </w:tc>
      </w:tr>
    </w:tbl>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A summary of performance-based restricted share unit activity is presented below:</w:t>
      </w:r>
    </w:p>
    <w:p w:rsidR="00000000" w:rsidRDefault="00F123EE">
      <w:pPr>
        <w:jc w:val="both"/>
        <w:rPr>
          <w:rFonts w:eastAsia="Times New Roman"/>
        </w:rPr>
      </w:pPr>
    </w:p>
    <w:tbl>
      <w:tblPr>
        <w:tblW w:w="4948" w:type="pct"/>
        <w:tblCellMar>
          <w:top w:w="15" w:type="dxa"/>
          <w:left w:w="15" w:type="dxa"/>
          <w:bottom w:w="15" w:type="dxa"/>
          <w:right w:w="15" w:type="dxa"/>
        </w:tblCellMar>
        <w:tblLook w:val="04A0" w:firstRow="1" w:lastRow="0" w:firstColumn="1" w:lastColumn="0" w:noHBand="0" w:noVBand="1"/>
      </w:tblPr>
      <w:tblGrid>
        <w:gridCol w:w="51"/>
        <w:gridCol w:w="4749"/>
        <w:gridCol w:w="36"/>
        <w:gridCol w:w="36"/>
        <w:gridCol w:w="36"/>
        <w:gridCol w:w="36"/>
        <w:gridCol w:w="36"/>
        <w:gridCol w:w="63"/>
        <w:gridCol w:w="1443"/>
        <w:gridCol w:w="36"/>
        <w:gridCol w:w="36"/>
        <w:gridCol w:w="36"/>
        <w:gridCol w:w="36"/>
        <w:gridCol w:w="121"/>
        <w:gridCol w:w="1433"/>
        <w:gridCol w:w="36"/>
      </w:tblGrid>
      <w:tr w:rsidR="00000000">
        <w:tc>
          <w:tcPr>
            <w:tcW w:w="50" w:type="pct"/>
            <w:vAlign w:val="center"/>
            <w:hideMark/>
          </w:tcPr>
          <w:p w:rsidR="00000000" w:rsidRDefault="00F123EE">
            <w:pPr>
              <w:jc w:val="both"/>
              <w:rPr>
                <w:rFonts w:eastAsia="Times New Roman"/>
              </w:rPr>
            </w:pPr>
          </w:p>
        </w:tc>
        <w:tc>
          <w:tcPr>
            <w:tcW w:w="2958"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919"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920"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b/>
                <w:bCs/>
                <w:color w:val="000000"/>
                <w:sz w:val="20"/>
                <w:szCs w:val="20"/>
              </w:rPr>
              <w:t>Performance-Based Restricted Share Unit Activity</w:t>
            </w:r>
          </w:p>
        </w:tc>
        <w:tc>
          <w:tcPr>
            <w:tcW w:w="0" w:type="auto"/>
            <w:vAlign w:val="center"/>
            <w:hideMark/>
          </w:tcPr>
          <w:p w:rsidR="00000000" w:rsidRDefault="00F123EE">
            <w:pPr>
              <w:spacing w:after="100"/>
              <w:rPr>
                <w:rFonts w:eastAsia="Times New Roman"/>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Performance-Based Restricted Share Units</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Weighted Average Grant Date Fair Value</w:t>
            </w:r>
          </w:p>
        </w:tc>
      </w:tr>
      <w:tr w:rsidR="00000000">
        <w:tc>
          <w:tcPr>
            <w:tcW w:w="0" w:type="auto"/>
            <w:gridSpan w:val="3"/>
            <w:vAlign w:val="center"/>
            <w:hideMark/>
          </w:tcPr>
          <w:p w:rsidR="00000000" w:rsidRDefault="00F123EE">
            <w:pPr>
              <w:spacing w:after="100"/>
              <w:jc w:val="center"/>
              <w:rPr>
                <w:rFonts w:eastAsia="Times New Roman"/>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Restricted at December 25, 2021</w:t>
            </w:r>
          </w:p>
        </w:tc>
        <w:tc>
          <w:tcPr>
            <w:tcW w:w="0" w:type="auto"/>
            <w:vAlign w:val="center"/>
            <w:hideMark/>
          </w:tcPr>
          <w:p w:rsidR="00000000" w:rsidRDefault="00F123EE">
            <w:pPr>
              <w:spacing w:after="100"/>
              <w:rPr>
                <w:rFonts w:eastAsia="Times New Roman"/>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187,018 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107.99 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divId w:val="309482333"/>
              <w:rPr>
                <w:rFonts w:eastAsia="Times New Roman"/>
              </w:rPr>
            </w:pPr>
            <w:r>
              <w:rPr>
                <w:rFonts w:eastAsia="Times New Roman"/>
                <w:color w:val="000000"/>
                <w:sz w:val="20"/>
                <w:szCs w:val="20"/>
              </w:rPr>
              <w:t>Granted</w:t>
            </w:r>
            <w:r>
              <w:rPr>
                <w:rFonts w:eastAsia="Times New Roman"/>
                <w:color w:val="000000"/>
                <w:sz w:val="20"/>
                <w:szCs w:val="20"/>
              </w:rPr>
              <w:t xml:space="preserve"> </w:t>
            </w:r>
            <w:r>
              <w:rPr>
                <w:rFonts w:eastAsia="Times New Roman"/>
                <w:b/>
                <w:bCs/>
                <w:color w:val="000000"/>
                <w:sz w:val="13"/>
                <w:szCs w:val="13"/>
              </w:rPr>
              <w:t>(a</w:t>
            </w:r>
            <w:r>
              <w:rPr>
                <w:rFonts w:eastAsia="Times New Roman"/>
                <w:b/>
                <w:bCs/>
                <w:color w:val="000000"/>
                <w:sz w:val="13"/>
                <w:szCs w:val="13"/>
              </w:rPr>
              <w:t>)</w:t>
            </w:r>
          </w:p>
        </w:tc>
        <w:tc>
          <w:tcPr>
            <w:tcW w:w="0" w:type="auto"/>
            <w:vAlign w:val="center"/>
            <w:hideMark/>
          </w:tcPr>
          <w:p w:rsidR="00000000" w:rsidRDefault="00F123EE">
            <w:pPr>
              <w:spacing w:after="100"/>
              <w:rPr>
                <w:rFonts w:eastAsia="Times New Roman"/>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53,222 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223.76 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Performance adjustment</w:t>
            </w:r>
          </w:p>
        </w:tc>
        <w:tc>
          <w:tcPr>
            <w:tcW w:w="0" w:type="auto"/>
            <w:vAlign w:val="center"/>
            <w:hideMark/>
          </w:tcPr>
          <w:p w:rsidR="00000000" w:rsidRDefault="00F123EE">
            <w:pPr>
              <w:spacing w:after="100"/>
              <w:rPr>
                <w:rFonts w:eastAsia="Times New Roman"/>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78,356 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90.00 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Vested</w:t>
            </w:r>
          </w:p>
        </w:tc>
        <w:tc>
          <w:tcPr>
            <w:tcW w:w="0" w:type="auto"/>
            <w:vAlign w:val="center"/>
            <w:hideMark/>
          </w:tcPr>
          <w:p w:rsidR="00000000" w:rsidRDefault="00F123EE">
            <w:pPr>
              <w:spacing w:after="100"/>
              <w:rPr>
                <w:rFonts w:eastAsia="Times New Roman"/>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(156,712)</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90.00 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Forfeited</w:t>
            </w:r>
          </w:p>
        </w:tc>
        <w:tc>
          <w:tcPr>
            <w:tcW w:w="0" w:type="auto"/>
            <w:vAlign w:val="center"/>
            <w:hideMark/>
          </w:tcPr>
          <w:p w:rsidR="00000000" w:rsidRDefault="00F123EE">
            <w:pPr>
              <w:spacing w:after="100"/>
              <w:rPr>
                <w:rFonts w:eastAsia="Times New Roman"/>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(6,285)</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196.11 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Restricted at December 31, 2022</w:t>
            </w:r>
          </w:p>
        </w:tc>
        <w:tc>
          <w:tcPr>
            <w:tcW w:w="0" w:type="auto"/>
            <w:vAlign w:val="center"/>
            <w:hideMark/>
          </w:tcPr>
          <w:p w:rsidR="00000000" w:rsidRDefault="00F123EE">
            <w:pPr>
              <w:spacing w:after="100"/>
              <w:rPr>
                <w:rFonts w:eastAsia="Times New Roman"/>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155,599 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155.02 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bl>
    <w:p w:rsidR="00000000" w:rsidRDefault="00F123EE">
      <w:pPr>
        <w:ind w:hanging="180"/>
        <w:jc w:val="both"/>
        <w:rPr>
          <w:rFonts w:eastAsia="Times New Roman"/>
        </w:rPr>
      </w:pPr>
    </w:p>
    <w:p w:rsidR="00000000" w:rsidRDefault="00F123EE">
      <w:pPr>
        <w:ind w:hanging="180"/>
        <w:jc w:val="both"/>
        <w:rPr>
          <w:rFonts w:eastAsia="Times New Roman"/>
        </w:rPr>
      </w:pPr>
      <w:r>
        <w:rPr>
          <w:rFonts w:eastAsia="Times New Roman"/>
          <w:color w:val="000000"/>
          <w:sz w:val="14"/>
          <w:szCs w:val="14"/>
        </w:rPr>
        <w:t>(a) Assum</w:t>
      </w:r>
      <w:r>
        <w:rPr>
          <w:rFonts w:eastAsia="Times New Roman"/>
          <w:color w:val="000000"/>
          <w:sz w:val="14"/>
          <w:szCs w:val="14"/>
        </w:rPr>
        <w:t>es 100% target level achievement of the relative performance targets. The actual number of shares that will be issued, which may be higher or lower than the target, will be determined by the level of achievement of the relative performance targets, inclusi</w:t>
      </w:r>
      <w:r>
        <w:rPr>
          <w:rFonts w:eastAsia="Times New Roman"/>
          <w:color w:val="000000"/>
          <w:sz w:val="14"/>
          <w:szCs w:val="14"/>
        </w:rPr>
        <w:t xml:space="preserve">ve of the TSR modifier.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As of December 31, 2022</w:t>
      </w:r>
      <w:r>
        <w:rPr>
          <w:rFonts w:eastAsia="Times New Roman"/>
          <w:color w:val="000000"/>
          <w:sz w:val="20"/>
          <w:szCs w:val="20"/>
        </w:rPr>
        <w:t>, total unrecognized compensation expense related to non-vested performance-based restricted share units was approximately $19.8 million with a weighted average expense recognition period of 1.8 years.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There were no material modifications to performance-</w:t>
      </w:r>
      <w:r>
        <w:rPr>
          <w:rFonts w:eastAsia="Times New Roman"/>
          <w:color w:val="000000"/>
          <w:sz w:val="20"/>
          <w:szCs w:val="20"/>
        </w:rPr>
        <w:t xml:space="preserve">based restricted share units in fiscal 2022, 2021, or 2020.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Other information relative to performance-based restricted share unit activity during fiscal 2022 is as follows (in thousands):</w:t>
      </w:r>
    </w:p>
    <w:p w:rsidR="00000000" w:rsidRDefault="00F123EE">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4839"/>
        <w:gridCol w:w="36"/>
        <w:gridCol w:w="120"/>
        <w:gridCol w:w="930"/>
        <w:gridCol w:w="36"/>
        <w:gridCol w:w="36"/>
        <w:gridCol w:w="36"/>
        <w:gridCol w:w="36"/>
        <w:gridCol w:w="120"/>
        <w:gridCol w:w="890"/>
        <w:gridCol w:w="36"/>
        <w:gridCol w:w="36"/>
        <w:gridCol w:w="36"/>
        <w:gridCol w:w="36"/>
        <w:gridCol w:w="120"/>
        <w:gridCol w:w="890"/>
        <w:gridCol w:w="36"/>
      </w:tblGrid>
      <w:tr w:rsidR="00000000">
        <w:tc>
          <w:tcPr>
            <w:tcW w:w="50" w:type="pct"/>
            <w:vAlign w:val="center"/>
            <w:hideMark/>
          </w:tcPr>
          <w:p w:rsidR="00000000" w:rsidRDefault="00F123EE">
            <w:pPr>
              <w:jc w:val="both"/>
              <w:rPr>
                <w:rFonts w:eastAsia="Times New Roman"/>
              </w:rPr>
            </w:pPr>
          </w:p>
        </w:tc>
        <w:tc>
          <w:tcPr>
            <w:tcW w:w="2942"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88"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88"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88"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Fiscal Year</w:t>
            </w: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2020</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Total grant date fair value of performance-based restricted share units vested and issued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14,104 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1,895 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Total intrinsic value of performance-based restricted share units vested and issued</w:t>
            </w:r>
          </w:p>
        </w:tc>
        <w:tc>
          <w:tcPr>
            <w:tcW w:w="0" w:type="auto"/>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33,895 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1,538 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2,826 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r>
    </w:tbl>
    <w:p w:rsidR="00000000" w:rsidRDefault="00F123EE">
      <w:pPr>
        <w:jc w:val="both"/>
        <w:rPr>
          <w:rFonts w:eastAsia="Times New Roman"/>
        </w:rPr>
      </w:pPr>
      <w:r>
        <w:rPr>
          <w:rFonts w:eastAsia="Times New Roman"/>
          <w:i/>
          <w:iCs/>
          <w:color w:val="000000"/>
          <w:sz w:val="20"/>
          <w:szCs w:val="20"/>
        </w:rPr>
        <w:t>Shares Withheld to Satisfy Tax Withholding Requirements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For the majority of restricted stock units and performance-based restricted share units granted, the number of shares issued on the date the stock awards vest is net of shares withheld by the Company to satisfy the minimum statutory tax withholding require</w:t>
      </w:r>
      <w:r>
        <w:rPr>
          <w:rFonts w:eastAsia="Times New Roman"/>
          <w:color w:val="000000"/>
          <w:sz w:val="20"/>
          <w:szCs w:val="20"/>
        </w:rPr>
        <w:t>ments, which the Company pays on behalf of its employees.  The Company issued 258,550; 219,723; and 186,751 shares as a result of vested restricted stock units and performance-based restricted share units during fiscal 2022, 2021, and 2020, respectively.  </w:t>
      </w:r>
      <w:r>
        <w:rPr>
          <w:rFonts w:eastAsia="Times New Roman"/>
          <w:color w:val="000000"/>
          <w:sz w:val="20"/>
          <w:szCs w:val="20"/>
        </w:rPr>
        <w:t>Although shares withheld are not issued, they are treated similar to common stock repurchases as they reduce the number of shares that would have been issued upon vesting.  The amounts are net of 131,939; 95,996; and 81,946 shares withheld to satisfy $28.6</w:t>
      </w:r>
      <w:r>
        <w:rPr>
          <w:rFonts w:eastAsia="Times New Roman"/>
          <w:color w:val="000000"/>
          <w:sz w:val="20"/>
          <w:szCs w:val="20"/>
        </w:rPr>
        <w:t> million, $14.9 million, and $7.8 million of employees’ tax obligations during fiscal 2022, 2021, and 2020, respectively.</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Employee Stock Purchase Plan</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ESPP provides Company employees the opportunity to purchase, through payroll deductions, shares o</w:t>
      </w:r>
      <w:r>
        <w:rPr>
          <w:rFonts w:eastAsia="Times New Roman"/>
          <w:color w:val="000000"/>
          <w:sz w:val="20"/>
          <w:szCs w:val="20"/>
        </w:rPr>
        <w:t>f common stock at a 15% discount.  Pursuant to the terms of the ESPP, the Company issued 44,390; 48,446; and 63,704 shares of common stock during fiscal 2022, 2021, and 2020, respectively.  The total cost related to the ESPP, including the compensation exp</w:t>
      </w:r>
      <w:r>
        <w:rPr>
          <w:rFonts w:eastAsia="Times New Roman"/>
          <w:color w:val="000000"/>
          <w:sz w:val="20"/>
          <w:szCs w:val="20"/>
        </w:rPr>
        <w:t>ense calculations, was approximately $1.8 million, $1.4 million, and $1.4 million in fiscal 2022, 2021, and 2020, respectively.  There is a maximum of 16.0 million shares of common stock that are reserved under the ESPP. At December 31, 2022, there were ap</w:t>
      </w:r>
      <w:r>
        <w:rPr>
          <w:rFonts w:eastAsia="Times New Roman"/>
          <w:color w:val="000000"/>
          <w:sz w:val="20"/>
          <w:szCs w:val="20"/>
        </w:rPr>
        <w:t>proximately 11.7 million remaining shares of common stock reserved for future issuance under the ESPP.</w:t>
      </w:r>
    </w:p>
    <w:p w:rsidR="00000000" w:rsidRDefault="00F123EE">
      <w:pPr>
        <w:jc w:val="both"/>
        <w:rPr>
          <w:rFonts w:eastAsia="Times New Roman"/>
        </w:rPr>
      </w:pPr>
    </w:p>
    <w:p w:rsidR="00000000" w:rsidRDefault="00F123EE">
      <w:pPr>
        <w:jc w:val="center"/>
        <w:divId w:val="84767660"/>
        <w:rPr>
          <w:rFonts w:eastAsia="Times New Roman"/>
        </w:rPr>
      </w:pPr>
      <w:r>
        <w:rPr>
          <w:rFonts w:eastAsia="Times New Roman"/>
          <w:color w:val="000000"/>
          <w:sz w:val="20"/>
          <w:szCs w:val="20"/>
        </w:rPr>
        <w:t>64</w:t>
      </w:r>
    </w:p>
    <w:p w:rsidR="00000000" w:rsidRDefault="00F123EE">
      <w:pPr>
        <w:rPr>
          <w:rFonts w:eastAsia="Times New Roman"/>
        </w:rPr>
      </w:pPr>
      <w:r>
        <w:rPr>
          <w:rFonts w:eastAsia="Times New Roman"/>
        </w:rPr>
        <w:pict>
          <v:rect id="_x0000_i1094" style="width:0;height:1.5pt" o:hralign="center" o:hrstd="t" o:hr="t" fillcolor="#a0a0a0" stroked="f"/>
        </w:pict>
      </w:r>
    </w:p>
    <w:p w:rsidR="00000000" w:rsidRDefault="00F123EE">
      <w:pPr>
        <w:divId w:val="430708031"/>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r>
        <w:rPr>
          <w:rFonts w:eastAsia="Times New Roman"/>
          <w:b/>
          <w:bCs/>
          <w:color w:val="000000"/>
          <w:sz w:val="20"/>
          <w:szCs w:val="20"/>
        </w:rPr>
        <w:t>Note 3 - Acquisition of Orscheln Farm and Home, LLC and Related Divestitures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On October 12, 2022, the Company completed its acquisition of Orscheln, which expands the Company's footprint in the Midwest part of the United States. Pursuant to the agreement</w:t>
      </w:r>
      <w:r>
        <w:rPr>
          <w:rFonts w:eastAsia="Times New Roman"/>
          <w:color w:val="000000"/>
          <w:sz w:val="20"/>
          <w:szCs w:val="20"/>
        </w:rPr>
        <w:t xml:space="preserve"> governing the Transaction, the Company acquired 100% of the equity interest in Orscheln, inclusive of 166 Orscheln stores, the Orscheln corporate headquarters, and the Orscheln distribution center, for an all-cash purchase price of $397.7 million, exclusi</w:t>
      </w:r>
      <w:r>
        <w:rPr>
          <w:rFonts w:eastAsia="Times New Roman"/>
          <w:color w:val="000000"/>
          <w:sz w:val="20"/>
          <w:szCs w:val="20"/>
        </w:rPr>
        <w:t>ve of cash acquired. The acquisition was financed with cash-on-hand and Revolving Credit Facility borrowings under the 2022 Senior Credit Facility (as defined below).</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In order to obtain regulatory approval for the Orscheln acquisition, the FTC required t</w:t>
      </w:r>
      <w:r>
        <w:rPr>
          <w:rFonts w:eastAsia="Times New Roman"/>
          <w:color w:val="000000"/>
          <w:sz w:val="20"/>
          <w:szCs w:val="20"/>
        </w:rPr>
        <w:t>he Company to divest of 85 stores, which were sold to two buyers, Bomgaars Supply, Inc. (“Bomgaars”) (73 stores) and Buchheit Enterprises, Inc. (“Buchheit”) (12 stores) (collectively, the “Buyers”), on October 12, 2022, concurrently with the closing of the</w:t>
      </w:r>
      <w:r>
        <w:rPr>
          <w:rFonts w:eastAsia="Times New Roman"/>
          <w:color w:val="000000"/>
          <w:sz w:val="20"/>
          <w:szCs w:val="20"/>
        </w:rPr>
        <w:t xml:space="preserve"> acquisition. Net proceeds of the store divestitures were $69.4 million. In addition, the Company has agreed to sell the Orscheln corporate headquarters and distribution center to Bomgaars for $10 million within 15 months after the closing of the acquisiti</w:t>
      </w:r>
      <w:r>
        <w:rPr>
          <w:rFonts w:eastAsia="Times New Roman"/>
          <w:color w:val="000000"/>
          <w:sz w:val="20"/>
          <w:szCs w:val="20"/>
        </w:rPr>
        <w:t>on.</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 xml:space="preserve">In conjunction with the store divestitures to Bomgaars and Buchheit, the Company entered into a transition services agreement with both Bomgaars and Buchheit, under which we will provide certain transition services to Bomgaars and Buchheit, and such </w:t>
      </w:r>
      <w:r>
        <w:rPr>
          <w:rFonts w:eastAsia="Times New Roman"/>
          <w:color w:val="000000"/>
          <w:sz w:val="20"/>
          <w:szCs w:val="20"/>
        </w:rPr>
        <w:t>agreements will remain in place until the earlier of 12 months following the date of the agreements or the date at which all stores have been converted to the Buyers' respective brands. Under the terms of the transition services agreements, the Company agr</w:t>
      </w:r>
      <w:r>
        <w:rPr>
          <w:rFonts w:eastAsia="Times New Roman"/>
          <w:color w:val="000000"/>
          <w:sz w:val="20"/>
          <w:szCs w:val="20"/>
        </w:rPr>
        <w:t>eed to provide transition services to Bomgaars and Buchheit, both and each respectively, for information technology support and infrastructure, finance and accounting, tax, treasury, human resources, marketing, logistics, warehousing, and inventory repleni</w:t>
      </w:r>
      <w:r>
        <w:rPr>
          <w:rFonts w:eastAsia="Times New Roman"/>
          <w:color w:val="000000"/>
          <w:sz w:val="20"/>
          <w:szCs w:val="20"/>
        </w:rPr>
        <w:t>shment. For the quarter and year-to-date period ended December 31, 2022, the Company was reimbursed $4.8 million for such transition services, which is included in Selling, general, and administrative expenses. Such reimbursements largely offset related ex</w:t>
      </w:r>
      <w:r>
        <w:rPr>
          <w:rFonts w:eastAsia="Times New Roman"/>
          <w:color w:val="000000"/>
          <w:sz w:val="20"/>
          <w:szCs w:val="20"/>
        </w:rPr>
        <w:t>penses incurred to service the transition services agreements.</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Preliminary Allocation of the Purchase Price</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 xml:space="preserve">For the Orscheln acquisition, the Company has applied the acquisition method of accounting in accordance with ASC 805, “Business Combinations,” </w:t>
      </w:r>
      <w:r>
        <w:rPr>
          <w:rFonts w:eastAsia="Times New Roman"/>
          <w:color w:val="000000"/>
          <w:sz w:val="20"/>
          <w:szCs w:val="20"/>
        </w:rPr>
        <w:t>with respect to the identifiable assets and liabilities of Orscheln, which have been measured at estimated fair value as of the date of the business combination.</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aggregate purchase price noted above was allocated to the identifiable assets acquired a</w:t>
      </w:r>
      <w:r>
        <w:rPr>
          <w:rFonts w:eastAsia="Times New Roman"/>
          <w:color w:val="000000"/>
          <w:sz w:val="20"/>
          <w:szCs w:val="20"/>
        </w:rPr>
        <w:t>nd liabilities assumed based upon their estimated fair values at the acquisition date, primarily using Level 2 and Level 3 inputs (see Note 1 for an explanation of Level 2 and Level 3 inputs). These fair value estimates represent management’s best estimate</w:t>
      </w:r>
      <w:r>
        <w:rPr>
          <w:rFonts w:eastAsia="Times New Roman"/>
          <w:color w:val="000000"/>
          <w:sz w:val="20"/>
          <w:szCs w:val="20"/>
        </w:rPr>
        <w:t xml:space="preserve"> of future cash flows (including sales, cost of sales, income taxes, etc.), discount rates, competitive trends, market comparables, and other factors. Inputs used were generally determined from historical data supplemented by current and anticipated market</w:t>
      </w:r>
      <w:r>
        <w:rPr>
          <w:rFonts w:eastAsia="Times New Roman"/>
          <w:color w:val="000000"/>
          <w:sz w:val="20"/>
          <w:szCs w:val="20"/>
        </w:rPr>
        <w:t xml:space="preserve"> conditions and growth rates.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Although the determination of the preliminary fair values are substantially complete, certain fair value estimates are based on preliminary information and are subject to change during the measurement period, which ends once</w:t>
      </w:r>
      <w:r>
        <w:rPr>
          <w:rFonts w:eastAsia="Times New Roman"/>
          <w:color w:val="000000"/>
          <w:sz w:val="20"/>
          <w:szCs w:val="20"/>
        </w:rPr>
        <w:t xml:space="preserve"> the Company has determined that it has obtained all necessary information that existed as of the acquisition date or has determined that such information is unavailable and cannot extend beyond one year from the acquisition date. At December 31, 2022, the</w:t>
      </w:r>
      <w:r>
        <w:rPr>
          <w:rFonts w:eastAsia="Times New Roman"/>
          <w:color w:val="000000"/>
          <w:sz w:val="20"/>
          <w:szCs w:val="20"/>
        </w:rPr>
        <w:t xml:space="preserve"> fair values that are based on preliminary information relate primarily to inventory and certain working capital adjustments. The excess of the consideration transferred over the fair value of the identifiable assets, net of liabilities, is recorded as goo</w:t>
      </w:r>
      <w:r>
        <w:rPr>
          <w:rFonts w:eastAsia="Times New Roman"/>
          <w:color w:val="000000"/>
          <w:sz w:val="20"/>
          <w:szCs w:val="20"/>
        </w:rPr>
        <w:t xml:space="preserve">dwill, which is indicative of the expected synergies from combining the operations of Orscheln with Tractor Supply stores and the expanded footprint that Orscheln brings in the Midwest part of the United States.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purchase consideration and preliminar</w:t>
      </w:r>
      <w:r>
        <w:rPr>
          <w:rFonts w:eastAsia="Times New Roman"/>
          <w:color w:val="000000"/>
          <w:sz w:val="20"/>
          <w:szCs w:val="20"/>
        </w:rPr>
        <w:t>y estimated fair value of Orscheln’s net assets acquired on October 12, 2022 are shown below (in thousands). The assets and liabilities of the 85 divested stores (which were concurrently divested on October 12, 2022), along with the Orscheln corporate head</w:t>
      </w:r>
      <w:r>
        <w:rPr>
          <w:rFonts w:eastAsia="Times New Roman"/>
          <w:color w:val="000000"/>
          <w:sz w:val="20"/>
          <w:szCs w:val="20"/>
        </w:rPr>
        <w:t>quarters and the Orscheln distribution center, are shown as held for sale in the fair value of assets acquired and liabilities assumed.</w:t>
      </w:r>
    </w:p>
    <w:p w:rsidR="00000000" w:rsidRDefault="00F123EE">
      <w:pPr>
        <w:jc w:val="both"/>
        <w:rPr>
          <w:rFonts w:eastAsia="Times New Roman"/>
        </w:rPr>
      </w:pPr>
    </w:p>
    <w:p w:rsidR="00000000" w:rsidRDefault="00F123EE">
      <w:pPr>
        <w:jc w:val="center"/>
        <w:divId w:val="2036225065"/>
        <w:rPr>
          <w:rFonts w:eastAsia="Times New Roman"/>
        </w:rPr>
      </w:pPr>
      <w:r>
        <w:rPr>
          <w:rFonts w:eastAsia="Times New Roman"/>
          <w:color w:val="000000"/>
          <w:sz w:val="20"/>
          <w:szCs w:val="20"/>
        </w:rPr>
        <w:t>65</w:t>
      </w:r>
    </w:p>
    <w:p w:rsidR="00000000" w:rsidRDefault="00F123EE">
      <w:pPr>
        <w:rPr>
          <w:rFonts w:eastAsia="Times New Roman"/>
        </w:rPr>
      </w:pPr>
      <w:r>
        <w:rPr>
          <w:rFonts w:eastAsia="Times New Roman"/>
        </w:rPr>
        <w:pict>
          <v:rect id="_x0000_i1095" style="width:0;height:1.5pt" o:hralign="center" o:hrstd="t" o:hr="t" fillcolor="#a0a0a0" stroked="f"/>
        </w:pict>
      </w:r>
    </w:p>
    <w:p w:rsidR="00000000" w:rsidRDefault="00F123EE">
      <w:pPr>
        <w:divId w:val="627585718"/>
        <w:rPr>
          <w:rFonts w:eastAsia="Times New Roman"/>
        </w:rPr>
      </w:pPr>
      <w:hyperlink w:anchor="i38696b5cc01146d68b9c6b33327cf890_7" w:history="1">
        <w:r>
          <w:rPr>
            <w:rStyle w:val="a3"/>
            <w:rFonts w:eastAsia="Times New Roman"/>
            <w:sz w:val="18"/>
            <w:szCs w:val="18"/>
          </w:rPr>
          <w:t>Index</w:t>
        </w:r>
      </w:hyperlink>
    </w:p>
    <w:tbl>
      <w:tblPr>
        <w:tblW w:w="2997" w:type="pct"/>
        <w:jc w:val="center"/>
        <w:tblCellMar>
          <w:top w:w="15" w:type="dxa"/>
          <w:left w:w="15" w:type="dxa"/>
          <w:bottom w:w="15" w:type="dxa"/>
          <w:right w:w="15" w:type="dxa"/>
        </w:tblCellMar>
        <w:tblLook w:val="04A0" w:firstRow="1" w:lastRow="0" w:firstColumn="1" w:lastColumn="0" w:noHBand="0" w:noVBand="1"/>
      </w:tblPr>
      <w:tblGrid>
        <w:gridCol w:w="39"/>
        <w:gridCol w:w="3100"/>
        <w:gridCol w:w="38"/>
        <w:gridCol w:w="36"/>
        <w:gridCol w:w="36"/>
        <w:gridCol w:w="36"/>
        <w:gridCol w:w="121"/>
        <w:gridCol w:w="1537"/>
        <w:gridCol w:w="36"/>
      </w:tblGrid>
      <w:tr w:rsidR="00000000">
        <w:trPr>
          <w:jc w:val="center"/>
        </w:trPr>
        <w:tc>
          <w:tcPr>
            <w:tcW w:w="50" w:type="pct"/>
            <w:vAlign w:val="center"/>
            <w:hideMark/>
          </w:tcPr>
          <w:p w:rsidR="00000000" w:rsidRDefault="00F123EE">
            <w:pPr>
              <w:rPr>
                <w:rFonts w:eastAsia="Times New Roman"/>
              </w:rPr>
            </w:pPr>
          </w:p>
        </w:tc>
        <w:tc>
          <w:tcPr>
            <w:tcW w:w="3201"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38"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1640"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b/>
                <w:bCs/>
                <w:color w:val="000000"/>
                <w:sz w:val="20"/>
                <w:szCs w:val="20"/>
              </w:rPr>
              <w:t>Fair value of assets acquired</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b/>
                <w:bCs/>
                <w:color w:val="000000"/>
                <w:sz w:val="20"/>
                <w:szCs w:val="20"/>
              </w:rPr>
              <w:t>Preliminary allocation of the purchase price</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6,935 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Accounts receivable</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277 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Inventories</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168,663 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Prepaid expenses and other current assets</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7,222 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Property and equipment</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13,328 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Lease right of use assets</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82,755 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Deferred income taxes</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18,481 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Assets held for sale</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173,554 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Other assets</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160 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b/>
                <w:bCs/>
                <w:color w:val="000000"/>
                <w:sz w:val="20"/>
                <w:szCs w:val="20"/>
              </w:rPr>
              <w:t>Less: liabilities assumed</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Accounts payable</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80,323 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Accrued liabilities</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20,291 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Short-term lease liabilities</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5,986 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Long-term lease liabilities</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70,626 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Liabilities held for sale</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94,190 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Goodwill</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197,742 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b/>
                <w:bCs/>
                <w:color w:val="000000"/>
                <w:sz w:val="20"/>
                <w:szCs w:val="20"/>
              </w:rPr>
              <w:t>Total fair value of considerations transferred</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397,700 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bl>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resulting goodwill of $197.7 </w:t>
      </w:r>
      <w:r>
        <w:rPr>
          <w:rFonts w:eastAsia="Times New Roman"/>
          <w:color w:val="000000"/>
          <w:sz w:val="20"/>
          <w:szCs w:val="20"/>
        </w:rPr>
        <w:t>million is deductible for income tax purposes and represents the expected synergies from combining the operations of Orscheln with Tractor Supply stores and the expanded footprint that Orscheln brings in the Midwest part of the United States.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Transaction</w:t>
      </w:r>
      <w:r>
        <w:rPr>
          <w:rFonts w:eastAsia="Times New Roman"/>
          <w:color w:val="000000"/>
          <w:sz w:val="20"/>
          <w:szCs w:val="20"/>
        </w:rPr>
        <w:t xml:space="preserve"> costs related to the Orscheln acquisition were expensed as incurred and are included in selling, general, and administrative expenses in the Consolidated Statements of Income.</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 xml:space="preserve">The results of operations of Orscheln have been included in the Consolidated </w:t>
      </w:r>
      <w:r>
        <w:rPr>
          <w:rFonts w:eastAsia="Times New Roman"/>
          <w:color w:val="000000"/>
          <w:sz w:val="20"/>
          <w:szCs w:val="20"/>
        </w:rPr>
        <w:t>Financial Statements since the date of acquisition.</w:t>
      </w:r>
    </w:p>
    <w:p w:rsidR="00000000" w:rsidRDefault="00F123EE">
      <w:pPr>
        <w:jc w:val="both"/>
        <w:rPr>
          <w:rFonts w:eastAsia="Times New Roman"/>
        </w:rPr>
      </w:pPr>
    </w:p>
    <w:p w:rsidR="00000000" w:rsidRDefault="00F123EE">
      <w:pPr>
        <w:jc w:val="both"/>
        <w:rPr>
          <w:rFonts w:eastAsia="Times New Roman"/>
        </w:rPr>
      </w:pPr>
      <w:r>
        <w:rPr>
          <w:rFonts w:eastAsia="Times New Roman"/>
          <w:b/>
          <w:bCs/>
          <w:color w:val="000000"/>
          <w:sz w:val="20"/>
          <w:szCs w:val="20"/>
        </w:rPr>
        <w:t>Note 4 – Goodwill and Other Intangible Assets:</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Goodwill</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changes in the carrying amount of goodwill by reporting unit for the years ended December 31, 2022 and December 25, 2021 are as follows (in thousands):</w:t>
      </w:r>
    </w:p>
    <w:tbl>
      <w:tblPr>
        <w:tblW w:w="4839" w:type="pct"/>
        <w:tblCellMar>
          <w:top w:w="15" w:type="dxa"/>
          <w:left w:w="15" w:type="dxa"/>
          <w:bottom w:w="15" w:type="dxa"/>
          <w:right w:w="15" w:type="dxa"/>
        </w:tblCellMar>
        <w:tblLook w:val="04A0" w:firstRow="1" w:lastRow="0" w:firstColumn="1" w:lastColumn="0" w:noHBand="0" w:noVBand="1"/>
      </w:tblPr>
      <w:tblGrid>
        <w:gridCol w:w="38"/>
        <w:gridCol w:w="1606"/>
        <w:gridCol w:w="37"/>
        <w:gridCol w:w="120"/>
        <w:gridCol w:w="700"/>
        <w:gridCol w:w="36"/>
        <w:gridCol w:w="36"/>
        <w:gridCol w:w="36"/>
        <w:gridCol w:w="36"/>
        <w:gridCol w:w="121"/>
        <w:gridCol w:w="686"/>
        <w:gridCol w:w="36"/>
        <w:gridCol w:w="36"/>
        <w:gridCol w:w="36"/>
        <w:gridCol w:w="36"/>
        <w:gridCol w:w="121"/>
        <w:gridCol w:w="1067"/>
        <w:gridCol w:w="36"/>
        <w:gridCol w:w="36"/>
        <w:gridCol w:w="36"/>
        <w:gridCol w:w="36"/>
        <w:gridCol w:w="120"/>
        <w:gridCol w:w="600"/>
        <w:gridCol w:w="36"/>
        <w:gridCol w:w="36"/>
        <w:gridCol w:w="36"/>
        <w:gridCol w:w="36"/>
        <w:gridCol w:w="121"/>
        <w:gridCol w:w="686"/>
        <w:gridCol w:w="36"/>
        <w:gridCol w:w="36"/>
        <w:gridCol w:w="36"/>
        <w:gridCol w:w="36"/>
        <w:gridCol w:w="121"/>
        <w:gridCol w:w="1067"/>
        <w:gridCol w:w="36"/>
        <w:gridCol w:w="36"/>
        <w:gridCol w:w="36"/>
      </w:tblGrid>
      <w:tr w:rsidR="00000000">
        <w:tc>
          <w:tcPr>
            <w:tcW w:w="50" w:type="pct"/>
            <w:vAlign w:val="center"/>
            <w:hideMark/>
          </w:tcPr>
          <w:p w:rsidR="00000000" w:rsidRDefault="00F123EE">
            <w:pPr>
              <w:jc w:val="both"/>
              <w:rPr>
                <w:rFonts w:eastAsia="Times New Roman"/>
              </w:rPr>
            </w:pPr>
          </w:p>
        </w:tc>
        <w:tc>
          <w:tcPr>
            <w:tcW w:w="117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49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0"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49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0"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609"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103"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49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0"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49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0"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609"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Fiscal Year 2022</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Fiscal Year 2021</w:t>
            </w:r>
          </w:p>
        </w:tc>
        <w:tc>
          <w:tcPr>
            <w:tcW w:w="0" w:type="auto"/>
            <w:vAlign w:val="center"/>
            <w:hideMark/>
          </w:tcPr>
          <w:p w:rsidR="00000000" w:rsidRDefault="00F123EE">
            <w:pPr>
              <w:spacing w:after="100"/>
              <w:jc w:val="center"/>
              <w:rPr>
                <w:rFonts w:eastAsia="Times New Roman"/>
              </w:rPr>
            </w:pPr>
          </w:p>
        </w:tc>
        <w:tc>
          <w:tcPr>
            <w:tcW w:w="0" w:type="auto"/>
            <w:vAlign w:val="center"/>
            <w:hideMark/>
          </w:tcPr>
          <w:p w:rsidR="00000000" w:rsidRDefault="00F123EE">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Tractor Supply</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Petsense by Tractor Supply</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Consolidated</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Tractor Supply</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Petsense by Tractor Supply</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Consolidated</w:t>
            </w:r>
          </w:p>
        </w:tc>
        <w:tc>
          <w:tcPr>
            <w:tcW w:w="0" w:type="auto"/>
            <w:vAlign w:val="center"/>
            <w:hideMark/>
          </w:tcPr>
          <w:p w:rsidR="00000000" w:rsidRDefault="00F123EE">
            <w:pPr>
              <w:spacing w:after="100"/>
              <w:jc w:val="center"/>
              <w:rPr>
                <w:rFonts w:eastAsia="Times New Roman"/>
              </w:rPr>
            </w:pPr>
          </w:p>
        </w:tc>
        <w:tc>
          <w:tcPr>
            <w:tcW w:w="0" w:type="auto"/>
            <w:vAlign w:val="center"/>
            <w:hideMark/>
          </w:tcPr>
          <w:p w:rsidR="00000000" w:rsidRDefault="00F123EE">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Balance, beginning of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10,258 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22,161 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32,419 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10,258 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22,161 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32,419 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vAlign w:val="center"/>
            <w:hideMark/>
          </w:tcPr>
          <w:p w:rsidR="00000000" w:rsidRDefault="00F123EE">
            <w:pPr>
              <w:spacing w:after="100"/>
              <w:jc w:val="right"/>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Goodwill acquired as part of Orscheln acquisition</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197,742 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197,742 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vAlign w:val="center"/>
            <w:hideMark/>
          </w:tcPr>
          <w:p w:rsidR="00000000" w:rsidRDefault="00F123EE">
            <w:pPr>
              <w:spacing w:after="100"/>
              <w:jc w:val="right"/>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r>
      <w:tr w:rsidR="00000000">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Balance, end of year</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208,000 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22,161 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230,161 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10,258 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22,161 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32,419 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vAlign w:val="center"/>
            <w:hideMark/>
          </w:tcPr>
          <w:p w:rsidR="00000000" w:rsidRDefault="00F123EE">
            <w:pPr>
              <w:spacing w:after="100"/>
              <w:jc w:val="right"/>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r>
    </w:tbl>
    <w:p w:rsidR="00000000" w:rsidRDefault="00F123EE">
      <w:pPr>
        <w:divId w:val="1699163803"/>
        <w:rPr>
          <w:rFonts w:eastAsia="Times New Roman"/>
        </w:rPr>
      </w:pPr>
    </w:p>
    <w:p w:rsidR="00000000" w:rsidRDefault="00F123EE">
      <w:pPr>
        <w:jc w:val="both"/>
        <w:rPr>
          <w:rFonts w:eastAsia="Times New Roman"/>
        </w:rPr>
      </w:pPr>
      <w:r>
        <w:rPr>
          <w:rFonts w:eastAsia="Times New Roman"/>
          <w:color w:val="000000"/>
          <w:sz w:val="20"/>
          <w:szCs w:val="20"/>
        </w:rPr>
        <w:t xml:space="preserve">Goodwill is allocated to each identified reporting unit, which is defined as an operating segment or one level below the operating segment. Goodwill is not amortized, but is evaluated for impairment annually and whenever events or changes in circumstances </w:t>
      </w:r>
      <w:r>
        <w:rPr>
          <w:rFonts w:eastAsia="Times New Roman"/>
          <w:color w:val="000000"/>
          <w:sz w:val="20"/>
          <w:szCs w:val="20"/>
        </w:rPr>
        <w:t>indicate the carrying value of goodwill may not be recoverable. The Company's annual impairment evaluation is conducted on the first day of the fiscal fourth quarter.</w:t>
      </w:r>
      <w:r>
        <w:rPr>
          <w:rFonts w:ascii="Calibri" w:eastAsia="Times New Roman" w:hAnsi="Calibri" w:cs="Calibri"/>
          <w:color w:val="000000"/>
        </w:rPr>
        <w:t xml:space="preserve">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In the fourth quarter of fiscal 2022 and 2021, the Company completed its annual impair</w:t>
      </w:r>
      <w:r>
        <w:rPr>
          <w:rFonts w:eastAsia="Times New Roman"/>
          <w:color w:val="000000"/>
          <w:sz w:val="20"/>
          <w:szCs w:val="20"/>
        </w:rPr>
        <w:t>ment assessment of goodwill for all reporting units. As part of this analysis, the Company assessed the current environment to determine if there were any indicators of impairment and concluded, that while there have been events and circumstances in the ma</w:t>
      </w:r>
      <w:r>
        <w:rPr>
          <w:rFonts w:eastAsia="Times New Roman"/>
          <w:color w:val="000000"/>
          <w:sz w:val="20"/>
          <w:szCs w:val="20"/>
        </w:rPr>
        <w:t xml:space="preserve">cro-environment that </w:t>
      </w:r>
    </w:p>
    <w:p w:rsidR="00000000" w:rsidRDefault="00F123EE">
      <w:pPr>
        <w:jc w:val="center"/>
        <w:divId w:val="379671299"/>
        <w:rPr>
          <w:rFonts w:eastAsia="Times New Roman"/>
        </w:rPr>
      </w:pPr>
      <w:r>
        <w:rPr>
          <w:rFonts w:eastAsia="Times New Roman"/>
          <w:color w:val="000000"/>
          <w:sz w:val="20"/>
          <w:szCs w:val="20"/>
        </w:rPr>
        <w:t>66</w:t>
      </w:r>
    </w:p>
    <w:p w:rsidR="00000000" w:rsidRDefault="00F123EE">
      <w:pPr>
        <w:rPr>
          <w:rFonts w:eastAsia="Times New Roman"/>
        </w:rPr>
      </w:pPr>
      <w:r>
        <w:rPr>
          <w:rFonts w:eastAsia="Times New Roman"/>
        </w:rPr>
        <w:pict>
          <v:rect id="_x0000_i1096" style="width:0;height:1.5pt" o:hralign="center" o:hrstd="t" o:hr="t" fillcolor="#a0a0a0" stroked="f"/>
        </w:pict>
      </w:r>
    </w:p>
    <w:p w:rsidR="00000000" w:rsidRDefault="00F123EE">
      <w:pPr>
        <w:divId w:val="882904222"/>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r>
        <w:rPr>
          <w:rFonts w:eastAsia="Times New Roman"/>
          <w:color w:val="000000"/>
          <w:sz w:val="20"/>
          <w:szCs w:val="20"/>
        </w:rPr>
        <w:t>have impacted the Company's business, there were not any entity-specific indicators of impairment of goodwill that would require t</w:t>
      </w:r>
      <w:r>
        <w:rPr>
          <w:rFonts w:eastAsia="Times New Roman"/>
          <w:color w:val="000000"/>
          <w:sz w:val="20"/>
          <w:szCs w:val="20"/>
        </w:rPr>
        <w:t xml:space="preserve">he Company to perform a quantitative impairment assessment. Therefore, there were no impairment charges related to goodwill being recognized in fiscal 2022 and fiscal 2021.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In the fourth quarter of fiscal 2020, the Company identified qualitative indicat</w:t>
      </w:r>
      <w:r>
        <w:rPr>
          <w:rFonts w:eastAsia="Times New Roman"/>
          <w:color w:val="000000"/>
          <w:sz w:val="20"/>
          <w:szCs w:val="20"/>
        </w:rPr>
        <w:t>ors of impairment as a result of a strategic reassessment of the Petsense by Tractor Supply business, including an evaluation of current operations and its future growth outlook due to changing consumer trends within certain identified growth markets, whic</w:t>
      </w:r>
      <w:r>
        <w:rPr>
          <w:rFonts w:eastAsia="Times New Roman"/>
          <w:color w:val="000000"/>
          <w:sz w:val="20"/>
          <w:szCs w:val="20"/>
        </w:rPr>
        <w:t>h resulted in a decision to reduce the number of new store openings planned over the long term. The carrying value of goodwill for the Petsense by Tractor Supply reporting unit is indicative of the expected growth and development of the business. The afore</w:t>
      </w:r>
      <w:r>
        <w:rPr>
          <w:rFonts w:eastAsia="Times New Roman"/>
          <w:color w:val="000000"/>
          <w:sz w:val="20"/>
          <w:szCs w:val="20"/>
        </w:rPr>
        <w:t>mentioned decision to reduce the long-term growth outlook resulted in a downward adjustment of the future financial forecasts for the Petsense by Tractor Supply business which indicated that impairment of the goodwill asset was a more-likely-than-not outco</w:t>
      </w:r>
      <w:r>
        <w:rPr>
          <w:rFonts w:eastAsia="Times New Roman"/>
          <w:color w:val="000000"/>
          <w:sz w:val="20"/>
          <w:szCs w:val="20"/>
        </w:rPr>
        <w:t xml:space="preserve">me.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 xml:space="preserve">We conducted a quantitative impairment analysis of the Petsense by Tractor Supply reporting unit using the income approach. As a result of the quantitative impairment analysis of the Petsense by Tractor Supply reporting unit, it was determined that </w:t>
      </w:r>
      <w:r>
        <w:rPr>
          <w:rFonts w:eastAsia="Times New Roman"/>
          <w:color w:val="000000"/>
          <w:sz w:val="20"/>
          <w:szCs w:val="20"/>
        </w:rPr>
        <w:t xml:space="preserve">the carrying value exceeded the fair value, resulting in a pre-tax impairment loss of approximately $60.8 million in fiscal 2020. </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Other Intangible Assets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Company had approximately $23.1 million of intangible assets other than goodwill at December </w:t>
      </w:r>
      <w:r>
        <w:rPr>
          <w:rFonts w:eastAsia="Times New Roman"/>
          <w:color w:val="000000"/>
          <w:sz w:val="20"/>
          <w:szCs w:val="20"/>
        </w:rPr>
        <w:t>31, 2022 and December 25, 2021. The intangible asset balance represents the carrying value of the Petsense trade name, which is not subject to amortization as it has an indefinite useful life on the basis that it is expected to contribute cash flows beyond</w:t>
      </w:r>
      <w:r>
        <w:rPr>
          <w:rFonts w:eastAsia="Times New Roman"/>
          <w:color w:val="000000"/>
          <w:sz w:val="20"/>
          <w:szCs w:val="20"/>
        </w:rPr>
        <w:t xml:space="preserve"> the foreseeable horizon. The trade name asset is evaluated for impairment annually and whenever events or changes in circumstances indicate the carrying value of the asset may not be recoverable. The Company's annual impairment evaluation is conducted on </w:t>
      </w:r>
      <w:r>
        <w:rPr>
          <w:rFonts w:eastAsia="Times New Roman"/>
          <w:color w:val="000000"/>
          <w:sz w:val="20"/>
          <w:szCs w:val="20"/>
        </w:rPr>
        <w:t>the first day of the fiscal fourth quarter.</w:t>
      </w:r>
      <w:r>
        <w:rPr>
          <w:rFonts w:ascii="Calibri" w:eastAsia="Times New Roman" w:hAnsi="Calibri" w:cs="Calibri"/>
          <w:color w:val="000000"/>
        </w:rPr>
        <w:t xml:space="preserve">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In the fourth quarter of fiscal 2022 and 2021, the Company completed its annual impairment assessment of intangible assets for all reporting units. As part of this analysis, the Company assessed the current en</w:t>
      </w:r>
      <w:r>
        <w:rPr>
          <w:rFonts w:eastAsia="Times New Roman"/>
          <w:color w:val="000000"/>
          <w:sz w:val="20"/>
          <w:szCs w:val="20"/>
        </w:rPr>
        <w:t>vironment to determine if there were any indicators of impairment and concluded, there were no indicators of impairment of intangible assets that would require the Company to perform a quantitative impairment assessment. Therefore, there were no impairment</w:t>
      </w:r>
      <w:r>
        <w:rPr>
          <w:rFonts w:eastAsia="Times New Roman"/>
          <w:color w:val="000000"/>
          <w:sz w:val="20"/>
          <w:szCs w:val="20"/>
        </w:rPr>
        <w:t xml:space="preserve"> charges related to intangible assets recognized in fiscal 2022 and fiscal 2021.</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 xml:space="preserve">In the fourth quarter of fiscal 2020, the aforementioned decision to reduce the long-term growth outlook for Petsense by Tractor Supply resulted in a downward adjustment of </w:t>
      </w:r>
      <w:r>
        <w:rPr>
          <w:rFonts w:eastAsia="Times New Roman"/>
          <w:color w:val="000000"/>
          <w:sz w:val="20"/>
          <w:szCs w:val="20"/>
        </w:rPr>
        <w:t>its future financial forecasts which indicated that impairment of the trade name asset was a more-likely-than-not outcome. The Company conducted a quantitative impairment analysis in the fourth quarter of fiscal 2020 using the relief-from-royalty method. A</w:t>
      </w:r>
      <w:r>
        <w:rPr>
          <w:rFonts w:eastAsia="Times New Roman"/>
          <w:color w:val="000000"/>
          <w:sz w:val="20"/>
          <w:szCs w:val="20"/>
        </w:rPr>
        <w:t>s a result of the quantitative impairment analysis, it was determined that the carrying value of the Petsense trade name was in excess of the fair value,</w:t>
      </w:r>
      <w:r>
        <w:rPr>
          <w:rFonts w:eastAsia="Times New Roman"/>
          <w:color w:val="000000"/>
        </w:rPr>
        <w:t xml:space="preserve"> </w:t>
      </w:r>
      <w:r>
        <w:rPr>
          <w:rFonts w:eastAsia="Times New Roman"/>
          <w:color w:val="000000"/>
          <w:sz w:val="20"/>
          <w:szCs w:val="20"/>
        </w:rPr>
        <w:t>resulting in a pre-tax impairment loss of approximately $8.2 million in fiscal 2020.</w:t>
      </w:r>
      <w:r>
        <w:rPr>
          <w:rFonts w:eastAsia="Times New Roman"/>
          <w:color w:val="000000"/>
        </w:rPr>
        <w:t xml:space="preserve"> </w:t>
      </w:r>
    </w:p>
    <w:p w:rsidR="00000000" w:rsidRDefault="00F123EE">
      <w:pPr>
        <w:jc w:val="both"/>
        <w:rPr>
          <w:rFonts w:eastAsia="Times New Roman"/>
        </w:rPr>
      </w:pPr>
    </w:p>
    <w:p w:rsidR="00000000" w:rsidRDefault="00F123EE">
      <w:pPr>
        <w:jc w:val="center"/>
        <w:divId w:val="177282049"/>
        <w:rPr>
          <w:rFonts w:eastAsia="Times New Roman"/>
        </w:rPr>
      </w:pPr>
      <w:r>
        <w:rPr>
          <w:rFonts w:eastAsia="Times New Roman"/>
          <w:color w:val="000000"/>
          <w:sz w:val="20"/>
          <w:szCs w:val="20"/>
        </w:rPr>
        <w:t>67</w:t>
      </w:r>
    </w:p>
    <w:p w:rsidR="00000000" w:rsidRDefault="00F123EE">
      <w:pPr>
        <w:rPr>
          <w:rFonts w:eastAsia="Times New Roman"/>
        </w:rPr>
      </w:pPr>
      <w:r>
        <w:rPr>
          <w:rFonts w:eastAsia="Times New Roman"/>
        </w:rPr>
        <w:pict>
          <v:rect id="_x0000_i1097" style="width:0;height:1.5pt" o:hralign="center" o:hrstd="t" o:hr="t" fillcolor="#a0a0a0" stroked="f"/>
        </w:pict>
      </w:r>
    </w:p>
    <w:p w:rsidR="00000000" w:rsidRDefault="00F123EE">
      <w:pPr>
        <w:divId w:val="840509261"/>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r>
        <w:rPr>
          <w:rFonts w:eastAsia="Times New Roman"/>
          <w:b/>
          <w:bCs/>
          <w:color w:val="000000"/>
          <w:sz w:val="20"/>
          <w:szCs w:val="20"/>
        </w:rPr>
        <w:t>Note 5 – Debt:</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following table summarizes the Company’s ou</w:t>
      </w:r>
      <w:r>
        <w:rPr>
          <w:rFonts w:eastAsia="Times New Roman"/>
          <w:color w:val="000000"/>
          <w:sz w:val="20"/>
          <w:szCs w:val="20"/>
        </w:rPr>
        <w:t>tstanding debt as of the dates indicated (in millions):</w:t>
      </w:r>
    </w:p>
    <w:tbl>
      <w:tblPr>
        <w:tblW w:w="4992" w:type="pct"/>
        <w:tblCellMar>
          <w:top w:w="15" w:type="dxa"/>
          <w:left w:w="15" w:type="dxa"/>
          <w:bottom w:w="15" w:type="dxa"/>
          <w:right w:w="15" w:type="dxa"/>
        </w:tblCellMar>
        <w:tblLook w:val="04A0" w:firstRow="1" w:lastRow="0" w:firstColumn="1" w:lastColumn="0" w:noHBand="0" w:noVBand="1"/>
      </w:tblPr>
      <w:tblGrid>
        <w:gridCol w:w="39"/>
        <w:gridCol w:w="5556"/>
        <w:gridCol w:w="38"/>
        <w:gridCol w:w="36"/>
        <w:gridCol w:w="36"/>
        <w:gridCol w:w="36"/>
        <w:gridCol w:w="121"/>
        <w:gridCol w:w="1028"/>
        <w:gridCol w:w="36"/>
        <w:gridCol w:w="36"/>
        <w:gridCol w:w="36"/>
        <w:gridCol w:w="36"/>
        <w:gridCol w:w="121"/>
        <w:gridCol w:w="1030"/>
        <w:gridCol w:w="36"/>
        <w:gridCol w:w="36"/>
        <w:gridCol w:w="36"/>
      </w:tblGrid>
      <w:tr w:rsidR="00000000">
        <w:tc>
          <w:tcPr>
            <w:tcW w:w="50" w:type="pct"/>
            <w:vAlign w:val="center"/>
            <w:hideMark/>
          </w:tcPr>
          <w:p w:rsidR="00000000" w:rsidRDefault="00F123EE">
            <w:pPr>
              <w:jc w:val="both"/>
              <w:rPr>
                <w:rFonts w:eastAsia="Times New Roman"/>
              </w:rPr>
            </w:pPr>
          </w:p>
        </w:tc>
        <w:tc>
          <w:tcPr>
            <w:tcW w:w="3407"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677"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677"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December 31,</w:t>
            </w:r>
            <w:r>
              <w:rPr>
                <w:rFonts w:eastAsia="Times New Roman"/>
                <w:b/>
                <w:bCs/>
                <w:color w:val="000000"/>
                <w:sz w:val="20"/>
                <w:szCs w:val="20"/>
              </w:rPr>
              <w:br/>
              <w:t>2022</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December 25,</w:t>
            </w:r>
            <w:r>
              <w:rPr>
                <w:rFonts w:eastAsia="Times New Roman"/>
                <w:b/>
                <w:bCs/>
                <w:color w:val="000000"/>
                <w:sz w:val="20"/>
                <w:szCs w:val="20"/>
              </w:rPr>
              <w:br/>
              <w:t>2021</w:t>
            </w:r>
          </w:p>
        </w:tc>
        <w:tc>
          <w:tcPr>
            <w:tcW w:w="0" w:type="auto"/>
            <w:vAlign w:val="center"/>
            <w:hideMark/>
          </w:tcPr>
          <w:p w:rsidR="00000000" w:rsidRDefault="00F123EE">
            <w:pPr>
              <w:spacing w:after="100"/>
              <w:jc w:val="center"/>
              <w:rPr>
                <w:rFonts w:eastAsia="Times New Roman"/>
              </w:rPr>
            </w:pPr>
          </w:p>
        </w:tc>
        <w:tc>
          <w:tcPr>
            <w:tcW w:w="0" w:type="auto"/>
            <w:vAlign w:val="center"/>
            <w:hideMark/>
          </w:tcPr>
          <w:p w:rsidR="00000000" w:rsidRDefault="00F123EE">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1.75% Senior Notes</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vAlign w:val="center"/>
            <w:hideMark/>
          </w:tcPr>
          <w:p w:rsidR="00000000" w:rsidRDefault="00F123EE">
            <w:pPr>
              <w:spacing w:after="100"/>
              <w:jc w:val="right"/>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3.70% Senior Notes</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vAlign w:val="center"/>
            <w:hideMark/>
          </w:tcPr>
          <w:p w:rsidR="00000000" w:rsidRDefault="00F123EE">
            <w:pPr>
              <w:spacing w:after="100"/>
              <w:jc w:val="right"/>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Senior Credit Facility:</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r>
      <w:tr w:rsidR="00000000">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r>
      <w:tr w:rsidR="00000000">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November 2020 Term Loan</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200.0 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vAlign w:val="center"/>
            <w:hideMark/>
          </w:tcPr>
          <w:p w:rsidR="00000000" w:rsidRDefault="00F123EE">
            <w:pPr>
              <w:spacing w:after="100"/>
              <w:jc w:val="right"/>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Revolving Credit Facility</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378.0 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vAlign w:val="center"/>
            <w:hideMark/>
          </w:tcPr>
          <w:p w:rsidR="00000000" w:rsidRDefault="00F123EE">
            <w:pPr>
              <w:spacing w:after="100"/>
              <w:jc w:val="right"/>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Total outstanding borrowings</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1,178.0 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vAlign w:val="center"/>
            <w:hideMark/>
          </w:tcPr>
          <w:p w:rsidR="00000000" w:rsidRDefault="00F123EE">
            <w:pPr>
              <w:spacing w:after="100"/>
              <w:jc w:val="right"/>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Less: unamortized debt discounts and issuance costs</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(13.9)</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(13.6)</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vAlign w:val="center"/>
            <w:hideMark/>
          </w:tcPr>
          <w:p w:rsidR="00000000" w:rsidRDefault="00F123EE">
            <w:pPr>
              <w:spacing w:after="100"/>
              <w:jc w:val="right"/>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b/>
                <w:bCs/>
                <w:color w:val="000000"/>
                <w:sz w:val="20"/>
                <w:szCs w:val="20"/>
              </w:rPr>
              <w:t>Total debt</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1,164.1 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986.4 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vAlign w:val="center"/>
            <w:hideMark/>
          </w:tcPr>
          <w:p w:rsidR="00000000" w:rsidRDefault="00F123EE">
            <w:pPr>
              <w:spacing w:after="100"/>
              <w:jc w:val="right"/>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Less: current portion of long-term debt</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vAlign w:val="center"/>
            <w:hideMark/>
          </w:tcPr>
          <w:p w:rsidR="00000000" w:rsidRDefault="00F123EE">
            <w:pPr>
              <w:spacing w:after="100"/>
              <w:jc w:val="right"/>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b/>
                <w:bCs/>
                <w:color w:val="000000"/>
                <w:sz w:val="20"/>
                <w:szCs w:val="20"/>
              </w:rPr>
              <w:t>Long-term debt</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1,164.1 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986.4 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vAlign w:val="center"/>
            <w:hideMark/>
          </w:tcPr>
          <w:p w:rsidR="00000000" w:rsidRDefault="00F123EE">
            <w:pPr>
              <w:spacing w:after="100"/>
              <w:jc w:val="right"/>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r>
      <w:tr w:rsidR="00000000">
        <w:trPr>
          <w:trHeight w:val="160"/>
        </w:trPr>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Outstanding letters of credit</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52.6 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52.9 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vAlign w:val="center"/>
            <w:hideMark/>
          </w:tcPr>
          <w:p w:rsidR="00000000" w:rsidRDefault="00F123EE">
            <w:pPr>
              <w:spacing w:after="100"/>
              <w:jc w:val="right"/>
              <w:rPr>
                <w:rFonts w:eastAsia="Times New Roman"/>
                <w:sz w:val="20"/>
                <w:szCs w:val="20"/>
              </w:rPr>
            </w:pPr>
          </w:p>
        </w:tc>
        <w:tc>
          <w:tcPr>
            <w:tcW w:w="0" w:type="auto"/>
            <w:vAlign w:val="center"/>
            <w:hideMark/>
          </w:tcPr>
          <w:p w:rsidR="00000000" w:rsidRDefault="00F123EE">
            <w:pPr>
              <w:spacing w:after="100"/>
              <w:rPr>
                <w:rFonts w:eastAsia="Times New Roman"/>
                <w:sz w:val="20"/>
                <w:szCs w:val="20"/>
              </w:rPr>
            </w:pPr>
          </w:p>
        </w:tc>
      </w:tr>
    </w:tbl>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1.75% Senior Notes due 2030</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On October 30, 2020, the Company issued and sold, in a public offering, $650 million in aggregate principal amount of senior unsecured notes due November 1, 2030 bearing interest at 1.75% per annum (the “</w:t>
      </w:r>
      <w:r>
        <w:rPr>
          <w:rFonts w:eastAsia="Times New Roman"/>
          <w:color w:val="000000"/>
          <w:sz w:val="20"/>
          <w:szCs w:val="20"/>
        </w:rPr>
        <w:t>1.75% Senior Notes”). The entire principal amount of the 1.75% Senior Notes is due in full on November 1, 2030. Interest is payable semi-annually in arrears on each November 1 and May 1. The terms of the 1.750% Notes are governed by an indenture dated as o</w:t>
      </w:r>
      <w:r>
        <w:rPr>
          <w:rFonts w:eastAsia="Times New Roman"/>
          <w:color w:val="000000"/>
          <w:sz w:val="20"/>
          <w:szCs w:val="20"/>
        </w:rPr>
        <w:t>f October 30, 2020 (the “Base Indenture”) between the Company and Regions Bank, as trustee, as amended and supplemented by a first supplemental indenture dated as of October 30, 2020 (the “Supplemental Indenture”) between the Company and Regions Bank, as t</w:t>
      </w:r>
      <w:r>
        <w:rPr>
          <w:rFonts w:eastAsia="Times New Roman"/>
          <w:color w:val="000000"/>
          <w:sz w:val="20"/>
          <w:szCs w:val="20"/>
        </w:rPr>
        <w:t xml:space="preserve">rustee.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1.75% Senior Notes are senior unsecured debt obligations of the Company and will rank equally with the Company’s other senior unsecured liabilities and senior to any future subordinated indebtedness of the Company. The 1.75% Senior Notes are</w:t>
      </w:r>
      <w:r>
        <w:rPr>
          <w:rFonts w:eastAsia="Times New Roman"/>
          <w:color w:val="000000"/>
          <w:sz w:val="20"/>
          <w:szCs w:val="20"/>
        </w:rPr>
        <w:t xml:space="preserve"> subject to customary covenants restricting the Company’s ability, subject to certain exceptions, to incur debt secured by liens, to enter into sale and leaseback transactions or to merge or consolidate with another entity or sell substantially all of its </w:t>
      </w:r>
      <w:r>
        <w:rPr>
          <w:rFonts w:eastAsia="Times New Roman"/>
          <w:color w:val="000000"/>
          <w:sz w:val="20"/>
          <w:szCs w:val="20"/>
        </w:rPr>
        <w:t>assets to another person.</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At any time prior to August 1, 2030, the Company will have the right, at its option, to redeem the 1.75% Senior Notes, in whole or in part, at any time and from time to time, by paying the greater of 100% of the principal amount</w:t>
      </w:r>
      <w:r>
        <w:rPr>
          <w:rFonts w:eastAsia="Times New Roman"/>
          <w:color w:val="000000"/>
          <w:sz w:val="20"/>
          <w:szCs w:val="20"/>
        </w:rPr>
        <w:t xml:space="preserve"> of the 1.75% Senior Notes to be redeemed, or the sum of the present values of the remaining scheduled payments of principal and interest through the par call date, plus, in each case, accrued and unpaid interest to, but not including, the date of redempti</w:t>
      </w:r>
      <w:r>
        <w:rPr>
          <w:rFonts w:eastAsia="Times New Roman"/>
          <w:color w:val="000000"/>
          <w:sz w:val="20"/>
          <w:szCs w:val="20"/>
        </w:rPr>
        <w:t xml:space="preserve">on. In addition, on or after August 1, 2030, the Company will have the right, at its option, to redeem the 1.75% Senior Notes, in whole or in part, at any time and from time to time, at a redemption price equal to 100% of the principal amount of the 1.75% </w:t>
      </w:r>
      <w:r>
        <w:rPr>
          <w:rFonts w:eastAsia="Times New Roman"/>
          <w:color w:val="000000"/>
          <w:sz w:val="20"/>
          <w:szCs w:val="20"/>
        </w:rPr>
        <w:t>Senior Notes to be redeemed, plus accrued and unpaid interest to, but not including, the date of redemption.</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If a Change of Control Triggering Event (as defined in the Supplemental Indenture) occurs, unless the Company has exercised its right to redeem t</w:t>
      </w:r>
      <w:r>
        <w:rPr>
          <w:rFonts w:eastAsia="Times New Roman"/>
          <w:color w:val="000000"/>
          <w:sz w:val="20"/>
          <w:szCs w:val="20"/>
        </w:rPr>
        <w:t xml:space="preserve">he 1.75% Senior Notes, holders of the 1.75% Senior Notes may require the Company to repurchase all or any part of such holder’s 1.75% Senior Notes at a purchase price of 101% of the principal amount, plus accrued and unpaid interest, if any, on such 1.75% </w:t>
      </w:r>
      <w:r>
        <w:rPr>
          <w:rFonts w:eastAsia="Times New Roman"/>
          <w:color w:val="000000"/>
          <w:sz w:val="20"/>
          <w:szCs w:val="20"/>
        </w:rPr>
        <w:t xml:space="preserve">Senior Notes to, but not including, the purchase date. Upon the occurrence of an event of default with respect to the 1.75% Senior Notes, which includes payment defaults, defaults in the performance of certain covenants, cross defaults, and bankruptcy and </w:t>
      </w:r>
      <w:r>
        <w:rPr>
          <w:rFonts w:eastAsia="Times New Roman"/>
          <w:color w:val="000000"/>
          <w:sz w:val="20"/>
          <w:szCs w:val="20"/>
        </w:rPr>
        <w:t>insolvency related defaults, the Company’s obligations under the 1.75% Senior Notes may be accelerated, in which case the entire principal amount of the 1.75% Senior Notes would be due and payable immediately.</w:t>
      </w:r>
    </w:p>
    <w:p w:rsidR="00000000" w:rsidRDefault="00F123EE">
      <w:pPr>
        <w:jc w:val="both"/>
        <w:rPr>
          <w:rFonts w:eastAsia="Times New Roman"/>
        </w:rPr>
      </w:pPr>
    </w:p>
    <w:p w:rsidR="00000000" w:rsidRDefault="00F123EE">
      <w:pPr>
        <w:jc w:val="center"/>
        <w:divId w:val="798033361"/>
        <w:rPr>
          <w:rFonts w:eastAsia="Times New Roman"/>
        </w:rPr>
      </w:pPr>
      <w:r>
        <w:rPr>
          <w:rFonts w:eastAsia="Times New Roman"/>
          <w:color w:val="000000"/>
          <w:sz w:val="20"/>
          <w:szCs w:val="20"/>
        </w:rPr>
        <w:t>68</w:t>
      </w:r>
    </w:p>
    <w:p w:rsidR="00000000" w:rsidRDefault="00F123EE">
      <w:pPr>
        <w:rPr>
          <w:rFonts w:eastAsia="Times New Roman"/>
        </w:rPr>
      </w:pPr>
      <w:r>
        <w:rPr>
          <w:rFonts w:eastAsia="Times New Roman"/>
        </w:rPr>
        <w:pict>
          <v:rect id="_x0000_i1098" style="width:0;height:1.5pt" o:hralign="center" o:hrstd="t" o:hr="t" fillcolor="#a0a0a0" stroked="f"/>
        </w:pict>
      </w:r>
    </w:p>
    <w:p w:rsidR="00000000" w:rsidRDefault="00F123EE">
      <w:pPr>
        <w:divId w:val="1311789241"/>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r>
        <w:rPr>
          <w:rFonts w:eastAsia="Times New Roman"/>
          <w:i/>
          <w:iCs/>
          <w:color w:val="000000"/>
          <w:sz w:val="20"/>
          <w:szCs w:val="20"/>
        </w:rPr>
        <w:t>Senior Note Facility (including 3.70% Senior Notes due 2029)</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On August 14, 2017, the Company entered into a note purchase and private shelf agreement, by and among the Company, PGIM, Inc. (“</w:t>
      </w:r>
      <w:r>
        <w:rPr>
          <w:rFonts w:eastAsia="Times New Roman"/>
          <w:color w:val="000000"/>
          <w:sz w:val="20"/>
          <w:szCs w:val="20"/>
        </w:rPr>
        <w:t xml:space="preserve">Prudential”), and other holders of the notes (the “Note Purchase Agreement” and collectively as amended, the “Note Purchase Facility”), pursuant to which the Company agreed to sell, in a private placement, $150 million aggregate principal amount of senior </w:t>
      </w:r>
      <w:r>
        <w:rPr>
          <w:rFonts w:eastAsia="Times New Roman"/>
          <w:color w:val="000000"/>
          <w:sz w:val="20"/>
          <w:szCs w:val="20"/>
        </w:rPr>
        <w:t>unsecured notes due August 14, 2029 bearing interest at 3.70% per annum (the “3.70% Senior Notes”). The entire principal amount of the 3.70% Senior Notes is due in full on August 14, 2029. Interest is payable semi-annually in arrears on each annual and sem</w:t>
      </w:r>
      <w:r>
        <w:rPr>
          <w:rFonts w:eastAsia="Times New Roman"/>
          <w:color w:val="000000"/>
          <w:sz w:val="20"/>
          <w:szCs w:val="20"/>
        </w:rPr>
        <w:t>i-annual anniversary of the issuance date. The obligations under the Note Purchase Facility are unsecured.</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Company may from time to time issue and sell additional senior unsecured notes (the “Shelf Notes”) pursuant to the Note Purchase Facility, in a</w:t>
      </w:r>
      <w:r>
        <w:rPr>
          <w:rFonts w:eastAsia="Times New Roman"/>
          <w:color w:val="000000"/>
          <w:sz w:val="20"/>
          <w:szCs w:val="20"/>
        </w:rPr>
        <w:t>n aggregate principal amount of up to $300 million minus the aggregate principal amount of all notes outstanding and issued under the Note Purchase Facility.</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Pursuant to the Note Purchase Facility, the 3.70% Senior Notes and any Shelf Notes (collectively</w:t>
      </w:r>
      <w:r>
        <w:rPr>
          <w:rFonts w:eastAsia="Times New Roman"/>
          <w:color w:val="000000"/>
          <w:sz w:val="20"/>
          <w:szCs w:val="20"/>
        </w:rPr>
        <w:t>, the “Senior Note Facility”) are redeemable by the Company, in whole at any time or in part from time to time, at 100% of the principal amount of the Senior Note Facility being redeemed, together with accrued and unpaid interest thereon and a make whole a</w:t>
      </w:r>
      <w:r>
        <w:rPr>
          <w:rFonts w:eastAsia="Times New Roman"/>
          <w:color w:val="000000"/>
          <w:sz w:val="20"/>
          <w:szCs w:val="20"/>
        </w:rPr>
        <w:t>mount calculated by discounting all remaining scheduled payments on the Senior Note Facility by the yield on the U.S. Treasury security with a maturity equal to the remaining average life of the Senior Note Facility plus 0.50%.</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Amendments to Note Purchas</w:t>
      </w:r>
      <w:r>
        <w:rPr>
          <w:rFonts w:eastAsia="Times New Roman"/>
          <w:i/>
          <w:iCs/>
          <w:color w:val="000000"/>
          <w:sz w:val="20"/>
          <w:szCs w:val="20"/>
        </w:rPr>
        <w:t>e and Private Shelf Agreement</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On September 30, 2022, the Company entered into a Third Amendment to the Note Purchase Facility by and among the Company, Prudential and other holders of the notes, which modifies certain provisions of the Note Purchase Faci</w:t>
      </w:r>
      <w:r>
        <w:rPr>
          <w:rFonts w:eastAsia="Times New Roman"/>
          <w:color w:val="000000"/>
          <w:sz w:val="20"/>
          <w:szCs w:val="20"/>
        </w:rPr>
        <w:t xml:space="preserve">lity and conforms certain representations, warranties and covenants with the 2022 Senior Credit Facility. </w:t>
      </w:r>
    </w:p>
    <w:p w:rsidR="00000000" w:rsidRDefault="00F123EE">
      <w:pPr>
        <w:divId w:val="371270593"/>
        <w:rPr>
          <w:rFonts w:eastAsia="Times New Roman"/>
        </w:rPr>
      </w:pPr>
    </w:p>
    <w:p w:rsidR="00000000" w:rsidRDefault="00F123EE">
      <w:pPr>
        <w:jc w:val="both"/>
        <w:rPr>
          <w:rFonts w:eastAsia="Times New Roman"/>
        </w:rPr>
      </w:pPr>
      <w:r>
        <w:rPr>
          <w:rFonts w:eastAsia="Times New Roman"/>
          <w:color w:val="000000"/>
          <w:sz w:val="20"/>
          <w:szCs w:val="20"/>
        </w:rPr>
        <w:t>On November 2, 2022, the Company entered into a Fourth Amendment to the Note Purchase Facility (the “Fourth Amendment”) by and among the Company, P</w:t>
      </w:r>
      <w:r>
        <w:rPr>
          <w:rFonts w:eastAsia="Times New Roman"/>
          <w:color w:val="000000"/>
          <w:sz w:val="20"/>
          <w:szCs w:val="20"/>
        </w:rPr>
        <w:t xml:space="preserve">rudential and other holders of the notes, which also amends the Note Purchase Facility. The Fourth Amendment extends the issuance period in which the Company may issue and sell, and Prudential may consider in its sole discretion the purchase of, in one or </w:t>
      </w:r>
      <w:r>
        <w:rPr>
          <w:rFonts w:eastAsia="Times New Roman"/>
          <w:color w:val="000000"/>
          <w:sz w:val="20"/>
          <w:szCs w:val="20"/>
        </w:rPr>
        <w:t>a series of transactions, additional senior unsecured notes of the Company (the “Shelf Note”), in an aggregate principal amount of up to $150 million under the Note Purchase Facility. The Shelf Notes may be issued through November 1, 2025, unless either pa</w:t>
      </w:r>
      <w:r>
        <w:rPr>
          <w:rFonts w:eastAsia="Times New Roman"/>
          <w:color w:val="000000"/>
          <w:sz w:val="20"/>
          <w:szCs w:val="20"/>
        </w:rPr>
        <w:t>rty terminates such issuance right.</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2022 Senior Credit Facility</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On September </w:t>
      </w:r>
      <w:r>
        <w:rPr>
          <w:rFonts w:eastAsia="Times New Roman"/>
          <w:color w:val="000000"/>
          <w:sz w:val="20"/>
          <w:szCs w:val="20"/>
        </w:rPr>
        <w:t>30, 2022 the Company entered into a new credit agreement, providing for a credit facility (the “2022 Senior Credit Facility”), consisting of a revolving credit facility (the “Revolving Credit Facility”) in the maximum principal amount of $1.20 billion (wit</w:t>
      </w:r>
      <w:r>
        <w:rPr>
          <w:rFonts w:eastAsia="Times New Roman"/>
          <w:color w:val="000000"/>
          <w:sz w:val="20"/>
          <w:szCs w:val="20"/>
        </w:rPr>
        <w:t>h a sublimit of $50.0 million for swingline loans and a sublimit of $150.0 million for letters of credit). In addition, the Company has an option to increase the Revolving Credit Facility or establish term loans in an amount not to exceed $500.0 million in</w:t>
      </w:r>
      <w:r>
        <w:rPr>
          <w:rFonts w:eastAsia="Times New Roman"/>
          <w:color w:val="000000"/>
          <w:sz w:val="20"/>
          <w:szCs w:val="20"/>
        </w:rPr>
        <w:t xml:space="preserve"> the aggregate, subject to, among other things, the receipt of commitments for the increased amount. The 2022 Senior Credit Facility is unsecured and has a five-year term with two options to request that the lenders extend the maturity date of the obligati</w:t>
      </w:r>
      <w:r>
        <w:rPr>
          <w:rFonts w:eastAsia="Times New Roman"/>
          <w:color w:val="000000"/>
          <w:sz w:val="20"/>
          <w:szCs w:val="20"/>
        </w:rPr>
        <w:t xml:space="preserve">ons owed to each lender for one year (and the right to replace any lenders electing not to extend).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Borrowings for the Revolving Credit Facility will bear interest at either the bank’s base rate (7.500% at December 31, 2022) plus an additional margin ra</w:t>
      </w:r>
      <w:r>
        <w:rPr>
          <w:rFonts w:eastAsia="Times New Roman"/>
          <w:color w:val="000000"/>
          <w:sz w:val="20"/>
          <w:szCs w:val="20"/>
        </w:rPr>
        <w:t>nging from 0.000% to 0.250% (0.000% at December 31, 2022) or adjusted SOFR (4.358% at December 31, 2022) plus an additional margin ranging from 0.750% to 1.250% (1.000% at December 31, 2022) adjusted based on the Company's public credit ratings. The Compan</w:t>
      </w:r>
      <w:r>
        <w:rPr>
          <w:rFonts w:eastAsia="Times New Roman"/>
          <w:color w:val="000000"/>
          <w:sz w:val="20"/>
          <w:szCs w:val="20"/>
        </w:rPr>
        <w:t>y is also required to pay, quarterly in arrears, a commitment fee related to unused capacity ranging from 0.080% to 0.150% (0.100% at December 31, 2022) per annum, adjusted based on the Company's public credit ratings.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2022 Senior Credit Facility rep</w:t>
      </w:r>
      <w:r>
        <w:rPr>
          <w:rFonts w:eastAsia="Times New Roman"/>
          <w:color w:val="000000"/>
          <w:sz w:val="20"/>
          <w:szCs w:val="20"/>
        </w:rPr>
        <w:t xml:space="preserve">laced the Company’s previous senior credit facility (the “Senior Credit Facility”). </w:t>
      </w:r>
      <w:r>
        <w:rPr>
          <w:rFonts w:eastAsia="Times New Roman"/>
          <w:color w:val="000000"/>
          <w:sz w:val="20"/>
          <w:szCs w:val="20"/>
          <w:shd w:val="clear" w:color="auto" w:fill="FFFFFF"/>
        </w:rPr>
        <w:t xml:space="preserve">Proceeds from borrowings under the 2022 Senior Credit Facility were used to pay off the Senior Credit Facility.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In connection with the debt refinancing, the Company amen</w:t>
      </w:r>
      <w:r>
        <w:rPr>
          <w:rFonts w:eastAsia="Times New Roman"/>
          <w:color w:val="000000"/>
          <w:sz w:val="20"/>
          <w:szCs w:val="20"/>
        </w:rPr>
        <w:t xml:space="preserve">ded its interest rate swap agreement to convert the reference rate from one-month LIBOR to one-month term SOFR and elected the optional expedients offered under the Accounting Standards Codification 848, </w:t>
      </w:r>
      <w:r>
        <w:rPr>
          <w:rFonts w:eastAsia="Times New Roman"/>
          <w:i/>
          <w:iCs/>
          <w:color w:val="000000"/>
          <w:sz w:val="20"/>
          <w:szCs w:val="20"/>
        </w:rPr>
        <w:t>Reference Rate Reform</w:t>
      </w:r>
      <w:r>
        <w:rPr>
          <w:rFonts w:eastAsia="Times New Roman"/>
          <w:color w:val="000000"/>
          <w:sz w:val="20"/>
          <w:szCs w:val="20"/>
        </w:rPr>
        <w:t>, which allows the cash flow he</w:t>
      </w:r>
      <w:r>
        <w:rPr>
          <w:rFonts w:eastAsia="Times New Roman"/>
          <w:color w:val="000000"/>
          <w:sz w:val="20"/>
          <w:szCs w:val="20"/>
        </w:rPr>
        <w:t>dge to continue being recognized under hedge accounting without dedesignation.</w:t>
      </w:r>
    </w:p>
    <w:p w:rsidR="00000000" w:rsidRDefault="00F123EE">
      <w:pPr>
        <w:jc w:val="both"/>
        <w:rPr>
          <w:rFonts w:eastAsia="Times New Roman"/>
        </w:rPr>
      </w:pPr>
    </w:p>
    <w:p w:rsidR="00000000" w:rsidRDefault="00F123EE">
      <w:pPr>
        <w:jc w:val="center"/>
        <w:divId w:val="822896499"/>
        <w:rPr>
          <w:rFonts w:eastAsia="Times New Roman"/>
        </w:rPr>
      </w:pPr>
      <w:r>
        <w:rPr>
          <w:rFonts w:eastAsia="Times New Roman"/>
          <w:color w:val="000000"/>
          <w:sz w:val="20"/>
          <w:szCs w:val="20"/>
        </w:rPr>
        <w:t>69</w:t>
      </w:r>
    </w:p>
    <w:p w:rsidR="00000000" w:rsidRDefault="00F123EE">
      <w:pPr>
        <w:rPr>
          <w:rFonts w:eastAsia="Times New Roman"/>
        </w:rPr>
      </w:pPr>
      <w:r>
        <w:rPr>
          <w:rFonts w:eastAsia="Times New Roman"/>
        </w:rPr>
        <w:pict>
          <v:rect id="_x0000_i1099" style="width:0;height:1.5pt" o:hralign="center" o:hrstd="t" o:hr="t" fillcolor="#a0a0a0" stroked="f"/>
        </w:pict>
      </w:r>
    </w:p>
    <w:p w:rsidR="00000000" w:rsidRDefault="00F123EE">
      <w:pPr>
        <w:divId w:val="1649357950"/>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r>
        <w:rPr>
          <w:rFonts w:eastAsia="Times New Roman"/>
          <w:i/>
          <w:iCs/>
          <w:color w:val="000000"/>
          <w:sz w:val="20"/>
          <w:szCs w:val="20"/>
        </w:rPr>
        <w:t>Covenants and Default Provisions of the Debt Agreements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2022 Senio</w:t>
      </w:r>
      <w:r>
        <w:rPr>
          <w:rFonts w:eastAsia="Times New Roman"/>
          <w:color w:val="000000"/>
          <w:sz w:val="20"/>
          <w:szCs w:val="20"/>
        </w:rPr>
        <w:t>r Credit Facility and the Note Purchase Facility (collectively, the “Debt Agreements”) require quarterly compliance with respect to two material covenants: a fixed charge coverage ratio and a leverage ratio.  Both ratios are calculated on a trailing twelve</w:t>
      </w:r>
      <w:r>
        <w:rPr>
          <w:rFonts w:eastAsia="Times New Roman"/>
          <w:color w:val="000000"/>
          <w:sz w:val="20"/>
          <w:szCs w:val="20"/>
        </w:rPr>
        <w:t xml:space="preserve">-month basis at the end of each fiscal quarter. The fixed charge coverage ratio compares earnings before interest, taxes, depreciation, amortization, share-based compensation and rent expense (“consolidated EBITDAR”) to the sum of interest paid and rental </w:t>
      </w:r>
      <w:r>
        <w:rPr>
          <w:rFonts w:eastAsia="Times New Roman"/>
          <w:color w:val="000000"/>
          <w:sz w:val="20"/>
          <w:szCs w:val="20"/>
        </w:rPr>
        <w:t>expense (excluding any straight-line rent adjustments).  The fixed charge coverage ratio shall be greater than or equal to 2.00 to 1.00 as of the last day of each fiscal quarter. The leverage ratio compares total funded debt to consolidated EBITDAR.  The l</w:t>
      </w:r>
      <w:r>
        <w:rPr>
          <w:rFonts w:eastAsia="Times New Roman"/>
          <w:color w:val="000000"/>
          <w:sz w:val="20"/>
          <w:szCs w:val="20"/>
        </w:rPr>
        <w:t>everage ratio shall be less than or equal to 4.00 to 1.00 as of the last day of each fiscal quarter. The Debt Agreements also contain certain other restrictions regarding additional subsidiary indebtedness, business operations, subsidiary guarantees, merge</w:t>
      </w:r>
      <w:r>
        <w:rPr>
          <w:rFonts w:eastAsia="Times New Roman"/>
          <w:color w:val="000000"/>
          <w:sz w:val="20"/>
          <w:szCs w:val="20"/>
        </w:rPr>
        <w:t>rs, consolidations and sales of assets, transactions with subsidiaries or affiliates, and liens.  As of December 31, 2022, the Company was in compliance with all debt covenants.</w:t>
      </w:r>
    </w:p>
    <w:p w:rsidR="00000000" w:rsidRDefault="00F123EE">
      <w:pPr>
        <w:divId w:val="920605276"/>
        <w:rPr>
          <w:rFonts w:eastAsia="Times New Roman"/>
        </w:rPr>
      </w:pPr>
    </w:p>
    <w:p w:rsidR="00000000" w:rsidRDefault="00F123EE">
      <w:pPr>
        <w:jc w:val="both"/>
        <w:rPr>
          <w:rFonts w:eastAsia="Times New Roman"/>
        </w:rPr>
      </w:pPr>
      <w:r>
        <w:rPr>
          <w:rFonts w:eastAsia="Times New Roman"/>
          <w:color w:val="000000"/>
          <w:sz w:val="20"/>
          <w:szCs w:val="20"/>
        </w:rPr>
        <w:t>The Debt Agreements contain customary events of default, including payment d</w:t>
      </w:r>
      <w:r>
        <w:rPr>
          <w:rFonts w:eastAsia="Times New Roman"/>
          <w:color w:val="000000"/>
          <w:sz w:val="20"/>
          <w:szCs w:val="20"/>
        </w:rPr>
        <w:t>efaults, breaches of representations and warranties, covenant defaults, cross-defaults to other material indebtedness, certain events of bankruptcy and insolvency, material judgments, certain ERISA events and invalidity of loan documents. Upon certain chan</w:t>
      </w:r>
      <w:r>
        <w:rPr>
          <w:rFonts w:eastAsia="Times New Roman"/>
          <w:color w:val="000000"/>
          <w:sz w:val="20"/>
          <w:szCs w:val="20"/>
        </w:rPr>
        <w:t xml:space="preserve">ges of control, payment under the Debt Agreements could become due and payable. In addition, under the Note Purchase Facility, upon an event of default or change of control, the make whole payment described above may become due and payable. </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Note Pur</w:t>
      </w:r>
      <w:r>
        <w:rPr>
          <w:rFonts w:eastAsia="Times New Roman"/>
          <w:color w:val="000000"/>
          <w:sz w:val="20"/>
          <w:szCs w:val="20"/>
        </w:rPr>
        <w:t>chase Facility also requires that, in the event the Company amends its Senior Credit Facility, or any subsequent credit facility of $100 million or greater, such that it contains covenant or default provisions that are not provided in the Note Purchase Fac</w:t>
      </w:r>
      <w:r>
        <w:rPr>
          <w:rFonts w:eastAsia="Times New Roman"/>
          <w:color w:val="000000"/>
          <w:sz w:val="20"/>
          <w:szCs w:val="20"/>
        </w:rPr>
        <w:t>ility or that are similar to those contained in the Note Purchase Facility but which contain percentages, amounts, formulas or grace periods that are more restrictive than those set forth in the Note Purchase Facility or are otherwise more beneficial to th</w:t>
      </w:r>
      <w:r>
        <w:rPr>
          <w:rFonts w:eastAsia="Times New Roman"/>
          <w:color w:val="000000"/>
          <w:sz w:val="20"/>
          <w:szCs w:val="20"/>
        </w:rPr>
        <w:t>e lenders thereunder, the Note Purchase Facility shall be automatically amended to include such additional or amended covenants and/or default provisions.</w:t>
      </w:r>
    </w:p>
    <w:p w:rsidR="00000000" w:rsidRDefault="00F123EE">
      <w:pPr>
        <w:divId w:val="1172454533"/>
        <w:rPr>
          <w:rFonts w:eastAsia="Times New Roman"/>
        </w:rPr>
      </w:pPr>
    </w:p>
    <w:p w:rsidR="00000000" w:rsidRDefault="00F123EE">
      <w:pPr>
        <w:jc w:val="both"/>
        <w:rPr>
          <w:rFonts w:eastAsia="Times New Roman"/>
        </w:rPr>
      </w:pPr>
      <w:r>
        <w:rPr>
          <w:rFonts w:eastAsia="Times New Roman"/>
          <w:b/>
          <w:bCs/>
          <w:color w:val="000000"/>
          <w:sz w:val="20"/>
          <w:szCs w:val="20"/>
        </w:rPr>
        <w:t>Note 6 – Leases: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 xml:space="preserve">The Company leases the majority of its retail store locations, two distribution </w:t>
      </w:r>
      <w:r>
        <w:rPr>
          <w:rFonts w:eastAsia="Times New Roman"/>
          <w:color w:val="000000"/>
          <w:sz w:val="20"/>
          <w:szCs w:val="20"/>
        </w:rPr>
        <w:t>sites, its Merchandise Innovation Center, and certain equipment under various non-cancellable operating leases. The leases have varying terms and expire at various dates through 2043.  Store leases typically have initial terms of between 10 years and 20 ye</w:t>
      </w:r>
      <w:r>
        <w:rPr>
          <w:rFonts w:eastAsia="Times New Roman"/>
          <w:color w:val="000000"/>
          <w:sz w:val="20"/>
          <w:szCs w:val="20"/>
        </w:rPr>
        <w:t>ars, with</w:t>
      </w:r>
      <w:r>
        <w:rPr>
          <w:rFonts w:eastAsia="Times New Roman"/>
          <w:color w:val="000000"/>
          <w:sz w:val="20"/>
          <w:szCs w:val="20"/>
        </w:rPr>
        <w:t xml:space="preserve"> </w:t>
      </w:r>
      <w:r>
        <w:rPr>
          <w:rFonts w:eastAsia="Times New Roman"/>
          <w:color w:val="000000"/>
          <w:sz w:val="20"/>
          <w:szCs w:val="20"/>
        </w:rPr>
        <w:t>tw</w:t>
      </w:r>
      <w:r>
        <w:rPr>
          <w:rFonts w:eastAsia="Times New Roman"/>
          <w:color w:val="000000"/>
          <w:sz w:val="20"/>
          <w:szCs w:val="20"/>
        </w:rPr>
        <w:t>o</w:t>
      </w:r>
      <w:r>
        <w:rPr>
          <w:rFonts w:eastAsia="Times New Roman"/>
          <w:color w:val="000000"/>
          <w:sz w:val="20"/>
          <w:szCs w:val="20"/>
        </w:rPr>
        <w:t xml:space="preserve"> to</w:t>
      </w:r>
      <w:r>
        <w:rPr>
          <w:rFonts w:eastAsia="Times New Roman"/>
          <w:color w:val="000000"/>
          <w:sz w:val="20"/>
          <w:szCs w:val="20"/>
        </w:rPr>
        <w:t xml:space="preserve"> </w:t>
      </w:r>
      <w:r>
        <w:rPr>
          <w:rFonts w:eastAsia="Times New Roman"/>
          <w:color w:val="000000"/>
          <w:sz w:val="20"/>
          <w:szCs w:val="20"/>
        </w:rPr>
        <w:t>fou</w:t>
      </w:r>
      <w:r>
        <w:rPr>
          <w:rFonts w:eastAsia="Times New Roman"/>
          <w:color w:val="000000"/>
          <w:sz w:val="20"/>
          <w:szCs w:val="20"/>
        </w:rPr>
        <w:t>r</w:t>
      </w:r>
      <w:r>
        <w:rPr>
          <w:rFonts w:eastAsia="Times New Roman"/>
          <w:color w:val="000000"/>
          <w:sz w:val="20"/>
          <w:szCs w:val="20"/>
        </w:rPr>
        <w:t xml:space="preserve"> optional renewal periods of</w:t>
      </w:r>
      <w:r>
        <w:rPr>
          <w:rFonts w:eastAsia="Times New Roman"/>
          <w:color w:val="000000"/>
          <w:sz w:val="20"/>
          <w:szCs w:val="20"/>
        </w:rPr>
        <w:t xml:space="preserve"> </w:t>
      </w:r>
      <w:r>
        <w:rPr>
          <w:rFonts w:eastAsia="Times New Roman"/>
          <w:color w:val="000000"/>
          <w:sz w:val="20"/>
          <w:szCs w:val="20"/>
        </w:rPr>
        <w:t>fiv</w:t>
      </w:r>
      <w:r>
        <w:rPr>
          <w:rFonts w:eastAsia="Times New Roman"/>
          <w:color w:val="000000"/>
          <w:sz w:val="20"/>
          <w:szCs w:val="20"/>
        </w:rPr>
        <w:t>e</w:t>
      </w:r>
      <w:r>
        <w:rPr>
          <w:rFonts w:eastAsia="Times New Roman"/>
          <w:color w:val="000000"/>
          <w:sz w:val="20"/>
          <w:szCs w:val="20"/>
        </w:rPr>
        <w:t xml:space="preserve"> years each.  The exercise of lease renewal options is at our sole discretion. The Company has included lease renewal options in the lease term for calculations of its right-of-use assets and liabilitie</w:t>
      </w:r>
      <w:r>
        <w:rPr>
          <w:rFonts w:eastAsia="Times New Roman"/>
          <w:color w:val="000000"/>
          <w:sz w:val="20"/>
          <w:szCs w:val="20"/>
        </w:rPr>
        <w:t>s when it is reasonably certain that the Company plans to renew these leases. Our lease agreements do not contain any material residual value guarantees or material restrictive covenants.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Company accounts for lease components (e.g., fixed payments including rent, real estate taxes, and insurance costs) together with non-lease components (e.g., fixed payment common-area maintenance) as a single component for all classes of underlying ass</w:t>
      </w:r>
      <w:r>
        <w:rPr>
          <w:rFonts w:eastAsia="Times New Roman"/>
          <w:color w:val="000000"/>
          <w:sz w:val="20"/>
          <w:szCs w:val="20"/>
        </w:rPr>
        <w:t xml:space="preserve">ets. Certain lease agreements require variable payments based upon actual costs of common-area maintenance, real estate taxes, and insurance. Further, certain lease agreements require variable payments based upon store sales above agreed-upon sales levels </w:t>
      </w:r>
      <w:r>
        <w:rPr>
          <w:rFonts w:eastAsia="Times New Roman"/>
          <w:color w:val="000000"/>
          <w:sz w:val="20"/>
          <w:szCs w:val="20"/>
        </w:rPr>
        <w:t>for the year and others require payments adjusted periodically for inflation. As substantially all of our leases do not provide an implicit rate, we estimate our collateralized incremental borrowing rate based upon a Company specific credit rating and yiel</w:t>
      </w:r>
      <w:r>
        <w:rPr>
          <w:rFonts w:eastAsia="Times New Roman"/>
          <w:color w:val="000000"/>
          <w:sz w:val="20"/>
          <w:szCs w:val="20"/>
        </w:rPr>
        <w:t>d curve analysis at commencement or modification date in determining the present value of lease payments.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Company has elected not to recognize leases with an original term of one year or less on the balance sheet. Short-term lease cost during the per</w:t>
      </w:r>
      <w:r>
        <w:rPr>
          <w:rFonts w:eastAsia="Times New Roman"/>
          <w:color w:val="000000"/>
          <w:sz w:val="20"/>
          <w:szCs w:val="20"/>
        </w:rPr>
        <w:t>iods presented was immaterial.</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In addition to the operating lease right-of-use assets presented on the Consolidated Balance Sheets, assets, net of accumulated amortization, under finance leases of $32.1 million and $32.0 million are recorded within the</w:t>
      </w:r>
      <w:r>
        <w:rPr>
          <w:rFonts w:eastAsia="Times New Roman"/>
          <w:color w:val="000000"/>
          <w:sz w:val="20"/>
          <w:szCs w:val="20"/>
        </w:rPr>
        <w:t xml:space="preserve"> </w:t>
      </w:r>
      <w:r>
        <w:rPr>
          <w:rFonts w:eastAsia="Times New Roman"/>
          <w:color w:val="000000"/>
          <w:sz w:val="20"/>
          <w:szCs w:val="20"/>
        </w:rPr>
        <w:t>Property and equipment, ne</w:t>
      </w:r>
      <w:r>
        <w:rPr>
          <w:rFonts w:eastAsia="Times New Roman"/>
          <w:color w:val="000000"/>
          <w:sz w:val="20"/>
          <w:szCs w:val="20"/>
        </w:rPr>
        <w:t>t</w:t>
      </w:r>
      <w:r>
        <w:rPr>
          <w:rFonts w:eastAsia="Times New Roman"/>
          <w:color w:val="000000"/>
          <w:sz w:val="20"/>
          <w:szCs w:val="20"/>
        </w:rPr>
        <w:t xml:space="preserve"> line o</w:t>
      </w:r>
      <w:r>
        <w:rPr>
          <w:rFonts w:eastAsia="Times New Roman"/>
          <w:color w:val="000000"/>
          <w:sz w:val="20"/>
          <w:szCs w:val="20"/>
        </w:rPr>
        <w:t xml:space="preserve">n the Consolidated Balance Sheets as of December 31, 2022 and December 25, 2021, respectively. </w:t>
      </w:r>
    </w:p>
    <w:p w:rsidR="00000000" w:rsidRDefault="00F123EE">
      <w:pPr>
        <w:jc w:val="both"/>
        <w:rPr>
          <w:rFonts w:eastAsia="Times New Roman"/>
        </w:rPr>
      </w:pPr>
    </w:p>
    <w:p w:rsidR="00000000" w:rsidRDefault="00F123EE">
      <w:pPr>
        <w:jc w:val="center"/>
        <w:divId w:val="1645770317"/>
        <w:rPr>
          <w:rFonts w:eastAsia="Times New Roman"/>
        </w:rPr>
      </w:pPr>
      <w:r>
        <w:rPr>
          <w:rFonts w:eastAsia="Times New Roman"/>
          <w:color w:val="000000"/>
          <w:sz w:val="20"/>
          <w:szCs w:val="20"/>
        </w:rPr>
        <w:t>70</w:t>
      </w:r>
    </w:p>
    <w:p w:rsidR="00000000" w:rsidRDefault="00F123EE">
      <w:pPr>
        <w:rPr>
          <w:rFonts w:eastAsia="Times New Roman"/>
        </w:rPr>
      </w:pPr>
      <w:r>
        <w:rPr>
          <w:rFonts w:eastAsia="Times New Roman"/>
        </w:rPr>
        <w:pict>
          <v:rect id="_x0000_i1100" style="width:0;height:1.5pt" o:hralign="center" o:hrstd="t" o:hr="t" fillcolor="#a0a0a0" stroked="f"/>
        </w:pict>
      </w:r>
    </w:p>
    <w:p w:rsidR="00000000" w:rsidRDefault="00F123EE">
      <w:pPr>
        <w:divId w:val="1640501951"/>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r>
        <w:rPr>
          <w:rFonts w:eastAsia="Times New Roman"/>
          <w:color w:val="000000"/>
          <w:sz w:val="20"/>
          <w:szCs w:val="20"/>
        </w:rPr>
        <w:t>The following table summarizes the Company’s classific</w:t>
      </w:r>
      <w:r>
        <w:rPr>
          <w:rFonts w:eastAsia="Times New Roman"/>
          <w:color w:val="000000"/>
          <w:sz w:val="20"/>
          <w:szCs w:val="20"/>
        </w:rPr>
        <w:t>ation of lease cost (in thousands):</w:t>
      </w:r>
    </w:p>
    <w:tbl>
      <w:tblPr>
        <w:tblW w:w="5000" w:type="pct"/>
        <w:tblCellMar>
          <w:top w:w="15" w:type="dxa"/>
          <w:left w:w="15" w:type="dxa"/>
          <w:bottom w:w="15" w:type="dxa"/>
          <w:right w:w="15" w:type="dxa"/>
        </w:tblCellMar>
        <w:tblLook w:val="04A0" w:firstRow="1" w:lastRow="0" w:firstColumn="1" w:lastColumn="0" w:noHBand="0" w:noVBand="1"/>
      </w:tblPr>
      <w:tblGrid>
        <w:gridCol w:w="50"/>
        <w:gridCol w:w="1951"/>
        <w:gridCol w:w="37"/>
        <w:gridCol w:w="36"/>
        <w:gridCol w:w="36"/>
        <w:gridCol w:w="36"/>
        <w:gridCol w:w="39"/>
        <w:gridCol w:w="3231"/>
        <w:gridCol w:w="38"/>
        <w:gridCol w:w="36"/>
        <w:gridCol w:w="36"/>
        <w:gridCol w:w="36"/>
        <w:gridCol w:w="121"/>
        <w:gridCol w:w="1160"/>
        <w:gridCol w:w="36"/>
        <w:gridCol w:w="36"/>
        <w:gridCol w:w="36"/>
        <w:gridCol w:w="36"/>
        <w:gridCol w:w="121"/>
        <w:gridCol w:w="1162"/>
        <w:gridCol w:w="36"/>
      </w:tblGrid>
      <w:tr w:rsidR="00000000">
        <w:tc>
          <w:tcPr>
            <w:tcW w:w="50" w:type="pct"/>
            <w:vAlign w:val="center"/>
            <w:hideMark/>
          </w:tcPr>
          <w:p w:rsidR="00000000" w:rsidRDefault="00F123EE">
            <w:pPr>
              <w:jc w:val="both"/>
              <w:rPr>
                <w:rFonts w:eastAsia="Times New Roman"/>
              </w:rPr>
            </w:pPr>
          </w:p>
        </w:tc>
        <w:tc>
          <w:tcPr>
            <w:tcW w:w="1202"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1984"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741"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742"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Fiscal Year Ended</w:t>
            </w:r>
          </w:p>
        </w:tc>
      </w:tr>
      <w:tr w:rsidR="00000000">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Statement of Income Location</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December 31,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December 25, 2021</w:t>
            </w:r>
          </w:p>
        </w:tc>
      </w:tr>
      <w:tr w:rsidR="00000000">
        <w:tc>
          <w:tcPr>
            <w:tcW w:w="0" w:type="auto"/>
            <w:gridSpan w:val="3"/>
            <w:shd w:val="clear" w:color="auto" w:fill="CCEEFF"/>
            <w:tcMar>
              <w:top w:w="30" w:type="dxa"/>
              <w:left w:w="20" w:type="dxa"/>
              <w:bottom w:w="30" w:type="dxa"/>
              <w:right w:w="20" w:type="dxa"/>
            </w:tcMar>
            <w:vAlign w:val="center"/>
            <w:hideMark/>
          </w:tcPr>
          <w:p w:rsidR="00000000" w:rsidRDefault="00F123EE">
            <w:pPr>
              <w:spacing w:after="100"/>
              <w:rPr>
                <w:rFonts w:eastAsia="Times New Roman"/>
              </w:rPr>
            </w:pPr>
            <w:r>
              <w:rPr>
                <w:rFonts w:eastAsia="Times New Roman"/>
                <w:color w:val="000000"/>
                <w:sz w:val="20"/>
                <w:szCs w:val="20"/>
              </w:rPr>
              <w:t>Finance lease cost:</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c>
          <w:tcPr>
            <w:tcW w:w="0" w:type="auto"/>
            <w:gridSpan w:val="3"/>
            <w:tcMar>
              <w:top w:w="30" w:type="dxa"/>
              <w:left w:w="155" w:type="dxa"/>
              <w:bottom w:w="30" w:type="dxa"/>
              <w:right w:w="20" w:type="dxa"/>
            </w:tcMar>
            <w:vAlign w:val="center"/>
            <w:hideMark/>
          </w:tcPr>
          <w:p w:rsidR="00000000" w:rsidRDefault="00F123EE">
            <w:pPr>
              <w:spacing w:after="100"/>
              <w:rPr>
                <w:rFonts w:eastAsia="Times New Roman"/>
              </w:rPr>
            </w:pPr>
            <w:r>
              <w:rPr>
                <w:rFonts w:eastAsia="Times New Roman"/>
                <w:color w:val="000000"/>
                <w:sz w:val="20"/>
                <w:szCs w:val="20"/>
              </w:rPr>
              <w:t>Amortization of lease assets</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F123EE">
            <w:pPr>
              <w:spacing w:after="100"/>
              <w:rPr>
                <w:rFonts w:eastAsia="Times New Roman"/>
              </w:rPr>
            </w:pPr>
            <w:r>
              <w:rPr>
                <w:rFonts w:eastAsia="Times New Roman"/>
                <w:color w:val="000000"/>
                <w:sz w:val="20"/>
                <w:szCs w:val="20"/>
              </w:rPr>
              <w:t>Depreciation and amortization</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3,351 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5,085 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center"/>
            <w:hideMark/>
          </w:tcPr>
          <w:p w:rsidR="00000000" w:rsidRDefault="00F123EE">
            <w:pPr>
              <w:spacing w:after="100"/>
              <w:rPr>
                <w:rFonts w:eastAsia="Times New Roman"/>
              </w:rPr>
            </w:pPr>
            <w:r>
              <w:rPr>
                <w:rFonts w:eastAsia="Times New Roman"/>
                <w:color w:val="000000"/>
                <w:sz w:val="20"/>
                <w:szCs w:val="20"/>
              </w:rPr>
              <w:t>Interest on lease liabilities</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F123EE">
            <w:pPr>
              <w:spacing w:after="100"/>
              <w:rPr>
                <w:rFonts w:eastAsia="Times New Roman"/>
              </w:rPr>
            </w:pPr>
            <w:r>
              <w:rPr>
                <w:rFonts w:eastAsia="Times New Roman"/>
                <w:color w:val="000000"/>
                <w:sz w:val="20"/>
                <w:szCs w:val="20"/>
              </w:rPr>
              <w:t>Interest expense, net</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1,787 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1,740 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F123EE">
            <w:pPr>
              <w:spacing w:after="100"/>
              <w:rPr>
                <w:rFonts w:eastAsia="Times New Roman"/>
              </w:rPr>
            </w:pPr>
            <w:r>
              <w:rPr>
                <w:rFonts w:eastAsia="Times New Roman"/>
                <w:color w:val="000000"/>
                <w:sz w:val="20"/>
                <w:szCs w:val="20"/>
              </w:rPr>
              <w:t>Operating lease cost</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F123EE">
            <w:pPr>
              <w:spacing w:after="100"/>
              <w:rPr>
                <w:rFonts w:eastAsia="Times New Roman"/>
              </w:rPr>
            </w:pPr>
            <w:r>
              <w:rPr>
                <w:rFonts w:eastAsia="Times New Roman"/>
                <w:color w:val="000000"/>
                <w:sz w:val="20"/>
                <w:szCs w:val="20"/>
              </w:rPr>
              <w:t>Selling, general and administrative expenses</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434,313 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400,908 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F123EE">
            <w:pPr>
              <w:spacing w:after="100"/>
              <w:rPr>
                <w:rFonts w:eastAsia="Times New Roman"/>
              </w:rPr>
            </w:pPr>
            <w:r>
              <w:rPr>
                <w:rFonts w:eastAsia="Times New Roman"/>
                <w:color w:val="000000"/>
                <w:sz w:val="20"/>
                <w:szCs w:val="20"/>
              </w:rPr>
              <w:t>Variable lease cost</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F123EE">
            <w:pPr>
              <w:spacing w:after="100"/>
              <w:rPr>
                <w:rFonts w:eastAsia="Times New Roman"/>
              </w:rPr>
            </w:pPr>
            <w:r>
              <w:rPr>
                <w:rFonts w:eastAsia="Times New Roman"/>
                <w:color w:val="000000"/>
                <w:sz w:val="20"/>
                <w:szCs w:val="20"/>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89,026 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79,479 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Net lease cost</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528,477 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487,212 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F123EE">
            <w:pPr>
              <w:spacing w:after="100"/>
              <w:jc w:val="right"/>
              <w:rPr>
                <w:rFonts w:eastAsia="Times New Roman"/>
              </w:rPr>
            </w:pPr>
          </w:p>
        </w:tc>
      </w:tr>
    </w:tbl>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following table summarizes the future maturities of the Company’s lease liabilities (in thousands):</w:t>
      </w:r>
    </w:p>
    <w:p w:rsidR="00000000" w:rsidRDefault="00F123EE">
      <w:pPr>
        <w:jc w:val="both"/>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38"/>
        <w:gridCol w:w="5114"/>
        <w:gridCol w:w="37"/>
        <w:gridCol w:w="36"/>
        <w:gridCol w:w="36"/>
        <w:gridCol w:w="36"/>
        <w:gridCol w:w="120"/>
        <w:gridCol w:w="850"/>
        <w:gridCol w:w="36"/>
        <w:gridCol w:w="36"/>
        <w:gridCol w:w="36"/>
        <w:gridCol w:w="36"/>
        <w:gridCol w:w="120"/>
        <w:gridCol w:w="600"/>
        <w:gridCol w:w="36"/>
        <w:gridCol w:w="36"/>
        <w:gridCol w:w="36"/>
        <w:gridCol w:w="36"/>
        <w:gridCol w:w="120"/>
        <w:gridCol w:w="850"/>
        <w:gridCol w:w="36"/>
      </w:tblGrid>
      <w:tr w:rsidR="00000000">
        <w:tc>
          <w:tcPr>
            <w:tcW w:w="50" w:type="pct"/>
            <w:vAlign w:val="center"/>
            <w:hideMark/>
          </w:tcPr>
          <w:p w:rsidR="00000000" w:rsidRDefault="00F123EE">
            <w:pPr>
              <w:jc w:val="both"/>
              <w:rPr>
                <w:rFonts w:eastAsia="Times New Roman"/>
              </w:rPr>
            </w:pPr>
          </w:p>
        </w:tc>
        <w:tc>
          <w:tcPr>
            <w:tcW w:w="3200"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480"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494"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494"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Operating Leases</w:t>
            </w:r>
            <w:r>
              <w:rPr>
                <w:rFonts w:eastAsia="Times New Roman"/>
                <w:b/>
                <w:bCs/>
                <w:color w:val="000000"/>
                <w:sz w:val="20"/>
                <w:szCs w:val="20"/>
              </w:rPr>
              <w:t xml:space="preserve"> </w:t>
            </w:r>
            <w:r>
              <w:rPr>
                <w:rFonts w:eastAsia="Times New Roman"/>
                <w:b/>
                <w:bCs/>
                <w:color w:val="000000"/>
                <w:sz w:val="13"/>
                <w:szCs w:val="13"/>
              </w:rPr>
              <w:t>(a</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Finance Leases</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Total</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2023</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453,562 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4,808 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458,370 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2024</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436,059 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4,823 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440,882 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2025</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412,422</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4,750</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417,172</w:t>
            </w: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2026</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379,691</w:t>
            </w: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4,720</w:t>
            </w: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384,411</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2027</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342,620</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4,802</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347,422</w:t>
            </w: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After 2027</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1,675,592</w:t>
            </w: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22,816</w:t>
            </w: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1,698,408</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Total lease payments</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3,699,946</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46,719</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3,746,665</w:t>
            </w: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Less: Interest</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(632,534)</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(8,889)</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(641,423)</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Present value of lease liabilities</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3,067,412 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37,830 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3,105,242 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bl>
    <w:p w:rsidR="00000000" w:rsidRDefault="00F123EE">
      <w:pPr>
        <w:ind w:hanging="270"/>
        <w:divId w:val="801922524"/>
        <w:rPr>
          <w:rFonts w:eastAsia="Times New Roman"/>
        </w:rPr>
      </w:pPr>
    </w:p>
    <w:p w:rsidR="00000000" w:rsidRDefault="00F123EE">
      <w:pPr>
        <w:ind w:hanging="270"/>
        <w:divId w:val="1622179284"/>
        <w:rPr>
          <w:rFonts w:eastAsia="Times New Roman"/>
        </w:rPr>
      </w:pPr>
      <w:r>
        <w:rPr>
          <w:rFonts w:eastAsia="Times New Roman"/>
          <w:color w:val="000000"/>
          <w:sz w:val="16"/>
          <w:szCs w:val="16"/>
        </w:rPr>
        <w:t>(a) Operating lease payments exclude $289.1 million of legally binding minimum lease payments for leases signed, but not yet commenced.</w:t>
      </w:r>
    </w:p>
    <w:p w:rsidR="00000000" w:rsidRDefault="00F123EE">
      <w:pPr>
        <w:ind w:hanging="270"/>
        <w:divId w:val="1640262403"/>
        <w:rPr>
          <w:rFonts w:eastAsia="Times New Roman"/>
        </w:rPr>
      </w:pPr>
    </w:p>
    <w:p w:rsidR="00000000" w:rsidRDefault="00F123EE">
      <w:pPr>
        <w:ind w:hanging="270"/>
        <w:jc w:val="both"/>
        <w:rPr>
          <w:rFonts w:eastAsia="Times New Roman"/>
        </w:rPr>
      </w:pPr>
      <w:r>
        <w:rPr>
          <w:rFonts w:eastAsia="Times New Roman"/>
          <w:color w:val="000000"/>
          <w:sz w:val="20"/>
          <w:szCs w:val="20"/>
        </w:rPr>
        <w:t>The following table summarizes the Company’s lease term and discount rate:</w:t>
      </w:r>
    </w:p>
    <w:tbl>
      <w:tblPr>
        <w:tblW w:w="4970" w:type="pct"/>
        <w:tblCellMar>
          <w:top w:w="15" w:type="dxa"/>
          <w:left w:w="15" w:type="dxa"/>
          <w:bottom w:w="15" w:type="dxa"/>
          <w:right w:w="15" w:type="dxa"/>
        </w:tblCellMar>
        <w:tblLook w:val="04A0" w:firstRow="1" w:lastRow="0" w:firstColumn="1" w:lastColumn="0" w:noHBand="0" w:noVBand="1"/>
      </w:tblPr>
      <w:tblGrid>
        <w:gridCol w:w="38"/>
        <w:gridCol w:w="5319"/>
        <w:gridCol w:w="37"/>
        <w:gridCol w:w="36"/>
        <w:gridCol w:w="36"/>
        <w:gridCol w:w="36"/>
        <w:gridCol w:w="57"/>
        <w:gridCol w:w="1079"/>
        <w:gridCol w:w="187"/>
        <w:gridCol w:w="36"/>
        <w:gridCol w:w="36"/>
        <w:gridCol w:w="36"/>
        <w:gridCol w:w="57"/>
        <w:gridCol w:w="1079"/>
        <w:gridCol w:w="187"/>
      </w:tblGrid>
      <w:tr w:rsidR="00000000">
        <w:tc>
          <w:tcPr>
            <w:tcW w:w="50" w:type="pct"/>
            <w:vAlign w:val="center"/>
            <w:hideMark/>
          </w:tcPr>
          <w:p w:rsidR="00000000" w:rsidRDefault="00F123EE">
            <w:pPr>
              <w:ind w:hanging="270"/>
              <w:jc w:val="both"/>
              <w:rPr>
                <w:rFonts w:eastAsia="Times New Roman"/>
              </w:rPr>
            </w:pPr>
          </w:p>
        </w:tc>
        <w:tc>
          <w:tcPr>
            <w:tcW w:w="3268"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74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74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December 31, 2022</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December 25, 2021</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Weighted-average remaining lease term (years):</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c>
          <w:tcPr>
            <w:tcW w:w="0" w:type="auto"/>
            <w:gridSpan w:val="3"/>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Finance leases</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10.5</w:t>
            </w: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Operating leases</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10.1</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10.0</w:t>
            </w: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Weighted-average discount rate:</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Finance leases</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4.6 </w:t>
            </w:r>
          </w:p>
        </w:tc>
        <w:tc>
          <w:tcPr>
            <w:tcW w:w="0" w:type="auto"/>
            <w:shd w:val="clear" w:color="auto" w:fill="CCEEFF"/>
            <w:tcMar>
              <w:top w:w="30" w:type="dxa"/>
              <w:left w:w="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w:t>
            </w:r>
          </w:p>
        </w:tc>
      </w:tr>
      <w:tr w:rsidR="00000000">
        <w:tc>
          <w:tcPr>
            <w:tcW w:w="0" w:type="auto"/>
            <w:gridSpan w:val="3"/>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Operating leases</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3.8 </w:t>
            </w:r>
          </w:p>
        </w:tc>
        <w:tc>
          <w:tcPr>
            <w:tcW w:w="0" w:type="auto"/>
            <w:tcMar>
              <w:top w:w="30" w:type="dxa"/>
              <w:left w:w="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3.6 </w:t>
            </w:r>
          </w:p>
        </w:tc>
        <w:tc>
          <w:tcPr>
            <w:tcW w:w="0" w:type="auto"/>
            <w:tcMar>
              <w:top w:w="30" w:type="dxa"/>
              <w:left w:w="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w:t>
            </w:r>
          </w:p>
        </w:tc>
      </w:tr>
    </w:tbl>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following table summarizes the other information related to the Company’s lease liabilities (in thousands):</w:t>
      </w:r>
    </w:p>
    <w:tbl>
      <w:tblPr>
        <w:tblW w:w="5000" w:type="pct"/>
        <w:tblCellMar>
          <w:top w:w="15" w:type="dxa"/>
          <w:left w:w="15" w:type="dxa"/>
          <w:bottom w:w="15" w:type="dxa"/>
          <w:right w:w="15" w:type="dxa"/>
        </w:tblCellMar>
        <w:tblLook w:val="04A0" w:firstRow="1" w:lastRow="0" w:firstColumn="1" w:lastColumn="0" w:noHBand="0" w:noVBand="1"/>
      </w:tblPr>
      <w:tblGrid>
        <w:gridCol w:w="38"/>
        <w:gridCol w:w="5404"/>
        <w:gridCol w:w="36"/>
        <w:gridCol w:w="36"/>
        <w:gridCol w:w="36"/>
        <w:gridCol w:w="36"/>
        <w:gridCol w:w="121"/>
        <w:gridCol w:w="1148"/>
        <w:gridCol w:w="36"/>
        <w:gridCol w:w="36"/>
        <w:gridCol w:w="36"/>
        <w:gridCol w:w="36"/>
        <w:gridCol w:w="121"/>
        <w:gridCol w:w="1150"/>
        <w:gridCol w:w="36"/>
      </w:tblGrid>
      <w:tr w:rsidR="00000000">
        <w:tc>
          <w:tcPr>
            <w:tcW w:w="50" w:type="pct"/>
            <w:vAlign w:val="center"/>
            <w:hideMark/>
          </w:tcPr>
          <w:p w:rsidR="00000000" w:rsidRDefault="00F123EE">
            <w:pPr>
              <w:jc w:val="both"/>
              <w:rPr>
                <w:rFonts w:eastAsia="Times New Roman"/>
              </w:rPr>
            </w:pPr>
          </w:p>
        </w:tc>
        <w:tc>
          <w:tcPr>
            <w:tcW w:w="3278"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741"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741"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Fiscal Year Ended</w:t>
            </w:r>
          </w:p>
        </w:tc>
      </w:tr>
      <w:tr w:rsidR="00000000">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December 31,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December 25, 2021</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Cash paid for amounts included in the measurement of lease liabilities:</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c>
          <w:tcPr>
            <w:tcW w:w="0" w:type="auto"/>
            <w:gridSpan w:val="3"/>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Financing cash flows used for finance leases</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4,057 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4,580 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Operating cash flows used for finance leases</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1,787 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1,740 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Operating cash flows for operating leases</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430,396 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404,864 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r>
    </w:tbl>
    <w:p w:rsidR="00000000" w:rsidRDefault="00F123EE">
      <w:pPr>
        <w:jc w:val="both"/>
        <w:rPr>
          <w:rFonts w:eastAsia="Times New Roman"/>
        </w:rPr>
      </w:pPr>
    </w:p>
    <w:p w:rsidR="00000000" w:rsidRDefault="00F123EE">
      <w:pPr>
        <w:jc w:val="center"/>
        <w:divId w:val="2082437959"/>
        <w:rPr>
          <w:rFonts w:eastAsia="Times New Roman"/>
        </w:rPr>
      </w:pPr>
      <w:r>
        <w:rPr>
          <w:rFonts w:eastAsia="Times New Roman"/>
          <w:color w:val="000000"/>
          <w:sz w:val="20"/>
          <w:szCs w:val="20"/>
        </w:rPr>
        <w:t>71</w:t>
      </w:r>
    </w:p>
    <w:p w:rsidR="00000000" w:rsidRDefault="00F123EE">
      <w:pPr>
        <w:rPr>
          <w:rFonts w:eastAsia="Times New Roman"/>
        </w:rPr>
      </w:pPr>
      <w:r>
        <w:rPr>
          <w:rFonts w:eastAsia="Times New Roman"/>
        </w:rPr>
        <w:pict>
          <v:rect id="_x0000_i1101" style="width:0;height:1.5pt" o:hralign="center" o:hrstd="t" o:hr="t" fillcolor="#a0a0a0" stroked="f"/>
        </w:pict>
      </w:r>
    </w:p>
    <w:p w:rsidR="00000000" w:rsidRDefault="00F123EE">
      <w:pPr>
        <w:divId w:val="2511255"/>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r>
        <w:rPr>
          <w:rFonts w:eastAsia="Times New Roman"/>
          <w:b/>
          <w:bCs/>
          <w:color w:val="000000"/>
          <w:sz w:val="20"/>
          <w:szCs w:val="20"/>
        </w:rPr>
        <w:t>Note 7 – Capital Stock and Dividends: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u w:val="single"/>
        </w:rPr>
        <w:t>Capital Stock</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authorized capital stock of the Company consists of common stock and preferred stock. The Compan</w:t>
      </w:r>
      <w:r>
        <w:rPr>
          <w:rFonts w:eastAsia="Times New Roman"/>
          <w:color w:val="000000"/>
          <w:sz w:val="20"/>
          <w:szCs w:val="20"/>
        </w:rPr>
        <w:t>y is authorized to issue 400 million shares of common stock. The Company is also authorized to issue 40 thousand shares of preferred stock, with such designations, rights and preferences as may be determined from time to time by the Company’s Board of Dire</w:t>
      </w:r>
      <w:r>
        <w:rPr>
          <w:rFonts w:eastAsia="Times New Roman"/>
          <w:color w:val="000000"/>
          <w:sz w:val="20"/>
          <w:szCs w:val="20"/>
        </w:rPr>
        <w:t>ctors.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u w:val="single"/>
        </w:rPr>
        <w:t>Dividends</w:t>
      </w:r>
    </w:p>
    <w:p w:rsidR="00000000" w:rsidRDefault="00F123EE">
      <w:pPr>
        <w:jc w:val="both"/>
        <w:rPr>
          <w:rFonts w:eastAsia="Times New Roman"/>
        </w:rPr>
      </w:pPr>
    </w:p>
    <w:p w:rsidR="00000000" w:rsidRDefault="00F123EE">
      <w:pPr>
        <w:divId w:val="1739785300"/>
        <w:rPr>
          <w:rFonts w:eastAsia="Times New Roman"/>
        </w:rPr>
      </w:pPr>
      <w:r>
        <w:rPr>
          <w:rFonts w:eastAsia="Times New Roman"/>
          <w:color w:val="000000"/>
          <w:sz w:val="20"/>
          <w:szCs w:val="20"/>
        </w:rPr>
        <w:t>During fiscal 2022 and 2021, the Company’s Board of Directors declared the following cash dividends:</w:t>
      </w:r>
    </w:p>
    <w:tbl>
      <w:tblPr>
        <w:tblW w:w="5000" w:type="pct"/>
        <w:tblCellMar>
          <w:top w:w="15" w:type="dxa"/>
          <w:left w:w="15" w:type="dxa"/>
          <w:bottom w:w="15" w:type="dxa"/>
          <w:right w:w="15" w:type="dxa"/>
        </w:tblCellMar>
        <w:tblLook w:val="04A0" w:firstRow="1" w:lastRow="0" w:firstColumn="1" w:lastColumn="0" w:noHBand="0" w:noVBand="1"/>
      </w:tblPr>
      <w:tblGrid>
        <w:gridCol w:w="57"/>
        <w:gridCol w:w="2252"/>
        <w:gridCol w:w="37"/>
        <w:gridCol w:w="36"/>
        <w:gridCol w:w="36"/>
        <w:gridCol w:w="36"/>
        <w:gridCol w:w="48"/>
        <w:gridCol w:w="1319"/>
        <w:gridCol w:w="36"/>
        <w:gridCol w:w="36"/>
        <w:gridCol w:w="36"/>
        <w:gridCol w:w="36"/>
        <w:gridCol w:w="40"/>
        <w:gridCol w:w="2106"/>
        <w:gridCol w:w="37"/>
        <w:gridCol w:w="36"/>
        <w:gridCol w:w="36"/>
        <w:gridCol w:w="36"/>
        <w:gridCol w:w="40"/>
        <w:gridCol w:w="1973"/>
        <w:gridCol w:w="37"/>
      </w:tblGrid>
      <w:tr w:rsidR="00000000">
        <w:trPr>
          <w:divId w:val="1739785300"/>
        </w:trPr>
        <w:tc>
          <w:tcPr>
            <w:tcW w:w="50" w:type="pct"/>
            <w:vAlign w:val="center"/>
            <w:hideMark/>
          </w:tcPr>
          <w:p w:rsidR="00000000" w:rsidRDefault="00F123EE">
            <w:pPr>
              <w:rPr>
                <w:rFonts w:eastAsia="Times New Roman"/>
              </w:rPr>
            </w:pPr>
          </w:p>
        </w:tc>
        <w:tc>
          <w:tcPr>
            <w:tcW w:w="1370"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814"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1282"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1202"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rPr>
          <w:divId w:val="1739785300"/>
        </w:trPr>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Date Declared</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Dividend Amount</w:t>
            </w:r>
            <w:r>
              <w:rPr>
                <w:rFonts w:eastAsia="Times New Roman"/>
                <w:b/>
                <w:bCs/>
                <w:color w:val="000000"/>
                <w:sz w:val="20"/>
                <w:szCs w:val="20"/>
              </w:rPr>
              <w:br/>
              <w:t>Per Share of Common Stock</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Record Date</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Date Paid</w:t>
            </w:r>
          </w:p>
        </w:tc>
      </w:tr>
      <w:tr w:rsidR="00000000">
        <w:trPr>
          <w:divId w:val="173978530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November 2, 2022</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$0.92</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November 21, 2022</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December 6, 2022</w:t>
            </w:r>
          </w:p>
        </w:tc>
      </w:tr>
      <w:tr w:rsidR="00000000">
        <w:trPr>
          <w:divId w:val="1739785300"/>
        </w:trPr>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August 4, 2022</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$0.92</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August 22, 2022</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September 7, 2022</w:t>
            </w:r>
          </w:p>
        </w:tc>
      </w:tr>
      <w:tr w:rsidR="00000000">
        <w:trPr>
          <w:divId w:val="1739785300"/>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May 10, 2022</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$0.92</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May 25, 2022</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June 8, 2022</w:t>
            </w:r>
          </w:p>
        </w:tc>
      </w:tr>
      <w:tr w:rsidR="00000000">
        <w:trPr>
          <w:divId w:val="1739785300"/>
        </w:trPr>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January 26, 2022</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$0.92</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February 21, 2022</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March 8, 2022</w:t>
            </w:r>
          </w:p>
        </w:tc>
      </w:tr>
      <w:tr w:rsidR="00000000">
        <w:trPr>
          <w:divId w:val="1739785300"/>
          <w:trHeight w:val="300"/>
        </w:trPr>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1739785300"/>
        </w:trPr>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November 3, 2021</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$0.52</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November 22, 2021</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December 8, 2021</w:t>
            </w:r>
          </w:p>
        </w:tc>
      </w:tr>
      <w:tr w:rsidR="00000000">
        <w:trPr>
          <w:divId w:val="1739785300"/>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August 4, 2021</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$0.52</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August 23, 2021</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September 8, 2021</w:t>
            </w:r>
          </w:p>
        </w:tc>
      </w:tr>
      <w:tr w:rsidR="00000000">
        <w:trPr>
          <w:divId w:val="1739785300"/>
        </w:trPr>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May 5, 2021</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$0.52</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May 24, 2021</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June 8, 2021</w:t>
            </w:r>
          </w:p>
        </w:tc>
      </w:tr>
      <w:tr w:rsidR="00000000">
        <w:trPr>
          <w:divId w:val="1739785300"/>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January 27, 2021</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$0.52</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February 22, 2021</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color w:val="000000"/>
                <w:sz w:val="20"/>
                <w:szCs w:val="20"/>
              </w:rPr>
              <w:t>March 9, 2021</w:t>
            </w:r>
          </w:p>
        </w:tc>
      </w:tr>
    </w:tbl>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It is the present intention of the Company’</w:t>
      </w:r>
      <w:r>
        <w:rPr>
          <w:rFonts w:eastAsia="Times New Roman"/>
          <w:color w:val="000000"/>
          <w:sz w:val="20"/>
          <w:szCs w:val="20"/>
        </w:rPr>
        <w:t>s Board of Directors to continue to pay a quarterly cash dividend; however, the declaration and payment amount of future dividends will be determined by the Company’s Board of Directors in its sole discretion and will depend upon the earnings, financial co</w:t>
      </w:r>
      <w:r>
        <w:rPr>
          <w:rFonts w:eastAsia="Times New Roman"/>
          <w:color w:val="000000"/>
          <w:sz w:val="20"/>
          <w:szCs w:val="20"/>
        </w:rPr>
        <w:t>ndition, and capital needs of the Company, along with any other factors which the Company’s Board of Directors deem relevant.</w:t>
      </w:r>
    </w:p>
    <w:p w:rsidR="00000000" w:rsidRDefault="00F123EE">
      <w:pPr>
        <w:divId w:val="289013795"/>
        <w:rPr>
          <w:rFonts w:eastAsia="Times New Roman"/>
        </w:rPr>
      </w:pPr>
    </w:p>
    <w:p w:rsidR="00000000" w:rsidRDefault="00F123EE">
      <w:pPr>
        <w:jc w:val="both"/>
        <w:rPr>
          <w:rFonts w:eastAsia="Times New Roman"/>
        </w:rPr>
      </w:pPr>
      <w:r>
        <w:rPr>
          <w:rFonts w:eastAsia="Times New Roman"/>
          <w:color w:val="000000"/>
          <w:sz w:val="20"/>
          <w:szCs w:val="20"/>
          <w:shd w:val="clear" w:color="auto" w:fill="FFFFFF"/>
        </w:rPr>
        <w:t>On February 8, 2023, the Company’</w:t>
      </w:r>
      <w:r>
        <w:rPr>
          <w:rFonts w:eastAsia="Times New Roman"/>
          <w:color w:val="000000"/>
          <w:sz w:val="20"/>
          <w:szCs w:val="20"/>
          <w:shd w:val="clear" w:color="auto" w:fill="FFFFFF"/>
        </w:rPr>
        <w:t xml:space="preserve">s Board of Directors declared a quarterly cash dividend of </w:t>
      </w:r>
      <w:r>
        <w:rPr>
          <w:rFonts w:eastAsia="Times New Roman"/>
          <w:color w:val="000000"/>
          <w:sz w:val="20"/>
          <w:szCs w:val="20"/>
        </w:rPr>
        <w:t>$1.03</w:t>
      </w:r>
      <w:r>
        <w:rPr>
          <w:rFonts w:eastAsia="Times New Roman"/>
          <w:color w:val="000000"/>
          <w:sz w:val="20"/>
          <w:szCs w:val="20"/>
          <w:shd w:val="clear" w:color="auto" w:fill="FFFFFF"/>
        </w:rPr>
        <w:t xml:space="preserve"> per share of the Company’s outstanding common stock.  The dividend will be paid on March 14, 2023, to stockholders of record as of the close of business on February 27, 2023. </w:t>
      </w:r>
    </w:p>
    <w:p w:rsidR="00000000" w:rsidRDefault="00F123EE">
      <w:pPr>
        <w:divId w:val="1219513829"/>
        <w:rPr>
          <w:rFonts w:eastAsia="Times New Roman"/>
        </w:rPr>
      </w:pPr>
    </w:p>
    <w:p w:rsidR="00000000" w:rsidRDefault="00F123EE">
      <w:pPr>
        <w:jc w:val="both"/>
        <w:rPr>
          <w:rFonts w:eastAsia="Times New Roman"/>
        </w:rPr>
      </w:pPr>
      <w:r>
        <w:rPr>
          <w:rFonts w:eastAsia="Times New Roman"/>
          <w:b/>
          <w:bCs/>
          <w:color w:val="000000"/>
          <w:sz w:val="20"/>
          <w:szCs w:val="20"/>
        </w:rPr>
        <w:t>Note 8 – Trea</w:t>
      </w:r>
      <w:r>
        <w:rPr>
          <w:rFonts w:eastAsia="Times New Roman"/>
          <w:b/>
          <w:bCs/>
          <w:color w:val="000000"/>
          <w:sz w:val="20"/>
          <w:szCs w:val="20"/>
        </w:rPr>
        <w:t>sury Stock:</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Company’</w:t>
      </w:r>
      <w:r>
        <w:rPr>
          <w:rFonts w:eastAsia="Times New Roman"/>
          <w:color w:val="000000"/>
          <w:sz w:val="20"/>
          <w:szCs w:val="20"/>
        </w:rPr>
        <w:t>s Board of Directors has authorized common stock repurchases under a share repurchase program which was announced in February 2007. As of December 31, 2022, the authorization amount of the program, which has been increased from time to time, was authorized</w:t>
      </w:r>
      <w:r>
        <w:rPr>
          <w:rFonts w:eastAsia="Times New Roman"/>
          <w:color w:val="000000"/>
          <w:sz w:val="20"/>
          <w:szCs w:val="20"/>
        </w:rPr>
        <w:t xml:space="preserve"> for up to $6.50 billion, exclusive of any fees, commissions or other expenses related to such repurchases. The total authorized amount reflects a $2.00 billion increase to the share repurchase program which was approved by the Board of Directors on Januar</w:t>
      </w:r>
      <w:r>
        <w:rPr>
          <w:rFonts w:eastAsia="Times New Roman"/>
          <w:color w:val="000000"/>
          <w:sz w:val="20"/>
          <w:szCs w:val="20"/>
        </w:rPr>
        <w:t>y 26, 2022. The share repurchase program does not have an expiration date. The repurchases may be made from time to time on the open market or in privately negotiated transactions. The timing and amount of any shares repurchased under the program will depe</w:t>
      </w:r>
      <w:r>
        <w:rPr>
          <w:rFonts w:eastAsia="Times New Roman"/>
          <w:color w:val="000000"/>
          <w:sz w:val="20"/>
          <w:szCs w:val="20"/>
        </w:rPr>
        <w:t>nd on a variety of factors, including price, corporate and regulatory requirements, capital availability and other market conditions. Repurchased shares are accounted for at cost and will be held in treasury for future issuance. The program may be limited,</w:t>
      </w:r>
      <w:r>
        <w:rPr>
          <w:rFonts w:eastAsia="Times New Roman"/>
          <w:color w:val="000000"/>
          <w:sz w:val="20"/>
          <w:szCs w:val="20"/>
        </w:rPr>
        <w:t xml:space="preserve"> temporarily paused, or terminated at any time without prior notice. As of December 31, 2022, the Company had remaining authorization under the share repurchase program of $1.65 billion, exclusive of any fees, commissions or other expenses.</w:t>
      </w:r>
    </w:p>
    <w:p w:rsidR="00000000" w:rsidRDefault="00F123EE">
      <w:pPr>
        <w:jc w:val="both"/>
        <w:rPr>
          <w:rFonts w:eastAsia="Times New Roman"/>
        </w:rPr>
      </w:pPr>
    </w:p>
    <w:p w:rsidR="00000000" w:rsidRDefault="00F123EE">
      <w:pPr>
        <w:jc w:val="center"/>
        <w:divId w:val="2009945728"/>
        <w:rPr>
          <w:rFonts w:eastAsia="Times New Roman"/>
        </w:rPr>
      </w:pPr>
      <w:r>
        <w:rPr>
          <w:rFonts w:eastAsia="Times New Roman"/>
          <w:color w:val="000000"/>
          <w:sz w:val="20"/>
          <w:szCs w:val="20"/>
        </w:rPr>
        <w:t>72</w:t>
      </w:r>
    </w:p>
    <w:p w:rsidR="00000000" w:rsidRDefault="00F123EE">
      <w:pPr>
        <w:rPr>
          <w:rFonts w:eastAsia="Times New Roman"/>
        </w:rPr>
      </w:pPr>
      <w:r>
        <w:rPr>
          <w:rFonts w:eastAsia="Times New Roman"/>
        </w:rPr>
        <w:pict>
          <v:rect id="_x0000_i1102" style="width:0;height:1.5pt" o:hralign="center" o:hrstd="t" o:hr="t" fillcolor="#a0a0a0" stroked="f"/>
        </w:pict>
      </w:r>
    </w:p>
    <w:p w:rsidR="00000000" w:rsidRDefault="00F123EE">
      <w:pPr>
        <w:divId w:val="943731088"/>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r>
        <w:rPr>
          <w:rFonts w:eastAsia="Times New Roman"/>
          <w:color w:val="000000"/>
          <w:sz w:val="20"/>
          <w:szCs w:val="20"/>
        </w:rPr>
        <w:t>The following table provides the number of shares repurchased, average price paid per share, and total amount paid for share repurchases in fiscal 2022, 2021, and 202</w:t>
      </w:r>
      <w:r>
        <w:rPr>
          <w:rFonts w:eastAsia="Times New Roman"/>
          <w:color w:val="000000"/>
          <w:sz w:val="20"/>
          <w:szCs w:val="20"/>
        </w:rPr>
        <w:t>0, respectively (in thousands, except per share amounts):  </w:t>
      </w:r>
    </w:p>
    <w:tbl>
      <w:tblPr>
        <w:tblW w:w="4970" w:type="pct"/>
        <w:tblCellMar>
          <w:top w:w="15" w:type="dxa"/>
          <w:left w:w="15" w:type="dxa"/>
          <w:bottom w:w="15" w:type="dxa"/>
          <w:right w:w="15" w:type="dxa"/>
        </w:tblCellMar>
        <w:tblLook w:val="04A0" w:firstRow="1" w:lastRow="0" w:firstColumn="1" w:lastColumn="0" w:noHBand="0" w:noVBand="1"/>
      </w:tblPr>
      <w:tblGrid>
        <w:gridCol w:w="37"/>
        <w:gridCol w:w="4020"/>
        <w:gridCol w:w="36"/>
        <w:gridCol w:w="120"/>
        <w:gridCol w:w="1176"/>
        <w:gridCol w:w="36"/>
        <w:gridCol w:w="36"/>
        <w:gridCol w:w="36"/>
        <w:gridCol w:w="36"/>
        <w:gridCol w:w="120"/>
        <w:gridCol w:w="1127"/>
        <w:gridCol w:w="36"/>
        <w:gridCol w:w="36"/>
        <w:gridCol w:w="36"/>
        <w:gridCol w:w="36"/>
        <w:gridCol w:w="120"/>
        <w:gridCol w:w="1176"/>
        <w:gridCol w:w="36"/>
      </w:tblGrid>
      <w:tr w:rsidR="00000000">
        <w:tc>
          <w:tcPr>
            <w:tcW w:w="50" w:type="pct"/>
            <w:vAlign w:val="center"/>
            <w:hideMark/>
          </w:tcPr>
          <w:p w:rsidR="00000000" w:rsidRDefault="00F123EE">
            <w:pPr>
              <w:jc w:val="both"/>
              <w:rPr>
                <w:rFonts w:eastAsia="Times New Roman"/>
              </w:rPr>
            </w:pPr>
          </w:p>
        </w:tc>
        <w:tc>
          <w:tcPr>
            <w:tcW w:w="2474"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74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74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19"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74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Fiscal Year</w:t>
            </w:r>
          </w:p>
        </w:tc>
      </w:tr>
      <w:tr w:rsidR="00000000">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2020</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Total number of shares repurchased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3,378 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4,364 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3,439 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Average price paid per share</w:t>
            </w:r>
          </w:p>
        </w:tc>
        <w:tc>
          <w:tcPr>
            <w:tcW w:w="0" w:type="auto"/>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207.23 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183.07 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99.72 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Total cash paid for share repurchases</w:t>
            </w:r>
          </w:p>
        </w:tc>
        <w:tc>
          <w:tcPr>
            <w:tcW w:w="0" w:type="auto"/>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700,063 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798,893 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342,957 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bl>
    <w:p w:rsidR="00000000" w:rsidRDefault="00F123EE">
      <w:pPr>
        <w:divId w:val="914170365"/>
        <w:rPr>
          <w:rFonts w:eastAsia="Times New Roman"/>
        </w:rPr>
      </w:pPr>
    </w:p>
    <w:p w:rsidR="00000000" w:rsidRDefault="00F123EE">
      <w:pPr>
        <w:jc w:val="both"/>
        <w:rPr>
          <w:rFonts w:eastAsia="Times New Roman"/>
        </w:rPr>
      </w:pPr>
      <w:r>
        <w:rPr>
          <w:rFonts w:eastAsia="Times New Roman"/>
          <w:color w:val="000000"/>
          <w:sz w:val="20"/>
          <w:szCs w:val="20"/>
        </w:rPr>
        <w:t>Shares repurchased in fiscal 2020 were impacted by the temporary suspension of our share repurchase program from March 12, 2020 until November 5, 2020, in order to strengthen our liquidity and preserve cash while navigating the COVID-19 pandemic.</w:t>
      </w:r>
    </w:p>
    <w:p w:rsidR="00000000" w:rsidRDefault="00F123EE">
      <w:pPr>
        <w:jc w:val="both"/>
        <w:rPr>
          <w:rFonts w:eastAsia="Times New Roman"/>
        </w:rPr>
      </w:pPr>
    </w:p>
    <w:p w:rsidR="00000000" w:rsidRDefault="00F123EE">
      <w:pPr>
        <w:divId w:val="44650003"/>
        <w:rPr>
          <w:rFonts w:eastAsia="Times New Roman"/>
        </w:rPr>
      </w:pPr>
      <w:r>
        <w:rPr>
          <w:rFonts w:eastAsia="Times New Roman"/>
          <w:b/>
          <w:bCs/>
          <w:color w:val="000000"/>
          <w:sz w:val="20"/>
          <w:szCs w:val="20"/>
        </w:rPr>
        <w:t xml:space="preserve">Note 9 </w:t>
      </w:r>
      <w:r>
        <w:rPr>
          <w:rFonts w:eastAsia="Times New Roman"/>
          <w:b/>
          <w:bCs/>
          <w:color w:val="000000"/>
          <w:sz w:val="20"/>
          <w:szCs w:val="20"/>
        </w:rPr>
        <w:t>– Net Income Per Share:</w:t>
      </w:r>
    </w:p>
    <w:p w:rsidR="00000000" w:rsidRDefault="00F123EE">
      <w:pPr>
        <w:divId w:val="1219317225"/>
        <w:rPr>
          <w:rFonts w:eastAsia="Times New Roman"/>
        </w:rPr>
      </w:pPr>
    </w:p>
    <w:p w:rsidR="00000000" w:rsidRDefault="00F123EE">
      <w:pPr>
        <w:divId w:val="754595182"/>
        <w:rPr>
          <w:rFonts w:eastAsia="Times New Roman"/>
        </w:rPr>
      </w:pPr>
      <w:r>
        <w:rPr>
          <w:rFonts w:eastAsia="Times New Roman"/>
          <w:color w:val="000000"/>
          <w:sz w:val="20"/>
          <w:szCs w:val="20"/>
        </w:rPr>
        <w:t>Net income per share is calculated as follows (in thousands, except per share amounts):</w:t>
      </w:r>
    </w:p>
    <w:tbl>
      <w:tblPr>
        <w:tblW w:w="4985" w:type="pct"/>
        <w:tblCellMar>
          <w:top w:w="15" w:type="dxa"/>
          <w:left w:w="15" w:type="dxa"/>
          <w:bottom w:w="15" w:type="dxa"/>
          <w:right w:w="15" w:type="dxa"/>
        </w:tblCellMar>
        <w:tblLook w:val="04A0" w:firstRow="1" w:lastRow="0" w:firstColumn="1" w:lastColumn="0" w:noHBand="0" w:noVBand="1"/>
      </w:tblPr>
      <w:tblGrid>
        <w:gridCol w:w="46"/>
        <w:gridCol w:w="4827"/>
        <w:gridCol w:w="37"/>
        <w:gridCol w:w="120"/>
        <w:gridCol w:w="940"/>
        <w:gridCol w:w="36"/>
        <w:gridCol w:w="36"/>
        <w:gridCol w:w="36"/>
        <w:gridCol w:w="36"/>
        <w:gridCol w:w="57"/>
        <w:gridCol w:w="899"/>
        <w:gridCol w:w="36"/>
        <w:gridCol w:w="36"/>
        <w:gridCol w:w="36"/>
        <w:gridCol w:w="36"/>
        <w:gridCol w:w="121"/>
        <w:gridCol w:w="910"/>
        <w:gridCol w:w="36"/>
      </w:tblGrid>
      <w:tr w:rsidR="00000000">
        <w:trPr>
          <w:divId w:val="754595182"/>
        </w:trPr>
        <w:tc>
          <w:tcPr>
            <w:tcW w:w="50" w:type="pct"/>
            <w:vAlign w:val="center"/>
            <w:hideMark/>
          </w:tcPr>
          <w:p w:rsidR="00000000" w:rsidRDefault="00F123EE">
            <w:pPr>
              <w:rPr>
                <w:rFonts w:eastAsia="Times New Roman"/>
              </w:rPr>
            </w:pPr>
          </w:p>
        </w:tc>
        <w:tc>
          <w:tcPr>
            <w:tcW w:w="293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90"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90"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90"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rPr>
          <w:divId w:val="754595182"/>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Fiscal Year</w:t>
            </w:r>
          </w:p>
        </w:tc>
      </w:tr>
      <w:tr w:rsidR="00000000">
        <w:trPr>
          <w:divId w:val="754595182"/>
        </w:trPr>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2022</w:t>
            </w:r>
          </w:p>
        </w:tc>
      </w:tr>
      <w:tr w:rsidR="00000000">
        <w:trPr>
          <w:divId w:val="754595182"/>
        </w:trPr>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Net</w:t>
            </w:r>
          </w:p>
          <w:p w:rsidR="00000000" w:rsidRDefault="00F123EE">
            <w:pPr>
              <w:spacing w:after="100"/>
              <w:jc w:val="center"/>
              <w:rPr>
                <w:rFonts w:eastAsia="Times New Roman"/>
              </w:rPr>
            </w:pPr>
            <w:r>
              <w:rPr>
                <w:rFonts w:eastAsia="Times New Roman"/>
                <w:b/>
                <w:bCs/>
                <w:color w:val="000000"/>
                <w:sz w:val="20"/>
                <w:szCs w:val="20"/>
              </w:rPr>
              <w:t>Income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Per Share</w:t>
            </w:r>
          </w:p>
          <w:p w:rsidR="00000000" w:rsidRDefault="00F123EE">
            <w:pPr>
              <w:spacing w:after="100"/>
              <w:jc w:val="center"/>
              <w:rPr>
                <w:rFonts w:eastAsia="Times New Roman"/>
              </w:rPr>
            </w:pPr>
            <w:r>
              <w:rPr>
                <w:rFonts w:eastAsia="Times New Roman"/>
                <w:b/>
                <w:bCs/>
                <w:color w:val="000000"/>
                <w:sz w:val="20"/>
                <w:szCs w:val="20"/>
              </w:rPr>
              <w:t>Amount</w:t>
            </w:r>
          </w:p>
        </w:tc>
      </w:tr>
      <w:tr w:rsidR="00000000">
        <w:trPr>
          <w:divId w:val="754595182"/>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Basic net income per share: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1,088,712 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111,336 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divId w:val="754595182"/>
        </w:trPr>
        <w:tc>
          <w:tcPr>
            <w:tcW w:w="0" w:type="auto"/>
            <w:gridSpan w:val="3"/>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Dilutive effect of share-based awards</w:t>
            </w: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813 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(0.07)</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divId w:val="754595182"/>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Diluted net income per share: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1,088,712 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112,149 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bl>
    <w:tbl>
      <w:tblPr>
        <w:tblW w:w="4985" w:type="pct"/>
        <w:tblCellMar>
          <w:top w:w="15" w:type="dxa"/>
          <w:left w:w="15" w:type="dxa"/>
          <w:bottom w:w="15" w:type="dxa"/>
          <w:right w:w="15" w:type="dxa"/>
        </w:tblCellMar>
        <w:tblLook w:val="04A0" w:firstRow="1" w:lastRow="0" w:firstColumn="1" w:lastColumn="0" w:noHBand="0" w:noVBand="1"/>
      </w:tblPr>
      <w:tblGrid>
        <w:gridCol w:w="144"/>
        <w:gridCol w:w="4862"/>
        <w:gridCol w:w="144"/>
        <w:gridCol w:w="144"/>
        <w:gridCol w:w="977"/>
        <w:gridCol w:w="144"/>
        <w:gridCol w:w="144"/>
        <w:gridCol w:w="144"/>
        <w:gridCol w:w="144"/>
        <w:gridCol w:w="144"/>
        <w:gridCol w:w="977"/>
        <w:gridCol w:w="144"/>
        <w:gridCol w:w="144"/>
        <w:gridCol w:w="144"/>
        <w:gridCol w:w="144"/>
        <w:gridCol w:w="144"/>
        <w:gridCol w:w="977"/>
        <w:gridCol w:w="144"/>
      </w:tblGrid>
      <w:tr w:rsidR="00000000">
        <w:tc>
          <w:tcPr>
            <w:tcW w:w="50" w:type="pct"/>
            <w:vAlign w:val="center"/>
            <w:hideMark/>
          </w:tcPr>
          <w:p w:rsidR="00000000" w:rsidRDefault="00F123EE">
            <w:pPr>
              <w:rPr>
                <w:rFonts w:eastAsia="Times New Roman"/>
              </w:rPr>
            </w:pPr>
          </w:p>
        </w:tc>
        <w:tc>
          <w:tcPr>
            <w:tcW w:w="293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90"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90"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90"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Fiscal Year</w:t>
            </w: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2021</w:t>
            </w: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Net</w:t>
            </w:r>
          </w:p>
          <w:p w:rsidR="00000000" w:rsidRDefault="00F123EE">
            <w:pPr>
              <w:spacing w:after="100"/>
              <w:jc w:val="center"/>
              <w:rPr>
                <w:rFonts w:eastAsia="Times New Roman"/>
              </w:rPr>
            </w:pPr>
            <w:r>
              <w:rPr>
                <w:rFonts w:eastAsia="Times New Roman"/>
                <w:b/>
                <w:bCs/>
                <w:color w:val="000000"/>
                <w:sz w:val="20"/>
                <w:szCs w:val="20"/>
              </w:rPr>
              <w:t>Income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Per Share</w:t>
            </w:r>
          </w:p>
          <w:p w:rsidR="00000000" w:rsidRDefault="00F123EE">
            <w:pPr>
              <w:spacing w:after="100"/>
              <w:jc w:val="center"/>
              <w:rPr>
                <w:rFonts w:eastAsia="Times New Roman"/>
              </w:rPr>
            </w:pPr>
            <w:r>
              <w:rPr>
                <w:rFonts w:eastAsia="Times New Roman"/>
                <w:b/>
                <w:bCs/>
                <w:color w:val="000000"/>
                <w:sz w:val="20"/>
                <w:szCs w:val="20"/>
              </w:rPr>
              <w:t>Amount</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Basic net income per share: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997,114 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114,794 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8.69 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Dilutive effect of share-based awards</w:t>
            </w: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1,030 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(0.08)</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Diluted net income per share: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997,114 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115,824 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8.61 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bl>
    <w:p w:rsidR="00000000" w:rsidRDefault="00F123EE">
      <w:pPr>
        <w:divId w:val="529341943"/>
        <w:rPr>
          <w:rFonts w:eastAsia="Times New Roman"/>
          <w:vanish/>
        </w:rPr>
      </w:pPr>
    </w:p>
    <w:tbl>
      <w:tblPr>
        <w:tblW w:w="4985" w:type="pct"/>
        <w:tblCellMar>
          <w:top w:w="15" w:type="dxa"/>
          <w:left w:w="15" w:type="dxa"/>
          <w:bottom w:w="15" w:type="dxa"/>
          <w:right w:w="15" w:type="dxa"/>
        </w:tblCellMar>
        <w:tblLook w:val="04A0" w:firstRow="1" w:lastRow="0" w:firstColumn="1" w:lastColumn="0" w:noHBand="0" w:noVBand="1"/>
      </w:tblPr>
      <w:tblGrid>
        <w:gridCol w:w="46"/>
        <w:gridCol w:w="4827"/>
        <w:gridCol w:w="37"/>
        <w:gridCol w:w="120"/>
        <w:gridCol w:w="940"/>
        <w:gridCol w:w="36"/>
        <w:gridCol w:w="36"/>
        <w:gridCol w:w="36"/>
        <w:gridCol w:w="36"/>
        <w:gridCol w:w="57"/>
        <w:gridCol w:w="899"/>
        <w:gridCol w:w="36"/>
        <w:gridCol w:w="36"/>
        <w:gridCol w:w="36"/>
        <w:gridCol w:w="36"/>
        <w:gridCol w:w="121"/>
        <w:gridCol w:w="910"/>
        <w:gridCol w:w="36"/>
      </w:tblGrid>
      <w:tr w:rsidR="00000000">
        <w:trPr>
          <w:divId w:val="529341943"/>
        </w:trPr>
        <w:tc>
          <w:tcPr>
            <w:tcW w:w="50" w:type="pct"/>
            <w:vAlign w:val="center"/>
            <w:hideMark/>
          </w:tcPr>
          <w:p w:rsidR="00000000" w:rsidRDefault="00F123EE">
            <w:pPr>
              <w:rPr>
                <w:rFonts w:eastAsia="Times New Roman"/>
              </w:rPr>
            </w:pPr>
          </w:p>
        </w:tc>
        <w:tc>
          <w:tcPr>
            <w:tcW w:w="293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90"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90"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90"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rPr>
          <w:divId w:val="529341943"/>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Fiscal Year</w:t>
            </w:r>
          </w:p>
        </w:tc>
      </w:tr>
      <w:tr w:rsidR="00000000">
        <w:trPr>
          <w:divId w:val="529341943"/>
        </w:trPr>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2020</w:t>
            </w:r>
          </w:p>
        </w:tc>
      </w:tr>
      <w:tr w:rsidR="00000000">
        <w:trPr>
          <w:divId w:val="529341943"/>
        </w:trPr>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Net</w:t>
            </w:r>
          </w:p>
          <w:p w:rsidR="00000000" w:rsidRDefault="00F123EE">
            <w:pPr>
              <w:spacing w:after="100"/>
              <w:jc w:val="center"/>
              <w:rPr>
                <w:rFonts w:eastAsia="Times New Roman"/>
              </w:rPr>
            </w:pPr>
            <w:r>
              <w:rPr>
                <w:rFonts w:eastAsia="Times New Roman"/>
                <w:b/>
                <w:bCs/>
                <w:color w:val="000000"/>
                <w:sz w:val="20"/>
                <w:szCs w:val="20"/>
              </w:rPr>
              <w:t>Income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Per Share</w:t>
            </w:r>
          </w:p>
          <w:p w:rsidR="00000000" w:rsidRDefault="00F123EE">
            <w:pPr>
              <w:spacing w:after="100"/>
              <w:jc w:val="center"/>
              <w:rPr>
                <w:rFonts w:eastAsia="Times New Roman"/>
              </w:rPr>
            </w:pPr>
            <w:r>
              <w:rPr>
                <w:rFonts w:eastAsia="Times New Roman"/>
                <w:b/>
                <w:bCs/>
                <w:color w:val="000000"/>
                <w:sz w:val="20"/>
                <w:szCs w:val="20"/>
              </w:rPr>
              <w:t>Amount</w:t>
            </w:r>
          </w:p>
        </w:tc>
      </w:tr>
      <w:tr w:rsidR="00000000">
        <w:trPr>
          <w:divId w:val="529341943"/>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Basic net income per share: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748,958 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116,370 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divId w:val="529341943"/>
        </w:trPr>
        <w:tc>
          <w:tcPr>
            <w:tcW w:w="0" w:type="auto"/>
            <w:gridSpan w:val="3"/>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Dilutive effect of share-based awards</w:t>
            </w: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1,066 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(0.06)</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divId w:val="529341943"/>
        </w:trPr>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Diluted net income per share: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748,958 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117,436 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bl>
    <w:p w:rsidR="00000000" w:rsidRDefault="00F123EE">
      <w:pPr>
        <w:divId w:val="597446824"/>
        <w:rPr>
          <w:rFonts w:eastAsia="Times New Roman"/>
        </w:rPr>
      </w:pPr>
    </w:p>
    <w:p w:rsidR="00000000" w:rsidRDefault="00F123EE">
      <w:pPr>
        <w:jc w:val="both"/>
        <w:rPr>
          <w:rFonts w:eastAsia="Times New Roman"/>
        </w:rPr>
      </w:pPr>
      <w:r>
        <w:rPr>
          <w:rFonts w:eastAsia="Times New Roman"/>
          <w:color w:val="000000"/>
          <w:sz w:val="20"/>
          <w:szCs w:val="20"/>
        </w:rPr>
        <w:t xml:space="preserve">Anti-dilutive share-based awards excluded from the above calculations totaled approximately 0.1 million in fiscal 2022 and less than 0.1 million in fiscal 2021 and fiscal 2020. </w:t>
      </w:r>
    </w:p>
    <w:p w:rsidR="00000000" w:rsidRDefault="00F123EE">
      <w:pPr>
        <w:divId w:val="1399940759"/>
        <w:rPr>
          <w:rFonts w:eastAsia="Times New Roman"/>
        </w:rPr>
      </w:pPr>
    </w:p>
    <w:p w:rsidR="00000000" w:rsidRDefault="00F123EE">
      <w:pPr>
        <w:jc w:val="center"/>
        <w:divId w:val="1683162467"/>
        <w:rPr>
          <w:rFonts w:eastAsia="Times New Roman"/>
        </w:rPr>
      </w:pPr>
      <w:r>
        <w:rPr>
          <w:rFonts w:eastAsia="Times New Roman"/>
          <w:color w:val="000000"/>
          <w:sz w:val="20"/>
          <w:szCs w:val="20"/>
        </w:rPr>
        <w:t>73</w:t>
      </w:r>
    </w:p>
    <w:p w:rsidR="00000000" w:rsidRDefault="00F123EE">
      <w:pPr>
        <w:rPr>
          <w:rFonts w:eastAsia="Times New Roman"/>
        </w:rPr>
      </w:pPr>
      <w:r>
        <w:rPr>
          <w:rFonts w:eastAsia="Times New Roman"/>
        </w:rPr>
        <w:pict>
          <v:rect id="_x0000_i1103" style="width:0;height:1.5pt" o:hralign="center" o:hrstd="t" o:hr="t" fillcolor="#a0a0a0" stroked="f"/>
        </w:pict>
      </w:r>
    </w:p>
    <w:p w:rsidR="00000000" w:rsidRDefault="00F123EE">
      <w:pPr>
        <w:divId w:val="114562814"/>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r>
        <w:rPr>
          <w:rFonts w:eastAsia="Times New Roman"/>
          <w:b/>
          <w:bCs/>
          <w:color w:val="000000"/>
          <w:sz w:val="20"/>
          <w:szCs w:val="20"/>
          <w:shd w:val="clear" w:color="auto" w:fill="FFFFFF"/>
        </w:rPr>
        <w:t xml:space="preserve">Note 10 – Income Taxes: </w:t>
      </w:r>
    </w:p>
    <w:p w:rsidR="00000000" w:rsidRDefault="00F123EE">
      <w:pPr>
        <w:divId w:val="1418792911"/>
        <w:rPr>
          <w:rFonts w:eastAsia="Times New Roman"/>
        </w:rPr>
      </w:pPr>
    </w:p>
    <w:p w:rsidR="00000000" w:rsidRDefault="00F123EE">
      <w:pPr>
        <w:jc w:val="both"/>
        <w:rPr>
          <w:rFonts w:eastAsia="Times New Roman"/>
        </w:rPr>
      </w:pPr>
      <w:r>
        <w:rPr>
          <w:rFonts w:eastAsia="Times New Roman"/>
          <w:color w:val="000000"/>
          <w:sz w:val="20"/>
          <w:szCs w:val="20"/>
        </w:rPr>
        <w:t>The provision for income taxes consists of the following (in thousands):</w:t>
      </w:r>
    </w:p>
    <w:tbl>
      <w:tblPr>
        <w:tblW w:w="4985" w:type="pct"/>
        <w:tblCellMar>
          <w:top w:w="15" w:type="dxa"/>
          <w:left w:w="15" w:type="dxa"/>
          <w:bottom w:w="15" w:type="dxa"/>
          <w:right w:w="15" w:type="dxa"/>
        </w:tblCellMar>
        <w:tblLook w:val="04A0" w:firstRow="1" w:lastRow="0" w:firstColumn="1" w:lastColumn="0" w:noHBand="0" w:noVBand="1"/>
      </w:tblPr>
      <w:tblGrid>
        <w:gridCol w:w="38"/>
        <w:gridCol w:w="4813"/>
        <w:gridCol w:w="37"/>
        <w:gridCol w:w="120"/>
        <w:gridCol w:w="929"/>
        <w:gridCol w:w="36"/>
        <w:gridCol w:w="36"/>
        <w:gridCol w:w="36"/>
        <w:gridCol w:w="36"/>
        <w:gridCol w:w="120"/>
        <w:gridCol w:w="890"/>
        <w:gridCol w:w="36"/>
        <w:gridCol w:w="36"/>
        <w:gridCol w:w="36"/>
        <w:gridCol w:w="36"/>
        <w:gridCol w:w="120"/>
        <w:gridCol w:w="890"/>
        <w:gridCol w:w="36"/>
      </w:tblGrid>
      <w:tr w:rsidR="00000000">
        <w:tc>
          <w:tcPr>
            <w:tcW w:w="50" w:type="pct"/>
            <w:vAlign w:val="center"/>
            <w:hideMark/>
          </w:tcPr>
          <w:p w:rsidR="00000000" w:rsidRDefault="00F123EE">
            <w:pPr>
              <w:jc w:val="both"/>
              <w:rPr>
                <w:rFonts w:eastAsia="Times New Roman"/>
              </w:rPr>
            </w:pPr>
          </w:p>
        </w:tc>
        <w:tc>
          <w:tcPr>
            <w:tcW w:w="293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90"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90"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90"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rPr>
          <w:trHeight w:val="12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15"/>
            <w:vMerge w:val="restart"/>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Fiscal Year</w:t>
            </w:r>
          </w:p>
        </w:tc>
      </w:tr>
      <w:tr w:rsidR="00000000">
        <w:trPr>
          <w:trHeight w:val="120"/>
        </w:trPr>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15"/>
            <w:vMerge/>
            <w:vAlign w:val="center"/>
            <w:hideMark/>
          </w:tcPr>
          <w:p w:rsidR="00000000" w:rsidRDefault="00F123EE">
            <w:pPr>
              <w:spacing w:after="100"/>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2020</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Current tax expense:</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r>
      <w:tr w:rsidR="00000000">
        <w:tc>
          <w:tcPr>
            <w:tcW w:w="0" w:type="auto"/>
            <w:gridSpan w:val="3"/>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Federal</w:t>
            </w:r>
          </w:p>
        </w:tc>
        <w:tc>
          <w:tcPr>
            <w:tcW w:w="0" w:type="auto"/>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225,565 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221,152 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211,228 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State</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41,748 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34,238 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38,511 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Total current</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267,313 </w:t>
            </w:r>
          </w:p>
        </w:tc>
        <w:tc>
          <w:tcPr>
            <w:tcW w:w="0" w:type="auto"/>
            <w:tcBorders>
              <w:top w:val="single" w:sz="8" w:space="0" w:color="000000"/>
            </w:tcBorders>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255,390 </w:t>
            </w:r>
          </w:p>
        </w:tc>
        <w:tc>
          <w:tcPr>
            <w:tcW w:w="0" w:type="auto"/>
            <w:tcBorders>
              <w:top w:val="single" w:sz="8" w:space="0" w:color="000000"/>
            </w:tcBorders>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249,739 </w:t>
            </w:r>
          </w:p>
        </w:tc>
        <w:tc>
          <w:tcPr>
            <w:tcW w:w="0" w:type="auto"/>
            <w:tcBorders>
              <w:top w:val="single" w:sz="8" w:space="0" w:color="000000"/>
            </w:tcBorders>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trHeight w:val="160"/>
        </w:trPr>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Deferred tax expense/(benefit):</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Federal</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50,833 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24,303 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(21,997)</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State</w:t>
            </w: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(2,548)</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3,281 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(8,553)</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Total deferred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48,285 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27,584 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(30,550)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Total provision</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315,598 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282,974 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219,189 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F123EE">
            <w:pPr>
              <w:spacing w:after="100"/>
              <w:jc w:val="right"/>
              <w:rPr>
                <w:rFonts w:eastAsia="Times New Roman"/>
              </w:rPr>
            </w:pPr>
          </w:p>
        </w:tc>
      </w:tr>
    </w:tbl>
    <w:p w:rsidR="00000000" w:rsidRDefault="00F123EE">
      <w:pPr>
        <w:jc w:val="both"/>
        <w:rPr>
          <w:rFonts w:eastAsia="Times New Roman"/>
        </w:rPr>
      </w:pP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Deferred income taxes reflect the net tax effects of temporary differences between the carrying amounts of assets and liabilities for financial reporting purposes and the amounts used for income tax purposes. Significant components of the defe</w:t>
      </w:r>
      <w:r>
        <w:rPr>
          <w:rFonts w:eastAsia="Times New Roman"/>
          <w:color w:val="000000"/>
          <w:sz w:val="20"/>
          <w:szCs w:val="20"/>
        </w:rPr>
        <w:t>rred tax assets and liabilities are as follows (in thousands):</w:t>
      </w:r>
    </w:p>
    <w:tbl>
      <w:tblPr>
        <w:tblW w:w="4985" w:type="pct"/>
        <w:tblCellMar>
          <w:top w:w="15" w:type="dxa"/>
          <w:left w:w="15" w:type="dxa"/>
          <w:bottom w:w="15" w:type="dxa"/>
          <w:right w:w="15" w:type="dxa"/>
        </w:tblCellMar>
        <w:tblLook w:val="04A0" w:firstRow="1" w:lastRow="0" w:firstColumn="1" w:lastColumn="0" w:noHBand="0" w:noVBand="1"/>
      </w:tblPr>
      <w:tblGrid>
        <w:gridCol w:w="39"/>
        <w:gridCol w:w="5951"/>
        <w:gridCol w:w="37"/>
        <w:gridCol w:w="121"/>
        <w:gridCol w:w="934"/>
        <w:gridCol w:w="36"/>
        <w:gridCol w:w="36"/>
        <w:gridCol w:w="36"/>
        <w:gridCol w:w="36"/>
        <w:gridCol w:w="121"/>
        <w:gridCol w:w="898"/>
        <w:gridCol w:w="36"/>
      </w:tblGrid>
      <w:tr w:rsidR="00000000">
        <w:tc>
          <w:tcPr>
            <w:tcW w:w="50" w:type="pct"/>
            <w:vAlign w:val="center"/>
            <w:hideMark/>
          </w:tcPr>
          <w:p w:rsidR="00000000" w:rsidRDefault="00F123EE">
            <w:pPr>
              <w:jc w:val="both"/>
              <w:rPr>
                <w:rFonts w:eastAsia="Times New Roman"/>
              </w:rPr>
            </w:pPr>
          </w:p>
        </w:tc>
        <w:tc>
          <w:tcPr>
            <w:tcW w:w="3618"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90"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90"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December 31, 2022</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December 25, 2021</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Tax 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Inventory valuation</w:t>
            </w:r>
          </w:p>
        </w:tc>
        <w:tc>
          <w:tcPr>
            <w:tcW w:w="0" w:type="auto"/>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30,599 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23,365 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Accrued employee benefits costs</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24,544 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36,810 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Nondeductible reserves</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8,259 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7,099 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Finance lease liabilities</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9,531 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8,958 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Operating lease liabilities</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763,729 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740,478 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Deferred compensation</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13,459 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12,201 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Workers' compensation insurance</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14,667 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14,271 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General liability insurance</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11,142 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9,402 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Income tax credits</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13,131 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7,986 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Amortization</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23,496 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7,803 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Depreciation</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19,322 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12,452 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12,799 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944,331 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881,172 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Tax liabilities: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Finance lease assets</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(8,113)</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(7,797)</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Operating lease right-of-use assets</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(723,688)</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(702,197)</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Depreciation</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(231,191)</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(161,137)</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w:t>
            </w:r>
            <w:r>
              <w:rPr>
                <w:rFonts w:eastAsia="Times New Roman"/>
                <w:color w:val="000000"/>
                <w:sz w:val="20"/>
                <w:szCs w:val="20"/>
              </w:rPr>
              <w:t>12,114)</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(7,604)</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(975,106)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(878,735)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rPr>
          <w:trHeight w:val="160"/>
        </w:trPr>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Net deferred tax (liability) / asset</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(30,775)</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2,437 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bl>
    <w:p w:rsidR="00000000" w:rsidRDefault="00F123EE">
      <w:pPr>
        <w:jc w:val="both"/>
        <w:rPr>
          <w:rFonts w:eastAsia="Times New Roman"/>
        </w:rPr>
      </w:pPr>
      <w:r>
        <w:rPr>
          <w:rFonts w:eastAsia="Times New Roman"/>
          <w:color w:val="000000"/>
          <w:sz w:val="20"/>
          <w:szCs w:val="20"/>
        </w:rPr>
        <w:t>The Company has evaluated the need for a valuation allowance for all or a portion of the deferred tax assets.  The Company believes that all of the deferred tax assets will more likely than not be realized through future earnings.  The Company had state ta</w:t>
      </w:r>
      <w:r>
        <w:rPr>
          <w:rFonts w:eastAsia="Times New Roman"/>
          <w:color w:val="000000"/>
          <w:sz w:val="20"/>
          <w:szCs w:val="20"/>
        </w:rPr>
        <w:t xml:space="preserve">x credit carryforwards of $14.0 million and $6.6 million as of December 31, 2022 and December 25, 2021, respectively, with varying dates of expiration through 2037.  The Company provided no valuation allowance as of December 31, 2022 and December 25, 2021 </w:t>
      </w:r>
      <w:r>
        <w:rPr>
          <w:rFonts w:eastAsia="Times New Roman"/>
          <w:color w:val="000000"/>
          <w:sz w:val="20"/>
          <w:szCs w:val="20"/>
        </w:rPr>
        <w:t>for state tax credit carryforwards, as the Company believes it is more likely than not that all of these credits will be utilized before their expiration dates.</w:t>
      </w:r>
    </w:p>
    <w:p w:rsidR="00000000" w:rsidRDefault="00F123EE">
      <w:pPr>
        <w:jc w:val="both"/>
        <w:rPr>
          <w:rFonts w:eastAsia="Times New Roman"/>
        </w:rPr>
      </w:pPr>
    </w:p>
    <w:p w:rsidR="00000000" w:rsidRDefault="00F123EE">
      <w:pPr>
        <w:jc w:val="center"/>
        <w:divId w:val="891960107"/>
        <w:rPr>
          <w:rFonts w:eastAsia="Times New Roman"/>
        </w:rPr>
      </w:pPr>
      <w:r>
        <w:rPr>
          <w:rFonts w:eastAsia="Times New Roman"/>
          <w:color w:val="000000"/>
          <w:sz w:val="20"/>
          <w:szCs w:val="20"/>
        </w:rPr>
        <w:t>74</w:t>
      </w:r>
    </w:p>
    <w:p w:rsidR="00000000" w:rsidRDefault="00F123EE">
      <w:pPr>
        <w:rPr>
          <w:rFonts w:eastAsia="Times New Roman"/>
        </w:rPr>
      </w:pPr>
      <w:r>
        <w:rPr>
          <w:rFonts w:eastAsia="Times New Roman"/>
        </w:rPr>
        <w:pict>
          <v:rect id="_x0000_i1104" style="width:0;height:1.5pt" o:hralign="center" o:hrstd="t" o:hr="t" fillcolor="#a0a0a0" stroked="f"/>
        </w:pict>
      </w:r>
    </w:p>
    <w:p w:rsidR="00000000" w:rsidRDefault="00F123EE">
      <w:pPr>
        <w:divId w:val="1693536013"/>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r>
        <w:rPr>
          <w:rFonts w:eastAsia="Times New Roman"/>
          <w:color w:val="000000"/>
          <w:sz w:val="20"/>
          <w:szCs w:val="20"/>
        </w:rPr>
        <w:t>A reconciliation of the provision for income taxes to the amounts computed at the federal statutory rate is as follows (in thousands):</w:t>
      </w:r>
    </w:p>
    <w:tbl>
      <w:tblPr>
        <w:tblW w:w="4985" w:type="pct"/>
        <w:tblCellMar>
          <w:top w:w="15" w:type="dxa"/>
          <w:left w:w="15" w:type="dxa"/>
          <w:bottom w:w="15" w:type="dxa"/>
          <w:right w:w="15" w:type="dxa"/>
        </w:tblCellMar>
        <w:tblLook w:val="04A0" w:firstRow="1" w:lastRow="0" w:firstColumn="1" w:lastColumn="0" w:noHBand="0" w:noVBand="1"/>
      </w:tblPr>
      <w:tblGrid>
        <w:gridCol w:w="38"/>
        <w:gridCol w:w="4813"/>
        <w:gridCol w:w="37"/>
        <w:gridCol w:w="120"/>
        <w:gridCol w:w="929"/>
        <w:gridCol w:w="36"/>
        <w:gridCol w:w="36"/>
        <w:gridCol w:w="36"/>
        <w:gridCol w:w="36"/>
        <w:gridCol w:w="120"/>
        <w:gridCol w:w="890"/>
        <w:gridCol w:w="36"/>
        <w:gridCol w:w="36"/>
        <w:gridCol w:w="36"/>
        <w:gridCol w:w="36"/>
        <w:gridCol w:w="120"/>
        <w:gridCol w:w="890"/>
        <w:gridCol w:w="36"/>
      </w:tblGrid>
      <w:tr w:rsidR="00000000">
        <w:tc>
          <w:tcPr>
            <w:tcW w:w="50" w:type="pct"/>
            <w:vAlign w:val="center"/>
            <w:hideMark/>
          </w:tcPr>
          <w:p w:rsidR="00000000" w:rsidRDefault="00F123EE">
            <w:pPr>
              <w:jc w:val="both"/>
              <w:rPr>
                <w:rFonts w:eastAsia="Times New Roman"/>
              </w:rPr>
            </w:pPr>
          </w:p>
        </w:tc>
        <w:tc>
          <w:tcPr>
            <w:tcW w:w="293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90"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90"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90"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rPr>
          <w:trHeight w:val="16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15"/>
            <w:vMerge w:val="restart"/>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Fiscal Year</w:t>
            </w:r>
          </w:p>
        </w:tc>
      </w:tr>
      <w:tr w:rsidR="00000000">
        <w:trPr>
          <w:trHeight w:val="120"/>
        </w:trPr>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15"/>
            <w:vMerge/>
            <w:vAlign w:val="center"/>
            <w:hideMark/>
          </w:tcPr>
          <w:p w:rsidR="00000000" w:rsidRDefault="00F123EE">
            <w:pPr>
              <w:spacing w:after="100"/>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2020</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Tax provision at statutory rate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294,905 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268,819 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203,311 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Tax effect of:</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State income taxes, net of federal tax benefits</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41,235 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36,116 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27,642 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vAlign w:val="center"/>
            <w:hideMark/>
          </w:tcPr>
          <w:p w:rsidR="00000000" w:rsidRDefault="00F123EE">
            <w:pPr>
              <w:spacing w:after="100"/>
              <w:jc w:val="right"/>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Tax credits, net of federal tax benefits</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(15,616)</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(13,157)</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(8,828)</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Share-based compensation programs</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(9,025)</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(13,368)</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w:t>
            </w:r>
            <w:r>
              <w:rPr>
                <w:rFonts w:eastAsia="Times New Roman"/>
                <w:color w:val="000000"/>
                <w:sz w:val="20"/>
                <w:szCs w:val="20"/>
              </w:rPr>
              <w:t>9,303)</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vAlign w:val="center"/>
            <w:hideMark/>
          </w:tcPr>
          <w:p w:rsidR="00000000" w:rsidRDefault="00F123EE">
            <w:pPr>
              <w:spacing w:after="100"/>
              <w:jc w:val="right"/>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4,099 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4,564 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6,367 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Total income tax expense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315,598 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282,974 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219,189 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bl>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Company and its affiliates file income tax returns in the U.S. and various state and local jurisdictions.  With few exceptions, the Company is no longer subject to federal, state and local income tax examinations by tax authorities for years before 201</w:t>
      </w:r>
      <w:r>
        <w:rPr>
          <w:rFonts w:eastAsia="Times New Roman"/>
          <w:color w:val="000000"/>
          <w:sz w:val="20"/>
          <w:szCs w:val="20"/>
        </w:rPr>
        <w:t>8.  Various states have completed an examination of our income tax returns for 2018 through 2020 with minimal adjustments.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total amount of unrecognized tax positions that, if recognized, would decrease the effective tax rate, is $4.5 million at Decem</w:t>
      </w:r>
      <w:r>
        <w:rPr>
          <w:rFonts w:eastAsia="Times New Roman"/>
          <w:color w:val="000000"/>
          <w:sz w:val="20"/>
          <w:szCs w:val="20"/>
        </w:rPr>
        <w:t xml:space="preserve">ber 31, 2022. In addition, the Company recognizes current interest and penalties accrued related to these uncertain tax positions as interest expense, and the amount is not material to the Consolidated Statements of Income.  The Company has considered the </w:t>
      </w:r>
      <w:r>
        <w:rPr>
          <w:rFonts w:eastAsia="Times New Roman"/>
          <w:color w:val="000000"/>
          <w:sz w:val="20"/>
          <w:szCs w:val="20"/>
        </w:rPr>
        <w:t>reasonably possible expected net change in uncertain tax positions during the next 12 months and does not expect any material changes to our liability for uncertain tax positions through December 31, 2022.</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A reconciliation of the beginning and ending gro</w:t>
      </w:r>
      <w:r>
        <w:rPr>
          <w:rFonts w:eastAsia="Times New Roman"/>
          <w:color w:val="000000"/>
          <w:sz w:val="20"/>
          <w:szCs w:val="20"/>
        </w:rPr>
        <w:t>ss amount of unrecognized tax benefits (exclusive of interest and penalties) is as follows (in thousands):</w:t>
      </w:r>
    </w:p>
    <w:tbl>
      <w:tblPr>
        <w:tblW w:w="4985" w:type="pct"/>
        <w:tblCellMar>
          <w:top w:w="15" w:type="dxa"/>
          <w:left w:w="15" w:type="dxa"/>
          <w:bottom w:w="15" w:type="dxa"/>
          <w:right w:w="15" w:type="dxa"/>
        </w:tblCellMar>
        <w:tblLook w:val="04A0" w:firstRow="1" w:lastRow="0" w:firstColumn="1" w:lastColumn="0" w:noHBand="0" w:noVBand="1"/>
      </w:tblPr>
      <w:tblGrid>
        <w:gridCol w:w="39"/>
        <w:gridCol w:w="4812"/>
        <w:gridCol w:w="38"/>
        <w:gridCol w:w="120"/>
        <w:gridCol w:w="929"/>
        <w:gridCol w:w="36"/>
        <w:gridCol w:w="36"/>
        <w:gridCol w:w="36"/>
        <w:gridCol w:w="36"/>
        <w:gridCol w:w="120"/>
        <w:gridCol w:w="889"/>
        <w:gridCol w:w="36"/>
        <w:gridCol w:w="36"/>
        <w:gridCol w:w="36"/>
        <w:gridCol w:w="36"/>
        <w:gridCol w:w="120"/>
        <w:gridCol w:w="890"/>
        <w:gridCol w:w="36"/>
      </w:tblGrid>
      <w:tr w:rsidR="00000000">
        <w:tc>
          <w:tcPr>
            <w:tcW w:w="50" w:type="pct"/>
            <w:vAlign w:val="center"/>
            <w:hideMark/>
          </w:tcPr>
          <w:p w:rsidR="00000000" w:rsidRDefault="00F123EE">
            <w:pPr>
              <w:jc w:val="both"/>
              <w:rPr>
                <w:rFonts w:eastAsia="Times New Roman"/>
              </w:rPr>
            </w:pPr>
          </w:p>
        </w:tc>
        <w:tc>
          <w:tcPr>
            <w:tcW w:w="293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90"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90"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590"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Fiscal Year</w:t>
            </w: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2020</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Balance at beginning of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3,749 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3,236 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2,760 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Additions based on tax positions related to the current year</w:t>
            </w: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1,359 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927 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816 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Additions for tax positions of prior years</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760 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51 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32 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Reductions for tax positions of prior years</w:t>
            </w: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(506)</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(465)</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(372)</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Balance at end of year</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5,362 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3,749 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3,236 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bl>
    <w:p w:rsidR="00000000" w:rsidRDefault="00F123EE">
      <w:pPr>
        <w:divId w:val="777796349"/>
        <w:rPr>
          <w:rFonts w:eastAsia="Times New Roman"/>
        </w:rPr>
      </w:pPr>
    </w:p>
    <w:p w:rsidR="00000000" w:rsidRDefault="00F123EE">
      <w:pPr>
        <w:jc w:val="both"/>
        <w:rPr>
          <w:rFonts w:eastAsia="Times New Roman"/>
        </w:rPr>
      </w:pPr>
      <w:r>
        <w:rPr>
          <w:rFonts w:eastAsia="Times New Roman"/>
          <w:color w:val="000000"/>
          <w:sz w:val="20"/>
          <w:szCs w:val="20"/>
        </w:rPr>
        <w:t>The Coronavirus Aid, Relief, and Economic Security Act (the “CARES Act”) was enacted in the U.S. on March 27, 2020. The enactment of this legislation did not have a material impact on</w:t>
      </w:r>
      <w:r>
        <w:rPr>
          <w:rFonts w:eastAsia="Times New Roman"/>
          <w:color w:val="000000"/>
          <w:sz w:val="20"/>
          <w:szCs w:val="20"/>
        </w:rPr>
        <w:t xml:space="preserve"> income tax expense in fiscal 2022. However, the Company did elect to participate in the deferral of the employer’s share of social security tax deposits, with $24.5 million included within other accrued expenses in the Consolidated Balance Sheet as of Dec</w:t>
      </w:r>
      <w:r>
        <w:rPr>
          <w:rFonts w:eastAsia="Times New Roman"/>
          <w:color w:val="000000"/>
          <w:sz w:val="20"/>
          <w:szCs w:val="20"/>
        </w:rPr>
        <w:t>ember 25, 2021. The remaining balance of deferred social security tax deposits was paid during 2022.</w:t>
      </w:r>
    </w:p>
    <w:p w:rsidR="00000000" w:rsidRDefault="00F123EE">
      <w:pPr>
        <w:divId w:val="274102405"/>
        <w:rPr>
          <w:rFonts w:eastAsia="Times New Roman"/>
        </w:rPr>
      </w:pPr>
    </w:p>
    <w:p w:rsidR="00000000" w:rsidRDefault="00F123EE">
      <w:pPr>
        <w:jc w:val="both"/>
        <w:rPr>
          <w:rFonts w:eastAsia="Times New Roman"/>
        </w:rPr>
      </w:pPr>
      <w:r>
        <w:rPr>
          <w:rFonts w:eastAsia="Times New Roman"/>
          <w:b/>
          <w:bCs/>
          <w:color w:val="000000"/>
          <w:sz w:val="20"/>
          <w:szCs w:val="20"/>
        </w:rPr>
        <w:t>Note 11 – Retirement Benefit Plans:</w:t>
      </w:r>
    </w:p>
    <w:p w:rsidR="00000000" w:rsidRDefault="00F123EE">
      <w:pPr>
        <w:divId w:val="882252462"/>
        <w:rPr>
          <w:rFonts w:eastAsia="Times New Roman"/>
        </w:rPr>
      </w:pPr>
    </w:p>
    <w:p w:rsidR="00000000" w:rsidRDefault="00F123EE">
      <w:pPr>
        <w:jc w:val="both"/>
        <w:rPr>
          <w:rFonts w:eastAsia="Times New Roman"/>
        </w:rPr>
      </w:pPr>
      <w:r>
        <w:rPr>
          <w:rFonts w:eastAsia="Times New Roman"/>
          <w:color w:val="000000"/>
          <w:sz w:val="20"/>
          <w:szCs w:val="20"/>
        </w:rPr>
        <w:t>The Company has a defined contribution benefit plan, the Tractor Supply Company 401(k) Retirement Savings Plan (the “401(k) Plan”), which provides retirement benefits for eligible employees.  The Company matches (in cash) 100% of the employee’s elective co</w:t>
      </w:r>
      <w:r>
        <w:rPr>
          <w:rFonts w:eastAsia="Times New Roman"/>
          <w:color w:val="000000"/>
          <w:sz w:val="20"/>
          <w:szCs w:val="20"/>
        </w:rPr>
        <w:t>ntributions up to 3% of eligible compensation plus 50% of the employee’s elective contributions from 3% to 6% of eligible compensation.  In no event shall the total Company match made on behalf of the employee exceed 4.5% of the employee’s eligible compens</w:t>
      </w:r>
      <w:r>
        <w:rPr>
          <w:rFonts w:eastAsia="Times New Roman"/>
          <w:color w:val="000000"/>
          <w:sz w:val="20"/>
          <w:szCs w:val="20"/>
        </w:rPr>
        <w:t>ation.  All current contributions are immediately vested.  Company contributions to the 401(k) Plan were approximately $17.2 million, $15.3 million, and $12.9 million during fiscal 2022, 2021, and 2020, respectively.</w:t>
      </w:r>
    </w:p>
    <w:p w:rsidR="00000000" w:rsidRDefault="00F123EE">
      <w:pPr>
        <w:divId w:val="203640499"/>
        <w:rPr>
          <w:rFonts w:eastAsia="Times New Roman"/>
        </w:rPr>
      </w:pPr>
    </w:p>
    <w:p w:rsidR="00000000" w:rsidRDefault="00F123EE">
      <w:pPr>
        <w:jc w:val="both"/>
        <w:rPr>
          <w:rFonts w:eastAsia="Times New Roman"/>
        </w:rPr>
      </w:pPr>
      <w:r>
        <w:rPr>
          <w:rFonts w:eastAsia="Times New Roman"/>
          <w:color w:val="000000"/>
          <w:sz w:val="20"/>
          <w:szCs w:val="20"/>
        </w:rPr>
        <w:t>The Company offers, through a deferre</w:t>
      </w:r>
      <w:r>
        <w:rPr>
          <w:rFonts w:eastAsia="Times New Roman"/>
          <w:color w:val="000000"/>
          <w:sz w:val="20"/>
          <w:szCs w:val="20"/>
        </w:rPr>
        <w:t>d compensation program, the opportunity for certain qualifying employees to elect to defer a portion of their annual base salary and/or their annual incentive bonus.  Under the deferred compensation program, a percentage of the participants’ salary deferra</w:t>
      </w:r>
      <w:r>
        <w:rPr>
          <w:rFonts w:eastAsia="Times New Roman"/>
          <w:color w:val="000000"/>
          <w:sz w:val="20"/>
          <w:szCs w:val="20"/>
        </w:rPr>
        <w:t>l is matched by the Company, limited to a maximum annual matching contribution of $4,500.  The Company’s contributions, including accrued interest, were $0.6 million, $0.3 million, and $0.6 million during fiscal 2022, 2021, and 2020, respectively.</w:t>
      </w:r>
    </w:p>
    <w:p w:rsidR="00000000" w:rsidRDefault="00F123EE">
      <w:pPr>
        <w:jc w:val="center"/>
        <w:divId w:val="1266958023"/>
        <w:rPr>
          <w:rFonts w:eastAsia="Times New Roman"/>
        </w:rPr>
      </w:pPr>
      <w:r>
        <w:rPr>
          <w:rFonts w:eastAsia="Times New Roman"/>
          <w:color w:val="000000"/>
          <w:sz w:val="20"/>
          <w:szCs w:val="20"/>
        </w:rPr>
        <w:t>75</w:t>
      </w:r>
    </w:p>
    <w:p w:rsidR="00000000" w:rsidRDefault="00F123EE">
      <w:pPr>
        <w:rPr>
          <w:rFonts w:eastAsia="Times New Roman"/>
        </w:rPr>
      </w:pPr>
      <w:r>
        <w:rPr>
          <w:rFonts w:eastAsia="Times New Roman"/>
        </w:rPr>
        <w:pict>
          <v:rect id="_x0000_i1105" style="width:0;height:1.5pt" o:hralign="center" o:hrstd="t" o:hr="t" fillcolor="#a0a0a0" stroked="f"/>
        </w:pict>
      </w:r>
    </w:p>
    <w:p w:rsidR="00000000" w:rsidRDefault="00F123EE">
      <w:pPr>
        <w:divId w:val="803471782"/>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p>
    <w:p w:rsidR="00000000" w:rsidRDefault="00F123EE">
      <w:pPr>
        <w:jc w:val="both"/>
        <w:rPr>
          <w:rFonts w:eastAsia="Times New Roman"/>
        </w:rPr>
      </w:pPr>
      <w:r>
        <w:rPr>
          <w:rFonts w:eastAsia="Times New Roman"/>
          <w:b/>
          <w:bCs/>
          <w:color w:val="000000"/>
          <w:sz w:val="20"/>
          <w:szCs w:val="20"/>
        </w:rPr>
        <w:t>Note 12 – Commitments and Contingencies:</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Contractual Commitments</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At December 31, 2022</w:t>
      </w:r>
      <w:r>
        <w:rPr>
          <w:rFonts w:eastAsia="Times New Roman"/>
          <w:color w:val="000000"/>
          <w:sz w:val="20"/>
          <w:szCs w:val="20"/>
        </w:rPr>
        <w:t>, the Company had contractual commitments of approximat</w:t>
      </w:r>
      <w:r>
        <w:rPr>
          <w:rFonts w:eastAsia="Times New Roman"/>
          <w:color w:val="000000"/>
          <w:sz w:val="20"/>
          <w:szCs w:val="20"/>
          <w:shd w:val="clear" w:color="auto" w:fill="FFFFFF"/>
        </w:rPr>
        <w:t xml:space="preserve">ely </w:t>
      </w:r>
      <w:r>
        <w:rPr>
          <w:rFonts w:eastAsia="Times New Roman"/>
          <w:color w:val="000000"/>
          <w:sz w:val="20"/>
          <w:szCs w:val="20"/>
        </w:rPr>
        <w:t>$105.4 million</w:t>
      </w:r>
      <w:r>
        <w:rPr>
          <w:rFonts w:eastAsia="Times New Roman"/>
          <w:color w:val="000000"/>
          <w:sz w:val="20"/>
          <w:szCs w:val="20"/>
          <w:shd w:val="clear" w:color="auto" w:fill="FFFFFF"/>
        </w:rPr>
        <w:t xml:space="preserve">, of which </w:t>
      </w:r>
      <w:r>
        <w:rPr>
          <w:rFonts w:eastAsia="Times New Roman"/>
          <w:color w:val="000000"/>
          <w:sz w:val="20"/>
          <w:szCs w:val="20"/>
        </w:rPr>
        <w:t>$61.0 million</w:t>
      </w:r>
      <w:r>
        <w:rPr>
          <w:rFonts w:eastAsia="Times New Roman"/>
          <w:color w:val="000000"/>
          <w:sz w:val="20"/>
          <w:szCs w:val="20"/>
          <w:shd w:val="clear" w:color="auto" w:fill="FFFFFF"/>
        </w:rPr>
        <w:t xml:space="preserve"> is related to the construction of new distribution centers, </w:t>
      </w:r>
      <w:r>
        <w:rPr>
          <w:rFonts w:eastAsia="Times New Roman"/>
          <w:color w:val="000000"/>
          <w:sz w:val="20"/>
          <w:szCs w:val="20"/>
        </w:rPr>
        <w:t>and the remaining is related to purchase obligations such as inventory purchases and marketing-rel</w:t>
      </w:r>
      <w:r>
        <w:rPr>
          <w:rFonts w:eastAsia="Times New Roman"/>
          <w:color w:val="000000"/>
          <w:sz w:val="20"/>
          <w:szCs w:val="20"/>
        </w:rPr>
        <w:t>ated contracts.</w:t>
      </w:r>
      <w:r>
        <w:rPr>
          <w:rFonts w:eastAsia="Times New Roman"/>
          <w:color w:val="000000"/>
          <w:sz w:val="20"/>
          <w:szCs w:val="20"/>
          <w:shd w:val="clear" w:color="auto" w:fill="FFFFFF"/>
        </w:rPr>
        <w:t xml:space="preserve"> The Company does not have material contractual commitments related to construction projects extending greater than twelve months. </w:t>
      </w:r>
      <w:r>
        <w:rPr>
          <w:rFonts w:eastAsia="Times New Roman"/>
          <w:color w:val="000000"/>
          <w:sz w:val="20"/>
          <w:szCs w:val="20"/>
        </w:rPr>
        <w:t>In addition, the Company had</w:t>
      </w:r>
      <w:r>
        <w:rPr>
          <w:rFonts w:eastAsia="Times New Roman"/>
          <w:color w:val="000000"/>
          <w:sz w:val="20"/>
          <w:szCs w:val="20"/>
          <w:shd w:val="clear" w:color="auto" w:fill="FFFFFF"/>
        </w:rPr>
        <w:t xml:space="preserve"> $289.1 million le</w:t>
      </w:r>
      <w:r>
        <w:rPr>
          <w:rFonts w:eastAsia="Times New Roman"/>
          <w:color w:val="000000"/>
          <w:sz w:val="20"/>
          <w:szCs w:val="20"/>
        </w:rPr>
        <w:t xml:space="preserve">gally binding minimum lease payments for leases signed, but not </w:t>
      </w:r>
      <w:r>
        <w:rPr>
          <w:rFonts w:eastAsia="Times New Roman"/>
          <w:color w:val="000000"/>
          <w:sz w:val="20"/>
          <w:szCs w:val="20"/>
        </w:rPr>
        <w:t>yet commenced. The Company has also committed to sell the Orscheln corporate headquarters and distribution center to Bomgaars for $10 million within 15 months following the closing of the Orscheln acquisition.</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Letters of Credit</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At December 31, 2022, th</w:t>
      </w:r>
      <w:r>
        <w:rPr>
          <w:rFonts w:eastAsia="Times New Roman"/>
          <w:color w:val="000000"/>
          <w:sz w:val="20"/>
          <w:szCs w:val="20"/>
        </w:rPr>
        <w:t xml:space="preserve">ere were $52.6 million outstanding letters of credit under the Senior Credit Facility. </w:t>
      </w:r>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Litigation</w:t>
      </w:r>
    </w:p>
    <w:p w:rsidR="00000000" w:rsidRDefault="00F123EE">
      <w:pPr>
        <w:divId w:val="2002075699"/>
        <w:rPr>
          <w:rFonts w:eastAsia="Times New Roman"/>
        </w:rPr>
      </w:pPr>
    </w:p>
    <w:p w:rsidR="00000000" w:rsidRDefault="00F123EE">
      <w:pPr>
        <w:jc w:val="both"/>
        <w:rPr>
          <w:rFonts w:eastAsia="Times New Roman"/>
        </w:rPr>
      </w:pPr>
      <w:r>
        <w:rPr>
          <w:rFonts w:eastAsia="Times New Roman"/>
          <w:color w:val="000000"/>
          <w:sz w:val="20"/>
          <w:szCs w:val="20"/>
          <w:shd w:val="clear" w:color="auto" w:fill="FFFFFF"/>
        </w:rPr>
        <w:t>The Company is involved in various litigation matters arising in the ordinary course of business. The Company believes that, based upon information curre</w:t>
      </w:r>
      <w:r>
        <w:rPr>
          <w:rFonts w:eastAsia="Times New Roman"/>
          <w:color w:val="000000"/>
          <w:sz w:val="20"/>
          <w:szCs w:val="20"/>
          <w:shd w:val="clear" w:color="auto" w:fill="FFFFFF"/>
        </w:rPr>
        <w:t>ntly available, any estimated loss related to such matters has been adequately provided for in accrued liabilities to the extent probable and reasonably estimable. Accordingly, the Company currently expects these matters will be resolved without material a</w:t>
      </w:r>
      <w:r>
        <w:rPr>
          <w:rFonts w:eastAsia="Times New Roman"/>
          <w:color w:val="000000"/>
          <w:sz w:val="20"/>
          <w:szCs w:val="20"/>
          <w:shd w:val="clear" w:color="auto" w:fill="FFFFFF"/>
        </w:rPr>
        <w:t>dverse effect on its consolidated financial position, results of operations or cash flows.  However, litigation and other legal matters involve an element of uncertainty. Future developments in such matters, including adverse decisions or settlements or re</w:t>
      </w:r>
      <w:r>
        <w:rPr>
          <w:rFonts w:eastAsia="Times New Roman"/>
          <w:color w:val="000000"/>
          <w:sz w:val="20"/>
          <w:szCs w:val="20"/>
          <w:shd w:val="clear" w:color="auto" w:fill="FFFFFF"/>
        </w:rPr>
        <w:t>sulting required changes to the Company’s business operations, could affect our consolidated operating results when resolved in future periods or could result in liability or other amounts material to the Company’s Consolidated Financial Statements.</w:t>
      </w:r>
      <w:r>
        <w:rPr>
          <w:rFonts w:eastAsia="Times New Roman"/>
          <w:color w:val="000000"/>
          <w:sz w:val="20"/>
          <w:szCs w:val="20"/>
        </w:rPr>
        <w:t xml:space="preserve"> </w:t>
      </w:r>
    </w:p>
    <w:p w:rsidR="00000000" w:rsidRDefault="00F123EE">
      <w:pPr>
        <w:jc w:val="both"/>
        <w:rPr>
          <w:rFonts w:eastAsia="Times New Roman"/>
        </w:rPr>
      </w:pPr>
    </w:p>
    <w:p w:rsidR="00000000" w:rsidRDefault="00F123EE">
      <w:pPr>
        <w:jc w:val="both"/>
        <w:rPr>
          <w:rFonts w:eastAsia="Times New Roman"/>
        </w:rPr>
      </w:pPr>
      <w:r>
        <w:rPr>
          <w:rFonts w:eastAsia="Times New Roman"/>
          <w:b/>
          <w:bCs/>
          <w:color w:val="000000"/>
          <w:sz w:val="20"/>
          <w:szCs w:val="20"/>
        </w:rPr>
        <w:t>Not</w:t>
      </w:r>
      <w:r>
        <w:rPr>
          <w:rFonts w:eastAsia="Times New Roman"/>
          <w:b/>
          <w:bCs/>
          <w:color w:val="000000"/>
          <w:sz w:val="20"/>
          <w:szCs w:val="20"/>
        </w:rPr>
        <w:t>e 13 – Segment Reporting:</w:t>
      </w:r>
    </w:p>
    <w:p w:rsidR="00000000" w:rsidRDefault="00F123EE">
      <w:pPr>
        <w:divId w:val="1873036682"/>
        <w:rPr>
          <w:rFonts w:eastAsia="Times New Roman"/>
        </w:rPr>
      </w:pPr>
    </w:p>
    <w:p w:rsidR="00000000" w:rsidRDefault="00F123EE">
      <w:pPr>
        <w:jc w:val="both"/>
        <w:rPr>
          <w:rFonts w:eastAsia="Times New Roman"/>
        </w:rPr>
      </w:pPr>
      <w:r>
        <w:rPr>
          <w:rFonts w:eastAsia="Times New Roman"/>
          <w:color w:val="000000"/>
          <w:sz w:val="20"/>
          <w:szCs w:val="20"/>
        </w:rPr>
        <w:t>The Company has one reportable segment which is the retail sale of products that support the rural lifestyle.  The following table indicates the percentage of net sales represented by each major product category during fiscal 20</w:t>
      </w:r>
      <w:r>
        <w:rPr>
          <w:rFonts w:eastAsia="Times New Roman"/>
          <w:color w:val="000000"/>
          <w:sz w:val="20"/>
          <w:szCs w:val="20"/>
        </w:rPr>
        <w:t>22, 2021, and 2020:</w:t>
      </w:r>
    </w:p>
    <w:tbl>
      <w:tblPr>
        <w:tblW w:w="4978" w:type="pct"/>
        <w:tblCellMar>
          <w:top w:w="15" w:type="dxa"/>
          <w:left w:w="15" w:type="dxa"/>
          <w:bottom w:w="15" w:type="dxa"/>
          <w:right w:w="15" w:type="dxa"/>
        </w:tblCellMar>
        <w:tblLook w:val="04A0" w:firstRow="1" w:lastRow="0" w:firstColumn="1" w:lastColumn="0" w:noHBand="0" w:noVBand="1"/>
      </w:tblPr>
      <w:tblGrid>
        <w:gridCol w:w="38"/>
        <w:gridCol w:w="4192"/>
        <w:gridCol w:w="37"/>
        <w:gridCol w:w="37"/>
        <w:gridCol w:w="1081"/>
        <w:gridCol w:w="188"/>
        <w:gridCol w:w="36"/>
        <w:gridCol w:w="36"/>
        <w:gridCol w:w="36"/>
        <w:gridCol w:w="37"/>
        <w:gridCol w:w="1008"/>
        <w:gridCol w:w="188"/>
        <w:gridCol w:w="36"/>
        <w:gridCol w:w="36"/>
        <w:gridCol w:w="36"/>
        <w:gridCol w:w="37"/>
        <w:gridCol w:w="1022"/>
        <w:gridCol w:w="188"/>
      </w:tblGrid>
      <w:tr w:rsidR="00000000">
        <w:tc>
          <w:tcPr>
            <w:tcW w:w="50" w:type="pct"/>
            <w:vAlign w:val="center"/>
            <w:hideMark/>
          </w:tcPr>
          <w:p w:rsidR="00000000" w:rsidRDefault="00F123EE">
            <w:pPr>
              <w:jc w:val="both"/>
              <w:rPr>
                <w:rFonts w:eastAsia="Times New Roman"/>
              </w:rPr>
            </w:pPr>
          </w:p>
        </w:tc>
        <w:tc>
          <w:tcPr>
            <w:tcW w:w="2588"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708"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701"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708"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Percent of Net Sales</w:t>
            </w:r>
          </w:p>
        </w:tc>
      </w:tr>
      <w:tr w:rsidR="00000000">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Fiscal Year</w:t>
            </w: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b/>
                <w:bCs/>
                <w:color w:val="000000"/>
                <w:sz w:val="20"/>
                <w:szCs w:val="20"/>
              </w:rPr>
              <w:t>Product Category:</w:t>
            </w:r>
          </w:p>
        </w:tc>
        <w:tc>
          <w:tcPr>
            <w:tcW w:w="0" w:type="auto"/>
            <w:gridSpan w:val="3"/>
            <w:tcBorders>
              <w:top w:val="single" w:sz="1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2022</w:t>
            </w:r>
          </w:p>
        </w:tc>
        <w:tc>
          <w:tcPr>
            <w:tcW w:w="0" w:type="auto"/>
            <w:gridSpan w:val="3"/>
            <w:tcBorders>
              <w:top w:val="single" w:sz="18" w:space="0" w:color="000000"/>
            </w:tcBorders>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1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2021</w:t>
            </w:r>
          </w:p>
        </w:tc>
        <w:tc>
          <w:tcPr>
            <w:tcW w:w="0" w:type="auto"/>
            <w:gridSpan w:val="3"/>
            <w:tcBorders>
              <w:top w:val="single" w:sz="18" w:space="0" w:color="000000"/>
            </w:tcBorders>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Borders>
              <w:top w:val="single" w:sz="18" w:space="0" w:color="000000"/>
            </w:tcBorders>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2020</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Livestock and Pet</w:t>
            </w:r>
          </w:p>
        </w:tc>
        <w:tc>
          <w:tcPr>
            <w:tcW w:w="0" w:type="auto"/>
            <w:gridSpan w:val="2"/>
            <w:tcBorders>
              <w:top w:val="single" w:sz="1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50 </w:t>
            </w:r>
          </w:p>
        </w:tc>
        <w:tc>
          <w:tcPr>
            <w:tcW w:w="0" w:type="auto"/>
            <w:tcBorders>
              <w:top w:val="single" w:sz="1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2"/>
            <w:tcBorders>
              <w:top w:val="single" w:sz="1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47 </w:t>
            </w:r>
          </w:p>
        </w:tc>
        <w:tc>
          <w:tcPr>
            <w:tcW w:w="0" w:type="auto"/>
            <w:tcBorders>
              <w:top w:val="single" w:sz="1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2"/>
            <w:tcBorders>
              <w:top w:val="single" w:sz="18"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47 </w:t>
            </w:r>
          </w:p>
        </w:tc>
        <w:tc>
          <w:tcPr>
            <w:tcW w:w="0" w:type="auto"/>
            <w:tcBorders>
              <w:top w:val="single" w:sz="18"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Seasonal, Gift and Toy Products</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Hardware, Tools and Truck</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Clothing and Footwear</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Agriculture</w:t>
            </w: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w:t>
            </w:r>
          </w:p>
        </w:tc>
      </w:tr>
    </w:tbl>
    <w:p w:rsidR="00000000" w:rsidRDefault="00F123EE">
      <w:pPr>
        <w:jc w:val="both"/>
        <w:rPr>
          <w:rFonts w:eastAsia="Times New Roman"/>
        </w:rPr>
      </w:pPr>
    </w:p>
    <w:p w:rsidR="00000000" w:rsidRDefault="00F123EE">
      <w:pPr>
        <w:jc w:val="both"/>
        <w:rPr>
          <w:rFonts w:eastAsia="Times New Roman"/>
        </w:rPr>
      </w:pPr>
    </w:p>
    <w:p w:rsidR="00000000" w:rsidRDefault="00F123EE">
      <w:pPr>
        <w:ind w:hanging="1440"/>
        <w:jc w:val="both"/>
        <w:rPr>
          <w:rFonts w:eastAsia="Times New Roman"/>
        </w:rPr>
      </w:pPr>
      <w:r>
        <w:rPr>
          <w:rFonts w:eastAsia="Times New Roman"/>
          <w:b/>
          <w:bCs/>
          <w:color w:val="000000"/>
          <w:sz w:val="20"/>
          <w:szCs w:val="20"/>
          <w:u w:val="single"/>
        </w:rPr>
        <w:t>Item 9</w:t>
      </w:r>
      <w:r>
        <w:rPr>
          <w:rFonts w:eastAsia="Times New Roman"/>
          <w:b/>
          <w:bCs/>
          <w:color w:val="000000"/>
          <w:sz w:val="20"/>
          <w:szCs w:val="20"/>
        </w:rPr>
        <w:t>.    </w:t>
      </w:r>
      <w:r>
        <w:rPr>
          <w:rFonts w:eastAsia="Times New Roman"/>
          <w:b/>
          <w:bCs/>
          <w:color w:val="000000"/>
          <w:sz w:val="20"/>
          <w:szCs w:val="20"/>
          <w:u w:val="single"/>
        </w:rPr>
        <w:t>Changes in and Disagreements with Accountants on Accounting and Financial Disclosure</w:t>
      </w:r>
    </w:p>
    <w:p w:rsidR="00000000" w:rsidRDefault="00F123EE">
      <w:pPr>
        <w:divId w:val="705330408"/>
        <w:rPr>
          <w:rFonts w:eastAsia="Times New Roman"/>
        </w:rPr>
      </w:pPr>
    </w:p>
    <w:p w:rsidR="00000000" w:rsidRDefault="00F123EE">
      <w:pPr>
        <w:jc w:val="both"/>
        <w:rPr>
          <w:rFonts w:eastAsia="Times New Roman"/>
        </w:rPr>
      </w:pPr>
      <w:r>
        <w:rPr>
          <w:rFonts w:eastAsia="Times New Roman"/>
          <w:color w:val="000000"/>
          <w:sz w:val="20"/>
          <w:szCs w:val="20"/>
        </w:rPr>
        <w:t>None.</w:t>
      </w:r>
    </w:p>
    <w:p w:rsidR="00000000" w:rsidRDefault="00F123EE">
      <w:pPr>
        <w:divId w:val="3868686"/>
        <w:rPr>
          <w:rFonts w:eastAsia="Times New Roman"/>
        </w:rPr>
      </w:pPr>
    </w:p>
    <w:p w:rsidR="00000000" w:rsidRDefault="00F123EE">
      <w:pPr>
        <w:jc w:val="both"/>
        <w:rPr>
          <w:rFonts w:eastAsia="Times New Roman"/>
        </w:rPr>
      </w:pPr>
      <w:r>
        <w:rPr>
          <w:rFonts w:eastAsia="Times New Roman"/>
          <w:b/>
          <w:bCs/>
          <w:color w:val="000000"/>
          <w:sz w:val="20"/>
          <w:szCs w:val="20"/>
          <w:u w:val="single"/>
        </w:rPr>
        <w:t>Item 9A</w:t>
      </w:r>
      <w:r>
        <w:rPr>
          <w:rFonts w:eastAsia="Times New Roman"/>
          <w:b/>
          <w:bCs/>
          <w:color w:val="000000"/>
          <w:sz w:val="20"/>
          <w:szCs w:val="20"/>
        </w:rPr>
        <w:t>.    </w:t>
      </w:r>
      <w:r>
        <w:rPr>
          <w:rFonts w:eastAsia="Times New Roman"/>
          <w:b/>
          <w:bCs/>
          <w:color w:val="000000"/>
          <w:sz w:val="20"/>
          <w:szCs w:val="20"/>
          <w:u w:val="single"/>
        </w:rPr>
        <w:t>Controls and Procedures</w:t>
      </w:r>
    </w:p>
    <w:p w:rsidR="00000000" w:rsidRDefault="00F123EE">
      <w:pPr>
        <w:divId w:val="33039809"/>
        <w:rPr>
          <w:rFonts w:eastAsia="Times New Roman"/>
        </w:rPr>
      </w:pPr>
    </w:p>
    <w:p w:rsidR="00000000" w:rsidRDefault="00F123EE">
      <w:pPr>
        <w:jc w:val="both"/>
        <w:rPr>
          <w:rFonts w:eastAsia="Times New Roman"/>
        </w:rPr>
      </w:pPr>
      <w:r>
        <w:rPr>
          <w:rFonts w:eastAsia="Times New Roman"/>
          <w:i/>
          <w:iCs/>
          <w:color w:val="000000"/>
          <w:sz w:val="20"/>
          <w:szCs w:val="20"/>
        </w:rPr>
        <w:t>Disclosure Controls and Procedures</w:t>
      </w:r>
    </w:p>
    <w:p w:rsidR="00000000" w:rsidRDefault="00F123EE">
      <w:pPr>
        <w:divId w:val="1902867343"/>
        <w:rPr>
          <w:rFonts w:eastAsia="Times New Roman"/>
        </w:rPr>
      </w:pPr>
    </w:p>
    <w:p w:rsidR="00000000" w:rsidRDefault="00F123EE">
      <w:pPr>
        <w:jc w:val="both"/>
        <w:rPr>
          <w:rFonts w:eastAsia="Times New Roman"/>
        </w:rPr>
      </w:pPr>
      <w:r>
        <w:rPr>
          <w:rFonts w:eastAsia="Times New Roman"/>
          <w:color w:val="000000"/>
          <w:sz w:val="20"/>
          <w:szCs w:val="20"/>
        </w:rPr>
        <w:t>We carried out an evaluation required by the Securities Exchange Act of 1934, as amended (the “1934 Act”), under the supervision and with the participation of our principal executive officer and principal financial officer, of the effectiveness of the desi</w:t>
      </w:r>
      <w:r>
        <w:rPr>
          <w:rFonts w:eastAsia="Times New Roman"/>
          <w:color w:val="000000"/>
          <w:sz w:val="20"/>
          <w:szCs w:val="20"/>
        </w:rPr>
        <w:t>gn and operation of our disclosure controls and procedures (as defined in Rule 13a-15(e) and 15d-15(e) under the 1934 Act) as of December 31, 2022.  Based on this evaluation, our principal executive officer and principal financial officer concluded that, a</w:t>
      </w:r>
      <w:r>
        <w:rPr>
          <w:rFonts w:eastAsia="Times New Roman"/>
          <w:color w:val="000000"/>
          <w:sz w:val="20"/>
          <w:szCs w:val="20"/>
        </w:rPr>
        <w:t>s of December 31, 2022, our disclosure controls and procedures were effective.</w:t>
      </w:r>
    </w:p>
    <w:p w:rsidR="00000000" w:rsidRDefault="00F123EE">
      <w:pPr>
        <w:jc w:val="center"/>
        <w:divId w:val="1793743385"/>
        <w:rPr>
          <w:rFonts w:eastAsia="Times New Roman"/>
        </w:rPr>
      </w:pPr>
      <w:r>
        <w:rPr>
          <w:rFonts w:eastAsia="Times New Roman"/>
          <w:color w:val="000000"/>
          <w:sz w:val="20"/>
          <w:szCs w:val="20"/>
        </w:rPr>
        <w:t>76</w:t>
      </w:r>
    </w:p>
    <w:p w:rsidR="00000000" w:rsidRDefault="00F123EE">
      <w:pPr>
        <w:rPr>
          <w:rFonts w:eastAsia="Times New Roman"/>
        </w:rPr>
      </w:pPr>
      <w:r>
        <w:rPr>
          <w:rFonts w:eastAsia="Times New Roman"/>
        </w:rPr>
        <w:pict>
          <v:rect id="_x0000_i1106" style="width:0;height:1.5pt" o:hralign="center" o:hrstd="t" o:hr="t" fillcolor="#a0a0a0" stroked="f"/>
        </w:pict>
      </w:r>
    </w:p>
    <w:p w:rsidR="00000000" w:rsidRDefault="00F123EE">
      <w:pPr>
        <w:divId w:val="1080374747"/>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p>
    <w:p w:rsidR="00000000" w:rsidRDefault="00F123EE">
      <w:pPr>
        <w:jc w:val="both"/>
        <w:rPr>
          <w:rFonts w:eastAsia="Times New Roman"/>
        </w:rPr>
      </w:pPr>
      <w:r>
        <w:rPr>
          <w:rFonts w:eastAsia="Times New Roman"/>
          <w:i/>
          <w:iCs/>
          <w:color w:val="000000"/>
          <w:sz w:val="20"/>
          <w:szCs w:val="20"/>
        </w:rPr>
        <w:t>Internal Control Over Financial Reporting</w:t>
      </w:r>
    </w:p>
    <w:p w:rsidR="00000000" w:rsidRDefault="00F123EE">
      <w:pPr>
        <w:divId w:val="1315138478"/>
        <w:rPr>
          <w:rFonts w:eastAsia="Times New Roman"/>
        </w:rPr>
      </w:pPr>
    </w:p>
    <w:p w:rsidR="00000000" w:rsidRDefault="00F123EE">
      <w:pPr>
        <w:jc w:val="both"/>
        <w:rPr>
          <w:rFonts w:eastAsia="Times New Roman"/>
        </w:rPr>
      </w:pPr>
      <w:r>
        <w:rPr>
          <w:rFonts w:eastAsia="Times New Roman"/>
          <w:color w:val="000000"/>
          <w:sz w:val="20"/>
          <w:szCs w:val="20"/>
        </w:rPr>
        <w:t>A report of the Company’s ma</w:t>
      </w:r>
      <w:r>
        <w:rPr>
          <w:rFonts w:eastAsia="Times New Roman"/>
          <w:color w:val="000000"/>
          <w:sz w:val="20"/>
          <w:szCs w:val="20"/>
        </w:rPr>
        <w:t>nagement on the Company’s internal control over financial reporting (as such term is defined in Rule 13a-15(f) under the 1934 Act) and a report of Ernst &amp; Young LLP, an independent registered public accounting firm, on the effectiveness of the Company’s in</w:t>
      </w:r>
      <w:r>
        <w:rPr>
          <w:rFonts w:eastAsia="Times New Roman"/>
          <w:color w:val="000000"/>
          <w:sz w:val="20"/>
          <w:szCs w:val="20"/>
        </w:rPr>
        <w:t>ternal control over financial reporting are included in Item 8 of this Annual Report on Form 10-K.</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There were no changes in our internal control over financial reporting that occurred during our last fiscal quarter that have materially affected or are re</w:t>
      </w:r>
      <w:r>
        <w:rPr>
          <w:rFonts w:eastAsia="Times New Roman"/>
          <w:color w:val="000000"/>
          <w:sz w:val="20"/>
          <w:szCs w:val="20"/>
        </w:rPr>
        <w:t>asonably likely to materially affect our internal control over financial reporting.</w:t>
      </w:r>
    </w:p>
    <w:p w:rsidR="00000000" w:rsidRDefault="00F123EE">
      <w:pPr>
        <w:divId w:val="356739658"/>
        <w:rPr>
          <w:rFonts w:eastAsia="Times New Roman"/>
        </w:rPr>
      </w:pPr>
    </w:p>
    <w:p w:rsidR="00000000" w:rsidRDefault="00F123EE">
      <w:pPr>
        <w:ind w:hanging="1440"/>
        <w:jc w:val="both"/>
        <w:rPr>
          <w:rFonts w:eastAsia="Times New Roman"/>
        </w:rPr>
      </w:pPr>
      <w:r>
        <w:rPr>
          <w:rFonts w:eastAsia="Times New Roman"/>
          <w:b/>
          <w:bCs/>
          <w:color w:val="000000"/>
          <w:sz w:val="20"/>
          <w:szCs w:val="20"/>
          <w:u w:val="single"/>
        </w:rPr>
        <w:t>Item 9B</w:t>
      </w:r>
      <w:r>
        <w:rPr>
          <w:rFonts w:eastAsia="Times New Roman"/>
          <w:b/>
          <w:bCs/>
          <w:color w:val="000000"/>
          <w:sz w:val="20"/>
          <w:szCs w:val="20"/>
        </w:rPr>
        <w:t>.    </w:t>
      </w:r>
      <w:r>
        <w:rPr>
          <w:rFonts w:eastAsia="Times New Roman"/>
          <w:b/>
          <w:bCs/>
          <w:color w:val="000000"/>
          <w:sz w:val="20"/>
          <w:szCs w:val="20"/>
          <w:u w:val="single"/>
        </w:rPr>
        <w:t>Other Information</w:t>
      </w:r>
    </w:p>
    <w:p w:rsidR="00000000" w:rsidRDefault="00F123EE">
      <w:pPr>
        <w:divId w:val="974023222"/>
        <w:rPr>
          <w:rFonts w:eastAsia="Times New Roman"/>
        </w:rPr>
      </w:pPr>
    </w:p>
    <w:p w:rsidR="00000000" w:rsidRDefault="00F123EE">
      <w:pPr>
        <w:jc w:val="both"/>
        <w:rPr>
          <w:rFonts w:eastAsia="Times New Roman"/>
        </w:rPr>
      </w:pPr>
      <w:r>
        <w:rPr>
          <w:rFonts w:eastAsia="Times New Roman"/>
          <w:color w:val="000000"/>
          <w:sz w:val="20"/>
          <w:szCs w:val="20"/>
        </w:rPr>
        <w:t>None.</w:t>
      </w:r>
    </w:p>
    <w:p w:rsidR="00000000" w:rsidRDefault="00F123EE">
      <w:pPr>
        <w:jc w:val="both"/>
        <w:rPr>
          <w:rFonts w:eastAsia="Times New Roman"/>
        </w:rPr>
      </w:pPr>
    </w:p>
    <w:p w:rsidR="00000000" w:rsidRDefault="00F123EE">
      <w:pPr>
        <w:ind w:hanging="1440"/>
        <w:jc w:val="both"/>
        <w:rPr>
          <w:rFonts w:eastAsia="Times New Roman"/>
        </w:rPr>
      </w:pPr>
      <w:r>
        <w:rPr>
          <w:rFonts w:eastAsia="Times New Roman"/>
          <w:b/>
          <w:bCs/>
          <w:color w:val="000000"/>
          <w:sz w:val="20"/>
          <w:szCs w:val="20"/>
          <w:u w:val="single"/>
        </w:rPr>
        <w:t>Item 9C</w:t>
      </w:r>
      <w:r>
        <w:rPr>
          <w:rFonts w:eastAsia="Times New Roman"/>
          <w:b/>
          <w:bCs/>
          <w:color w:val="000000"/>
          <w:sz w:val="20"/>
          <w:szCs w:val="20"/>
        </w:rPr>
        <w:t>.    </w:t>
      </w:r>
      <w:r>
        <w:rPr>
          <w:rFonts w:eastAsia="Times New Roman"/>
          <w:b/>
          <w:bCs/>
          <w:color w:val="000000"/>
          <w:sz w:val="20"/>
          <w:szCs w:val="20"/>
          <w:u w:val="single"/>
        </w:rPr>
        <w:t>Disclosure Regarding Foreign Jurisdictions that Prevent Inspections</w:t>
      </w:r>
    </w:p>
    <w:p w:rsidR="00000000" w:rsidRDefault="00F123EE">
      <w:pPr>
        <w:divId w:val="1192575994"/>
        <w:rPr>
          <w:rFonts w:eastAsia="Times New Roman"/>
        </w:rPr>
      </w:pPr>
    </w:p>
    <w:p w:rsidR="00000000" w:rsidRDefault="00F123EE">
      <w:pPr>
        <w:jc w:val="both"/>
        <w:rPr>
          <w:rFonts w:eastAsia="Times New Roman"/>
        </w:rPr>
      </w:pPr>
      <w:r>
        <w:rPr>
          <w:rFonts w:eastAsia="Times New Roman"/>
          <w:color w:val="000000"/>
          <w:sz w:val="20"/>
          <w:szCs w:val="20"/>
        </w:rPr>
        <w:t>Not applicable.</w:t>
      </w:r>
    </w:p>
    <w:p w:rsidR="00000000" w:rsidRDefault="00F123EE">
      <w:pPr>
        <w:jc w:val="both"/>
        <w:rPr>
          <w:rFonts w:eastAsia="Times New Roman"/>
        </w:rPr>
      </w:pPr>
    </w:p>
    <w:p w:rsidR="00000000" w:rsidRDefault="00F123EE">
      <w:pPr>
        <w:jc w:val="center"/>
        <w:rPr>
          <w:rFonts w:eastAsia="Times New Roman"/>
        </w:rPr>
      </w:pPr>
      <w:r>
        <w:rPr>
          <w:rFonts w:eastAsia="Times New Roman"/>
          <w:b/>
          <w:bCs/>
          <w:color w:val="000000"/>
          <w:sz w:val="20"/>
          <w:szCs w:val="20"/>
        </w:rPr>
        <w:t>PART III</w:t>
      </w:r>
    </w:p>
    <w:p w:rsidR="00000000" w:rsidRDefault="00F123EE">
      <w:pPr>
        <w:jc w:val="center"/>
        <w:rPr>
          <w:rFonts w:eastAsia="Times New Roman"/>
        </w:rPr>
      </w:pPr>
    </w:p>
    <w:p w:rsidR="00000000" w:rsidRDefault="00F123EE">
      <w:pPr>
        <w:ind w:hanging="1440"/>
        <w:jc w:val="both"/>
        <w:rPr>
          <w:rFonts w:eastAsia="Times New Roman"/>
        </w:rPr>
      </w:pPr>
      <w:r>
        <w:rPr>
          <w:rFonts w:eastAsia="Times New Roman"/>
          <w:b/>
          <w:bCs/>
          <w:color w:val="000000"/>
          <w:sz w:val="20"/>
          <w:szCs w:val="20"/>
          <w:u w:val="single"/>
        </w:rPr>
        <w:t>Item 10</w:t>
      </w:r>
      <w:r>
        <w:rPr>
          <w:rFonts w:eastAsia="Times New Roman"/>
          <w:b/>
          <w:bCs/>
          <w:color w:val="000000"/>
          <w:sz w:val="20"/>
          <w:szCs w:val="20"/>
        </w:rPr>
        <w:t>.    </w:t>
      </w:r>
      <w:r>
        <w:rPr>
          <w:rFonts w:eastAsia="Times New Roman"/>
          <w:b/>
          <w:bCs/>
          <w:color w:val="000000"/>
          <w:sz w:val="20"/>
          <w:szCs w:val="20"/>
          <w:u w:val="single"/>
        </w:rPr>
        <w:t>Directors, Executive Officers and Corporate Governance</w:t>
      </w:r>
    </w:p>
    <w:p w:rsidR="00000000" w:rsidRDefault="00F123EE">
      <w:pPr>
        <w:divId w:val="1510410499"/>
        <w:rPr>
          <w:rFonts w:eastAsia="Times New Roman"/>
        </w:rPr>
      </w:pPr>
    </w:p>
    <w:p w:rsidR="00000000" w:rsidRDefault="00F123EE">
      <w:pPr>
        <w:jc w:val="both"/>
        <w:rPr>
          <w:rFonts w:eastAsia="Times New Roman"/>
        </w:rPr>
      </w:pPr>
      <w:r>
        <w:rPr>
          <w:rFonts w:eastAsia="Times New Roman"/>
          <w:color w:val="000000"/>
          <w:sz w:val="20"/>
          <w:szCs w:val="20"/>
        </w:rPr>
        <w:t>The information set forth under the caption “Information about our Executive Officers” in Part I of this Form 10-K is incorporated herein by reference.</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 xml:space="preserve">The information set forth under the captions </w:t>
      </w:r>
      <w:r>
        <w:rPr>
          <w:rFonts w:eastAsia="Times New Roman"/>
          <w:color w:val="000000"/>
          <w:sz w:val="20"/>
          <w:szCs w:val="20"/>
        </w:rPr>
        <w:t>“Item 1: Election of Directors,” “Board Meetings and Committees,” and “Delinquent Section 16(a) Reports” in our Proxy Statement for our Annual Meeting of Stockholders to be held on May 11, 2023, is incorporated herein by reference.</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Company has a Code</w:t>
      </w:r>
      <w:r>
        <w:rPr>
          <w:rFonts w:eastAsia="Times New Roman"/>
          <w:color w:val="000000"/>
          <w:sz w:val="20"/>
          <w:szCs w:val="20"/>
        </w:rPr>
        <w:t xml:space="preserve"> of Ethics which covers all exempt employees, officers and directors of the Company, including the principal executive officer, principal financial officer, principal accounting officer and controller. The Code of Ethics is available in the “Corporate Gove</w:t>
      </w:r>
      <w:r>
        <w:rPr>
          <w:rFonts w:eastAsia="Times New Roman"/>
          <w:color w:val="000000"/>
          <w:sz w:val="20"/>
          <w:szCs w:val="20"/>
        </w:rPr>
        <w:t xml:space="preserve">rnance” section of the Company’s website at </w:t>
      </w:r>
      <w:r>
        <w:rPr>
          <w:rFonts w:eastAsia="Times New Roman"/>
          <w:i/>
          <w:iCs/>
          <w:color w:val="000000"/>
          <w:sz w:val="20"/>
          <w:szCs w:val="20"/>
          <w:u w:val="single"/>
        </w:rPr>
        <w:t>TractorSupply.com</w:t>
      </w:r>
      <w:r>
        <w:rPr>
          <w:rFonts w:eastAsia="Times New Roman"/>
          <w:color w:val="000000"/>
          <w:sz w:val="20"/>
          <w:szCs w:val="20"/>
        </w:rPr>
        <w:t xml:space="preserve">. </w:t>
      </w:r>
      <w:r>
        <w:rPr>
          <w:rFonts w:eastAsia="Times New Roman"/>
          <w:color w:val="000000"/>
          <w:sz w:val="20"/>
          <w:szCs w:val="20"/>
        </w:rPr>
        <w:t xml:space="preserve">A copy of the Code of Ethics can also be obtained, free of charge, upon written request to the Corporate Secretary, Tractor Supply Company, 5401 Virginia Way, Brentwood, TN 37027. The Company intends to post amendments to or waivers, if any, from its Code </w:t>
      </w:r>
      <w:r>
        <w:rPr>
          <w:rFonts w:eastAsia="Times New Roman"/>
          <w:color w:val="000000"/>
          <w:sz w:val="20"/>
          <w:szCs w:val="20"/>
        </w:rPr>
        <w:t>of Ethics (to the extent applicable to its principal executive officer, principal financial officer, principal accounting officer or controller) on its website.</w:t>
      </w:r>
    </w:p>
    <w:p w:rsidR="00000000" w:rsidRDefault="00F123EE">
      <w:pPr>
        <w:jc w:val="both"/>
        <w:rPr>
          <w:rFonts w:eastAsia="Times New Roman"/>
        </w:rPr>
      </w:pPr>
    </w:p>
    <w:p w:rsidR="00000000" w:rsidRDefault="00F123EE">
      <w:pPr>
        <w:jc w:val="both"/>
        <w:rPr>
          <w:rFonts w:eastAsia="Times New Roman"/>
        </w:rPr>
      </w:pPr>
      <w:r>
        <w:rPr>
          <w:rFonts w:eastAsia="Times New Roman"/>
          <w:b/>
          <w:bCs/>
          <w:color w:val="000000"/>
          <w:sz w:val="20"/>
          <w:szCs w:val="20"/>
          <w:u w:val="single"/>
        </w:rPr>
        <w:t>Item 11</w:t>
      </w:r>
      <w:r>
        <w:rPr>
          <w:rFonts w:eastAsia="Times New Roman"/>
          <w:b/>
          <w:bCs/>
          <w:color w:val="000000"/>
          <w:sz w:val="20"/>
          <w:szCs w:val="20"/>
        </w:rPr>
        <w:t>.        </w:t>
      </w:r>
      <w:r>
        <w:rPr>
          <w:rFonts w:eastAsia="Times New Roman"/>
          <w:b/>
          <w:bCs/>
          <w:color w:val="000000"/>
          <w:sz w:val="20"/>
          <w:szCs w:val="20"/>
          <w:u w:val="single"/>
        </w:rPr>
        <w:t>Executive Compensation</w:t>
      </w:r>
    </w:p>
    <w:p w:rsidR="00000000" w:rsidRDefault="00F123EE">
      <w:pPr>
        <w:jc w:val="both"/>
        <w:rPr>
          <w:rFonts w:eastAsia="Times New Roman"/>
        </w:rPr>
      </w:pPr>
    </w:p>
    <w:p w:rsidR="00000000" w:rsidRDefault="00F123EE">
      <w:pPr>
        <w:jc w:val="both"/>
        <w:rPr>
          <w:rFonts w:eastAsia="Times New Roman"/>
        </w:rPr>
      </w:pPr>
      <w:r>
        <w:rPr>
          <w:rFonts w:eastAsia="Times New Roman"/>
          <w:color w:val="000000"/>
          <w:sz w:val="20"/>
          <w:szCs w:val="20"/>
        </w:rPr>
        <w:t>The information set forth under the captions “Corpor</w:t>
      </w:r>
      <w:r>
        <w:rPr>
          <w:rFonts w:eastAsia="Times New Roman"/>
          <w:color w:val="000000"/>
          <w:sz w:val="20"/>
          <w:szCs w:val="20"/>
        </w:rPr>
        <w:t>ate Governance – Compensation Committee Interlocks and Insider Participation,” “Compensation of Directors,” and “Executive Compensation” in our Proxy Statement for our Annual Meeting of Stockholders to be held on May 11, 2023, is incorporated herein by ref</w:t>
      </w:r>
      <w:r>
        <w:rPr>
          <w:rFonts w:eastAsia="Times New Roman"/>
          <w:color w:val="000000"/>
          <w:sz w:val="20"/>
          <w:szCs w:val="20"/>
        </w:rPr>
        <w:t>erence.</w:t>
      </w:r>
    </w:p>
    <w:p w:rsidR="00000000" w:rsidRDefault="00F123EE">
      <w:pPr>
        <w:jc w:val="both"/>
        <w:rPr>
          <w:rFonts w:eastAsia="Times New Roman"/>
        </w:rPr>
      </w:pPr>
    </w:p>
    <w:p w:rsidR="00000000" w:rsidRDefault="00F123EE">
      <w:pPr>
        <w:jc w:val="both"/>
        <w:rPr>
          <w:rFonts w:eastAsia="Times New Roman"/>
        </w:rPr>
      </w:pPr>
      <w:r>
        <w:rPr>
          <w:rFonts w:eastAsia="Times New Roman"/>
          <w:b/>
          <w:bCs/>
          <w:color w:val="000000"/>
          <w:sz w:val="20"/>
          <w:szCs w:val="20"/>
          <w:u w:val="single"/>
        </w:rPr>
        <w:t>Item 12</w:t>
      </w:r>
      <w:r>
        <w:rPr>
          <w:rFonts w:eastAsia="Times New Roman"/>
          <w:b/>
          <w:bCs/>
          <w:color w:val="000000"/>
          <w:sz w:val="20"/>
          <w:szCs w:val="20"/>
        </w:rPr>
        <w:t>.        </w:t>
      </w:r>
      <w:r>
        <w:rPr>
          <w:rFonts w:eastAsia="Times New Roman"/>
          <w:b/>
          <w:bCs/>
          <w:color w:val="000000"/>
          <w:sz w:val="20"/>
          <w:szCs w:val="20"/>
          <w:u w:val="single"/>
        </w:rPr>
        <w:t>Security Ownership of Certain Beneficial Owners and Management and Related Stockholder Matters</w:t>
      </w:r>
    </w:p>
    <w:p w:rsidR="00000000" w:rsidRDefault="00F123EE">
      <w:pPr>
        <w:divId w:val="1321957298"/>
        <w:rPr>
          <w:rFonts w:eastAsia="Times New Roman"/>
        </w:rPr>
      </w:pPr>
    </w:p>
    <w:p w:rsidR="00000000" w:rsidRDefault="00F123EE">
      <w:pPr>
        <w:jc w:val="both"/>
        <w:rPr>
          <w:rFonts w:eastAsia="Times New Roman"/>
        </w:rPr>
      </w:pPr>
      <w:r>
        <w:rPr>
          <w:rFonts w:eastAsia="Times New Roman"/>
          <w:color w:val="000000"/>
          <w:sz w:val="20"/>
          <w:szCs w:val="20"/>
        </w:rPr>
        <w:t>The information set forth under the caption “Security Ownership of Certain Beneficial Owners and Management” in our Proxy Statement f</w:t>
      </w:r>
      <w:r>
        <w:rPr>
          <w:rFonts w:eastAsia="Times New Roman"/>
          <w:color w:val="000000"/>
          <w:sz w:val="20"/>
          <w:szCs w:val="20"/>
        </w:rPr>
        <w:t>or our Annual Meeting of Stockholders to be held on May 11, 2023, is incorporated herein by reference.</w:t>
      </w:r>
    </w:p>
    <w:p w:rsidR="00000000" w:rsidRDefault="00F123EE">
      <w:pPr>
        <w:jc w:val="both"/>
        <w:rPr>
          <w:rFonts w:eastAsia="Times New Roman"/>
        </w:rPr>
      </w:pPr>
    </w:p>
    <w:p w:rsidR="00000000" w:rsidRDefault="00F123EE">
      <w:pPr>
        <w:jc w:val="center"/>
        <w:divId w:val="567108635"/>
        <w:rPr>
          <w:rFonts w:eastAsia="Times New Roman"/>
        </w:rPr>
      </w:pPr>
      <w:r>
        <w:rPr>
          <w:rFonts w:eastAsia="Times New Roman"/>
          <w:color w:val="000000"/>
          <w:sz w:val="20"/>
          <w:szCs w:val="20"/>
        </w:rPr>
        <w:t>77</w:t>
      </w:r>
    </w:p>
    <w:p w:rsidR="00000000" w:rsidRDefault="00F123EE">
      <w:pPr>
        <w:rPr>
          <w:rFonts w:eastAsia="Times New Roman"/>
        </w:rPr>
      </w:pPr>
      <w:r>
        <w:rPr>
          <w:rFonts w:eastAsia="Times New Roman"/>
        </w:rPr>
        <w:pict>
          <v:rect id="_x0000_i1107" style="width:0;height:1.5pt" o:hralign="center" o:hrstd="t" o:hr="t" fillcolor="#a0a0a0" stroked="f"/>
        </w:pict>
      </w:r>
    </w:p>
    <w:p w:rsidR="00000000" w:rsidRDefault="00F123EE">
      <w:pPr>
        <w:divId w:val="459808247"/>
        <w:rPr>
          <w:rFonts w:eastAsia="Times New Roman"/>
        </w:rPr>
      </w:pPr>
      <w:hyperlink w:anchor="i38696b5cc01146d68b9c6b33327cf890_7" w:history="1">
        <w:r>
          <w:rPr>
            <w:rStyle w:val="a3"/>
            <w:rFonts w:eastAsia="Times New Roman"/>
            <w:sz w:val="18"/>
            <w:szCs w:val="18"/>
          </w:rPr>
          <w:t>Index</w:t>
        </w:r>
      </w:hyperlink>
    </w:p>
    <w:p w:rsidR="00000000" w:rsidRDefault="00F123EE">
      <w:pPr>
        <w:jc w:val="both"/>
        <w:rPr>
          <w:rFonts w:eastAsia="Times New Roman"/>
        </w:rPr>
      </w:pPr>
      <w:r>
        <w:rPr>
          <w:rFonts w:eastAsia="Times New Roman"/>
          <w:color w:val="000000"/>
          <w:sz w:val="20"/>
          <w:szCs w:val="20"/>
        </w:rPr>
        <w:t>Following is a summary of our equity compensatio</w:t>
      </w:r>
      <w:r>
        <w:rPr>
          <w:rFonts w:eastAsia="Times New Roman"/>
          <w:color w:val="000000"/>
          <w:sz w:val="20"/>
          <w:szCs w:val="20"/>
        </w:rPr>
        <w:t>n plans as of December 31, 2022, under which equity securities are authorized for issuance, aggregated as follows:</w:t>
      </w:r>
    </w:p>
    <w:tbl>
      <w:tblPr>
        <w:tblW w:w="5000" w:type="pct"/>
        <w:tblCellMar>
          <w:top w:w="15" w:type="dxa"/>
          <w:left w:w="15" w:type="dxa"/>
          <w:bottom w:w="15" w:type="dxa"/>
          <w:right w:w="15" w:type="dxa"/>
        </w:tblCellMar>
        <w:tblLook w:val="04A0" w:firstRow="1" w:lastRow="0" w:firstColumn="1" w:lastColumn="0" w:noHBand="0" w:noVBand="1"/>
      </w:tblPr>
      <w:tblGrid>
        <w:gridCol w:w="51"/>
        <w:gridCol w:w="3923"/>
        <w:gridCol w:w="37"/>
        <w:gridCol w:w="36"/>
        <w:gridCol w:w="36"/>
        <w:gridCol w:w="36"/>
        <w:gridCol w:w="73"/>
        <w:gridCol w:w="1094"/>
        <w:gridCol w:w="36"/>
        <w:gridCol w:w="37"/>
        <w:gridCol w:w="181"/>
        <w:gridCol w:w="36"/>
        <w:gridCol w:w="121"/>
        <w:gridCol w:w="1237"/>
        <w:gridCol w:w="36"/>
        <w:gridCol w:w="37"/>
        <w:gridCol w:w="181"/>
        <w:gridCol w:w="36"/>
        <w:gridCol w:w="74"/>
        <w:gridCol w:w="972"/>
        <w:gridCol w:w="36"/>
      </w:tblGrid>
      <w:tr w:rsidR="00000000">
        <w:tc>
          <w:tcPr>
            <w:tcW w:w="50" w:type="pct"/>
            <w:vAlign w:val="center"/>
            <w:hideMark/>
          </w:tcPr>
          <w:p w:rsidR="00000000" w:rsidRDefault="00F123EE">
            <w:pPr>
              <w:jc w:val="both"/>
              <w:rPr>
                <w:rFonts w:eastAsia="Times New Roman"/>
              </w:rPr>
            </w:pPr>
          </w:p>
        </w:tc>
        <w:tc>
          <w:tcPr>
            <w:tcW w:w="2379"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2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70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128"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763"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128"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617"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b/>
                <w:bCs/>
                <w:color w:val="000000"/>
                <w:sz w:val="20"/>
                <w:szCs w:val="20"/>
              </w:rPr>
              <w:t>Plan Category</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Number of Securities to be</w:t>
            </w:r>
          </w:p>
          <w:p w:rsidR="00000000" w:rsidRDefault="00F123EE">
            <w:pPr>
              <w:spacing w:after="100"/>
              <w:jc w:val="center"/>
              <w:rPr>
                <w:rFonts w:eastAsia="Times New Roman"/>
              </w:rPr>
            </w:pPr>
            <w:r>
              <w:rPr>
                <w:rFonts w:eastAsia="Times New Roman"/>
                <w:b/>
                <w:bCs/>
                <w:color w:val="000000"/>
                <w:sz w:val="20"/>
                <w:szCs w:val="20"/>
              </w:rPr>
              <w:t>Issued Upon Exercise of</w:t>
            </w:r>
          </w:p>
          <w:p w:rsidR="00000000" w:rsidRDefault="00F123EE">
            <w:pPr>
              <w:spacing w:after="100"/>
              <w:jc w:val="center"/>
              <w:rPr>
                <w:rFonts w:eastAsia="Times New Roman"/>
              </w:rPr>
            </w:pPr>
            <w:r>
              <w:rPr>
                <w:rFonts w:eastAsia="Times New Roman"/>
                <w:b/>
                <w:bCs/>
                <w:color w:val="000000"/>
                <w:sz w:val="20"/>
                <w:szCs w:val="20"/>
              </w:rPr>
              <w:t>Outstanding Options, Warrants, and Rights</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Weighted Average</w:t>
            </w:r>
          </w:p>
          <w:p w:rsidR="00000000" w:rsidRDefault="00F123EE">
            <w:pPr>
              <w:spacing w:after="100"/>
              <w:jc w:val="center"/>
              <w:rPr>
                <w:rFonts w:eastAsia="Times New Roman"/>
              </w:rPr>
            </w:pPr>
            <w:r>
              <w:rPr>
                <w:rFonts w:eastAsia="Times New Roman"/>
                <w:b/>
                <w:bCs/>
                <w:color w:val="000000"/>
                <w:sz w:val="20"/>
                <w:szCs w:val="20"/>
              </w:rPr>
              <w:t>Exercise Price of</w:t>
            </w:r>
          </w:p>
          <w:p w:rsidR="00000000" w:rsidRDefault="00F123EE">
            <w:pPr>
              <w:spacing w:after="100"/>
              <w:jc w:val="center"/>
              <w:rPr>
                <w:rFonts w:eastAsia="Times New Roman"/>
              </w:rPr>
            </w:pPr>
            <w:r>
              <w:rPr>
                <w:rFonts w:eastAsia="Times New Roman"/>
                <w:b/>
                <w:bCs/>
                <w:color w:val="000000"/>
                <w:sz w:val="20"/>
                <w:szCs w:val="20"/>
              </w:rPr>
              <w:t>Outstanding Options, Warrants and Rights</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rPr>
              <w:t>Number of Securities</w:t>
            </w:r>
          </w:p>
          <w:p w:rsidR="00000000" w:rsidRDefault="00F123EE">
            <w:pPr>
              <w:spacing w:after="100"/>
              <w:jc w:val="center"/>
              <w:rPr>
                <w:rFonts w:eastAsia="Times New Roman"/>
              </w:rPr>
            </w:pPr>
            <w:r>
              <w:rPr>
                <w:rFonts w:eastAsia="Times New Roman"/>
                <w:b/>
                <w:bCs/>
                <w:color w:val="000000"/>
                <w:sz w:val="20"/>
                <w:szCs w:val="20"/>
              </w:rPr>
              <w:t>Remaining Available</w:t>
            </w:r>
          </w:p>
          <w:p w:rsidR="00000000" w:rsidRDefault="00F123EE">
            <w:pPr>
              <w:spacing w:after="100"/>
              <w:jc w:val="center"/>
              <w:rPr>
                <w:rFonts w:eastAsia="Times New Roman"/>
              </w:rPr>
            </w:pPr>
            <w:r>
              <w:rPr>
                <w:rFonts w:eastAsia="Times New Roman"/>
                <w:b/>
                <w:bCs/>
                <w:color w:val="000000"/>
                <w:sz w:val="20"/>
                <w:szCs w:val="20"/>
              </w:rPr>
              <w:t>for Future Issuance</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u w:val="single"/>
              </w:rPr>
              <w:t>Equity compensation plans approved by security holders:</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 </w:t>
            </w: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Stock Incentive Plans</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1,695,070 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13"/>
                <w:szCs w:val="13"/>
              </w:rPr>
              <w:t>(a</w:t>
            </w:r>
            <w:r>
              <w:rPr>
                <w:rFonts w:eastAsia="Times New Roman"/>
                <w:color w:val="000000"/>
                <w:sz w:val="13"/>
                <w:szCs w:val="13"/>
              </w:rPr>
              <w:t>)</w:t>
            </w:r>
          </w:p>
        </w:tc>
        <w:tc>
          <w:tcPr>
            <w:tcW w:w="0" w:type="auto"/>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112.18 </w:t>
            </w:r>
          </w:p>
        </w:tc>
        <w:tc>
          <w:tcPr>
            <w:tcW w:w="0" w:type="auto"/>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13"/>
                <w:szCs w:val="13"/>
              </w:rPr>
              <w:t>(b</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9,158,990 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Employee Stock Purchase Plan</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11,715,156 </w:t>
            </w:r>
          </w:p>
        </w:tc>
        <w:tc>
          <w:tcPr>
            <w:tcW w:w="0" w:type="auto"/>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u w:val="single"/>
              </w:rPr>
              <w:t>Equity compensation plans not approved by security holders</w:t>
            </w: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123E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1,695,070 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123E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112.18 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123E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123EE">
            <w:pPr>
              <w:spacing w:after="100"/>
              <w:jc w:val="right"/>
              <w:rPr>
                <w:rFonts w:eastAsia="Times New Roman"/>
              </w:rPr>
            </w:pPr>
            <w:r>
              <w:rPr>
                <w:rFonts w:eastAsia="Times New Roman"/>
                <w:color w:val="000000"/>
                <w:sz w:val="20"/>
                <w:szCs w:val="20"/>
              </w:rPr>
              <w:t>20,874,146 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123EE">
            <w:pPr>
              <w:spacing w:after="100"/>
              <w:jc w:val="right"/>
              <w:rPr>
                <w:rFonts w:eastAsia="Times New Roman"/>
              </w:rPr>
            </w:pPr>
          </w:p>
        </w:tc>
      </w:tr>
    </w:tbl>
    <w:p w:rsidR="00000000" w:rsidRDefault="00F123EE">
      <w:pPr>
        <w:ind w:hanging="180"/>
        <w:jc w:val="both"/>
        <w:rPr>
          <w:rFonts w:eastAsia="Times New Roman"/>
        </w:rPr>
      </w:pPr>
    </w:p>
    <w:p w:rsidR="00000000" w:rsidRDefault="00F123EE">
      <w:pPr>
        <w:ind w:hanging="180"/>
        <w:jc w:val="both"/>
        <w:rPr>
          <w:rFonts w:eastAsia="Times New Roman"/>
        </w:rPr>
      </w:pPr>
      <w:r>
        <w:rPr>
          <w:rFonts w:eastAsia="Times New Roman"/>
          <w:color w:val="000000"/>
          <w:sz w:val="10"/>
          <w:szCs w:val="10"/>
        </w:rPr>
        <w:t>(a)</w:t>
      </w:r>
      <w:r>
        <w:rPr>
          <w:rFonts w:eastAsia="Times New Roman"/>
          <w:color w:val="000000"/>
          <w:sz w:val="10"/>
          <w:szCs w:val="10"/>
        </w:rPr>
        <w:t xml:space="preserve"> </w:t>
      </w:r>
      <w:r>
        <w:rPr>
          <w:rFonts w:eastAsia="Times New Roman"/>
          <w:color w:val="000000"/>
          <w:sz w:val="16"/>
          <w:szCs w:val="16"/>
        </w:rPr>
        <w:t>Includes 1,090,389 outstanding stock options, 404,010 unvested restricted stock units and 45,072 restricted stock units which have vested but the receipt of which have been deferred by the r</w:t>
      </w:r>
      <w:r>
        <w:rPr>
          <w:rFonts w:eastAsia="Times New Roman"/>
          <w:color w:val="000000"/>
          <w:sz w:val="16"/>
          <w:szCs w:val="16"/>
        </w:rPr>
        <w:t>ecipient, and 155,599 unvested performance-based restricted share units. The 2006 Stock Incentive Plan was superseded in May 2009 by the 2009 Stock Incentive Plan. The 2009 Stock Incentive Plan was superseded in May 2018 by the 2018 Omnibus Incentive Plan.</w:t>
      </w:r>
      <w:r>
        <w:rPr>
          <w:rFonts w:eastAsia="Times New Roman"/>
          <w:color w:val="000000"/>
          <w:sz w:val="16"/>
          <w:szCs w:val="16"/>
        </w:rPr>
        <w:t xml:space="preserve"> Shares available under the 2018 Omnibus Incentive Plan are reduced by one share for each share issued pursuant to the exercise of a stock option and by two shares for each share issued pursuant to a full-value award (e.g., restricted stock unit or perform</w:t>
      </w:r>
      <w:r>
        <w:rPr>
          <w:rFonts w:eastAsia="Times New Roman"/>
          <w:color w:val="000000"/>
          <w:sz w:val="16"/>
          <w:szCs w:val="16"/>
        </w:rPr>
        <w:t>ance-based restricted share unit).</w:t>
      </w:r>
    </w:p>
    <w:p w:rsidR="00000000" w:rsidRDefault="00F123EE">
      <w:pPr>
        <w:ind w:hanging="180"/>
        <w:jc w:val="both"/>
        <w:rPr>
          <w:rFonts w:eastAsia="Times New Roman"/>
        </w:rPr>
      </w:pPr>
    </w:p>
    <w:p w:rsidR="00000000" w:rsidRDefault="00F123EE">
      <w:pPr>
        <w:ind w:hanging="180"/>
        <w:jc w:val="both"/>
        <w:rPr>
          <w:rFonts w:eastAsia="Times New Roman"/>
        </w:rPr>
      </w:pPr>
      <w:r>
        <w:rPr>
          <w:rFonts w:eastAsia="Times New Roman"/>
          <w:color w:val="000000"/>
          <w:sz w:val="10"/>
          <w:szCs w:val="10"/>
        </w:rPr>
        <w:t>(b)</w:t>
      </w:r>
      <w:r>
        <w:rPr>
          <w:rFonts w:eastAsia="Times New Roman"/>
          <w:color w:val="000000"/>
          <w:sz w:val="10"/>
          <w:szCs w:val="10"/>
        </w:rPr>
        <w:t xml:space="preserve"> </w:t>
      </w:r>
      <w:r>
        <w:rPr>
          <w:rFonts w:eastAsia="Times New Roman"/>
          <w:color w:val="000000"/>
          <w:sz w:val="16"/>
          <w:szCs w:val="16"/>
        </w:rPr>
        <w:t>Excludes restricted stock units and performance-based restricted share units which have a weighted average exercise price of zero.</w:t>
      </w:r>
    </w:p>
    <w:p w:rsidR="00000000" w:rsidRDefault="00F123EE">
      <w:pPr>
        <w:ind w:hanging="180"/>
        <w:jc w:val="both"/>
        <w:rPr>
          <w:rFonts w:eastAsia="Times New Roman"/>
        </w:rPr>
      </w:pPr>
    </w:p>
    <w:p w:rsidR="00000000" w:rsidRDefault="00F123EE">
      <w:pPr>
        <w:jc w:val="both"/>
        <w:rPr>
          <w:rFonts w:eastAsia="Times New Roman"/>
        </w:rPr>
      </w:pPr>
      <w:r>
        <w:rPr>
          <w:rFonts w:eastAsia="Times New Roman"/>
          <w:color w:val="000000"/>
          <w:sz w:val="20"/>
          <w:szCs w:val="20"/>
        </w:rPr>
        <w:t>The information set forth in Note 2 to the Consolidated Financial Statements contained in this Form 10-K provides further information with respect to the material features of each plan.</w:t>
      </w:r>
    </w:p>
    <w:p w:rsidR="00000000" w:rsidRDefault="00F123EE">
      <w:pPr>
        <w:divId w:val="2014870201"/>
        <w:rPr>
          <w:rFonts w:eastAsia="Times New Roman"/>
        </w:rPr>
      </w:pPr>
    </w:p>
    <w:p w:rsidR="00000000" w:rsidRDefault="00F123EE">
      <w:pPr>
        <w:jc w:val="both"/>
        <w:rPr>
          <w:rFonts w:eastAsia="Times New Roman"/>
        </w:rPr>
      </w:pPr>
      <w:r>
        <w:rPr>
          <w:rFonts w:eastAsia="Times New Roman"/>
          <w:b/>
          <w:bCs/>
          <w:color w:val="000000"/>
          <w:sz w:val="20"/>
          <w:szCs w:val="20"/>
          <w:u w:val="single"/>
        </w:rPr>
        <w:t>Item 13</w:t>
      </w:r>
      <w:r>
        <w:rPr>
          <w:rFonts w:eastAsia="Times New Roman"/>
          <w:b/>
          <w:bCs/>
          <w:color w:val="000000"/>
          <w:sz w:val="20"/>
          <w:szCs w:val="20"/>
        </w:rPr>
        <w:t>.        </w:t>
      </w:r>
      <w:r>
        <w:rPr>
          <w:rFonts w:eastAsia="Times New Roman"/>
          <w:b/>
          <w:bCs/>
          <w:color w:val="000000"/>
          <w:sz w:val="20"/>
          <w:szCs w:val="20"/>
          <w:u w:val="single"/>
        </w:rPr>
        <w:t xml:space="preserve">Certain Relationships and Related Transactions, and </w:t>
      </w:r>
      <w:r>
        <w:rPr>
          <w:rFonts w:eastAsia="Times New Roman"/>
          <w:b/>
          <w:bCs/>
          <w:color w:val="000000"/>
          <w:sz w:val="20"/>
          <w:szCs w:val="20"/>
          <w:u w:val="single"/>
        </w:rPr>
        <w:t>Director Independence</w:t>
      </w:r>
    </w:p>
    <w:p w:rsidR="00000000" w:rsidRDefault="00F123EE">
      <w:pPr>
        <w:divId w:val="860050744"/>
        <w:rPr>
          <w:rFonts w:eastAsia="Times New Roman"/>
        </w:rPr>
      </w:pPr>
    </w:p>
    <w:p w:rsidR="00000000" w:rsidRDefault="00F123EE">
      <w:pPr>
        <w:jc w:val="both"/>
        <w:rPr>
          <w:rFonts w:eastAsia="Times New Roman"/>
        </w:rPr>
      </w:pPr>
      <w:r>
        <w:rPr>
          <w:rFonts w:eastAsia="Times New Roman"/>
          <w:color w:val="000000"/>
          <w:sz w:val="20"/>
          <w:szCs w:val="20"/>
        </w:rPr>
        <w:t>The information set forth under the captions “Corporate Governance – Director Independence and Board Operations” and “Related Party Transactions” in our Proxy Statement for our Annual Meeting of Stockholders to be held on May 11, 20</w:t>
      </w:r>
      <w:r>
        <w:rPr>
          <w:rFonts w:eastAsia="Times New Roman"/>
          <w:color w:val="000000"/>
          <w:sz w:val="20"/>
          <w:szCs w:val="20"/>
        </w:rPr>
        <w:t>23, is incorporated herein by reference.</w:t>
      </w:r>
    </w:p>
    <w:p w:rsidR="00000000" w:rsidRDefault="00F123EE">
      <w:pPr>
        <w:jc w:val="both"/>
        <w:rPr>
          <w:rFonts w:eastAsia="Times New Roman"/>
        </w:rPr>
      </w:pPr>
    </w:p>
    <w:p w:rsidR="00000000" w:rsidRDefault="00F123EE">
      <w:pPr>
        <w:jc w:val="both"/>
        <w:rPr>
          <w:rFonts w:eastAsia="Times New Roman"/>
        </w:rPr>
      </w:pPr>
      <w:r>
        <w:rPr>
          <w:rFonts w:eastAsia="Times New Roman"/>
          <w:b/>
          <w:bCs/>
          <w:color w:val="000000"/>
          <w:sz w:val="20"/>
          <w:szCs w:val="20"/>
          <w:u w:val="single"/>
        </w:rPr>
        <w:t>Item 14</w:t>
      </w:r>
      <w:r>
        <w:rPr>
          <w:rFonts w:eastAsia="Times New Roman"/>
          <w:b/>
          <w:bCs/>
          <w:color w:val="000000"/>
          <w:sz w:val="20"/>
          <w:szCs w:val="20"/>
        </w:rPr>
        <w:t>.        </w:t>
      </w:r>
      <w:r>
        <w:rPr>
          <w:rFonts w:eastAsia="Times New Roman"/>
          <w:b/>
          <w:bCs/>
          <w:color w:val="000000"/>
          <w:sz w:val="20"/>
          <w:szCs w:val="20"/>
          <w:u w:val="single"/>
        </w:rPr>
        <w:t>Principal Accountant Fees and Services</w:t>
      </w:r>
    </w:p>
    <w:p w:rsidR="00000000" w:rsidRDefault="00F123EE">
      <w:pPr>
        <w:divId w:val="1577203873"/>
        <w:rPr>
          <w:rFonts w:eastAsia="Times New Roman"/>
        </w:rPr>
      </w:pPr>
    </w:p>
    <w:p w:rsidR="00000000" w:rsidRDefault="00F123EE">
      <w:pPr>
        <w:jc w:val="both"/>
        <w:rPr>
          <w:rFonts w:eastAsia="Times New Roman"/>
        </w:rPr>
      </w:pPr>
      <w:r>
        <w:rPr>
          <w:rFonts w:eastAsia="Times New Roman"/>
          <w:color w:val="000000"/>
          <w:sz w:val="20"/>
          <w:szCs w:val="20"/>
        </w:rPr>
        <w:t>The information set forth under the caption “Item 2 – Ratification of Reappointment of Independent Registered Public Accounting Firm” in our Proxy Statement</w:t>
      </w:r>
      <w:r>
        <w:rPr>
          <w:rFonts w:eastAsia="Times New Roman"/>
          <w:color w:val="000000"/>
          <w:sz w:val="20"/>
          <w:szCs w:val="20"/>
        </w:rPr>
        <w:t xml:space="preserve"> for our Annual Meeting of Stockholders to be held on May 11, 2023, is incorporated herein by reference.</w:t>
      </w:r>
    </w:p>
    <w:p w:rsidR="00000000" w:rsidRDefault="00F123EE">
      <w:pPr>
        <w:jc w:val="center"/>
        <w:rPr>
          <w:rFonts w:eastAsia="Times New Roman"/>
        </w:rPr>
      </w:pPr>
      <w:r>
        <w:rPr>
          <w:rFonts w:eastAsia="Times New Roman"/>
          <w:b/>
          <w:bCs/>
          <w:color w:val="000000"/>
          <w:sz w:val="20"/>
          <w:szCs w:val="20"/>
        </w:rPr>
        <w:t>PART IV</w:t>
      </w:r>
    </w:p>
    <w:p w:rsidR="00000000" w:rsidRDefault="00F123EE">
      <w:pPr>
        <w:divId w:val="580723471"/>
        <w:rPr>
          <w:rFonts w:eastAsia="Times New Roman"/>
        </w:rPr>
      </w:pPr>
    </w:p>
    <w:p w:rsidR="00000000" w:rsidRDefault="00F123EE">
      <w:pPr>
        <w:jc w:val="both"/>
        <w:rPr>
          <w:rFonts w:eastAsia="Times New Roman"/>
        </w:rPr>
      </w:pPr>
      <w:r>
        <w:rPr>
          <w:rFonts w:eastAsia="Times New Roman"/>
          <w:b/>
          <w:bCs/>
          <w:color w:val="000000"/>
          <w:sz w:val="20"/>
          <w:szCs w:val="20"/>
          <w:u w:val="single"/>
        </w:rPr>
        <w:t>Item 15</w:t>
      </w:r>
      <w:r>
        <w:rPr>
          <w:rFonts w:eastAsia="Times New Roman"/>
          <w:b/>
          <w:bCs/>
          <w:color w:val="000000"/>
          <w:sz w:val="20"/>
          <w:szCs w:val="20"/>
        </w:rPr>
        <w:t>.        </w:t>
      </w:r>
      <w:r>
        <w:rPr>
          <w:rFonts w:eastAsia="Times New Roman"/>
          <w:b/>
          <w:bCs/>
          <w:color w:val="000000"/>
          <w:sz w:val="20"/>
          <w:szCs w:val="20"/>
          <w:u w:val="single"/>
        </w:rPr>
        <w:t>Exhibits and Financial Statement Schedules</w:t>
      </w:r>
    </w:p>
    <w:p w:rsidR="00000000" w:rsidRDefault="00F123EE">
      <w:pPr>
        <w:divId w:val="369847112"/>
        <w:rPr>
          <w:rFonts w:eastAsia="Times New Roman"/>
        </w:rPr>
      </w:pPr>
    </w:p>
    <w:p w:rsidR="00000000" w:rsidRDefault="00F123EE">
      <w:pPr>
        <w:divId w:val="1089697963"/>
        <w:rPr>
          <w:rFonts w:eastAsia="Times New Roman"/>
        </w:rPr>
      </w:pPr>
      <w:r>
        <w:rPr>
          <w:rFonts w:eastAsia="Times New Roman"/>
          <w:color w:val="000000"/>
          <w:sz w:val="20"/>
          <w:szCs w:val="20"/>
        </w:rPr>
        <w:t>(a) (1)    Financial Statements    </w:t>
      </w:r>
    </w:p>
    <w:p w:rsidR="00000000" w:rsidRDefault="00F123EE">
      <w:pPr>
        <w:divId w:val="1497110378"/>
        <w:rPr>
          <w:rFonts w:eastAsia="Times New Roman"/>
        </w:rPr>
      </w:pPr>
    </w:p>
    <w:p w:rsidR="00000000" w:rsidRDefault="00F123EE">
      <w:pPr>
        <w:ind w:firstLine="720"/>
        <w:jc w:val="both"/>
        <w:rPr>
          <w:rFonts w:eastAsia="Times New Roman"/>
        </w:rPr>
      </w:pPr>
      <w:r>
        <w:rPr>
          <w:rFonts w:eastAsia="Times New Roman"/>
          <w:color w:val="000000"/>
          <w:sz w:val="20"/>
          <w:szCs w:val="20"/>
        </w:rPr>
        <w:t>See Consolidated Financial Statements unde</w:t>
      </w:r>
      <w:r>
        <w:rPr>
          <w:rFonts w:eastAsia="Times New Roman"/>
          <w:color w:val="000000"/>
          <w:sz w:val="20"/>
          <w:szCs w:val="20"/>
        </w:rPr>
        <w:t>r Item 8 on pages 44 through 76 of this Form 10-K.</w:t>
      </w:r>
    </w:p>
    <w:p w:rsidR="00000000" w:rsidRDefault="00F123EE">
      <w:pPr>
        <w:divId w:val="1565290808"/>
        <w:rPr>
          <w:rFonts w:eastAsia="Times New Roman"/>
        </w:rPr>
      </w:pPr>
    </w:p>
    <w:p w:rsidR="00000000" w:rsidRDefault="00F123EE">
      <w:pPr>
        <w:divId w:val="681400635"/>
        <w:rPr>
          <w:rFonts w:eastAsia="Times New Roman"/>
        </w:rPr>
      </w:pPr>
      <w:r>
        <w:rPr>
          <w:rFonts w:eastAsia="Times New Roman"/>
          <w:color w:val="000000"/>
          <w:sz w:val="20"/>
          <w:szCs w:val="20"/>
        </w:rPr>
        <w:t>(a) (2)    Financial Statement Schedules</w:t>
      </w:r>
    </w:p>
    <w:p w:rsidR="00000000" w:rsidRDefault="00F123EE">
      <w:pPr>
        <w:divId w:val="1377244342"/>
        <w:rPr>
          <w:rFonts w:eastAsia="Times New Roman"/>
        </w:rPr>
      </w:pPr>
    </w:p>
    <w:p w:rsidR="00000000" w:rsidRDefault="00F123EE">
      <w:pPr>
        <w:jc w:val="both"/>
        <w:rPr>
          <w:rFonts w:eastAsia="Times New Roman"/>
        </w:rPr>
      </w:pPr>
      <w:r>
        <w:rPr>
          <w:rFonts w:eastAsia="Times New Roman"/>
          <w:color w:val="000000"/>
          <w:sz w:val="20"/>
          <w:szCs w:val="20"/>
        </w:rPr>
        <w:t>All schedules for which provision is made in the applicable accounting regulations of the SEC are not required under the related instructions, are inapplicable or the information is included in the Consolidated Financial Statements and, therefore, have bee</w:t>
      </w:r>
      <w:r>
        <w:rPr>
          <w:rFonts w:eastAsia="Times New Roman"/>
          <w:color w:val="000000"/>
          <w:sz w:val="20"/>
          <w:szCs w:val="20"/>
        </w:rPr>
        <w:t>n omitted.</w:t>
      </w:r>
    </w:p>
    <w:p w:rsidR="00000000" w:rsidRDefault="00F123EE">
      <w:pPr>
        <w:divId w:val="560756646"/>
        <w:rPr>
          <w:rFonts w:eastAsia="Times New Roman"/>
        </w:rPr>
      </w:pPr>
    </w:p>
    <w:p w:rsidR="00000000" w:rsidRDefault="00F123EE">
      <w:pPr>
        <w:divId w:val="1260333742"/>
        <w:rPr>
          <w:rFonts w:eastAsia="Times New Roman"/>
        </w:rPr>
      </w:pPr>
      <w:r>
        <w:rPr>
          <w:rFonts w:eastAsia="Times New Roman"/>
          <w:color w:val="000000"/>
          <w:sz w:val="20"/>
          <w:szCs w:val="20"/>
        </w:rPr>
        <w:t>(a) (3)    Exhibits</w:t>
      </w:r>
    </w:p>
    <w:p w:rsidR="00000000" w:rsidRDefault="00F123EE">
      <w:pPr>
        <w:divId w:val="1816603752"/>
        <w:rPr>
          <w:rFonts w:eastAsia="Times New Roman"/>
        </w:rPr>
      </w:pPr>
    </w:p>
    <w:p w:rsidR="00000000" w:rsidRDefault="00F123EE">
      <w:pPr>
        <w:jc w:val="both"/>
        <w:rPr>
          <w:rFonts w:eastAsia="Times New Roman"/>
        </w:rPr>
      </w:pPr>
      <w:r>
        <w:rPr>
          <w:rFonts w:eastAsia="Times New Roman"/>
          <w:color w:val="000000"/>
          <w:sz w:val="20"/>
          <w:szCs w:val="20"/>
        </w:rPr>
        <w:t>The exhibits listed in the Index to Exhibits, which appears on pages 80 through 84 of this Form 10-K, are incorporated herein by reference or filed as part of this Form 10-K.</w:t>
      </w:r>
    </w:p>
    <w:p w:rsidR="00000000" w:rsidRDefault="00F123EE">
      <w:pPr>
        <w:jc w:val="both"/>
        <w:rPr>
          <w:rFonts w:eastAsia="Times New Roman"/>
        </w:rPr>
      </w:pPr>
    </w:p>
    <w:p w:rsidR="00000000" w:rsidRDefault="00F123EE">
      <w:pPr>
        <w:jc w:val="both"/>
        <w:rPr>
          <w:rFonts w:eastAsia="Times New Roman"/>
        </w:rPr>
      </w:pPr>
      <w:r>
        <w:rPr>
          <w:rFonts w:eastAsia="Times New Roman"/>
          <w:b/>
          <w:bCs/>
          <w:color w:val="000000"/>
          <w:sz w:val="20"/>
          <w:szCs w:val="20"/>
          <w:u w:val="single"/>
        </w:rPr>
        <w:t>Item 16</w:t>
      </w:r>
      <w:r>
        <w:rPr>
          <w:rFonts w:eastAsia="Times New Roman"/>
          <w:b/>
          <w:bCs/>
          <w:color w:val="000000"/>
          <w:sz w:val="20"/>
          <w:szCs w:val="20"/>
        </w:rPr>
        <w:t>.        </w:t>
      </w:r>
      <w:r>
        <w:rPr>
          <w:rFonts w:eastAsia="Times New Roman"/>
          <w:b/>
          <w:bCs/>
          <w:color w:val="000000"/>
          <w:sz w:val="20"/>
          <w:szCs w:val="20"/>
          <w:u w:val="single"/>
        </w:rPr>
        <w:t>Form 10-K Summary</w:t>
      </w:r>
    </w:p>
    <w:p w:rsidR="00000000" w:rsidRDefault="00F123EE">
      <w:pPr>
        <w:divId w:val="767114340"/>
        <w:rPr>
          <w:rFonts w:eastAsia="Times New Roman"/>
        </w:rPr>
      </w:pPr>
    </w:p>
    <w:p w:rsidR="00000000" w:rsidRDefault="00F123EE">
      <w:pPr>
        <w:divId w:val="1767071434"/>
        <w:rPr>
          <w:rFonts w:eastAsia="Times New Roman"/>
        </w:rPr>
      </w:pPr>
      <w:r>
        <w:rPr>
          <w:rFonts w:eastAsia="Times New Roman"/>
          <w:color w:val="000000"/>
          <w:sz w:val="20"/>
          <w:szCs w:val="20"/>
        </w:rPr>
        <w:t>None.</w:t>
      </w:r>
    </w:p>
    <w:p w:rsidR="00000000" w:rsidRDefault="00F123EE">
      <w:pPr>
        <w:jc w:val="center"/>
        <w:divId w:val="141430638"/>
        <w:rPr>
          <w:rFonts w:eastAsia="Times New Roman"/>
        </w:rPr>
      </w:pPr>
      <w:r>
        <w:rPr>
          <w:rFonts w:eastAsia="Times New Roman"/>
          <w:color w:val="000000"/>
          <w:sz w:val="20"/>
          <w:szCs w:val="20"/>
        </w:rPr>
        <w:t>78</w:t>
      </w:r>
    </w:p>
    <w:p w:rsidR="00000000" w:rsidRDefault="00F123EE">
      <w:pPr>
        <w:rPr>
          <w:rFonts w:eastAsia="Times New Roman"/>
        </w:rPr>
      </w:pPr>
      <w:r>
        <w:rPr>
          <w:rFonts w:eastAsia="Times New Roman"/>
        </w:rPr>
        <w:pict>
          <v:rect id="_x0000_i1108" style="width:0;height:1.5pt" o:hralign="center" o:hrstd="t" o:hr="t" fillcolor="#a0a0a0" stroked="f"/>
        </w:pict>
      </w:r>
    </w:p>
    <w:p w:rsidR="00000000" w:rsidRDefault="00F123EE">
      <w:pPr>
        <w:divId w:val="1166287891"/>
        <w:rPr>
          <w:rFonts w:eastAsia="Times New Roman"/>
        </w:rPr>
      </w:pPr>
      <w:hyperlink w:anchor="i38696b5cc01146d68b9c6b33327cf890_7" w:history="1">
        <w:r>
          <w:rPr>
            <w:rStyle w:val="a3"/>
            <w:rFonts w:eastAsia="Times New Roman"/>
            <w:sz w:val="18"/>
            <w:szCs w:val="18"/>
          </w:rPr>
          <w:t>Index</w:t>
        </w:r>
      </w:hyperlink>
    </w:p>
    <w:p w:rsidR="00000000" w:rsidRDefault="00F123EE">
      <w:pPr>
        <w:jc w:val="center"/>
        <w:rPr>
          <w:rFonts w:eastAsia="Times New Roman"/>
        </w:rPr>
      </w:pPr>
      <w:r>
        <w:rPr>
          <w:rFonts w:eastAsia="Times New Roman"/>
          <w:b/>
          <w:bCs/>
          <w:color w:val="000000"/>
          <w:sz w:val="20"/>
          <w:szCs w:val="20"/>
        </w:rPr>
        <w:t>SIGNATURES</w:t>
      </w:r>
    </w:p>
    <w:p w:rsidR="00000000" w:rsidRDefault="00F123EE">
      <w:pPr>
        <w:divId w:val="773011952"/>
        <w:rPr>
          <w:rFonts w:eastAsia="Times New Roman"/>
        </w:rPr>
      </w:pPr>
    </w:p>
    <w:p w:rsidR="00000000" w:rsidRDefault="00F123EE">
      <w:pPr>
        <w:jc w:val="both"/>
        <w:rPr>
          <w:rFonts w:eastAsia="Times New Roman"/>
        </w:rPr>
      </w:pPr>
      <w:r>
        <w:rPr>
          <w:rFonts w:eastAsia="Times New Roman"/>
          <w:color w:val="000000"/>
          <w:sz w:val="20"/>
          <w:szCs w:val="20"/>
        </w:rPr>
        <w:t xml:space="preserve">Pursuant to the requirements of Section 13 or 15(d) of the Securities Exchange Act of 1934, the Registrant has duly caused this report to be </w:t>
      </w:r>
      <w:r>
        <w:rPr>
          <w:rFonts w:eastAsia="Times New Roman"/>
          <w:color w:val="000000"/>
          <w:sz w:val="20"/>
          <w:szCs w:val="20"/>
        </w:rPr>
        <w:t xml:space="preserve">signed on its behalf by the undersigned, thereunto duly authorized. </w:t>
      </w:r>
    </w:p>
    <w:p w:rsidR="00000000" w:rsidRDefault="00F123EE">
      <w:pPr>
        <w:jc w:val="both"/>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81"/>
        <w:gridCol w:w="385"/>
        <w:gridCol w:w="36"/>
        <w:gridCol w:w="50"/>
        <w:gridCol w:w="2628"/>
        <w:gridCol w:w="36"/>
        <w:gridCol w:w="78"/>
        <w:gridCol w:w="244"/>
        <w:gridCol w:w="37"/>
        <w:gridCol w:w="61"/>
        <w:gridCol w:w="4573"/>
        <w:gridCol w:w="36"/>
      </w:tblGrid>
      <w:tr w:rsidR="00000000">
        <w:tc>
          <w:tcPr>
            <w:tcW w:w="50" w:type="pct"/>
            <w:vAlign w:val="center"/>
            <w:hideMark/>
          </w:tcPr>
          <w:p w:rsidR="00000000" w:rsidRDefault="00F123EE">
            <w:pPr>
              <w:jc w:val="both"/>
              <w:rPr>
                <w:rFonts w:eastAsia="Times New Roman"/>
              </w:rPr>
            </w:pPr>
          </w:p>
        </w:tc>
        <w:tc>
          <w:tcPr>
            <w:tcW w:w="239"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1601"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158"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2780"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rsidR="00000000" w:rsidRDefault="00F123EE">
            <w:pPr>
              <w:spacing w:after="100"/>
              <w:rPr>
                <w:rFonts w:eastAsia="Times New Roman"/>
              </w:rPr>
            </w:pPr>
            <w:r>
              <w:rPr>
                <w:rFonts w:eastAsia="Times New Roman"/>
                <w:color w:val="000000"/>
                <w:sz w:val="20"/>
                <w:szCs w:val="20"/>
              </w:rPr>
              <w:t>TRACTOR SUPPLY COMPANY </w:t>
            </w:r>
          </w:p>
        </w:tc>
      </w:tr>
      <w:tr w:rsidR="00000000">
        <w:trPr>
          <w:trHeight w:val="6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u w:val="single"/>
              </w:rPr>
              <w:t>February 23, 2023</w:t>
            </w:r>
          </w:p>
        </w:tc>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hideMark/>
          </w:tcPr>
          <w:p w:rsidR="00000000" w:rsidRDefault="00F123EE">
            <w:pPr>
              <w:spacing w:after="100"/>
              <w:divId w:val="1453400260"/>
              <w:rPr>
                <w:rFonts w:eastAsia="Times New Roman"/>
              </w:rPr>
            </w:pPr>
            <w:r>
              <w:rPr>
                <w:rFonts w:eastAsia="Times New Roman"/>
                <w:color w:val="000000"/>
                <w:sz w:val="20"/>
                <w:szCs w:val="20"/>
                <w:u w:val="single"/>
              </w:rPr>
              <w:t>/s/ Kurt D. Barton</w:t>
            </w:r>
          </w:p>
          <w:p w:rsidR="00000000" w:rsidRDefault="00F123EE">
            <w:pPr>
              <w:spacing w:after="100"/>
              <w:divId w:val="71396015"/>
              <w:rPr>
                <w:rFonts w:eastAsia="Times New Roman"/>
              </w:rPr>
            </w:pPr>
            <w:r>
              <w:rPr>
                <w:rFonts w:eastAsia="Times New Roman"/>
                <w:color w:val="000000"/>
                <w:sz w:val="20"/>
                <w:szCs w:val="20"/>
              </w:rPr>
              <w:t xml:space="preserve">Executive Vice President – </w:t>
            </w:r>
            <w:r>
              <w:rPr>
                <w:rFonts w:eastAsia="Times New Roman"/>
                <w:color w:val="000000"/>
                <w:sz w:val="20"/>
                <w:szCs w:val="20"/>
              </w:rPr>
              <w:t>Chief Financial Officer and Treasurer</w:t>
            </w:r>
          </w:p>
        </w:tc>
      </w:tr>
    </w:tbl>
    <w:p w:rsidR="00000000" w:rsidRDefault="00F123EE">
      <w:pPr>
        <w:divId w:val="1209605185"/>
        <w:rPr>
          <w:rFonts w:eastAsia="Times New Roman"/>
        </w:rPr>
      </w:pPr>
    </w:p>
    <w:p w:rsidR="00000000" w:rsidRDefault="00F123EE">
      <w:pPr>
        <w:jc w:val="both"/>
        <w:rPr>
          <w:rFonts w:eastAsia="Times New Roman"/>
        </w:rPr>
      </w:pPr>
      <w:r>
        <w:rPr>
          <w:rFonts w:eastAsia="Times New Roman"/>
          <w:color w:val="000000"/>
          <w:sz w:val="20"/>
          <w:szCs w:val="20"/>
        </w:rPr>
        <w:t>Pursuant to the requirements of the Securities Exchange Act of 1934, this report has been signed below by the following persons on behalf of the Registrant in the capacities and on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69"/>
        <w:gridCol w:w="3151"/>
        <w:gridCol w:w="37"/>
        <w:gridCol w:w="69"/>
        <w:gridCol w:w="3053"/>
        <w:gridCol w:w="36"/>
        <w:gridCol w:w="69"/>
        <w:gridCol w:w="428"/>
        <w:gridCol w:w="36"/>
        <w:gridCol w:w="69"/>
        <w:gridCol w:w="1253"/>
        <w:gridCol w:w="36"/>
      </w:tblGrid>
      <w:tr w:rsidR="00000000">
        <w:trPr>
          <w:divId w:val="125467796"/>
        </w:trPr>
        <w:tc>
          <w:tcPr>
            <w:tcW w:w="50" w:type="pct"/>
            <w:vAlign w:val="center"/>
            <w:hideMark/>
          </w:tcPr>
          <w:p w:rsidR="00000000" w:rsidRDefault="00F123EE">
            <w:pPr>
              <w:jc w:val="both"/>
              <w:rPr>
                <w:rFonts w:eastAsia="Times New Roman"/>
              </w:rPr>
            </w:pPr>
          </w:p>
        </w:tc>
        <w:tc>
          <w:tcPr>
            <w:tcW w:w="1904"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184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26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763"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rPr>
          <w:divId w:val="125467796"/>
        </w:trPr>
        <w:tc>
          <w:tcPr>
            <w:tcW w:w="0" w:type="auto"/>
            <w:gridSpan w:val="3"/>
            <w:tcMar>
              <w:top w:w="30" w:type="dxa"/>
              <w:left w:w="20" w:type="dxa"/>
              <w:bottom w:w="30" w:type="dxa"/>
              <w:right w:w="20" w:type="dxa"/>
            </w:tcMar>
            <w:vAlign w:val="bottom"/>
            <w:hideMark/>
          </w:tcPr>
          <w:p w:rsidR="00000000" w:rsidRDefault="00F123EE">
            <w:pPr>
              <w:spacing w:after="100"/>
              <w:jc w:val="center"/>
              <w:rPr>
                <w:rFonts w:eastAsia="Times New Roman"/>
              </w:rPr>
            </w:pPr>
            <w:r>
              <w:rPr>
                <w:rFonts w:eastAsia="Times New Roman"/>
                <w:b/>
                <w:bCs/>
                <w:color w:val="000000"/>
                <w:sz w:val="20"/>
                <w:szCs w:val="20"/>
                <w:u w:val="single"/>
              </w:rPr>
              <w:t>Signature</w:t>
            </w:r>
          </w:p>
          <w:p w:rsidR="00000000" w:rsidRDefault="00F123EE">
            <w:pPr>
              <w:spacing w:after="100"/>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b/>
                <w:bCs/>
                <w:color w:val="000000"/>
                <w:sz w:val="20"/>
                <w:szCs w:val="20"/>
                <w:u w:val="single"/>
              </w:rPr>
              <w:t>Title</w:t>
            </w:r>
          </w:p>
        </w:tc>
        <w:tc>
          <w:tcPr>
            <w:tcW w:w="0" w:type="auto"/>
            <w:gridSpan w:val="3"/>
            <w:tcMar>
              <w:top w:w="0" w:type="dxa"/>
              <w:left w:w="20" w:type="dxa"/>
              <w:bottom w:w="0" w:type="dxa"/>
              <w:right w:w="20" w:type="dxa"/>
            </w:tcMar>
            <w:vAlign w:val="center"/>
            <w:hideMark/>
          </w:tcPr>
          <w:p w:rsidR="00000000" w:rsidRDefault="00F123EE">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b/>
                <w:bCs/>
                <w:color w:val="000000"/>
                <w:sz w:val="20"/>
                <w:szCs w:val="20"/>
                <w:u w:val="single"/>
              </w:rPr>
              <w:t>Date</w:t>
            </w:r>
          </w:p>
        </w:tc>
      </w:tr>
      <w:tr w:rsidR="00000000">
        <w:trPr>
          <w:divId w:val="125467796"/>
        </w:trPr>
        <w:tc>
          <w:tcPr>
            <w:tcW w:w="0" w:type="auto"/>
            <w:gridSpan w:val="3"/>
            <w:tcMar>
              <w:top w:w="30" w:type="dxa"/>
              <w:left w:w="20" w:type="dxa"/>
              <w:bottom w:w="30" w:type="dxa"/>
              <w:right w:w="20" w:type="dxa"/>
            </w:tcMar>
            <w:hideMark/>
          </w:tcPr>
          <w:p w:rsidR="00000000" w:rsidRDefault="00F123EE">
            <w:pPr>
              <w:spacing w:after="100"/>
              <w:divId w:val="2113044220"/>
              <w:rPr>
                <w:rFonts w:eastAsia="Times New Roman"/>
              </w:rPr>
            </w:pPr>
            <w:r>
              <w:rPr>
                <w:rFonts w:eastAsia="Times New Roman"/>
                <w:color w:val="000000"/>
                <w:sz w:val="20"/>
                <w:szCs w:val="20"/>
                <w:u w:val="single"/>
              </w:rPr>
              <w:t>/s/ Kurt D. Barton</w:t>
            </w:r>
          </w:p>
          <w:p w:rsidR="00000000" w:rsidRDefault="00F123EE">
            <w:pPr>
              <w:spacing w:after="100"/>
              <w:divId w:val="1080174140"/>
              <w:rPr>
                <w:rFonts w:eastAsia="Times New Roman"/>
              </w:rPr>
            </w:pPr>
            <w:r>
              <w:rPr>
                <w:rFonts w:eastAsia="Times New Roman"/>
                <w:color w:val="000000"/>
                <w:sz w:val="20"/>
                <w:szCs w:val="20"/>
              </w:rPr>
              <w:t>Kurt D. Barton</w:t>
            </w:r>
          </w:p>
          <w:p w:rsidR="00000000" w:rsidRDefault="00F123EE">
            <w:pPr>
              <w:spacing w:after="100"/>
              <w:divId w:val="1640189397"/>
              <w:rPr>
                <w:rFonts w:eastAsia="Times New Roman"/>
              </w:rPr>
            </w:pPr>
          </w:p>
        </w:tc>
        <w:tc>
          <w:tcPr>
            <w:tcW w:w="0" w:type="auto"/>
            <w:gridSpan w:val="3"/>
            <w:tcMar>
              <w:top w:w="30" w:type="dxa"/>
              <w:left w:w="20" w:type="dxa"/>
              <w:bottom w:w="30" w:type="dxa"/>
              <w:right w:w="20" w:type="dxa"/>
            </w:tcMar>
            <w:hideMark/>
          </w:tcPr>
          <w:p w:rsidR="00000000" w:rsidRDefault="00F123EE">
            <w:pPr>
              <w:spacing w:after="100"/>
              <w:divId w:val="1971786434"/>
              <w:rPr>
                <w:rFonts w:eastAsia="Times New Roman"/>
              </w:rPr>
            </w:pPr>
            <w:r>
              <w:rPr>
                <w:rFonts w:eastAsia="Times New Roman"/>
                <w:color w:val="000000"/>
                <w:sz w:val="20"/>
                <w:szCs w:val="20"/>
              </w:rPr>
              <w:t>Executive Vice President –</w:t>
            </w:r>
          </w:p>
          <w:p w:rsidR="00000000" w:rsidRDefault="00F123EE">
            <w:pPr>
              <w:spacing w:after="100"/>
              <w:divId w:val="739596910"/>
              <w:rPr>
                <w:rFonts w:eastAsia="Times New Roman"/>
              </w:rPr>
            </w:pPr>
            <w:r>
              <w:rPr>
                <w:rFonts w:eastAsia="Times New Roman"/>
                <w:color w:val="000000"/>
                <w:sz w:val="20"/>
                <w:szCs w:val="20"/>
              </w:rPr>
              <w:t>Chief Financial Officer and Treasurer (Principal Financial and Accounting Officer)</w:t>
            </w:r>
          </w:p>
          <w:p w:rsidR="00000000" w:rsidRDefault="00F123EE">
            <w:pPr>
              <w:spacing w:after="100"/>
              <w:divId w:val="1508445301"/>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color w:val="000000"/>
                <w:sz w:val="20"/>
                <w:szCs w:val="20"/>
              </w:rPr>
              <w:t>February 23, 2023</w:t>
            </w:r>
          </w:p>
        </w:tc>
      </w:tr>
      <w:tr w:rsidR="00000000">
        <w:trPr>
          <w:divId w:val="125467796"/>
        </w:trPr>
        <w:tc>
          <w:tcPr>
            <w:tcW w:w="0" w:type="auto"/>
            <w:gridSpan w:val="3"/>
            <w:tcMar>
              <w:top w:w="30" w:type="dxa"/>
              <w:left w:w="20" w:type="dxa"/>
              <w:bottom w:w="30" w:type="dxa"/>
              <w:right w:w="20" w:type="dxa"/>
            </w:tcMar>
            <w:hideMark/>
          </w:tcPr>
          <w:p w:rsidR="00000000" w:rsidRDefault="00F123EE">
            <w:pPr>
              <w:spacing w:after="100"/>
              <w:divId w:val="1797795904"/>
              <w:rPr>
                <w:rFonts w:eastAsia="Times New Roman"/>
              </w:rPr>
            </w:pPr>
            <w:r>
              <w:rPr>
                <w:rFonts w:eastAsia="Times New Roman"/>
                <w:color w:val="000000"/>
                <w:sz w:val="20"/>
                <w:szCs w:val="20"/>
                <w:u w:val="single"/>
              </w:rPr>
              <w:t>/s/ Harry A. Lawton III</w:t>
            </w:r>
          </w:p>
          <w:p w:rsidR="00000000" w:rsidRDefault="00F123EE">
            <w:pPr>
              <w:spacing w:after="100"/>
              <w:divId w:val="418335298"/>
              <w:rPr>
                <w:rFonts w:eastAsia="Times New Roman"/>
              </w:rPr>
            </w:pPr>
            <w:r>
              <w:rPr>
                <w:rFonts w:eastAsia="Times New Roman"/>
                <w:color w:val="000000"/>
                <w:sz w:val="20"/>
                <w:szCs w:val="20"/>
              </w:rPr>
              <w:t>Harry A. Lawton III</w:t>
            </w:r>
          </w:p>
        </w:tc>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President, Chief Executive Officer, and Director</w:t>
            </w:r>
            <w:r>
              <w:rPr>
                <w:rFonts w:eastAsia="Times New Roman"/>
                <w:color w:val="000000"/>
                <w:sz w:val="20"/>
                <w:szCs w:val="20"/>
              </w:rPr>
              <w:br/>
              <w:t>(Principal Executive Officer)</w:t>
            </w:r>
            <w:r>
              <w:rPr>
                <w:rFonts w:eastAsia="Times New Roman"/>
                <w:color w:val="000000"/>
                <w:sz w:val="20"/>
                <w:szCs w:val="20"/>
              </w:rPr>
              <w:br/>
              <w:t> </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color w:val="000000"/>
                <w:sz w:val="20"/>
                <w:szCs w:val="20"/>
              </w:rPr>
              <w:t>February 23, 2023</w:t>
            </w:r>
          </w:p>
        </w:tc>
      </w:tr>
      <w:tr w:rsidR="00000000">
        <w:trPr>
          <w:divId w:val="125467796"/>
        </w:trPr>
        <w:tc>
          <w:tcPr>
            <w:tcW w:w="0" w:type="auto"/>
            <w:gridSpan w:val="3"/>
            <w:tcMar>
              <w:top w:w="30" w:type="dxa"/>
              <w:left w:w="20" w:type="dxa"/>
              <w:bottom w:w="30" w:type="dxa"/>
              <w:right w:w="20" w:type="dxa"/>
            </w:tcMar>
            <w:hideMark/>
          </w:tcPr>
          <w:p w:rsidR="00000000" w:rsidRDefault="00F123EE">
            <w:pPr>
              <w:spacing w:after="100"/>
              <w:divId w:val="1513759021"/>
              <w:rPr>
                <w:rFonts w:eastAsia="Times New Roman"/>
              </w:rPr>
            </w:pPr>
            <w:r>
              <w:rPr>
                <w:rFonts w:eastAsia="Times New Roman"/>
                <w:color w:val="000000"/>
                <w:sz w:val="20"/>
                <w:szCs w:val="20"/>
                <w:u w:val="single"/>
              </w:rPr>
              <w:t>/s/ Cynthia T. Jamison</w:t>
            </w:r>
          </w:p>
          <w:p w:rsidR="00000000" w:rsidRDefault="00F123EE">
            <w:pPr>
              <w:spacing w:after="100"/>
              <w:divId w:val="1284462778"/>
              <w:rPr>
                <w:rFonts w:eastAsia="Times New Roman"/>
              </w:rPr>
            </w:pPr>
            <w:r>
              <w:rPr>
                <w:rFonts w:eastAsia="Times New Roman"/>
                <w:color w:val="000000"/>
                <w:sz w:val="20"/>
                <w:szCs w:val="20"/>
              </w:rPr>
              <w:t>Cynthia T. Jamison</w:t>
            </w:r>
          </w:p>
          <w:p w:rsidR="00000000" w:rsidRDefault="00F123EE">
            <w:pPr>
              <w:spacing w:after="100"/>
              <w:divId w:val="140998496"/>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123EE">
            <w:pPr>
              <w:spacing w:after="100"/>
              <w:divId w:val="1271813920"/>
              <w:rPr>
                <w:rFonts w:eastAsia="Times New Roman"/>
              </w:rPr>
            </w:pPr>
            <w:r>
              <w:rPr>
                <w:rFonts w:eastAsia="Times New Roman"/>
                <w:color w:val="000000"/>
                <w:sz w:val="20"/>
                <w:szCs w:val="20"/>
              </w:rPr>
              <w:t>Chairman of the Board</w:t>
            </w:r>
          </w:p>
          <w:p w:rsidR="00000000" w:rsidRDefault="00F123EE">
            <w:pPr>
              <w:spacing w:after="100"/>
              <w:divId w:val="361051521"/>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color w:val="000000"/>
                <w:sz w:val="20"/>
                <w:szCs w:val="20"/>
              </w:rPr>
              <w:t>February 23, 2023</w:t>
            </w:r>
          </w:p>
        </w:tc>
      </w:tr>
      <w:tr w:rsidR="00000000">
        <w:trPr>
          <w:divId w:val="125467796"/>
        </w:trPr>
        <w:tc>
          <w:tcPr>
            <w:tcW w:w="0" w:type="auto"/>
            <w:gridSpan w:val="3"/>
            <w:tcMar>
              <w:top w:w="30" w:type="dxa"/>
              <w:left w:w="20" w:type="dxa"/>
              <w:bottom w:w="30" w:type="dxa"/>
              <w:right w:w="20" w:type="dxa"/>
            </w:tcMar>
            <w:hideMark/>
          </w:tcPr>
          <w:p w:rsidR="00000000" w:rsidRDefault="00F123EE">
            <w:pPr>
              <w:spacing w:after="100"/>
              <w:divId w:val="936864381"/>
              <w:rPr>
                <w:rFonts w:eastAsia="Times New Roman"/>
              </w:rPr>
            </w:pPr>
            <w:r>
              <w:rPr>
                <w:rFonts w:eastAsia="Times New Roman"/>
                <w:color w:val="000000"/>
                <w:sz w:val="20"/>
                <w:szCs w:val="20"/>
                <w:u w:val="single"/>
              </w:rPr>
              <w:t>/s/ Joy Brown</w:t>
            </w:r>
          </w:p>
          <w:p w:rsidR="00000000" w:rsidRDefault="00F123EE">
            <w:pPr>
              <w:spacing w:after="100"/>
              <w:divId w:val="1499225365"/>
              <w:rPr>
                <w:rFonts w:eastAsia="Times New Roman"/>
              </w:rPr>
            </w:pPr>
            <w:r>
              <w:rPr>
                <w:rFonts w:eastAsia="Times New Roman"/>
                <w:color w:val="000000"/>
                <w:sz w:val="20"/>
                <w:szCs w:val="20"/>
              </w:rPr>
              <w:t>Joy Brown</w:t>
            </w:r>
          </w:p>
        </w:tc>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color w:val="000000"/>
                <w:sz w:val="20"/>
                <w:szCs w:val="20"/>
              </w:rPr>
              <w:t>February 23, 2023</w:t>
            </w:r>
          </w:p>
        </w:tc>
      </w:tr>
      <w:tr w:rsidR="00000000">
        <w:trPr>
          <w:divId w:val="125467796"/>
        </w:trPr>
        <w:tc>
          <w:tcPr>
            <w:tcW w:w="0" w:type="auto"/>
            <w:gridSpan w:val="3"/>
            <w:tcMar>
              <w:top w:w="30" w:type="dxa"/>
              <w:left w:w="20" w:type="dxa"/>
              <w:bottom w:w="30" w:type="dxa"/>
              <w:right w:w="20" w:type="dxa"/>
            </w:tcMar>
            <w:hideMark/>
          </w:tcPr>
          <w:p w:rsidR="00000000" w:rsidRDefault="00F123EE">
            <w:pPr>
              <w:spacing w:after="100"/>
              <w:divId w:val="585042068"/>
              <w:rPr>
                <w:rFonts w:eastAsia="Times New Roman"/>
              </w:rPr>
            </w:pPr>
            <w:r>
              <w:rPr>
                <w:rFonts w:eastAsia="Times New Roman"/>
                <w:color w:val="000000"/>
                <w:sz w:val="20"/>
                <w:szCs w:val="20"/>
                <w:u w:val="single"/>
              </w:rPr>
              <w:t>/s/ Ricardo Cardenas</w:t>
            </w:r>
          </w:p>
          <w:p w:rsidR="00000000" w:rsidRDefault="00F123EE">
            <w:pPr>
              <w:spacing w:after="100"/>
              <w:divId w:val="317880726"/>
              <w:rPr>
                <w:rFonts w:eastAsia="Times New Roman"/>
              </w:rPr>
            </w:pPr>
            <w:r>
              <w:rPr>
                <w:rFonts w:eastAsia="Times New Roman"/>
                <w:color w:val="000000"/>
                <w:sz w:val="20"/>
                <w:szCs w:val="20"/>
              </w:rPr>
              <w:t>Ricardo Cardenas</w:t>
            </w:r>
          </w:p>
        </w:tc>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color w:val="000000"/>
                <w:sz w:val="20"/>
                <w:szCs w:val="20"/>
              </w:rPr>
              <w:t>February 23, 2023</w:t>
            </w:r>
          </w:p>
        </w:tc>
      </w:tr>
      <w:tr w:rsidR="00000000">
        <w:trPr>
          <w:divId w:val="125467796"/>
        </w:trPr>
        <w:tc>
          <w:tcPr>
            <w:tcW w:w="0" w:type="auto"/>
            <w:gridSpan w:val="3"/>
            <w:tcMar>
              <w:top w:w="30" w:type="dxa"/>
              <w:left w:w="20" w:type="dxa"/>
              <w:bottom w:w="30" w:type="dxa"/>
              <w:right w:w="20" w:type="dxa"/>
            </w:tcMar>
            <w:hideMark/>
          </w:tcPr>
          <w:p w:rsidR="00000000" w:rsidRDefault="00F123EE">
            <w:pPr>
              <w:spacing w:after="100"/>
              <w:divId w:val="612054069"/>
              <w:rPr>
                <w:rFonts w:eastAsia="Times New Roman"/>
              </w:rPr>
            </w:pPr>
            <w:r>
              <w:rPr>
                <w:rFonts w:eastAsia="Times New Roman"/>
                <w:color w:val="000000"/>
                <w:sz w:val="20"/>
                <w:szCs w:val="20"/>
                <w:u w:val="single"/>
              </w:rPr>
              <w:t>/s/ Andre J. Hawaux</w:t>
            </w:r>
          </w:p>
          <w:p w:rsidR="00000000" w:rsidRDefault="00F123EE">
            <w:pPr>
              <w:spacing w:after="100"/>
              <w:divId w:val="1799103870"/>
              <w:rPr>
                <w:rFonts w:eastAsia="Times New Roman"/>
              </w:rPr>
            </w:pPr>
            <w:r>
              <w:rPr>
                <w:rFonts w:eastAsia="Times New Roman"/>
                <w:color w:val="000000"/>
                <w:sz w:val="20"/>
                <w:szCs w:val="20"/>
              </w:rPr>
              <w:t>Andre J. Hawaux</w:t>
            </w:r>
          </w:p>
        </w:tc>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color w:val="000000"/>
                <w:sz w:val="20"/>
                <w:szCs w:val="20"/>
              </w:rPr>
              <w:t>February 23, 2023</w:t>
            </w:r>
          </w:p>
        </w:tc>
      </w:tr>
      <w:tr w:rsidR="00000000">
        <w:trPr>
          <w:divId w:val="125467796"/>
        </w:trPr>
        <w:tc>
          <w:tcPr>
            <w:tcW w:w="0" w:type="auto"/>
            <w:gridSpan w:val="3"/>
            <w:tcMar>
              <w:top w:w="30" w:type="dxa"/>
              <w:left w:w="20" w:type="dxa"/>
              <w:bottom w:w="30" w:type="dxa"/>
              <w:right w:w="20" w:type="dxa"/>
            </w:tcMar>
            <w:hideMark/>
          </w:tcPr>
          <w:p w:rsidR="00000000" w:rsidRDefault="00F123EE">
            <w:pPr>
              <w:spacing w:after="100"/>
              <w:divId w:val="1537617372"/>
              <w:rPr>
                <w:rFonts w:eastAsia="Times New Roman"/>
              </w:rPr>
            </w:pPr>
            <w:r>
              <w:rPr>
                <w:rFonts w:eastAsia="Times New Roman"/>
                <w:color w:val="000000"/>
                <w:sz w:val="20"/>
                <w:szCs w:val="20"/>
                <w:u w:val="single"/>
              </w:rPr>
              <w:t>/s/ Denise L. Jackson</w:t>
            </w:r>
          </w:p>
          <w:p w:rsidR="00000000" w:rsidRDefault="00F123EE">
            <w:pPr>
              <w:spacing w:after="100"/>
              <w:divId w:val="2018459129"/>
              <w:rPr>
                <w:rFonts w:eastAsia="Times New Roman"/>
              </w:rPr>
            </w:pPr>
            <w:r>
              <w:rPr>
                <w:rFonts w:eastAsia="Times New Roman"/>
                <w:color w:val="000000"/>
                <w:sz w:val="20"/>
                <w:szCs w:val="20"/>
              </w:rPr>
              <w:t>Denise L. Jackson</w:t>
            </w:r>
          </w:p>
          <w:p w:rsidR="00000000" w:rsidRDefault="00F123EE">
            <w:pPr>
              <w:spacing w:after="100"/>
              <w:divId w:val="67458196"/>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color w:val="000000"/>
                <w:sz w:val="20"/>
                <w:szCs w:val="20"/>
              </w:rPr>
              <w:t>February 23, 2023</w:t>
            </w:r>
          </w:p>
        </w:tc>
      </w:tr>
      <w:tr w:rsidR="00000000">
        <w:trPr>
          <w:divId w:val="125467796"/>
        </w:trPr>
        <w:tc>
          <w:tcPr>
            <w:tcW w:w="0" w:type="auto"/>
            <w:gridSpan w:val="3"/>
            <w:tcMar>
              <w:top w:w="30" w:type="dxa"/>
              <w:left w:w="20" w:type="dxa"/>
              <w:bottom w:w="30" w:type="dxa"/>
              <w:right w:w="20" w:type="dxa"/>
            </w:tcMar>
            <w:hideMark/>
          </w:tcPr>
          <w:p w:rsidR="00000000" w:rsidRDefault="00F123EE">
            <w:pPr>
              <w:spacing w:after="100"/>
              <w:divId w:val="1470317494"/>
              <w:rPr>
                <w:rFonts w:eastAsia="Times New Roman"/>
              </w:rPr>
            </w:pPr>
            <w:r>
              <w:rPr>
                <w:rFonts w:eastAsia="Times New Roman"/>
                <w:color w:val="000000"/>
                <w:sz w:val="20"/>
                <w:szCs w:val="20"/>
                <w:u w:val="single"/>
              </w:rPr>
              <w:t>/s/ Ramkumar Krishnan</w:t>
            </w:r>
          </w:p>
          <w:p w:rsidR="00000000" w:rsidRDefault="00F123EE">
            <w:pPr>
              <w:spacing w:after="100"/>
              <w:divId w:val="1197230550"/>
              <w:rPr>
                <w:rFonts w:eastAsia="Times New Roman"/>
              </w:rPr>
            </w:pPr>
            <w:r>
              <w:rPr>
                <w:rFonts w:eastAsia="Times New Roman"/>
                <w:color w:val="000000"/>
                <w:sz w:val="20"/>
                <w:szCs w:val="20"/>
              </w:rPr>
              <w:t>Ramkumar Krishnan</w:t>
            </w:r>
          </w:p>
          <w:p w:rsidR="00000000" w:rsidRDefault="00F123EE">
            <w:pPr>
              <w:spacing w:after="100"/>
              <w:divId w:val="855339824"/>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color w:val="000000"/>
                <w:sz w:val="20"/>
                <w:szCs w:val="20"/>
              </w:rPr>
              <w:t>February 23, 2023</w:t>
            </w:r>
          </w:p>
        </w:tc>
      </w:tr>
      <w:tr w:rsidR="00000000">
        <w:trPr>
          <w:divId w:val="125467796"/>
        </w:trPr>
        <w:tc>
          <w:tcPr>
            <w:tcW w:w="0" w:type="auto"/>
            <w:gridSpan w:val="3"/>
            <w:tcMar>
              <w:top w:w="30" w:type="dxa"/>
              <w:left w:w="20" w:type="dxa"/>
              <w:bottom w:w="30" w:type="dxa"/>
              <w:right w:w="20" w:type="dxa"/>
            </w:tcMar>
            <w:hideMark/>
          </w:tcPr>
          <w:p w:rsidR="00000000" w:rsidRDefault="00F123EE">
            <w:pPr>
              <w:spacing w:after="100"/>
              <w:divId w:val="904529105"/>
              <w:rPr>
                <w:rFonts w:eastAsia="Times New Roman"/>
              </w:rPr>
            </w:pPr>
            <w:r>
              <w:rPr>
                <w:rFonts w:eastAsia="Times New Roman"/>
                <w:color w:val="000000"/>
                <w:sz w:val="20"/>
                <w:szCs w:val="20"/>
                <w:u w:val="single"/>
              </w:rPr>
              <w:t>/s/ Edna K. Morris</w:t>
            </w:r>
          </w:p>
          <w:p w:rsidR="00000000" w:rsidRDefault="00F123EE">
            <w:pPr>
              <w:spacing w:after="100"/>
              <w:divId w:val="1528834644"/>
              <w:rPr>
                <w:rFonts w:eastAsia="Times New Roman"/>
              </w:rPr>
            </w:pPr>
            <w:r>
              <w:rPr>
                <w:rFonts w:eastAsia="Times New Roman"/>
                <w:color w:val="000000"/>
                <w:sz w:val="20"/>
                <w:szCs w:val="20"/>
              </w:rPr>
              <w:t>Edna K. Morris</w:t>
            </w:r>
          </w:p>
          <w:p w:rsidR="00000000" w:rsidRDefault="00F123EE">
            <w:pPr>
              <w:spacing w:after="100"/>
              <w:divId w:val="1559130714"/>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color w:val="000000"/>
                <w:sz w:val="20"/>
                <w:szCs w:val="20"/>
              </w:rPr>
              <w:t>February 23, 2023</w:t>
            </w:r>
          </w:p>
        </w:tc>
      </w:tr>
      <w:tr w:rsidR="00000000">
        <w:trPr>
          <w:divId w:val="125467796"/>
        </w:trPr>
        <w:tc>
          <w:tcPr>
            <w:tcW w:w="0" w:type="auto"/>
            <w:gridSpan w:val="3"/>
            <w:tcMar>
              <w:top w:w="30" w:type="dxa"/>
              <w:left w:w="20" w:type="dxa"/>
              <w:bottom w:w="30" w:type="dxa"/>
              <w:right w:w="20" w:type="dxa"/>
            </w:tcMar>
            <w:hideMark/>
          </w:tcPr>
          <w:p w:rsidR="00000000" w:rsidRDefault="00F123EE">
            <w:pPr>
              <w:spacing w:after="100"/>
              <w:divId w:val="166679871"/>
              <w:rPr>
                <w:rFonts w:eastAsia="Times New Roman"/>
              </w:rPr>
            </w:pPr>
            <w:r>
              <w:rPr>
                <w:rFonts w:eastAsia="Times New Roman"/>
                <w:color w:val="000000"/>
                <w:sz w:val="20"/>
                <w:szCs w:val="20"/>
                <w:u w:val="single"/>
              </w:rPr>
              <w:t>/s/ Mark J. Weikel</w:t>
            </w:r>
          </w:p>
          <w:p w:rsidR="00000000" w:rsidRDefault="00F123EE">
            <w:pPr>
              <w:spacing w:after="100"/>
              <w:divId w:val="2095273917"/>
              <w:rPr>
                <w:rFonts w:eastAsia="Times New Roman"/>
              </w:rPr>
            </w:pPr>
            <w:r>
              <w:rPr>
                <w:rFonts w:eastAsia="Times New Roman"/>
                <w:color w:val="000000"/>
                <w:sz w:val="20"/>
                <w:szCs w:val="20"/>
              </w:rPr>
              <w:t>Mark J. Weikel</w:t>
            </w:r>
          </w:p>
        </w:tc>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rPr>
            </w:pPr>
          </w:p>
        </w:tc>
        <w:tc>
          <w:tcPr>
            <w:tcW w:w="0" w:type="auto"/>
            <w:gridSpan w:val="3"/>
            <w:tcMar>
              <w:top w:w="30" w:type="dxa"/>
              <w:left w:w="20" w:type="dxa"/>
              <w:bottom w:w="30" w:type="dxa"/>
              <w:right w:w="20" w:type="dxa"/>
            </w:tcMar>
            <w:hideMark/>
          </w:tcPr>
          <w:p w:rsidR="00000000" w:rsidRDefault="00F123EE">
            <w:pPr>
              <w:spacing w:after="100"/>
              <w:jc w:val="center"/>
              <w:rPr>
                <w:rFonts w:eastAsia="Times New Roman"/>
              </w:rPr>
            </w:pPr>
            <w:r>
              <w:rPr>
                <w:rFonts w:eastAsia="Times New Roman"/>
                <w:color w:val="000000"/>
                <w:sz w:val="20"/>
                <w:szCs w:val="20"/>
              </w:rPr>
              <w:t>February 23, 2023</w:t>
            </w:r>
          </w:p>
        </w:tc>
      </w:tr>
    </w:tbl>
    <w:p w:rsidR="00000000" w:rsidRDefault="00F123EE">
      <w:pPr>
        <w:divId w:val="1455173334"/>
        <w:rPr>
          <w:rFonts w:eastAsia="Times New Roman"/>
        </w:rPr>
      </w:pPr>
    </w:p>
    <w:p w:rsidR="00000000" w:rsidRDefault="00F123EE">
      <w:pPr>
        <w:jc w:val="center"/>
        <w:divId w:val="1598293848"/>
        <w:rPr>
          <w:rFonts w:eastAsia="Times New Roman"/>
        </w:rPr>
      </w:pPr>
      <w:r>
        <w:rPr>
          <w:rFonts w:eastAsia="Times New Roman"/>
          <w:color w:val="000000"/>
          <w:sz w:val="20"/>
          <w:szCs w:val="20"/>
        </w:rPr>
        <w:t>79</w:t>
      </w:r>
    </w:p>
    <w:p w:rsidR="00000000" w:rsidRDefault="00F123EE">
      <w:pPr>
        <w:rPr>
          <w:rFonts w:eastAsia="Times New Roman"/>
        </w:rPr>
      </w:pPr>
      <w:r>
        <w:rPr>
          <w:rFonts w:eastAsia="Times New Roman"/>
        </w:rPr>
        <w:pict>
          <v:rect id="_x0000_i1109" style="width:0;height:1.5pt" o:hralign="center" o:hrstd="t" o:hr="t" fillcolor="#a0a0a0" stroked="f"/>
        </w:pict>
      </w:r>
    </w:p>
    <w:p w:rsidR="00000000" w:rsidRDefault="00F123EE">
      <w:pPr>
        <w:divId w:val="1842118083"/>
        <w:rPr>
          <w:rFonts w:eastAsia="Times New Roman"/>
        </w:rPr>
      </w:pPr>
      <w:hyperlink w:anchor="i38696b5cc01146d68b9c6b33327cf890_7" w:history="1">
        <w:r>
          <w:rPr>
            <w:rStyle w:val="a3"/>
            <w:rFonts w:eastAsia="Times New Roman"/>
            <w:sz w:val="18"/>
            <w:szCs w:val="18"/>
          </w:rPr>
          <w:t>Index</w:t>
        </w:r>
      </w:hyperlink>
    </w:p>
    <w:p w:rsidR="00000000" w:rsidRDefault="00F123EE">
      <w:pPr>
        <w:jc w:val="center"/>
        <w:rPr>
          <w:rFonts w:eastAsia="Times New Roman"/>
        </w:rPr>
      </w:pPr>
      <w:r>
        <w:rPr>
          <w:rFonts w:eastAsia="Times New Roman"/>
          <w:b/>
          <w:bCs/>
          <w:color w:val="000000"/>
          <w:sz w:val="20"/>
          <w:szCs w:val="20"/>
        </w:rPr>
        <w:t>EXHIBIT INDEX</w:t>
      </w:r>
    </w:p>
    <w:tbl>
      <w:tblPr>
        <w:tblW w:w="5000" w:type="pct"/>
        <w:tblCellMar>
          <w:top w:w="15" w:type="dxa"/>
          <w:left w:w="15" w:type="dxa"/>
          <w:bottom w:w="15" w:type="dxa"/>
          <w:right w:w="15" w:type="dxa"/>
        </w:tblCellMar>
        <w:tblLook w:val="04A0" w:firstRow="1" w:lastRow="0" w:firstColumn="1" w:lastColumn="0" w:noHBand="0" w:noVBand="1"/>
      </w:tblPr>
      <w:tblGrid>
        <w:gridCol w:w="77"/>
        <w:gridCol w:w="406"/>
        <w:gridCol w:w="36"/>
        <w:gridCol w:w="38"/>
        <w:gridCol w:w="7604"/>
        <w:gridCol w:w="37"/>
        <w:gridCol w:w="36"/>
        <w:gridCol w:w="36"/>
        <w:gridCol w:w="36"/>
      </w:tblGrid>
      <w:tr w:rsidR="00000000">
        <w:trPr>
          <w:divId w:val="2077163664"/>
        </w:trPr>
        <w:tc>
          <w:tcPr>
            <w:tcW w:w="50" w:type="pct"/>
            <w:vAlign w:val="center"/>
            <w:hideMark/>
          </w:tcPr>
          <w:p w:rsidR="00000000" w:rsidRDefault="00F123EE">
            <w:pPr>
              <w:jc w:val="center"/>
              <w:rPr>
                <w:rFonts w:eastAsia="Times New Roman"/>
              </w:rPr>
            </w:pPr>
          </w:p>
        </w:tc>
        <w:tc>
          <w:tcPr>
            <w:tcW w:w="26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4594"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19"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rPr>
          <w:divId w:val="2077163664"/>
        </w:trPr>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rPr>
          <w:divId w:val="2077163664"/>
        </w:trPr>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c>
          <w:tcPr>
            <w:tcW w:w="0" w:type="auto"/>
            <w:gridSpan w:val="3"/>
            <w:vAlign w:val="center"/>
            <w:hideMark/>
          </w:tcPr>
          <w:p w:rsidR="00000000" w:rsidRDefault="00F123EE">
            <w:pPr>
              <w:spacing w:after="100"/>
              <w:rPr>
                <w:rFonts w:eastAsia="Times New Roman"/>
                <w:sz w:val="20"/>
                <w:szCs w:val="20"/>
              </w:rPr>
            </w:pPr>
          </w:p>
        </w:tc>
      </w:tr>
      <w:tr w:rsidR="00000000">
        <w:trPr>
          <w:divId w:val="2077163664"/>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3.1</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6" w:history="1">
              <w:r>
                <w:rPr>
                  <w:rStyle w:val="a3"/>
                  <w:rFonts w:eastAsia="Times New Roman"/>
                  <w:sz w:val="20"/>
                  <w:szCs w:val="20"/>
                </w:rPr>
                <w:t>Restated Certificate of Incorporation, as amended, of the Company (restated for SEC filing purposes only) (filed as Exhibit 3.1 to Registrant’s Quar</w:t>
              </w:r>
              <w:r>
                <w:rPr>
                  <w:rStyle w:val="a3"/>
                  <w:rFonts w:eastAsia="Times New Roman"/>
                  <w:sz w:val="20"/>
                  <w:szCs w:val="20"/>
                </w:rPr>
                <w:t>terly Report on Form 10-Q, filed with the Commission on October 22, 2020, and incorporated herein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2077163664"/>
        </w:trPr>
        <w:tc>
          <w:tcPr>
            <w:tcW w:w="0" w:type="auto"/>
            <w:gridSpan w:val="3"/>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2077163664"/>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3.2</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7" w:history="1">
              <w:r>
                <w:rPr>
                  <w:rStyle w:val="a3"/>
                  <w:rFonts w:eastAsia="Times New Roman"/>
                  <w:sz w:val="20"/>
                  <w:szCs w:val="20"/>
                </w:rPr>
                <w:t>Six</w:t>
              </w:r>
            </w:hyperlink>
            <w:hyperlink r:id="rId8" w:history="1">
              <w:r>
                <w:rPr>
                  <w:rStyle w:val="a3"/>
                  <w:rFonts w:eastAsia="Times New Roman"/>
                  <w:sz w:val="20"/>
                  <w:szCs w:val="20"/>
                </w:rPr>
                <w:t>th</w:t>
              </w:r>
            </w:hyperlink>
            <w:hyperlink r:id="rId9" w:history="1">
              <w:r>
                <w:rPr>
                  <w:rStyle w:val="a3"/>
                  <w:rFonts w:eastAsia="Times New Roman"/>
                  <w:sz w:val="20"/>
                  <w:szCs w:val="20"/>
                </w:rPr>
                <w:t xml:space="preserve"> Amended and Restated By-laws</w:t>
              </w:r>
            </w:hyperlink>
            <w:hyperlink r:id="rId10" w:history="1">
              <w:r>
                <w:rPr>
                  <w:rStyle w:val="a3"/>
                  <w:rFonts w:eastAsia="Times New Roman"/>
                  <w:sz w:val="20"/>
                  <w:szCs w:val="20"/>
                </w:rPr>
                <w:t xml:space="preserve"> </w:t>
              </w:r>
            </w:hyperlink>
            <w:hyperlink r:id="rId11" w:history="1">
              <w:r>
                <w:rPr>
                  <w:rStyle w:val="a3"/>
                  <w:rFonts w:eastAsia="Times New Roman"/>
                  <w:sz w:val="20"/>
                  <w:szCs w:val="20"/>
                </w:rPr>
                <w:t>(filed as Exhibit 3.1 to Registrant’s Quarterly Report on Form 10-Q, filed with the Commission on November 3, 2022, and incorporated herein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2077163664"/>
        </w:trPr>
        <w:tc>
          <w:tcPr>
            <w:tcW w:w="0" w:type="auto"/>
            <w:gridSpan w:val="3"/>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2077163664"/>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4.1</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r>
              <w:rPr>
                <w:rFonts w:eastAsia="Times New Roman"/>
                <w:color w:val="000000"/>
                <w:sz w:val="20"/>
                <w:szCs w:val="20"/>
              </w:rPr>
              <w:t>Form of Specimen Certificate representing the Company’</w:t>
            </w:r>
            <w:r>
              <w:rPr>
                <w:rFonts w:eastAsia="Times New Roman"/>
                <w:color w:val="000000"/>
                <w:sz w:val="20"/>
                <w:szCs w:val="20"/>
              </w:rPr>
              <w:t>s Common Stock, par value $.008 per share (filed as Exhibit 4.2 to Amendment No. 1 to Registrant’s Registration Statement on Form S-1, Registration No. 33-73028, filed in paper form with the Commission on January 31, 1994, and incorporated herein by refere</w:t>
            </w:r>
            <w:r>
              <w:rPr>
                <w:rFonts w:eastAsia="Times New Roman"/>
                <w:color w:val="000000"/>
                <w:sz w:val="20"/>
                <w:szCs w:val="20"/>
              </w:rPr>
              <w:t>nce).</w:t>
            </w:r>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2077163664"/>
        </w:trPr>
        <w:tc>
          <w:tcPr>
            <w:tcW w:w="0" w:type="auto"/>
            <w:gridSpan w:val="3"/>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2077163664"/>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4.2</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12" w:history="1">
              <w:r>
                <w:rPr>
                  <w:rStyle w:val="a3"/>
                  <w:rFonts w:eastAsia="Times New Roman"/>
                  <w:sz w:val="20"/>
                  <w:szCs w:val="20"/>
                </w:rPr>
                <w:t>Form of Subordinate Indenture (filed as Exhibit 4.3 to Registrant’s Registration Statement on Form S-3ASR, Registratio</w:t>
              </w:r>
              <w:r>
                <w:rPr>
                  <w:rStyle w:val="a3"/>
                  <w:rFonts w:eastAsia="Times New Roman"/>
                  <w:sz w:val="20"/>
                  <w:szCs w:val="20"/>
                </w:rPr>
                <w:t>n No. 333-249595, filed with the Commission on October 22, 2020, and incorporated herein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2077163664"/>
          <w:trHeight w:val="6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2077163664"/>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4.3</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13" w:history="1">
              <w:r>
                <w:rPr>
                  <w:rStyle w:val="a3"/>
                  <w:rFonts w:eastAsia="Times New Roman"/>
                  <w:sz w:val="20"/>
                  <w:szCs w:val="20"/>
                </w:rPr>
                <w:t>Indenture, dated as of October 30, 2020, by and between Tractor Supply Company and Regions Bank, as trustee (filed as Exhibit 4.1 to Registrant’s Current Repor</w:t>
              </w:r>
              <w:r>
                <w:rPr>
                  <w:rStyle w:val="a3"/>
                  <w:rFonts w:eastAsia="Times New Roman"/>
                  <w:sz w:val="20"/>
                  <w:szCs w:val="20"/>
                </w:rPr>
                <w:t>t on Form 8-K, filed with the Commission on October 30, 2020, and incorporated herein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2077163664"/>
          <w:trHeight w:val="10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2077163664"/>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4.4</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14" w:history="1">
              <w:r>
                <w:rPr>
                  <w:rStyle w:val="a3"/>
                  <w:rFonts w:eastAsia="Times New Roman"/>
                  <w:sz w:val="20"/>
                  <w:szCs w:val="20"/>
                </w:rPr>
                <w:t>First Supplemental Indenture, dated as of October 30, 2020, by and between Tractor Supply Company and Regions Bank, as trustee (filed as Exhibit 4.2 to Registr</w:t>
              </w:r>
              <w:r>
                <w:rPr>
                  <w:rStyle w:val="a3"/>
                  <w:rFonts w:eastAsia="Times New Roman"/>
                  <w:sz w:val="20"/>
                  <w:szCs w:val="20"/>
                </w:rPr>
                <w:t>ant’s Current Report on Form 8-K, filed with the Commission on October 30, 2020, and incorporated herein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2077163664"/>
          <w:trHeight w:val="10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2077163664"/>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4.5</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15" w:history="1">
              <w:r>
                <w:rPr>
                  <w:rStyle w:val="a3"/>
                  <w:rFonts w:eastAsia="Times New Roman"/>
                  <w:sz w:val="20"/>
                  <w:szCs w:val="20"/>
                </w:rPr>
                <w:t xml:space="preserve">Form of 1.750% Note due 2030 (filed as Exhibit 4.3 to Registrant’s Current Report on Form 8-K, filed with the Commission on October 30, 2020, and incorporated </w:t>
              </w:r>
              <w:r>
                <w:rPr>
                  <w:rStyle w:val="a3"/>
                  <w:rFonts w:eastAsia="Times New Roman"/>
                  <w:sz w:val="20"/>
                  <w:szCs w:val="20"/>
                </w:rPr>
                <w:t>herein by reference)(included in Exhibit 4.4).</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2077163664"/>
          <w:trHeight w:val="10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2077163664"/>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4.6*</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16" w:history="1">
              <w:r>
                <w:rPr>
                  <w:rStyle w:val="a3"/>
                  <w:rFonts w:eastAsia="Times New Roman"/>
                  <w:sz w:val="20"/>
                  <w:szCs w:val="20"/>
                </w:rPr>
                <w:t>Description of Registrant's Securities Registered Pursuant to Section 12 of the Exchange Act of 1934.</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2077163664"/>
          <w:trHeight w:val="10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2077163664"/>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10.1</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r>
              <w:rPr>
                <w:rFonts w:eastAsia="Times New Roman"/>
                <w:color w:val="000000"/>
                <w:sz w:val="20"/>
                <w:szCs w:val="20"/>
              </w:rPr>
              <w:t xml:space="preserve">Certificate of Insurance relating to the Medical Expense Reimbursement Plan of the Company (filed as Exhibit 10.33 to Registrant’s Registration Statement on Form S-1, Registration No. 33-73028, filed in paper form with the Commission on December 17, 1993, </w:t>
            </w:r>
            <w:r>
              <w:rPr>
                <w:rFonts w:eastAsia="Times New Roman"/>
                <w:color w:val="000000"/>
                <w:sz w:val="20"/>
                <w:szCs w:val="20"/>
              </w:rPr>
              <w:t>and incorporated herein by reference).</w:t>
            </w:r>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2077163664"/>
        </w:trPr>
        <w:tc>
          <w:tcPr>
            <w:tcW w:w="0" w:type="auto"/>
            <w:gridSpan w:val="3"/>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2077163664"/>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10.2</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r>
              <w:rPr>
                <w:rFonts w:eastAsia="Times New Roman"/>
                <w:color w:val="000000"/>
                <w:sz w:val="20"/>
                <w:szCs w:val="20"/>
              </w:rPr>
              <w:t>Summary Plan Description of the Executive Life Insurance Plan of the Company (filed as Exhibit 10.34 to Registrant’s Registration Statement on Form S-1, Registration No. 33-73028, filed in paper form with the Commission on December 17, 1993, and incorporat</w:t>
            </w:r>
            <w:r>
              <w:rPr>
                <w:rFonts w:eastAsia="Times New Roman"/>
                <w:color w:val="000000"/>
                <w:sz w:val="20"/>
                <w:szCs w:val="20"/>
              </w:rPr>
              <w:t>ed herein by reference).+</w:t>
            </w:r>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2077163664"/>
        </w:trPr>
        <w:tc>
          <w:tcPr>
            <w:tcW w:w="0" w:type="auto"/>
            <w:gridSpan w:val="3"/>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2077163664"/>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10.3</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17" w:history="1">
              <w:r>
                <w:rPr>
                  <w:rStyle w:val="a3"/>
                  <w:rFonts w:eastAsia="Times New Roman"/>
                  <w:sz w:val="20"/>
                  <w:szCs w:val="20"/>
                </w:rPr>
                <w:t>Tractor Supply Company 1996 Associate Stock Purchase Plan (filed as Exhibit 4.4 to Registrant’s Registration Statement on Form S-8, Registration No. 333-10699, filed with the Commission on August 23, 1996, and incorporated herein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2077163664"/>
        </w:trPr>
        <w:tc>
          <w:tcPr>
            <w:tcW w:w="0" w:type="auto"/>
            <w:gridSpan w:val="3"/>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2077163664"/>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10.4</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18" w:history="1">
              <w:r>
                <w:rPr>
                  <w:rStyle w:val="a3"/>
                  <w:rFonts w:eastAsia="Times New Roman"/>
                  <w:sz w:val="20"/>
                  <w:szCs w:val="20"/>
                </w:rPr>
                <w:t>Tractor Supply Company Restated 401(k) Retirement Plan (filed as Exhibit 4.1 to Registrant’s Registration Statement on Form S-3, Registration No. 333-353</w:t>
              </w:r>
              <w:r>
                <w:rPr>
                  <w:rStyle w:val="a3"/>
                  <w:rFonts w:eastAsia="Times New Roman"/>
                  <w:sz w:val="20"/>
                  <w:szCs w:val="20"/>
                </w:rPr>
                <w:t>17, filed with the Commission on September 10, 1997, and incorporated herein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2077163664"/>
        </w:trPr>
        <w:tc>
          <w:tcPr>
            <w:tcW w:w="0" w:type="auto"/>
            <w:gridSpan w:val="3"/>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2077163664"/>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10.5</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19" w:history="1">
              <w:r>
                <w:rPr>
                  <w:rStyle w:val="a3"/>
                  <w:rFonts w:eastAsia="Times New Roman"/>
                  <w:sz w:val="20"/>
                  <w:szCs w:val="20"/>
                </w:rPr>
                <w:t>First Amendment, dated December 22, 2003 to the Tractor Supply Company Restated 401(k) Retirement Savings Plan (filed as Exhibit 10.53 to Registrant’s Annua</w:t>
              </w:r>
              <w:r>
                <w:rPr>
                  <w:rStyle w:val="a3"/>
                  <w:rFonts w:eastAsia="Times New Roman"/>
                  <w:sz w:val="20"/>
                  <w:szCs w:val="20"/>
                </w:rPr>
                <w:t>l Report on Form 10-K, filed with the Commission on March 8, 2004, and incorporated herein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2077163664"/>
        </w:trPr>
        <w:tc>
          <w:tcPr>
            <w:tcW w:w="0" w:type="auto"/>
            <w:gridSpan w:val="3"/>
            <w:tcMar>
              <w:top w:w="30" w:type="dxa"/>
              <w:left w:w="20" w:type="dxa"/>
              <w:bottom w:w="30" w:type="dxa"/>
              <w:right w:w="20" w:type="dxa"/>
            </w:tcMar>
            <w:vAlign w:val="bottom"/>
            <w:hideMark/>
          </w:tcPr>
          <w:p w:rsidR="00000000" w:rsidRDefault="00F123EE">
            <w:pPr>
              <w:spacing w:after="100"/>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2077163664"/>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10.6</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20" w:history="1">
              <w:r>
                <w:rPr>
                  <w:rStyle w:val="a3"/>
                  <w:rFonts w:eastAsia="Times New Roman"/>
                  <w:sz w:val="20"/>
                  <w:szCs w:val="20"/>
                </w:rPr>
                <w:t>Second Amendment to Tractor Supply Company Restated 401(k) Retirement Plan (filed as Exhibit 10.57 to Registrant’s Annual Report on Form 10-K, filed with the</w:t>
              </w:r>
              <w:r>
                <w:rPr>
                  <w:rStyle w:val="a3"/>
                  <w:rFonts w:eastAsia="Times New Roman"/>
                  <w:sz w:val="20"/>
                  <w:szCs w:val="20"/>
                </w:rPr>
                <w:t xml:space="preserve"> Commission on March 23, 2001, and incorporated herein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2077163664"/>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2077163664"/>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10.7</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21" w:history="1">
              <w:r>
                <w:rPr>
                  <w:rStyle w:val="a3"/>
                  <w:rFonts w:eastAsia="Times New Roman"/>
                  <w:sz w:val="20"/>
                  <w:szCs w:val="20"/>
                </w:rPr>
                <w:t>Trust Agreement (filed as Exhibit 4.2 to Registrant’s Registration Statement on Form S-3, Registration No. 333-35317, filed with the Commission on September 10, 1997, an</w:t>
              </w:r>
              <w:r>
                <w:rPr>
                  <w:rStyle w:val="a3"/>
                  <w:rFonts w:eastAsia="Times New Roman"/>
                  <w:sz w:val="20"/>
                  <w:szCs w:val="20"/>
                </w:rPr>
                <w:t>d incorporated herein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2077163664"/>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2077163664"/>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10.8</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22" w:history="1">
              <w:r>
                <w:rPr>
                  <w:rStyle w:val="a3"/>
                  <w:rFonts w:eastAsia="Times New Roman"/>
                  <w:sz w:val="20"/>
                  <w:szCs w:val="20"/>
                </w:rPr>
                <w:t xml:space="preserve">Tractor Supply Company Executive Deferred Compensation Plan, dated November 11, 2001 (filed as </w:t>
              </w:r>
              <w:r>
                <w:rPr>
                  <w:rStyle w:val="a3"/>
                  <w:rFonts w:eastAsia="Times New Roman"/>
                  <w:sz w:val="20"/>
                  <w:szCs w:val="20"/>
                </w:rPr>
                <w:t>Exhibit 10.58 to Registrant’s Quarterly Report on Form 10-Q, filed with the Commission on May 13, 2002, and incorporated herein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2077163664"/>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2077163664"/>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10.9</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23" w:history="1">
              <w:r>
                <w:rPr>
                  <w:rStyle w:val="a3"/>
                  <w:rFonts w:eastAsia="Times New Roman"/>
                  <w:sz w:val="20"/>
                  <w:szCs w:val="20"/>
                </w:rPr>
                <w:t>Form of Incentive Stock Option Agreement under the 2006 Stock Incentive Plan (filed as Exhibit 10.39 to Registrant’s Annual Report on Form 10-K, filed with the Com</w:t>
              </w:r>
              <w:r>
                <w:rPr>
                  <w:rStyle w:val="a3"/>
                  <w:rFonts w:eastAsia="Times New Roman"/>
                  <w:sz w:val="20"/>
                  <w:szCs w:val="20"/>
                </w:rPr>
                <w:t>mission on February 28, 2007, and incorporated herein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2077163664"/>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2077163664"/>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10.10</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24" w:history="1">
              <w:r>
                <w:rPr>
                  <w:rStyle w:val="a3"/>
                  <w:rFonts w:eastAsia="Times New Roman"/>
                  <w:sz w:val="20"/>
                  <w:szCs w:val="20"/>
                </w:rPr>
                <w:t xml:space="preserve">Form of Incentive Stock Option Agreement under the 2006 Stock Incentive Plan (filed as Exhibit 10.45 to Registrant’s Annual Report on Form 10-K, filed with </w:t>
              </w:r>
              <w:r>
                <w:rPr>
                  <w:rStyle w:val="a3"/>
                  <w:rFonts w:eastAsia="Times New Roman"/>
                  <w:sz w:val="20"/>
                  <w:szCs w:val="20"/>
                </w:rPr>
                <w:t>the Commission on February 27, 2008, incorporated herein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2077163664"/>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bl>
    <w:p w:rsidR="00000000" w:rsidRDefault="00F123EE">
      <w:pPr>
        <w:jc w:val="center"/>
        <w:divId w:val="462430571"/>
        <w:rPr>
          <w:rFonts w:eastAsia="Times New Roman"/>
        </w:rPr>
      </w:pPr>
      <w:r>
        <w:rPr>
          <w:rFonts w:eastAsia="Times New Roman"/>
          <w:color w:val="000000"/>
          <w:sz w:val="20"/>
          <w:szCs w:val="20"/>
        </w:rPr>
        <w:t>80</w:t>
      </w:r>
    </w:p>
    <w:p w:rsidR="00000000" w:rsidRDefault="00F123EE">
      <w:pPr>
        <w:rPr>
          <w:rFonts w:eastAsia="Times New Roman"/>
        </w:rPr>
      </w:pPr>
      <w:r>
        <w:rPr>
          <w:rFonts w:eastAsia="Times New Roman"/>
        </w:rPr>
        <w:pict>
          <v:rect id="_x0000_i1110" style="width:0;height:1.5pt" o:hralign="center" o:hrstd="t" o:hr="t" fillcolor="#a0a0a0" stroked="f"/>
        </w:pict>
      </w:r>
    </w:p>
    <w:p w:rsidR="00000000" w:rsidRDefault="00F123EE">
      <w:pPr>
        <w:divId w:val="179972853"/>
        <w:rPr>
          <w:rFonts w:eastAsia="Times New Roman"/>
        </w:rPr>
      </w:pPr>
      <w:hyperlink w:anchor="i38696b5cc01146d68b9c6b33327cf890_7" w:history="1">
        <w:r>
          <w:rPr>
            <w:rStyle w:val="a3"/>
            <w:rFonts w:eastAsia="Times New Roman"/>
            <w:sz w:val="18"/>
            <w:szCs w:val="18"/>
          </w:rPr>
          <w:t>Index</w:t>
        </w:r>
      </w:hyperlink>
    </w:p>
    <w:tbl>
      <w:tblPr>
        <w:tblW w:w="5000" w:type="pct"/>
        <w:tblCellMar>
          <w:top w:w="15" w:type="dxa"/>
          <w:left w:w="15" w:type="dxa"/>
          <w:bottom w:w="15" w:type="dxa"/>
          <w:right w:w="15" w:type="dxa"/>
        </w:tblCellMar>
        <w:tblLook w:val="04A0" w:firstRow="1" w:lastRow="0" w:firstColumn="1" w:lastColumn="0" w:noHBand="0" w:noVBand="1"/>
      </w:tblPr>
      <w:tblGrid>
        <w:gridCol w:w="77"/>
        <w:gridCol w:w="406"/>
        <w:gridCol w:w="36"/>
        <w:gridCol w:w="38"/>
        <w:gridCol w:w="7604"/>
        <w:gridCol w:w="37"/>
        <w:gridCol w:w="36"/>
        <w:gridCol w:w="36"/>
        <w:gridCol w:w="36"/>
      </w:tblGrid>
      <w:tr w:rsidR="00000000">
        <w:trPr>
          <w:divId w:val="1102145852"/>
        </w:trPr>
        <w:tc>
          <w:tcPr>
            <w:tcW w:w="50" w:type="pct"/>
            <w:vAlign w:val="center"/>
            <w:hideMark/>
          </w:tcPr>
          <w:p w:rsidR="00000000" w:rsidRDefault="00F123EE">
            <w:pPr>
              <w:rPr>
                <w:rFonts w:eastAsia="Times New Roman"/>
              </w:rPr>
            </w:pPr>
          </w:p>
        </w:tc>
        <w:tc>
          <w:tcPr>
            <w:tcW w:w="26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4594"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19"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rPr>
          <w:divId w:val="110214585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10.11</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25" w:history="1">
              <w:r>
                <w:rPr>
                  <w:rStyle w:val="a3"/>
                  <w:rFonts w:eastAsia="Times New Roman"/>
                  <w:sz w:val="20"/>
                  <w:szCs w:val="20"/>
                </w:rPr>
                <w:t>Tractor Supply Company 2006 Stock Incentive Plan (filed as Exhibit 99.1 to the Registrant’s Current Report on Form 8-K filed with the Commission on April 27, 2006</w:t>
              </w:r>
              <w:r>
                <w:rPr>
                  <w:rStyle w:val="a3"/>
                  <w:rFonts w:eastAsia="Times New Roman"/>
                  <w:sz w:val="20"/>
                  <w:szCs w:val="20"/>
                </w:rPr>
                <w:t>, and incorporated herein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10214585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10214585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10.12</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26" w:history="1">
              <w:r>
                <w:rPr>
                  <w:rStyle w:val="a3"/>
                  <w:rFonts w:eastAsia="Times New Roman"/>
                  <w:sz w:val="20"/>
                  <w:szCs w:val="20"/>
                </w:rPr>
                <w:t>Second Amendment to the Tractor Supply Company 2006 Stock Incentive Plan, effective February 8, 2007 (filed as Exhibit 10.38 to Registrant’s Annual Report on Form 10-K, filed with the Commission on February 28, 2007, and incorporated herein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10214585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10214585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10.13</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27" w:history="1">
              <w:r>
                <w:rPr>
                  <w:rStyle w:val="a3"/>
                  <w:rFonts w:eastAsia="Times New Roman"/>
                  <w:sz w:val="20"/>
                  <w:szCs w:val="20"/>
                </w:rPr>
                <w:t>Form of Incentive Stock Option Agreement under the 2006 Stock Incentive Plan (filed as Exhibit 10.41 to the Registrant’s Annual R</w:t>
              </w:r>
              <w:r>
                <w:rPr>
                  <w:rStyle w:val="a3"/>
                  <w:rFonts w:eastAsia="Times New Roman"/>
                  <w:sz w:val="20"/>
                  <w:szCs w:val="20"/>
                </w:rPr>
                <w:t>eport on Form 10-K, filed with the Commission on February 25, 2009, and incorporated herein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102145852"/>
          <w:trHeight w:val="6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110214585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10.14</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28" w:history="1">
              <w:r>
                <w:rPr>
                  <w:rStyle w:val="a3"/>
                  <w:rFonts w:eastAsia="Times New Roman"/>
                  <w:sz w:val="20"/>
                  <w:szCs w:val="20"/>
                </w:rPr>
                <w:t>Tractor Supply Company 2009 Stock Incentive Plan (filed as Exhibit 99.1 to Registrant’s Current Report on Form 8-K, filed with the Commission on April 14, 20</w:t>
              </w:r>
              <w:r>
                <w:rPr>
                  <w:rStyle w:val="a3"/>
                  <w:rFonts w:eastAsia="Times New Roman"/>
                  <w:sz w:val="20"/>
                  <w:szCs w:val="20"/>
                </w:rPr>
                <w:t>09, and incorporated herein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10214585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10214585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10.15</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29" w:history="1">
              <w:r>
                <w:rPr>
                  <w:rStyle w:val="a3"/>
                  <w:rFonts w:eastAsia="Times New Roman"/>
                  <w:sz w:val="20"/>
                  <w:szCs w:val="20"/>
                </w:rPr>
                <w:t>Form of Incentive Stock Option Agreement under the Tractor Supply Company 2009 Stock Incentive Plan (filed as Exhibit 10.44 to Registrant’s Quarterly Report</w:t>
              </w:r>
              <w:r>
                <w:rPr>
                  <w:rStyle w:val="a3"/>
                  <w:rFonts w:eastAsia="Times New Roman"/>
                  <w:sz w:val="20"/>
                  <w:szCs w:val="20"/>
                </w:rPr>
                <w:t xml:space="preserve"> on Form 10-Q, filed with the Commission on August 4, 2009, and incorporated herein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10214585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10214585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10.16</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30" w:history="1">
              <w:r>
                <w:rPr>
                  <w:rStyle w:val="a3"/>
                  <w:rFonts w:eastAsia="Times New Roman"/>
                  <w:sz w:val="20"/>
                  <w:szCs w:val="20"/>
                </w:rPr>
                <w:t xml:space="preserve">Form of Restricted Share Unit Agreement under the Tractor Supply Company 2009 Stock Incentive Plan (filed as Exhibit 10.45 to Registrant’s Quarterly Report </w:t>
              </w:r>
              <w:r>
                <w:rPr>
                  <w:rStyle w:val="a3"/>
                  <w:rFonts w:eastAsia="Times New Roman"/>
                  <w:sz w:val="20"/>
                  <w:szCs w:val="20"/>
                </w:rPr>
                <w:t>on Form 10-Q, filed with the Commission on August 4, 2009, and incorporated herein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10214585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10214585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10.17</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31" w:history="1">
              <w:r>
                <w:rPr>
                  <w:rStyle w:val="a3"/>
                  <w:rFonts w:eastAsia="Times New Roman"/>
                  <w:sz w:val="20"/>
                  <w:szCs w:val="20"/>
                </w:rPr>
                <w:t>Form of Nonqualified Stock Option Agreement under the Tractor Supply Company 2009 Stock Incentive Plan (filed as Exhibit 10.46 to Registrant’s Quarterly Rep</w:t>
              </w:r>
              <w:r>
                <w:rPr>
                  <w:rStyle w:val="a3"/>
                  <w:rFonts w:eastAsia="Times New Roman"/>
                  <w:sz w:val="20"/>
                  <w:szCs w:val="20"/>
                </w:rPr>
                <w:t>ort on Form 10-Q, filed with the Commission on August 4, 2009, and incorporated herein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10214585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10214585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10.18</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32" w:history="1">
              <w:r>
                <w:rPr>
                  <w:rStyle w:val="a3"/>
                  <w:rFonts w:eastAsia="Times New Roman"/>
                  <w:sz w:val="20"/>
                  <w:szCs w:val="20"/>
                </w:rPr>
                <w:t>Form of Director Restricted Stock Unit Award Agreement (filed as Exhibit 10.48 to Registrant’s Quarterly Report on Form 10-Q, filed with the Commission on N</w:t>
              </w:r>
              <w:r>
                <w:rPr>
                  <w:rStyle w:val="a3"/>
                  <w:rFonts w:eastAsia="Times New Roman"/>
                  <w:sz w:val="20"/>
                  <w:szCs w:val="20"/>
                </w:rPr>
                <w:t>ovember 2, 2009, and incorporated herein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10214585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10214585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10.19</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33" w:history="1">
              <w:r>
                <w:rPr>
                  <w:rStyle w:val="a3"/>
                  <w:rFonts w:eastAsia="Times New Roman"/>
                  <w:sz w:val="20"/>
                  <w:szCs w:val="20"/>
                </w:rPr>
                <w:t>Form of Restricted Share Unit Agreement for Officers (filed as Exhibit 10</w:t>
              </w:r>
              <w:r>
                <w:rPr>
                  <w:rStyle w:val="a3"/>
                  <w:rFonts w:eastAsia="Times New Roman"/>
                  <w:sz w:val="20"/>
                  <w:szCs w:val="20"/>
                </w:rPr>
                <w:t>.49 to Registrant’s Quarterly Report on Form 10-Q, filed with the Commission on November 2, 2009, and incorporated herein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10214585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10214585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10.20</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34" w:history="1">
              <w:r>
                <w:rPr>
                  <w:rStyle w:val="a3"/>
                  <w:rFonts w:eastAsia="Times New Roman"/>
                  <w:sz w:val="20"/>
                  <w:szCs w:val="20"/>
                </w:rPr>
                <w:t>Form of Deferred Stock Unit Award Agreement for Directors (filed as Exhibit 10.50 to Registrant’s Quarterly Report on Form 10-Q, filed with the Commission o</w:t>
              </w:r>
              <w:r>
                <w:rPr>
                  <w:rStyle w:val="a3"/>
                  <w:rFonts w:eastAsia="Times New Roman"/>
                  <w:sz w:val="20"/>
                  <w:szCs w:val="20"/>
                </w:rPr>
                <w:t>n November 2, 2009, and incorporated herein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10214585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10214585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10.21</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35" w:history="1">
              <w:r>
                <w:rPr>
                  <w:rStyle w:val="a3"/>
                  <w:rFonts w:eastAsia="Times New Roman"/>
                  <w:sz w:val="20"/>
                  <w:szCs w:val="20"/>
                </w:rPr>
                <w:t>Compensation Recoupment Policy (filed as Exhibit 10.42 to Registrant’s Quarterly Report on Form 10-Q, filed with the Commission on May 3, 2011, and incorporated he</w:t>
              </w:r>
              <w:r>
                <w:rPr>
                  <w:rStyle w:val="a3"/>
                  <w:rFonts w:eastAsia="Times New Roman"/>
                  <w:sz w:val="20"/>
                  <w:szCs w:val="20"/>
                </w:rPr>
                <w:t>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10214585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10214585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10.22</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36" w:history="1">
              <w:r>
                <w:rPr>
                  <w:rStyle w:val="a3"/>
                  <w:rFonts w:eastAsia="Times New Roman"/>
                  <w:sz w:val="20"/>
                  <w:szCs w:val="20"/>
                </w:rPr>
                <w:t>First Amendment to the Tractor Supply Company 2009 Stock Incentive Plan, effective February 4, 2015 (filed as Exhibit 10.34 to the Registrant’s Annual Report on Form 10-K, filed with the Commission on February 18, 2015, and incorporated herein by reference</w:t>
              </w:r>
              <w:r>
                <w:rPr>
                  <w:rStyle w:val="a3"/>
                  <w:rFonts w:eastAsia="Times New Roman"/>
                  <w:sz w:val="20"/>
                  <w:szCs w:val="20"/>
                </w:rPr>
                <w:t>).+</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102145852"/>
          <w:trHeight w:val="6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110214585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10.23</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37" w:history="1">
              <w:r>
                <w:rPr>
                  <w:rStyle w:val="a3"/>
                  <w:rFonts w:eastAsia="Times New Roman"/>
                  <w:sz w:val="20"/>
                  <w:szCs w:val="20"/>
                </w:rPr>
                <w:t>Note Purchase and Private Shelf Agreement, dated August 14, 2017, by and among Tractor Supply Company, PGIM, Inc. (“Prudential”) and certain of its affiliates (the “Prudential Affiliates”) party thereto (filed as Exhibit 10.1 to Current Report on Form 8-K,</w:t>
              </w:r>
              <w:r>
                <w:rPr>
                  <w:rStyle w:val="a3"/>
                  <w:rFonts w:eastAsia="Times New Roman"/>
                  <w:sz w:val="20"/>
                  <w:szCs w:val="20"/>
                </w:rPr>
                <w:t xml:space="preserve"> filed with the Commission on August 16, 2017, and incorporated herein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102145852"/>
          <w:trHeight w:val="6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110214585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10.24</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38" w:history="1">
              <w:r>
                <w:rPr>
                  <w:rStyle w:val="a3"/>
                  <w:rFonts w:eastAsia="Times New Roman"/>
                  <w:sz w:val="20"/>
                  <w:szCs w:val="20"/>
                </w:rPr>
                <w:t xml:space="preserve">Form of Performance Share Unit Agreement for Officers under the Tractor Supply Company 2009 Stock Incentive Plan (filed as Exhibit 10.33 to the </w:t>
              </w:r>
              <w:r>
                <w:rPr>
                  <w:rStyle w:val="a3"/>
                  <w:rFonts w:eastAsia="Times New Roman"/>
                  <w:sz w:val="20"/>
                  <w:szCs w:val="20"/>
                </w:rPr>
                <w:t>Registrant’s Annual Report on Form 10-K, filed with the Commission on February 22, 2018, and incorporated herein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102145852"/>
          <w:trHeight w:val="6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110214585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10.25</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39" w:history="1">
              <w:r>
                <w:rPr>
                  <w:rStyle w:val="a3"/>
                  <w:rFonts w:eastAsia="Times New Roman"/>
                  <w:sz w:val="20"/>
                  <w:szCs w:val="20"/>
                </w:rPr>
                <w:t>Form of Performance Share Unit Agreement for the Chief Executive Officer under the Tractor Supply Company 2009 Stock Incentive Plan (filed as Exhibit 10.34 to the Registrant’s Annual Report on Form 10-K, filed with the Commission on February 22, 2</w:t>
              </w:r>
              <w:r>
                <w:rPr>
                  <w:rStyle w:val="a3"/>
                  <w:rFonts w:eastAsia="Times New Roman"/>
                  <w:sz w:val="20"/>
                  <w:szCs w:val="20"/>
                </w:rPr>
                <w:t>018, and incorporated herein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102145852"/>
          <w:trHeight w:val="6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110214585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10.26</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40" w:history="1">
              <w:r>
                <w:rPr>
                  <w:rStyle w:val="a3"/>
                  <w:rFonts w:eastAsia="Times New Roman"/>
                  <w:sz w:val="20"/>
                  <w:szCs w:val="20"/>
                </w:rPr>
                <w:t>Tractor Supply Company 2018 Omnibus Incentive Plan (filed as Exhibit A to Registrant’s Proxy Statement on Schedule 14A for Registrant’s Annual Meeting of</w:t>
              </w:r>
              <w:r>
                <w:rPr>
                  <w:rStyle w:val="a3"/>
                  <w:rFonts w:eastAsia="Times New Roman"/>
                  <w:sz w:val="20"/>
                  <w:szCs w:val="20"/>
                </w:rPr>
                <w:t xml:space="preserve"> Shareholders held on May 10, 2018, filed with the Commission on March 27, 2018, and incorporated herein by reference).+</w:t>
              </w:r>
            </w:hyperlink>
          </w:p>
          <w:p w:rsidR="00000000" w:rsidRDefault="00F123EE">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102145852"/>
          <w:trHeight w:val="6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110214585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10.27</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41" w:history="1">
              <w:r>
                <w:rPr>
                  <w:rStyle w:val="a3"/>
                  <w:rFonts w:eastAsia="Times New Roman"/>
                  <w:sz w:val="20"/>
                  <w:szCs w:val="20"/>
                </w:rPr>
                <w:t>Form of Nonqualified Stock Option Agreement under the Tractor Supply Company 2018 Omnibus Incentive Plan (filed as Exhibit 10.2 to the Registran</w:t>
              </w:r>
              <w:r>
                <w:rPr>
                  <w:rStyle w:val="a3"/>
                  <w:rFonts w:eastAsia="Times New Roman"/>
                  <w:sz w:val="20"/>
                  <w:szCs w:val="20"/>
                </w:rPr>
                <w:t>t’s Quarterly Report on Form 10-Q, filed with the Commission on August 9, 2018, and incorporated herein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102145852"/>
          <w:trHeight w:val="6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110214585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10.28</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42" w:history="1">
              <w:r>
                <w:rPr>
                  <w:rStyle w:val="a3"/>
                  <w:rFonts w:eastAsia="Times New Roman"/>
                  <w:sz w:val="20"/>
                  <w:szCs w:val="20"/>
                </w:rPr>
                <w:t xml:space="preserve">Form of Restricted Share Unit Agreement under the Tractor Supply Company 2018 Omnibus Incentive Plan (filed as Exhibit 10.3 to the Registrant’s </w:t>
              </w:r>
              <w:r>
                <w:rPr>
                  <w:rStyle w:val="a3"/>
                  <w:rFonts w:eastAsia="Times New Roman"/>
                  <w:sz w:val="20"/>
                  <w:szCs w:val="20"/>
                </w:rPr>
                <w:t>Quarterly Report on Form 10-Q, filed with the Commission on August 9, 2018, and incorporated herein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102145852"/>
          <w:trHeight w:val="6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110214585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10.29</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43" w:history="1">
              <w:r>
                <w:rPr>
                  <w:rStyle w:val="a3"/>
                  <w:rFonts w:eastAsia="Times New Roman"/>
                  <w:sz w:val="20"/>
                  <w:szCs w:val="20"/>
                </w:rPr>
                <w:t>Form of Performance Share Unit Agreement for Officers under the Tractor Supply Company 2018 Omnibus Incentive Plan (filed as Exhibit 10.4 to the</w:t>
              </w:r>
              <w:r>
                <w:rPr>
                  <w:rStyle w:val="a3"/>
                  <w:rFonts w:eastAsia="Times New Roman"/>
                  <w:sz w:val="20"/>
                  <w:szCs w:val="20"/>
                </w:rPr>
                <w:t xml:space="preserve"> Registrant’s Quarterly Report on Form 10-Q, filed with the Commission on August 9, 2018, and incorporated herein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102145852"/>
          <w:trHeight w:val="12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bl>
    <w:p w:rsidR="00000000" w:rsidRDefault="00F123EE">
      <w:pPr>
        <w:jc w:val="center"/>
        <w:divId w:val="1391028764"/>
        <w:rPr>
          <w:rFonts w:eastAsia="Times New Roman"/>
        </w:rPr>
      </w:pPr>
      <w:r>
        <w:rPr>
          <w:rFonts w:eastAsia="Times New Roman"/>
          <w:color w:val="000000"/>
          <w:sz w:val="20"/>
          <w:szCs w:val="20"/>
        </w:rPr>
        <w:t>81</w:t>
      </w:r>
    </w:p>
    <w:p w:rsidR="00000000" w:rsidRDefault="00F123EE">
      <w:pPr>
        <w:rPr>
          <w:rFonts w:eastAsia="Times New Roman"/>
        </w:rPr>
      </w:pPr>
      <w:r>
        <w:rPr>
          <w:rFonts w:eastAsia="Times New Roman"/>
        </w:rPr>
        <w:pict>
          <v:rect id="_x0000_i1111" style="width:0;height:1.5pt" o:hralign="center" o:hrstd="t" o:hr="t" fillcolor="#a0a0a0" stroked="f"/>
        </w:pict>
      </w:r>
    </w:p>
    <w:p w:rsidR="00000000" w:rsidRDefault="00F123EE">
      <w:pPr>
        <w:divId w:val="2019112899"/>
        <w:rPr>
          <w:rFonts w:eastAsia="Times New Roman"/>
        </w:rPr>
      </w:pPr>
      <w:hyperlink w:anchor="i38696b5cc01146d68b9c6b33327cf890_7" w:history="1">
        <w:r>
          <w:rPr>
            <w:rStyle w:val="a3"/>
            <w:rFonts w:eastAsia="Times New Roman"/>
            <w:sz w:val="18"/>
            <w:szCs w:val="18"/>
          </w:rPr>
          <w:t>Index</w:t>
        </w:r>
      </w:hyperlink>
    </w:p>
    <w:tbl>
      <w:tblPr>
        <w:tblW w:w="5000" w:type="pct"/>
        <w:tblCellMar>
          <w:top w:w="15" w:type="dxa"/>
          <w:left w:w="15" w:type="dxa"/>
          <w:bottom w:w="15" w:type="dxa"/>
          <w:right w:w="15" w:type="dxa"/>
        </w:tblCellMar>
        <w:tblLook w:val="04A0" w:firstRow="1" w:lastRow="0" w:firstColumn="1" w:lastColumn="0" w:noHBand="0" w:noVBand="1"/>
      </w:tblPr>
      <w:tblGrid>
        <w:gridCol w:w="77"/>
        <w:gridCol w:w="406"/>
        <w:gridCol w:w="36"/>
        <w:gridCol w:w="38"/>
        <w:gridCol w:w="7605"/>
        <w:gridCol w:w="36"/>
        <w:gridCol w:w="36"/>
        <w:gridCol w:w="36"/>
        <w:gridCol w:w="36"/>
      </w:tblGrid>
      <w:tr w:rsidR="00000000">
        <w:trPr>
          <w:divId w:val="807212372"/>
        </w:trPr>
        <w:tc>
          <w:tcPr>
            <w:tcW w:w="50" w:type="pct"/>
            <w:vAlign w:val="center"/>
            <w:hideMark/>
          </w:tcPr>
          <w:p w:rsidR="00000000" w:rsidRDefault="00F123EE">
            <w:pPr>
              <w:rPr>
                <w:rFonts w:eastAsia="Times New Roman"/>
              </w:rPr>
            </w:pPr>
          </w:p>
        </w:tc>
        <w:tc>
          <w:tcPr>
            <w:tcW w:w="26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4594"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19"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rPr>
          <w:divId w:val="80721237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10.30</w:t>
            </w:r>
          </w:p>
        </w:tc>
        <w:tc>
          <w:tcPr>
            <w:tcW w:w="0" w:type="auto"/>
            <w:gridSpan w:val="3"/>
            <w:tcMar>
              <w:top w:w="30" w:type="dxa"/>
              <w:left w:w="20" w:type="dxa"/>
              <w:bottom w:w="30" w:type="dxa"/>
              <w:right w:w="20" w:type="dxa"/>
            </w:tcMar>
            <w:vAlign w:val="bottom"/>
            <w:hideMark/>
          </w:tcPr>
          <w:p w:rsidR="00000000" w:rsidRDefault="00F123EE">
            <w:pPr>
              <w:spacing w:after="100"/>
              <w:jc w:val="both"/>
              <w:rPr>
                <w:rFonts w:eastAsia="Times New Roman"/>
              </w:rPr>
            </w:pPr>
            <w:hyperlink r:id="rId44" w:history="1">
              <w:r>
                <w:rPr>
                  <w:rStyle w:val="a3"/>
                  <w:rFonts w:eastAsia="Times New Roman"/>
                  <w:sz w:val="20"/>
                  <w:szCs w:val="20"/>
                </w:rPr>
                <w:t>Form of Indemnification Agreement, by and between Tractor Supply Company and each of its executive officers and directors, dated November 8, 2018 (file</w:t>
              </w:r>
              <w:r>
                <w:rPr>
                  <w:rStyle w:val="a3"/>
                  <w:rFonts w:eastAsia="Times New Roman"/>
                  <w:sz w:val="20"/>
                  <w:szCs w:val="20"/>
                </w:rPr>
                <w:t>d as Exhibit 10.1 to Current Report on Form 8-K, filed with the Commission on November 14, 2018, and incorporated herein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807212372"/>
          <w:trHeight w:val="6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80721237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10.31</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45" w:history="1">
              <w:r>
                <w:rPr>
                  <w:rStyle w:val="a3"/>
                  <w:rFonts w:eastAsia="Times New Roman"/>
                  <w:sz w:val="20"/>
                  <w:szCs w:val="20"/>
                </w:rPr>
                <w:t>Form of Performance Share Unit Agreement for Officers under the Tractor Supply Company 2018 Omnibus Incentive Plan (filed as Exhibit 10.39 to t</w:t>
              </w:r>
              <w:r>
                <w:rPr>
                  <w:rStyle w:val="a3"/>
                  <w:rFonts w:eastAsia="Times New Roman"/>
                  <w:sz w:val="20"/>
                  <w:szCs w:val="20"/>
                </w:rPr>
                <w:t>he Registrant's Annual Report on Form 10-K, filed with the Commission on February 21, 2019, and incorporated herein by reference).+</w:t>
              </w:r>
            </w:hyperlink>
          </w:p>
          <w:p w:rsidR="00000000" w:rsidRDefault="00F123EE">
            <w:pPr>
              <w:spacing w:after="100"/>
              <w:jc w:val="both"/>
              <w:rPr>
                <w:rFonts w:eastAsia="Times New Roman"/>
              </w:rPr>
            </w:pPr>
          </w:p>
          <w:p w:rsidR="00000000" w:rsidRDefault="00F123EE">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807212372"/>
          <w:trHeight w:val="6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80721237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10.32</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46" w:history="1">
              <w:r>
                <w:rPr>
                  <w:rStyle w:val="a3"/>
                  <w:rFonts w:eastAsia="Times New Roman"/>
                  <w:sz w:val="20"/>
                  <w:szCs w:val="20"/>
                </w:rPr>
                <w:t>Form of Performance Share Unit Agreement for Chief Executive Officer under the Tractor Supply Company 2018 Omnibus Incentive Plan (filed as Exh</w:t>
              </w:r>
              <w:r>
                <w:rPr>
                  <w:rStyle w:val="a3"/>
                  <w:rFonts w:eastAsia="Times New Roman"/>
                  <w:sz w:val="20"/>
                  <w:szCs w:val="20"/>
                </w:rPr>
                <w:t>ibit 10.40 to the Registrant's Annual Report on Form 10-K, filed with the Commission on February 21, 2019, and incorporated herein by reference).+</w:t>
              </w:r>
            </w:hyperlink>
          </w:p>
          <w:p w:rsidR="00000000" w:rsidRDefault="00F123EE">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807212372"/>
          <w:trHeight w:val="6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80721237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10.33</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47" w:history="1">
              <w:r>
                <w:rPr>
                  <w:rStyle w:val="a3"/>
                  <w:rFonts w:eastAsia="Times New Roman"/>
                  <w:sz w:val="20"/>
                  <w:szCs w:val="20"/>
                </w:rPr>
                <w:t>Form of Restricted Share Unit Agreement under the Tractor Supply Company 2018 Omnibus Incentive Plan (filed as Exhibit 10.41 to the Registrant'</w:t>
              </w:r>
              <w:r>
                <w:rPr>
                  <w:rStyle w:val="a3"/>
                  <w:rFonts w:eastAsia="Times New Roman"/>
                  <w:sz w:val="20"/>
                  <w:szCs w:val="20"/>
                </w:rPr>
                <w:t>s Annual Report on Form 10-K, filed with the Commission on February 21, 2019, and incorporated herein by reference).+</w:t>
              </w:r>
            </w:hyperlink>
          </w:p>
          <w:p w:rsidR="00000000" w:rsidRDefault="00F123EE">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807212372"/>
          <w:trHeight w:val="6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80721237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10.34</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48" w:history="1">
              <w:r>
                <w:rPr>
                  <w:rStyle w:val="a3"/>
                  <w:rFonts w:eastAsia="Times New Roman"/>
                  <w:sz w:val="20"/>
                  <w:szCs w:val="20"/>
                </w:rPr>
                <w:t>Form of Nonqualified Stock Option Agreement under the Tractor Supply Company 2018 Omnibus Incentive Plan (filed as Exhibit 10.42 to the Registr</w:t>
              </w:r>
              <w:r>
                <w:rPr>
                  <w:rStyle w:val="a3"/>
                  <w:rFonts w:eastAsia="Times New Roman"/>
                  <w:sz w:val="20"/>
                  <w:szCs w:val="20"/>
                </w:rPr>
                <w:t>ant's Annual Report on Form 10-K, filed with the Commission on February 21, 2019, and incorporated herein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807212372"/>
          <w:trHeight w:val="6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80721237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10.35</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49" w:history="1">
              <w:r>
                <w:rPr>
                  <w:rStyle w:val="a3"/>
                  <w:rFonts w:eastAsia="Times New Roman"/>
                  <w:sz w:val="20"/>
                  <w:szCs w:val="20"/>
                </w:rPr>
                <w:t>Form of Change in Control Agreement, dated as of March 8, 2021 by and between Tractor Supply Company and each of Kurt D. Barton, Robert D. Mill</w:t>
              </w:r>
              <w:r>
                <w:rPr>
                  <w:rStyle w:val="a3"/>
                  <w:rFonts w:eastAsia="Times New Roman"/>
                  <w:sz w:val="20"/>
                  <w:szCs w:val="20"/>
                </w:rPr>
                <w:t>s, John P. Ordus, Jonathan S. Estep, Melissa D. Kersey, Colin W. Yankee, Noni L. Ellison, Christi C. Korzekwa, and Matthew L. Rubin (filed as Exhibit 10.2 to Current Report on Form 8-K, filed with the Commission on March 10, 2021, and incorporated herein b</w:t>
              </w:r>
              <w:r>
                <w:rPr>
                  <w:rStyle w:val="a3"/>
                  <w:rFonts w:eastAsia="Times New Roman"/>
                  <w:sz w:val="20"/>
                  <w:szCs w:val="20"/>
                </w:rPr>
                <w:t>y reference). +</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807212372"/>
          <w:trHeight w:val="6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80721237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10.36</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50" w:history="1">
              <w:r>
                <w:rPr>
                  <w:rStyle w:val="a3"/>
                  <w:rFonts w:eastAsia="Times New Roman"/>
                  <w:sz w:val="20"/>
                  <w:szCs w:val="20"/>
                </w:rPr>
                <w:t>Employment Agreement, dated December 4, 2019, by and between Tractor Supply Company and Harry A. Lawton III (filed as Exhibit 10.1 to Registrant’s Current Report on Form 8-K, filed with the Commission on December 6, 2019, and incorporated herein by referen</w:t>
              </w:r>
              <w:r>
                <w:rPr>
                  <w:rStyle w:val="a3"/>
                  <w:rFonts w:eastAsia="Times New Roman"/>
                  <w:sz w:val="20"/>
                  <w:szCs w:val="20"/>
                </w:rPr>
                <w:t>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807212372"/>
          <w:trHeight w:val="12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80721237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10.37</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51" w:history="1">
              <w:r>
                <w:rPr>
                  <w:rStyle w:val="a3"/>
                  <w:rFonts w:eastAsia="Times New Roman"/>
                  <w:sz w:val="20"/>
                  <w:szCs w:val="20"/>
                </w:rPr>
                <w:t>Change in Control Agreement, dated March 8, 2021, by and between Tractor Supply Company and Harry A. Lawton III (filed as Exhibit 10.1 to Current Report on Form 8-K, filed with the Commission on March 10, 2021, and incorporated herein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807212372"/>
          <w:trHeight w:val="10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80721237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10.38</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52" w:history="1">
              <w:r>
                <w:rPr>
                  <w:rStyle w:val="a3"/>
                  <w:rFonts w:eastAsia="Times New Roman"/>
                  <w:sz w:val="20"/>
                  <w:szCs w:val="20"/>
                </w:rPr>
                <w:t>Form of Performance Share Unit Agreement under the Tractor Supply Company 2018 Omnibus Incentive Plan (filed as Exhibit 10.48 to the Registrant’s Annual Report on Form 10-K, filed with the Commission on February 20, 2020, and incorporated herein by referen</w:t>
              </w:r>
              <w:r>
                <w:rPr>
                  <w:rStyle w:val="a3"/>
                  <w:rFonts w:eastAsia="Times New Roman"/>
                  <w:sz w:val="20"/>
                  <w:szCs w:val="20"/>
                </w:rPr>
                <w:t>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807212372"/>
          <w:trHeight w:val="10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80721237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10.39</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53" w:history="1">
              <w:r>
                <w:rPr>
                  <w:rStyle w:val="a3"/>
                  <w:rFonts w:eastAsia="Times New Roman"/>
                  <w:sz w:val="20"/>
                  <w:szCs w:val="20"/>
                </w:rPr>
                <w:t>Form of Restricted Share Unit Agreement under the Tractor Supply Company 2018 Omnibus Incentive Plan (filed as Exhibit 10.49 to the Registrant’s Annual Report on Form 10-K, filed with the Commission on February 20, 2020, and incorporated herein by referenc</w:t>
              </w:r>
              <w:r>
                <w:rPr>
                  <w:rStyle w:val="a3"/>
                  <w:rFonts w:eastAsia="Times New Roman"/>
                  <w:sz w:val="20"/>
                  <w:szCs w:val="20"/>
                </w:rPr>
                <w:t>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807212372"/>
          <w:trHeight w:val="10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80721237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10.40</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54" w:history="1">
              <w:r>
                <w:rPr>
                  <w:rStyle w:val="a3"/>
                  <w:rFonts w:eastAsia="Times New Roman"/>
                  <w:sz w:val="20"/>
                  <w:szCs w:val="20"/>
                </w:rPr>
                <w:t>Form of Performance Share Unit Agreement for Petsense Employees under the Tractor Supply Company 2018 Omnibus Incentive Plan (filed as Exhibit 10.59 to the Registrant's Annual Report on Form 10-K, filed with the Commission on February 18, 2021, and incorpo</w:t>
              </w:r>
              <w:r>
                <w:rPr>
                  <w:rStyle w:val="a3"/>
                  <w:rFonts w:eastAsia="Times New Roman"/>
                  <w:sz w:val="20"/>
                  <w:szCs w:val="20"/>
                </w:rPr>
                <w:t>rated herein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807212372"/>
          <w:trHeight w:val="10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80721237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10.41</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55" w:history="1">
              <w:r>
                <w:rPr>
                  <w:rStyle w:val="a3"/>
                  <w:rFonts w:eastAsia="Times New Roman"/>
                  <w:sz w:val="20"/>
                  <w:szCs w:val="20"/>
                </w:rPr>
                <w:t>Form of Restricted Share Unit Agreement for Petsense Employees under the Tractor Supply Company 2018 Omnibus Incentive Plan (filed as Exhibit 1</w:t>
              </w:r>
              <w:r>
                <w:rPr>
                  <w:rStyle w:val="a3"/>
                  <w:rFonts w:eastAsia="Times New Roman"/>
                  <w:sz w:val="20"/>
                  <w:szCs w:val="20"/>
                </w:rPr>
                <w:t>0.60 to the Registrant's Annual Report on Form 10-K, filed with the Commission on February 18, 2021, and incorporated herein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807212372"/>
          <w:trHeight w:val="10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80721237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10.42</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56" w:history="1">
              <w:r>
                <w:rPr>
                  <w:rStyle w:val="a3"/>
                  <w:rFonts w:eastAsia="Times New Roman"/>
                  <w:sz w:val="20"/>
                  <w:szCs w:val="20"/>
                </w:rPr>
                <w:t>Form on Nonqualified Stock Option Agreement for Petsense Employees under the Tractor Supply Company 2018 Omnibus Incentive Plan (filed as Exhib</w:t>
              </w:r>
              <w:r>
                <w:rPr>
                  <w:rStyle w:val="a3"/>
                  <w:rFonts w:eastAsia="Times New Roman"/>
                  <w:sz w:val="20"/>
                  <w:szCs w:val="20"/>
                </w:rPr>
                <w:t>it 10.61 to the Registrant's Annual Report on Form 10-K, filed with the Commission on February 18, 2021, and incorporated herein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807212372"/>
          <w:trHeight w:val="10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80721237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10.43</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57" w:history="1">
              <w:r>
                <w:rPr>
                  <w:rStyle w:val="a3"/>
                  <w:rFonts w:eastAsia="Times New Roman"/>
                  <w:sz w:val="20"/>
                  <w:szCs w:val="20"/>
                </w:rPr>
                <w:t>First Amendment to Note Purchase and Private Shelf Agreement, dated October 16, 2020, by and among Tractor Supply Company, certain subsidiaries of T</w:t>
              </w:r>
              <w:r>
                <w:rPr>
                  <w:rStyle w:val="a3"/>
                  <w:rFonts w:eastAsia="Times New Roman"/>
                  <w:sz w:val="20"/>
                  <w:szCs w:val="20"/>
                </w:rPr>
                <w:t xml:space="preserve">ractor Supply Company, PGIM, Inc. and certain affiliates of PGIM, Inc (filed as Exhibit 10.4 to Registrant’s Quarterly Report on Form 10-Q, filed with the Commission on October 22, 2020, and incorporated herein by reference). </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807212372"/>
          <w:trHeight w:val="10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80721237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10.44</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58" w:history="1">
              <w:r>
                <w:rPr>
                  <w:rStyle w:val="a3"/>
                  <w:rFonts w:eastAsia="Times New Roman"/>
                  <w:sz w:val="20"/>
                  <w:szCs w:val="20"/>
                </w:rPr>
                <w:t>Second Amendment to Note Purchase and Private Shelf Agreement, dated November 4, 2020, by and among Tractor Supply Company, PGIM, Inc. and the other noteholders</w:t>
              </w:r>
              <w:r>
                <w:rPr>
                  <w:rStyle w:val="a3"/>
                  <w:rFonts w:eastAsia="Times New Roman"/>
                  <w:sz w:val="20"/>
                  <w:szCs w:val="20"/>
                </w:rPr>
                <w:t xml:space="preserve"> (filed as Exhibit 10.2 to Current Report on Form 8-K, filed with the Commission on November 5, 2020, and incorporated herein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807212372"/>
          <w:trHeight w:val="10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80721237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10.45</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59" w:history="1">
              <w:r>
                <w:rPr>
                  <w:rStyle w:val="a3"/>
                  <w:rFonts w:eastAsia="Times New Roman"/>
                  <w:sz w:val="20"/>
                  <w:szCs w:val="20"/>
                </w:rPr>
                <w:t>Offer Letter between Melissa D. Kersey and Tractor Supply Company (filed as Exhibit 10.3 to Registrant's Quarterly Report on Form 10-Q, filed with the Comm</w:t>
              </w:r>
              <w:r>
                <w:rPr>
                  <w:rStyle w:val="a3"/>
                  <w:rFonts w:eastAsia="Times New Roman"/>
                  <w:sz w:val="20"/>
                  <w:szCs w:val="20"/>
                </w:rPr>
                <w:t>ission on May 6, 2021 and incorporated herein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807212372"/>
          <w:trHeight w:val="10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80721237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10.46</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60" w:history="1">
              <w:r>
                <w:rPr>
                  <w:rStyle w:val="a3"/>
                  <w:rFonts w:eastAsia="Times New Roman"/>
                  <w:sz w:val="20"/>
                  <w:szCs w:val="20"/>
                </w:rPr>
                <w:t>Form of Restricted Share Unit Agreement under the Tractor Supply Company 2018 Omnibus Incentive Plan</w:t>
              </w:r>
            </w:hyperlink>
            <w:hyperlink r:id="rId61" w:history="1">
              <w:r>
                <w:rPr>
                  <w:rStyle w:val="a3"/>
                  <w:rFonts w:eastAsia="Times New Roman"/>
                  <w:sz w:val="20"/>
                  <w:szCs w:val="20"/>
                </w:rPr>
                <w:t xml:space="preserve"> </w:t>
              </w:r>
            </w:hyperlink>
            <w:hyperlink r:id="rId62" w:history="1">
              <w:r>
                <w:rPr>
                  <w:rStyle w:val="a3"/>
                  <w:rFonts w:eastAsia="Times New Roman"/>
                  <w:sz w:val="20"/>
                  <w:szCs w:val="20"/>
                </w:rPr>
                <w:t>(</w:t>
              </w:r>
            </w:hyperlink>
            <w:hyperlink r:id="rId63" w:history="1">
              <w:r>
                <w:rPr>
                  <w:rStyle w:val="a3"/>
                  <w:rFonts w:eastAsia="Times New Roman"/>
                  <w:sz w:val="20"/>
                  <w:szCs w:val="20"/>
                </w:rPr>
                <w:t xml:space="preserve">filed as Exhibit 10.45 </w:t>
              </w:r>
            </w:hyperlink>
            <w:hyperlink r:id="rId64" w:history="1">
              <w:r>
                <w:rPr>
                  <w:rStyle w:val="a3"/>
                  <w:rFonts w:eastAsia="Times New Roman"/>
                  <w:sz w:val="20"/>
                  <w:szCs w:val="20"/>
                </w:rPr>
                <w:t>to Registrant</w:t>
              </w:r>
            </w:hyperlink>
            <w:hyperlink r:id="rId65" w:history="1">
              <w:r>
                <w:rPr>
                  <w:rStyle w:val="a3"/>
                  <w:rFonts w:eastAsia="Times New Roman"/>
                  <w:sz w:val="20"/>
                  <w:szCs w:val="20"/>
                </w:rPr>
                <w:t>’</w:t>
              </w:r>
            </w:hyperlink>
            <w:hyperlink r:id="rId66" w:history="1">
              <w:r>
                <w:rPr>
                  <w:rStyle w:val="a3"/>
                  <w:rFonts w:eastAsia="Times New Roman"/>
                  <w:sz w:val="20"/>
                  <w:szCs w:val="20"/>
                </w:rPr>
                <w:t xml:space="preserve">s </w:t>
              </w:r>
            </w:hyperlink>
            <w:hyperlink r:id="rId67" w:history="1">
              <w:r>
                <w:rPr>
                  <w:rStyle w:val="a3"/>
                  <w:rFonts w:eastAsia="Times New Roman"/>
                  <w:sz w:val="20"/>
                  <w:szCs w:val="20"/>
                </w:rPr>
                <w:t>A</w:t>
              </w:r>
            </w:hyperlink>
            <w:hyperlink r:id="rId68" w:history="1">
              <w:r>
                <w:rPr>
                  <w:rStyle w:val="a3"/>
                  <w:rFonts w:eastAsia="Times New Roman"/>
                  <w:sz w:val="20"/>
                  <w:szCs w:val="20"/>
                </w:rPr>
                <w:t>nnual Report on Form 1</w:t>
              </w:r>
            </w:hyperlink>
            <w:hyperlink r:id="rId69" w:history="1">
              <w:r>
                <w:rPr>
                  <w:rStyle w:val="a3"/>
                  <w:rFonts w:eastAsia="Times New Roman"/>
                  <w:sz w:val="20"/>
                  <w:szCs w:val="20"/>
                </w:rPr>
                <w:t>0-K, filed with the Commission on February 17, 2022)</w:t>
              </w:r>
            </w:hyperlink>
            <w:hyperlink r:id="rId70" w:history="1">
              <w:r>
                <w:rPr>
                  <w:rStyle w:val="a3"/>
                  <w:rFonts w:eastAsia="Times New Roman"/>
                  <w:sz w:val="20"/>
                  <w:szCs w:val="20"/>
                </w:rPr>
                <w:t>. +</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807212372"/>
          <w:trHeight w:val="10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bl>
    <w:p w:rsidR="00000000" w:rsidRDefault="00F123EE">
      <w:pPr>
        <w:jc w:val="center"/>
        <w:divId w:val="1387411796"/>
        <w:rPr>
          <w:rFonts w:eastAsia="Times New Roman"/>
        </w:rPr>
      </w:pPr>
      <w:r>
        <w:rPr>
          <w:rFonts w:eastAsia="Times New Roman"/>
          <w:color w:val="000000"/>
          <w:sz w:val="20"/>
          <w:szCs w:val="20"/>
        </w:rPr>
        <w:t>82</w:t>
      </w:r>
    </w:p>
    <w:p w:rsidR="00000000" w:rsidRDefault="00F123EE">
      <w:pPr>
        <w:rPr>
          <w:rFonts w:eastAsia="Times New Roman"/>
        </w:rPr>
      </w:pPr>
      <w:r>
        <w:rPr>
          <w:rFonts w:eastAsia="Times New Roman"/>
        </w:rPr>
        <w:pict>
          <v:rect id="_x0000_i1112" style="width:0;height:1.5pt" o:hralign="center" o:hrstd="t" o:hr="t" fillcolor="#a0a0a0" stroked="f"/>
        </w:pict>
      </w:r>
    </w:p>
    <w:p w:rsidR="00000000" w:rsidRDefault="00F123EE">
      <w:pPr>
        <w:divId w:val="1661228881"/>
        <w:rPr>
          <w:rFonts w:eastAsia="Times New Roman"/>
        </w:rPr>
      </w:pPr>
      <w:hyperlink w:anchor="i38696b5cc01146d68b9c6b33327cf890_7" w:history="1">
        <w:r>
          <w:rPr>
            <w:rStyle w:val="a3"/>
            <w:rFonts w:eastAsia="Times New Roman"/>
            <w:sz w:val="18"/>
            <w:szCs w:val="18"/>
          </w:rPr>
          <w:t>Index</w:t>
        </w:r>
      </w:hyperlink>
    </w:p>
    <w:tbl>
      <w:tblPr>
        <w:tblW w:w="5000" w:type="pct"/>
        <w:tblCellMar>
          <w:top w:w="15" w:type="dxa"/>
          <w:left w:w="15" w:type="dxa"/>
          <w:bottom w:w="15" w:type="dxa"/>
          <w:right w:w="15" w:type="dxa"/>
        </w:tblCellMar>
        <w:tblLook w:val="04A0" w:firstRow="1" w:lastRow="0" w:firstColumn="1" w:lastColumn="0" w:noHBand="0" w:noVBand="1"/>
      </w:tblPr>
      <w:tblGrid>
        <w:gridCol w:w="92"/>
        <w:gridCol w:w="489"/>
        <w:gridCol w:w="36"/>
        <w:gridCol w:w="38"/>
        <w:gridCol w:w="7506"/>
        <w:gridCol w:w="37"/>
        <w:gridCol w:w="36"/>
        <w:gridCol w:w="36"/>
        <w:gridCol w:w="36"/>
      </w:tblGrid>
      <w:tr w:rsidR="00000000">
        <w:trPr>
          <w:divId w:val="1034188122"/>
        </w:trPr>
        <w:tc>
          <w:tcPr>
            <w:tcW w:w="50" w:type="pct"/>
            <w:vAlign w:val="center"/>
            <w:hideMark/>
          </w:tcPr>
          <w:p w:rsidR="00000000" w:rsidRDefault="00F123EE">
            <w:pPr>
              <w:rPr>
                <w:rFonts w:eastAsia="Times New Roman"/>
              </w:rPr>
            </w:pPr>
          </w:p>
        </w:tc>
        <w:tc>
          <w:tcPr>
            <w:tcW w:w="26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4594"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19"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rPr>
          <w:divId w:val="103418812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10.47</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71" w:history="1">
              <w:r>
                <w:rPr>
                  <w:rStyle w:val="a3"/>
                  <w:rFonts w:eastAsia="Times New Roman"/>
                  <w:sz w:val="20"/>
                  <w:szCs w:val="20"/>
                </w:rPr>
                <w:t>Form of Restricted Share Unit Agreement under the Tractor Supply Company 2018 Omnibus Incentive Plan</w:t>
              </w:r>
            </w:hyperlink>
            <w:hyperlink r:id="rId72" w:history="1">
              <w:r>
                <w:rPr>
                  <w:rStyle w:val="a3"/>
                  <w:rFonts w:eastAsia="Times New Roman"/>
                  <w:sz w:val="20"/>
                  <w:szCs w:val="20"/>
                </w:rPr>
                <w:t xml:space="preserve"> </w:t>
              </w:r>
            </w:hyperlink>
            <w:hyperlink r:id="rId73" w:history="1">
              <w:r>
                <w:rPr>
                  <w:rStyle w:val="a3"/>
                  <w:rFonts w:eastAsia="Times New Roman"/>
                  <w:sz w:val="20"/>
                  <w:szCs w:val="20"/>
                </w:rPr>
                <w:t>(filed as Exhibit 10.4</w:t>
              </w:r>
            </w:hyperlink>
            <w:hyperlink r:id="rId74" w:history="1">
              <w:r>
                <w:rPr>
                  <w:rStyle w:val="a3"/>
                  <w:rFonts w:eastAsia="Times New Roman"/>
                  <w:sz w:val="20"/>
                  <w:szCs w:val="20"/>
                </w:rPr>
                <w:t>6</w:t>
              </w:r>
            </w:hyperlink>
            <w:hyperlink r:id="rId75" w:history="1">
              <w:r>
                <w:rPr>
                  <w:rStyle w:val="a3"/>
                  <w:rFonts w:eastAsia="Times New Roman"/>
                  <w:sz w:val="20"/>
                  <w:szCs w:val="20"/>
                </w:rPr>
                <w:t xml:space="preserve"> to Registrant’s Annual Report on Form 10-K, filed with the Commission on Febru</w:t>
              </w:r>
              <w:r>
                <w:rPr>
                  <w:rStyle w:val="a3"/>
                  <w:rFonts w:eastAsia="Times New Roman"/>
                  <w:sz w:val="20"/>
                  <w:szCs w:val="20"/>
                </w:rPr>
                <w:t>ary 17, 2022)</w:t>
              </w:r>
            </w:hyperlink>
            <w:hyperlink r:id="rId76" w:history="1">
              <w:r>
                <w:rPr>
                  <w:rStyle w:val="a3"/>
                  <w:rFonts w:eastAsia="Times New Roman"/>
                  <w:sz w:val="20"/>
                  <w:szCs w:val="20"/>
                </w:rPr>
                <w:t>. +</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034188122"/>
          <w:trHeight w:val="10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103418812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10.48</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77" w:history="1">
              <w:r>
                <w:rPr>
                  <w:rStyle w:val="a3"/>
                  <w:rFonts w:eastAsia="Times New Roman"/>
                  <w:sz w:val="20"/>
                  <w:szCs w:val="20"/>
                </w:rPr>
                <w:t>Form of Performance Share Unit Agreement under the Tractor Supply Company 2018 Omnibus Incentive Plan</w:t>
              </w:r>
            </w:hyperlink>
            <w:hyperlink r:id="rId78" w:history="1">
              <w:r>
                <w:rPr>
                  <w:rStyle w:val="a3"/>
                  <w:rFonts w:eastAsia="Times New Roman"/>
                  <w:sz w:val="20"/>
                  <w:szCs w:val="20"/>
                </w:rPr>
                <w:t xml:space="preserve"> </w:t>
              </w:r>
            </w:hyperlink>
            <w:hyperlink r:id="rId79" w:history="1">
              <w:r>
                <w:rPr>
                  <w:rStyle w:val="a3"/>
                  <w:rFonts w:eastAsia="Times New Roman"/>
                  <w:sz w:val="20"/>
                  <w:szCs w:val="20"/>
                </w:rPr>
                <w:t>(filed as Exhibit 10.4</w:t>
              </w:r>
            </w:hyperlink>
            <w:hyperlink r:id="rId80" w:history="1">
              <w:r>
                <w:rPr>
                  <w:rStyle w:val="a3"/>
                  <w:rFonts w:eastAsia="Times New Roman"/>
                  <w:sz w:val="20"/>
                  <w:szCs w:val="20"/>
                </w:rPr>
                <w:t>7</w:t>
              </w:r>
            </w:hyperlink>
            <w:hyperlink r:id="rId81" w:history="1">
              <w:r>
                <w:rPr>
                  <w:rStyle w:val="a3"/>
                  <w:rFonts w:eastAsia="Times New Roman"/>
                  <w:sz w:val="20"/>
                  <w:szCs w:val="20"/>
                </w:rPr>
                <w:t xml:space="preserve"> to Registrant’s Annual Report on Form 10-K, filed with the Commission on February 17, 2022). +</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034188122"/>
          <w:trHeight w:val="10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103418812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10.49</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82" w:history="1">
              <w:r>
                <w:rPr>
                  <w:rStyle w:val="a3"/>
                  <w:rFonts w:eastAsia="Times New Roman"/>
                  <w:sz w:val="20"/>
                  <w:szCs w:val="20"/>
                </w:rPr>
                <w:t>Form of Nonqualifed Stock Option Agreement under the Tractor Supply Company 2018 Omnibus Incentive Plan</w:t>
              </w:r>
            </w:hyperlink>
            <w:hyperlink r:id="rId83" w:history="1">
              <w:r>
                <w:rPr>
                  <w:rStyle w:val="a3"/>
                  <w:rFonts w:eastAsia="Times New Roman"/>
                  <w:sz w:val="20"/>
                  <w:szCs w:val="20"/>
                </w:rPr>
                <w:t xml:space="preserve"> </w:t>
              </w:r>
            </w:hyperlink>
            <w:hyperlink r:id="rId84" w:history="1">
              <w:r>
                <w:rPr>
                  <w:rStyle w:val="a3"/>
                  <w:rFonts w:eastAsia="Times New Roman"/>
                  <w:sz w:val="20"/>
                  <w:szCs w:val="20"/>
                </w:rPr>
                <w:t>(filed as Exhibit 10.4</w:t>
              </w:r>
            </w:hyperlink>
            <w:hyperlink r:id="rId85" w:history="1">
              <w:r>
                <w:rPr>
                  <w:rStyle w:val="a3"/>
                  <w:rFonts w:eastAsia="Times New Roman"/>
                  <w:sz w:val="20"/>
                  <w:szCs w:val="20"/>
                </w:rPr>
                <w:t>8</w:t>
              </w:r>
            </w:hyperlink>
            <w:hyperlink r:id="rId86" w:history="1">
              <w:r>
                <w:rPr>
                  <w:rStyle w:val="a3"/>
                  <w:rFonts w:eastAsia="Times New Roman"/>
                  <w:sz w:val="20"/>
                  <w:szCs w:val="20"/>
                </w:rPr>
                <w:t xml:space="preserve"> to Registrant’s Annual Report on Form 10-K, filed with the Commission on Fe</w:t>
              </w:r>
              <w:r>
                <w:rPr>
                  <w:rStyle w:val="a3"/>
                  <w:rFonts w:eastAsia="Times New Roman"/>
                  <w:sz w:val="20"/>
                  <w:szCs w:val="20"/>
                </w:rPr>
                <w:t>bruary 17, 2022). +</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034188122"/>
          <w:trHeight w:val="10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103418812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10.50</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87" w:history="1">
              <w:r>
                <w:rPr>
                  <w:rStyle w:val="a3"/>
                  <w:rFonts w:eastAsia="Times New Roman"/>
                  <w:sz w:val="20"/>
                  <w:szCs w:val="20"/>
                </w:rPr>
                <w:t>Form of Restricted Share Unit Agreement for Petsense Employees under the Tractor Supply Company 2018 Omnibus Incentive Plan</w:t>
              </w:r>
            </w:hyperlink>
            <w:hyperlink r:id="rId88" w:history="1">
              <w:r>
                <w:rPr>
                  <w:rStyle w:val="a3"/>
                  <w:rFonts w:eastAsia="Times New Roman"/>
                  <w:sz w:val="20"/>
                  <w:szCs w:val="20"/>
                </w:rPr>
                <w:t xml:space="preserve"> </w:t>
              </w:r>
            </w:hyperlink>
            <w:hyperlink r:id="rId89" w:history="1">
              <w:r>
                <w:rPr>
                  <w:rStyle w:val="a3"/>
                  <w:rFonts w:eastAsia="Times New Roman"/>
                  <w:sz w:val="20"/>
                  <w:szCs w:val="20"/>
                </w:rPr>
                <w:t>(filed as Exhibit 10.4</w:t>
              </w:r>
            </w:hyperlink>
            <w:hyperlink r:id="rId90" w:history="1">
              <w:r>
                <w:rPr>
                  <w:rStyle w:val="a3"/>
                  <w:rFonts w:eastAsia="Times New Roman"/>
                  <w:sz w:val="20"/>
                  <w:szCs w:val="20"/>
                </w:rPr>
                <w:t>9</w:t>
              </w:r>
            </w:hyperlink>
            <w:hyperlink r:id="rId91" w:history="1">
              <w:r>
                <w:rPr>
                  <w:rStyle w:val="a3"/>
                  <w:rFonts w:eastAsia="Times New Roman"/>
                  <w:sz w:val="20"/>
                  <w:szCs w:val="20"/>
                </w:rPr>
                <w:t xml:space="preserve"> to Registrant’s Annual Report on Form 10-K, filed with </w:t>
              </w:r>
              <w:r>
                <w:rPr>
                  <w:rStyle w:val="a3"/>
                  <w:rFonts w:eastAsia="Times New Roman"/>
                  <w:sz w:val="20"/>
                  <w:szCs w:val="20"/>
                </w:rPr>
                <w:t>the Commission on February 17, 2022). +</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034188122"/>
          <w:trHeight w:val="10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103418812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10.51</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92" w:history="1">
              <w:r>
                <w:rPr>
                  <w:rStyle w:val="a3"/>
                  <w:rFonts w:eastAsia="Times New Roman"/>
                  <w:sz w:val="20"/>
                  <w:szCs w:val="20"/>
                </w:rPr>
                <w:t>Form of Performance Share Unit Agreement for Petsense Employees under the Tractor Supply Company 2018 Omnibus Incentive Plan</w:t>
              </w:r>
            </w:hyperlink>
            <w:hyperlink r:id="rId93" w:history="1">
              <w:r>
                <w:rPr>
                  <w:rStyle w:val="a3"/>
                  <w:rFonts w:eastAsia="Times New Roman"/>
                  <w:sz w:val="20"/>
                  <w:szCs w:val="20"/>
                </w:rPr>
                <w:t xml:space="preserve"> </w:t>
              </w:r>
            </w:hyperlink>
            <w:hyperlink r:id="rId94" w:history="1">
              <w:r>
                <w:rPr>
                  <w:rStyle w:val="a3"/>
                  <w:rFonts w:eastAsia="Times New Roman"/>
                  <w:sz w:val="20"/>
                  <w:szCs w:val="20"/>
                </w:rPr>
                <w:t>(filed as Exhibit 10.</w:t>
              </w:r>
            </w:hyperlink>
            <w:hyperlink r:id="rId95" w:history="1">
              <w:r>
                <w:rPr>
                  <w:rStyle w:val="a3"/>
                  <w:rFonts w:eastAsia="Times New Roman"/>
                  <w:sz w:val="20"/>
                  <w:szCs w:val="20"/>
                </w:rPr>
                <w:t>50</w:t>
              </w:r>
            </w:hyperlink>
            <w:hyperlink r:id="rId96" w:history="1">
              <w:r>
                <w:rPr>
                  <w:rStyle w:val="a3"/>
                  <w:rFonts w:eastAsia="Times New Roman"/>
                  <w:sz w:val="20"/>
                  <w:szCs w:val="20"/>
                </w:rPr>
                <w:t xml:space="preserve"> to Registrant’s Annual Report on Fo</w:t>
              </w:r>
              <w:r>
                <w:rPr>
                  <w:rStyle w:val="a3"/>
                  <w:rFonts w:eastAsia="Times New Roman"/>
                  <w:sz w:val="20"/>
                  <w:szCs w:val="20"/>
                </w:rPr>
                <w:t>rm 10-K, filed with the Commission on February 17, 2022). +</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034188122"/>
          <w:trHeight w:val="10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103418812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10.52</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97" w:history="1">
              <w:r>
                <w:rPr>
                  <w:rStyle w:val="a3"/>
                  <w:rFonts w:eastAsia="Times New Roman"/>
                  <w:sz w:val="20"/>
                  <w:szCs w:val="20"/>
                </w:rPr>
                <w:t>Form of Nonqualified Stock Option Agreement for Petsense Em</w:t>
              </w:r>
              <w:r>
                <w:rPr>
                  <w:rStyle w:val="a3"/>
                  <w:rFonts w:eastAsia="Times New Roman"/>
                  <w:sz w:val="20"/>
                  <w:szCs w:val="20"/>
                </w:rPr>
                <w:t>ployees under the Tractor Supply Company 2018 Omnibus Incentive Plan</w:t>
              </w:r>
            </w:hyperlink>
            <w:hyperlink r:id="rId98" w:history="1">
              <w:r>
                <w:rPr>
                  <w:rStyle w:val="a3"/>
                  <w:rFonts w:eastAsia="Times New Roman"/>
                  <w:sz w:val="20"/>
                  <w:szCs w:val="20"/>
                </w:rPr>
                <w:t xml:space="preserve"> </w:t>
              </w:r>
            </w:hyperlink>
            <w:hyperlink r:id="rId99" w:history="1">
              <w:r>
                <w:rPr>
                  <w:rStyle w:val="a3"/>
                  <w:rFonts w:eastAsia="Times New Roman"/>
                  <w:sz w:val="20"/>
                  <w:szCs w:val="20"/>
                </w:rPr>
                <w:t>(filed as Exhibit 10.</w:t>
              </w:r>
            </w:hyperlink>
            <w:hyperlink r:id="rId100" w:history="1">
              <w:r>
                <w:rPr>
                  <w:rStyle w:val="a3"/>
                  <w:rFonts w:eastAsia="Times New Roman"/>
                  <w:sz w:val="20"/>
                  <w:szCs w:val="20"/>
                </w:rPr>
                <w:t>51</w:t>
              </w:r>
            </w:hyperlink>
            <w:hyperlink r:id="rId101" w:history="1">
              <w:r>
                <w:rPr>
                  <w:rStyle w:val="a3"/>
                  <w:rFonts w:eastAsia="Times New Roman"/>
                  <w:sz w:val="20"/>
                  <w:szCs w:val="20"/>
                </w:rPr>
                <w:t xml:space="preserve"> to Registrant’s Annual Report on Form 10-K, filed with the Commission on February 17, 2022). +</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034188122"/>
          <w:trHeight w:val="10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103418812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10.53</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102" w:history="1">
              <w:r>
                <w:rPr>
                  <w:rStyle w:val="a3"/>
                  <w:rFonts w:eastAsia="Times New Roman"/>
                  <w:sz w:val="20"/>
                  <w:szCs w:val="20"/>
                </w:rPr>
                <w:t>Third Amendment to Note Purchase and Private Shelf Agreement, dated September 30, 2022, by and among Tractor Supply Company, PGIM, Inc. and the</w:t>
              </w:r>
              <w:r>
                <w:rPr>
                  <w:rStyle w:val="a3"/>
                  <w:rFonts w:eastAsia="Times New Roman"/>
                  <w:sz w:val="20"/>
                  <w:szCs w:val="20"/>
                </w:rPr>
                <w:t xml:space="preserve"> other noteholders (filed as Exhibit 10.2 to Registrant’s Current Report on Form 8-K, filed with the Commission on October 5, 2022, and incorporated herein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034188122"/>
          <w:trHeight w:val="12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103418812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10.54</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103" w:history="1">
              <w:r>
                <w:rPr>
                  <w:rStyle w:val="a3"/>
                  <w:rFonts w:eastAsia="Times New Roman"/>
                  <w:sz w:val="20"/>
                  <w:szCs w:val="20"/>
                </w:rPr>
                <w:t>Credit Agreement, dated as of September 30, 2022, by and among Tractor Supply Company, as Borrower, certain lenders and Wells Fargo Bank, Natio</w:t>
              </w:r>
              <w:r>
                <w:rPr>
                  <w:rStyle w:val="a3"/>
                  <w:rFonts w:eastAsia="Times New Roman"/>
                  <w:sz w:val="20"/>
                  <w:szCs w:val="20"/>
                </w:rPr>
                <w:t>nal Association, as Administrative Agent (filed as Exhibit 10.1 to the Registrant’s Quarterly Report on Form 10-Q, filed with the Commission on November 3, 2022, and incorporated herein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034188122"/>
          <w:trHeight w:val="10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103418812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10.55</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104" w:history="1">
              <w:r>
                <w:rPr>
                  <w:rStyle w:val="a3"/>
                  <w:rFonts w:eastAsia="Times New Roman"/>
                  <w:sz w:val="20"/>
                  <w:szCs w:val="20"/>
                </w:rPr>
                <w:t>Fourth Amendment to Note Purchase and Private Shelf Agreement, dated November 2, 2022, by and among Tractor Supply Company, PGIM, Inc. and the other noteholders (filed as Exhibit 10.3 to the Registrant’s Quarterly Report on Form 10-Q, filed with the Commis</w:t>
              </w:r>
              <w:r>
                <w:rPr>
                  <w:rStyle w:val="a3"/>
                  <w:rFonts w:eastAsia="Times New Roman"/>
                  <w:sz w:val="20"/>
                  <w:szCs w:val="20"/>
                </w:rPr>
                <w:t>sion on November 3, 2022, and incorporated herein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034188122"/>
          <w:trHeight w:val="10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103418812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10.56</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105" w:history="1">
              <w:r>
                <w:rPr>
                  <w:rStyle w:val="a3"/>
                  <w:rFonts w:eastAsia="Times New Roman"/>
                  <w:sz w:val="20"/>
                  <w:szCs w:val="20"/>
                </w:rPr>
                <w:t>Form of Omnibus Amendment to Non-Qualified Stock Option Grant Agreements (filed as Exhibit 10.4 to the Registrant’s Quarterly Report on Form 10</w:t>
              </w:r>
              <w:r>
                <w:rPr>
                  <w:rStyle w:val="a3"/>
                  <w:rFonts w:eastAsia="Times New Roman"/>
                  <w:sz w:val="20"/>
                  <w:szCs w:val="20"/>
                </w:rPr>
                <w:t>-Q, filed with the Commission on November 3, 2022, and incorporated herein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034188122"/>
          <w:trHeight w:val="10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103418812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10.57</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106" w:history="1">
              <w:r>
                <w:rPr>
                  <w:rStyle w:val="a3"/>
                  <w:rFonts w:eastAsia="Times New Roman"/>
                  <w:sz w:val="20"/>
                  <w:szCs w:val="20"/>
                </w:rPr>
                <w:t>Letter Agreement, dated as of February 9, 2023, amending the Employment Agreement dated December 4, 2019, by and between Tractor Supply Company</w:t>
              </w:r>
              <w:r>
                <w:rPr>
                  <w:rStyle w:val="a3"/>
                  <w:rFonts w:eastAsia="Times New Roman"/>
                  <w:sz w:val="20"/>
                  <w:szCs w:val="20"/>
                </w:rPr>
                <w:t xml:space="preserve"> and Harry A. Lawton III (filed as Exhibit 10.1 to Current Report on Form 8-K, filed with the Commission on February 9, 2023, and incorporated herein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034188122"/>
          <w:trHeight w:val="10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103418812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10.58</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107" w:history="1">
              <w:r>
                <w:rPr>
                  <w:rStyle w:val="a3"/>
                  <w:rFonts w:eastAsia="Times New Roman"/>
                  <w:sz w:val="20"/>
                  <w:szCs w:val="20"/>
                </w:rPr>
                <w:t>Amended and Restated Change in Control Agreement, dated February 9, 2023 by and between Tractor Supply Company and Harry A. Lawton III (filed as Exhibit 10.2 to Current Report on Form 8-K, filed with the Commis</w:t>
              </w:r>
              <w:r>
                <w:rPr>
                  <w:rStyle w:val="a3"/>
                  <w:rFonts w:eastAsia="Times New Roman"/>
                  <w:sz w:val="20"/>
                  <w:szCs w:val="20"/>
                </w:rPr>
                <w:t>sion on February 9, 2023, and incorporated herein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034188122"/>
          <w:trHeight w:val="16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103418812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10.59</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108" w:history="1">
              <w:r>
                <w:rPr>
                  <w:rStyle w:val="a3"/>
                  <w:rFonts w:eastAsia="Times New Roman"/>
                  <w:sz w:val="20"/>
                  <w:szCs w:val="20"/>
                </w:rPr>
                <w:t>Form of Amended and Restated Change in Control Agreement, dated as February 9, 2023 (filed as Exhibit 10.3 to Current Report on Form 8-K, filed</w:t>
              </w:r>
              <w:r>
                <w:rPr>
                  <w:rStyle w:val="a3"/>
                  <w:rFonts w:eastAsia="Times New Roman"/>
                  <w:sz w:val="20"/>
                  <w:szCs w:val="20"/>
                </w:rPr>
                <w:t xml:space="preserve"> with the Commission on February 9, 2023, and incorporated herein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034188122"/>
          <w:trHeight w:val="16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103418812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10.60</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109" w:history="1">
              <w:r>
                <w:rPr>
                  <w:rStyle w:val="a3"/>
                  <w:rFonts w:eastAsia="Times New Roman"/>
                  <w:sz w:val="20"/>
                  <w:szCs w:val="20"/>
                </w:rPr>
                <w:t xml:space="preserve">Amended and Restated Performance Share Unit Agreement for </w:t>
              </w:r>
            </w:hyperlink>
            <w:hyperlink r:id="rId110" w:history="1">
              <w:r>
                <w:rPr>
                  <w:rStyle w:val="a3"/>
                  <w:rFonts w:eastAsia="Times New Roman"/>
                  <w:sz w:val="20"/>
                  <w:szCs w:val="20"/>
                </w:rPr>
                <w:t xml:space="preserve">CEO </w:t>
              </w:r>
            </w:hyperlink>
            <w:hyperlink r:id="rId111" w:history="1">
              <w:r>
                <w:rPr>
                  <w:rStyle w:val="a3"/>
                  <w:rFonts w:eastAsia="Times New Roman"/>
                  <w:sz w:val="20"/>
                  <w:szCs w:val="20"/>
                </w:rPr>
                <w:t>Grant Made in 2022, dated as of February 9, 2023 (filed as Exhibit 10.4 to Current Report on Form 8-K, filed wi</w:t>
              </w:r>
              <w:r>
                <w:rPr>
                  <w:rStyle w:val="a3"/>
                  <w:rFonts w:eastAsia="Times New Roman"/>
                  <w:sz w:val="20"/>
                  <w:szCs w:val="20"/>
                </w:rPr>
                <w:t>th the Commission on February 9, 2023, and incorporated herein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034188122"/>
          <w:trHeight w:val="16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103418812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10.61</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112" w:history="1">
              <w:r>
                <w:rPr>
                  <w:rStyle w:val="a3"/>
                  <w:rFonts w:eastAsia="Times New Roman"/>
                  <w:sz w:val="20"/>
                  <w:szCs w:val="20"/>
                </w:rPr>
                <w:t xml:space="preserve">Amended and Restated Performance Share Unit Agreement for </w:t>
              </w:r>
            </w:hyperlink>
            <w:hyperlink r:id="rId113" w:history="1">
              <w:r>
                <w:rPr>
                  <w:rStyle w:val="a3"/>
                  <w:rFonts w:eastAsia="Times New Roman"/>
                  <w:sz w:val="20"/>
                  <w:szCs w:val="20"/>
                </w:rPr>
                <w:t xml:space="preserve">CEO </w:t>
              </w:r>
            </w:hyperlink>
            <w:hyperlink r:id="rId114" w:history="1">
              <w:r>
                <w:rPr>
                  <w:rStyle w:val="a3"/>
                  <w:rFonts w:eastAsia="Times New Roman"/>
                  <w:sz w:val="20"/>
                  <w:szCs w:val="20"/>
                </w:rPr>
                <w:t>Grant Made in 2021, dated as of February 9, 2023 (filed as Exhibit 10.5 to Current Report on Form 8-K, filed with the Commission on February 9, 2023, and incorporated herein by reference).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034188122"/>
          <w:trHeight w:val="16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103418812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10.62*</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115" w:history="1">
              <w:r>
                <w:rPr>
                  <w:rStyle w:val="a3"/>
                  <w:rFonts w:eastAsia="Times New Roman"/>
                  <w:sz w:val="20"/>
                  <w:szCs w:val="20"/>
                </w:rPr>
                <w:t>Form of Performance Share Unit Agreement under the Tractor Supply Company 2018 Omnibus Incentive Plan (VP and Above).+</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034188122"/>
          <w:trHeight w:val="16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103418812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10.63*</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116" w:history="1">
              <w:r>
                <w:rPr>
                  <w:rStyle w:val="a3"/>
                  <w:rFonts w:eastAsia="Times New Roman"/>
                  <w:sz w:val="20"/>
                  <w:szCs w:val="20"/>
                </w:rPr>
                <w:t>Form of Performance Share Unit Agreement under the Tractor Supply Company 2018 Omnibus Incentive Plan (CEO).+</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034188122"/>
          <w:trHeight w:val="10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1034188122"/>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10.64*</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117" w:history="1">
              <w:r>
                <w:rPr>
                  <w:rStyle w:val="a3"/>
                  <w:rFonts w:eastAsia="Times New Roman"/>
                  <w:sz w:val="20"/>
                  <w:szCs w:val="20"/>
                </w:rPr>
                <w:t xml:space="preserve">Form of Performance Share </w:t>
              </w:r>
              <w:r>
                <w:rPr>
                  <w:rStyle w:val="a3"/>
                  <w:rFonts w:eastAsia="Times New Roman"/>
                  <w:sz w:val="20"/>
                  <w:szCs w:val="20"/>
                </w:rPr>
                <w:t>Unit Agreement for Petsense under the Tractor Supply Company 2018 Omnibus Incentive Plan.+</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034188122"/>
          <w:trHeight w:val="10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bl>
    <w:p w:rsidR="00000000" w:rsidRDefault="00F123EE">
      <w:pPr>
        <w:jc w:val="center"/>
        <w:divId w:val="913319260"/>
        <w:rPr>
          <w:rFonts w:eastAsia="Times New Roman"/>
        </w:rPr>
      </w:pPr>
      <w:r>
        <w:rPr>
          <w:rFonts w:eastAsia="Times New Roman"/>
          <w:color w:val="000000"/>
          <w:sz w:val="20"/>
          <w:szCs w:val="20"/>
        </w:rPr>
        <w:t>83</w:t>
      </w:r>
    </w:p>
    <w:p w:rsidR="00000000" w:rsidRDefault="00F123EE">
      <w:pPr>
        <w:rPr>
          <w:rFonts w:eastAsia="Times New Roman"/>
        </w:rPr>
      </w:pPr>
      <w:r>
        <w:rPr>
          <w:rFonts w:eastAsia="Times New Roman"/>
        </w:rPr>
        <w:pict>
          <v:rect id="_x0000_i1113" style="width:0;height:1.5pt" o:hralign="center" o:hrstd="t" o:hr="t" fillcolor="#a0a0a0" stroked="f"/>
        </w:pict>
      </w:r>
    </w:p>
    <w:p w:rsidR="00000000" w:rsidRDefault="00F123EE">
      <w:pPr>
        <w:divId w:val="1835991739"/>
        <w:rPr>
          <w:rFonts w:eastAsia="Times New Roman"/>
        </w:rPr>
      </w:pPr>
      <w:hyperlink w:anchor="i38696b5cc01146d68b9c6b33327cf890_7" w:history="1">
        <w:r>
          <w:rPr>
            <w:rStyle w:val="a3"/>
            <w:rFonts w:eastAsia="Times New Roman"/>
            <w:sz w:val="18"/>
            <w:szCs w:val="18"/>
          </w:rPr>
          <w:t>Index</w:t>
        </w:r>
      </w:hyperlink>
    </w:p>
    <w:tbl>
      <w:tblPr>
        <w:tblW w:w="5000" w:type="pct"/>
        <w:tblCellMar>
          <w:top w:w="15" w:type="dxa"/>
          <w:left w:w="15" w:type="dxa"/>
          <w:bottom w:w="15" w:type="dxa"/>
          <w:right w:w="15" w:type="dxa"/>
        </w:tblCellMar>
        <w:tblLook w:val="04A0" w:firstRow="1" w:lastRow="0" w:firstColumn="1" w:lastColumn="0" w:noHBand="0" w:noVBand="1"/>
      </w:tblPr>
      <w:tblGrid>
        <w:gridCol w:w="77"/>
        <w:gridCol w:w="406"/>
        <w:gridCol w:w="36"/>
        <w:gridCol w:w="38"/>
        <w:gridCol w:w="7605"/>
        <w:gridCol w:w="36"/>
        <w:gridCol w:w="36"/>
        <w:gridCol w:w="36"/>
        <w:gridCol w:w="36"/>
      </w:tblGrid>
      <w:tr w:rsidR="00000000">
        <w:trPr>
          <w:divId w:val="1389498947"/>
        </w:trPr>
        <w:tc>
          <w:tcPr>
            <w:tcW w:w="50" w:type="pct"/>
            <w:vAlign w:val="center"/>
            <w:hideMark/>
          </w:tcPr>
          <w:p w:rsidR="00000000" w:rsidRDefault="00F123EE">
            <w:pPr>
              <w:rPr>
                <w:rFonts w:eastAsia="Times New Roman"/>
              </w:rPr>
            </w:pPr>
          </w:p>
        </w:tc>
        <w:tc>
          <w:tcPr>
            <w:tcW w:w="266"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0" w:type="pct"/>
            <w:vAlign w:val="center"/>
            <w:hideMark/>
          </w:tcPr>
          <w:p w:rsidR="00000000" w:rsidRDefault="00F123EE">
            <w:pPr>
              <w:spacing w:after="100"/>
              <w:rPr>
                <w:rFonts w:eastAsia="Times New Roman"/>
                <w:sz w:val="20"/>
                <w:szCs w:val="20"/>
              </w:rPr>
            </w:pPr>
          </w:p>
        </w:tc>
        <w:tc>
          <w:tcPr>
            <w:tcW w:w="4594"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c>
          <w:tcPr>
            <w:tcW w:w="19" w:type="pct"/>
            <w:vAlign w:val="center"/>
            <w:hideMark/>
          </w:tcPr>
          <w:p w:rsidR="00000000" w:rsidRDefault="00F123EE">
            <w:pPr>
              <w:spacing w:after="100"/>
              <w:rPr>
                <w:rFonts w:eastAsia="Times New Roman"/>
                <w:sz w:val="20"/>
                <w:szCs w:val="20"/>
              </w:rPr>
            </w:pPr>
          </w:p>
        </w:tc>
        <w:tc>
          <w:tcPr>
            <w:tcW w:w="5" w:type="pct"/>
            <w:vAlign w:val="center"/>
            <w:hideMark/>
          </w:tcPr>
          <w:p w:rsidR="00000000" w:rsidRDefault="00F123EE">
            <w:pPr>
              <w:spacing w:after="100"/>
              <w:rPr>
                <w:rFonts w:eastAsia="Times New Roman"/>
                <w:sz w:val="20"/>
                <w:szCs w:val="20"/>
              </w:rPr>
            </w:pPr>
          </w:p>
        </w:tc>
      </w:tr>
      <w:tr w:rsidR="00000000">
        <w:trPr>
          <w:divId w:val="1389498947"/>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21*</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118" w:history="1">
              <w:r>
                <w:rPr>
                  <w:rStyle w:val="a3"/>
                  <w:rFonts w:eastAsia="Times New Roman"/>
                  <w:sz w:val="20"/>
                  <w:szCs w:val="20"/>
                </w:rPr>
                <w:t>List of subsidiaries.</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389498947"/>
          <w:trHeight w:val="6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1389498947"/>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23*</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119" w:history="1">
              <w:r>
                <w:rPr>
                  <w:rStyle w:val="a3"/>
                  <w:rFonts w:eastAsia="Times New Roman"/>
                  <w:sz w:val="20"/>
                  <w:szCs w:val="20"/>
                </w:rPr>
                <w:t>Consent of Ernst &amp; Young LLP.</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389498947"/>
          <w:trHeight w:val="6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1389498947"/>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31.1*</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120" w:history="1">
              <w:r>
                <w:rPr>
                  <w:rStyle w:val="a3"/>
                  <w:rFonts w:eastAsia="Times New Roman"/>
                  <w:sz w:val="20"/>
                  <w:szCs w:val="20"/>
                </w:rPr>
                <w:t>Certification of Chief Executive Officer under Section 302 of the Sarbanes-Oxley Act of 2002.</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389498947"/>
          <w:trHeight w:val="6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1389498947"/>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31.2*</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121" w:history="1">
              <w:r>
                <w:rPr>
                  <w:rStyle w:val="a3"/>
                  <w:rFonts w:eastAsia="Times New Roman"/>
                  <w:sz w:val="20"/>
                  <w:szCs w:val="20"/>
                </w:rPr>
                <w:t>Certification of Chief Financial Officer under Section 302 of the Sarbanes-Oxley Act of 200</w:t>
              </w:r>
              <w:r>
                <w:rPr>
                  <w:rStyle w:val="a3"/>
                  <w:rFonts w:eastAsia="Times New Roman"/>
                  <w:sz w:val="20"/>
                  <w:szCs w:val="20"/>
                </w:rPr>
                <w:t>2.</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r w:rsidR="00000000">
        <w:trPr>
          <w:divId w:val="1389498947"/>
          <w:trHeight w:val="60"/>
        </w:trPr>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123EE">
            <w:pPr>
              <w:spacing w:after="100"/>
              <w:rPr>
                <w:rFonts w:eastAsia="Times New Roman"/>
                <w:sz w:val="20"/>
                <w:szCs w:val="20"/>
              </w:rPr>
            </w:pPr>
          </w:p>
        </w:tc>
      </w:tr>
      <w:tr w:rsidR="00000000">
        <w:trPr>
          <w:divId w:val="1389498947"/>
        </w:trPr>
        <w:tc>
          <w:tcPr>
            <w:tcW w:w="0" w:type="auto"/>
            <w:gridSpan w:val="3"/>
            <w:tcMar>
              <w:top w:w="30" w:type="dxa"/>
              <w:left w:w="20" w:type="dxa"/>
              <w:bottom w:w="30" w:type="dxa"/>
              <w:right w:w="20" w:type="dxa"/>
            </w:tcMar>
            <w:hideMark/>
          </w:tcPr>
          <w:p w:rsidR="00000000" w:rsidRDefault="00F123EE">
            <w:pPr>
              <w:spacing w:after="100"/>
              <w:rPr>
                <w:rFonts w:eastAsia="Times New Roman"/>
              </w:rPr>
            </w:pPr>
            <w:r>
              <w:rPr>
                <w:rFonts w:eastAsia="Times New Roman"/>
                <w:color w:val="000000"/>
                <w:sz w:val="20"/>
                <w:szCs w:val="20"/>
              </w:rPr>
              <w:t>32**</w:t>
            </w:r>
          </w:p>
        </w:tc>
        <w:tc>
          <w:tcPr>
            <w:tcW w:w="0" w:type="auto"/>
            <w:gridSpan w:val="3"/>
            <w:tcMar>
              <w:top w:w="30" w:type="dxa"/>
              <w:left w:w="20" w:type="dxa"/>
              <w:bottom w:w="30" w:type="dxa"/>
              <w:right w:w="20" w:type="dxa"/>
            </w:tcMar>
            <w:hideMark/>
          </w:tcPr>
          <w:p w:rsidR="00000000" w:rsidRDefault="00F123EE">
            <w:pPr>
              <w:spacing w:after="100"/>
              <w:jc w:val="both"/>
              <w:rPr>
                <w:rFonts w:eastAsia="Times New Roman"/>
              </w:rPr>
            </w:pPr>
            <w:hyperlink r:id="rId122" w:history="1">
              <w:r>
                <w:rPr>
                  <w:rStyle w:val="a3"/>
                  <w:rFonts w:eastAsia="Times New Roman"/>
                  <w:sz w:val="20"/>
                  <w:szCs w:val="20"/>
                </w:rPr>
                <w:t>Certification of Chief Executive Officer and Chief Financial Officer under Section 906 of the Sarbanes-Oxley Act of 2002.</w:t>
              </w:r>
            </w:hyperlink>
          </w:p>
        </w:tc>
        <w:tc>
          <w:tcPr>
            <w:tcW w:w="0" w:type="auto"/>
            <w:gridSpan w:val="3"/>
            <w:tcMar>
              <w:top w:w="0" w:type="dxa"/>
              <w:left w:w="20" w:type="dxa"/>
              <w:bottom w:w="0" w:type="dxa"/>
              <w:right w:w="20" w:type="dxa"/>
            </w:tcMar>
            <w:vAlign w:val="center"/>
            <w:hideMark/>
          </w:tcPr>
          <w:p w:rsidR="00000000" w:rsidRDefault="00F123EE">
            <w:pPr>
              <w:spacing w:after="100"/>
              <w:jc w:val="both"/>
              <w:rPr>
                <w:rFonts w:eastAsia="Times New Roman"/>
              </w:rPr>
            </w:pPr>
          </w:p>
        </w:tc>
      </w:tr>
    </w:tbl>
    <w:p w:rsidR="00000000" w:rsidRDefault="00F123EE">
      <w:pPr>
        <w:jc w:val="center"/>
        <w:rPr>
          <w:rFonts w:eastAsia="Times New Roman"/>
        </w:rPr>
      </w:pPr>
    </w:p>
    <w:p w:rsidR="00000000" w:rsidRDefault="00F123EE">
      <w:pPr>
        <w:ind w:hanging="720"/>
        <w:jc w:val="both"/>
        <w:rPr>
          <w:rFonts w:eastAsia="Times New Roman"/>
        </w:rPr>
      </w:pPr>
      <w:r>
        <w:rPr>
          <w:rFonts w:eastAsia="Times New Roman"/>
          <w:color w:val="000000"/>
          <w:sz w:val="20"/>
          <w:szCs w:val="20"/>
        </w:rPr>
        <w:t xml:space="preserve">101* </w:t>
      </w:r>
      <w:r>
        <w:rPr>
          <w:rFonts w:eastAsia="Times New Roman"/>
          <w:color w:val="000000"/>
          <w:sz w:val="20"/>
          <w:szCs w:val="20"/>
        </w:rPr>
        <w:t>The following financial information from our Annual Report on Form 10-K for fiscal 2022, filed with the SEC on February 23, 2023, formatted in Extensible Business Reporting Language (XBRL): (i) the Consolidated Balance Sheets at December 31, 2022 and Decem</w:t>
      </w:r>
      <w:r>
        <w:rPr>
          <w:rFonts w:eastAsia="Times New Roman"/>
          <w:color w:val="000000"/>
          <w:sz w:val="20"/>
          <w:szCs w:val="20"/>
        </w:rPr>
        <w:t>ber 25, 2021, (ii) the Consolidated Statements of Income for the fiscal years ended December 31, 2022, December 25, 2021, and December 26, 2020, (iii) the Consolidated Statements of Comprehensive Income for the fiscal years ended December 31, 2022, Decembe</w:t>
      </w:r>
      <w:r>
        <w:rPr>
          <w:rFonts w:eastAsia="Times New Roman"/>
          <w:color w:val="000000"/>
          <w:sz w:val="20"/>
          <w:szCs w:val="20"/>
        </w:rPr>
        <w:t>r 25, 2021, and December 26, 2020, (iv) the Consolidated Statements of Stockholders’ Equity for the fiscal years ended December 31, 2022, December 25, 2021, and December 26, 2020, (v) the Consolidated Statements of Cash Flows for the fiscal years ended Dec</w:t>
      </w:r>
      <w:r>
        <w:rPr>
          <w:rFonts w:eastAsia="Times New Roman"/>
          <w:color w:val="000000"/>
          <w:sz w:val="20"/>
          <w:szCs w:val="20"/>
        </w:rPr>
        <w:t>ember 31, 2022, December 25, 2021, and December 26, 2020, and (vi) the Notes to Consolidated Financial Statements.</w:t>
      </w:r>
    </w:p>
    <w:p w:rsidR="00000000" w:rsidRDefault="00F123EE">
      <w:pPr>
        <w:ind w:hanging="630"/>
        <w:jc w:val="both"/>
        <w:rPr>
          <w:rFonts w:eastAsia="Times New Roman"/>
        </w:rPr>
      </w:pPr>
    </w:p>
    <w:p w:rsidR="00000000" w:rsidRDefault="00F123EE">
      <w:pPr>
        <w:ind w:hanging="720"/>
        <w:jc w:val="both"/>
        <w:rPr>
          <w:rFonts w:eastAsia="Times New Roman"/>
        </w:rPr>
      </w:pPr>
      <w:r>
        <w:rPr>
          <w:rFonts w:eastAsia="Times New Roman"/>
          <w:color w:val="000000"/>
          <w:sz w:val="20"/>
          <w:szCs w:val="20"/>
        </w:rPr>
        <w:t>104    </w:t>
      </w:r>
      <w:r>
        <w:rPr>
          <w:rFonts w:eastAsia="Times New Roman"/>
          <w:color w:val="000000"/>
          <w:sz w:val="20"/>
          <w:szCs w:val="20"/>
        </w:rPr>
        <w:t>The cover page from the Company's Annual Report on Form 10-K for the year ended December 31, 2022, formatted in Inline XBRL (included in Exhibit 101).</w:t>
      </w:r>
    </w:p>
    <w:p w:rsidR="00000000" w:rsidRDefault="00F123EE">
      <w:pPr>
        <w:ind w:hanging="630"/>
        <w:jc w:val="both"/>
        <w:rPr>
          <w:rFonts w:eastAsia="Times New Roman"/>
        </w:rPr>
      </w:pPr>
    </w:p>
    <w:p w:rsidR="00000000" w:rsidRDefault="00F123EE">
      <w:pPr>
        <w:ind w:firstLine="360"/>
        <w:divId w:val="345056427"/>
        <w:rPr>
          <w:rFonts w:eastAsia="Times New Roman"/>
        </w:rPr>
      </w:pPr>
      <w:r>
        <w:rPr>
          <w:rFonts w:eastAsia="Times New Roman"/>
          <w:color w:val="000000"/>
          <w:sz w:val="20"/>
          <w:szCs w:val="20"/>
        </w:rPr>
        <w:t>*           Filed herewith</w:t>
      </w:r>
    </w:p>
    <w:p w:rsidR="00000000" w:rsidRDefault="00F123EE">
      <w:pPr>
        <w:ind w:firstLine="360"/>
        <w:divId w:val="945622537"/>
        <w:rPr>
          <w:rFonts w:eastAsia="Times New Roman"/>
        </w:rPr>
      </w:pPr>
      <w:r>
        <w:rPr>
          <w:rFonts w:eastAsia="Times New Roman"/>
          <w:color w:val="000000"/>
          <w:sz w:val="20"/>
          <w:szCs w:val="20"/>
        </w:rPr>
        <w:t>** Furnished herewith</w:t>
      </w:r>
    </w:p>
    <w:p w:rsidR="00000000" w:rsidRDefault="00F123EE">
      <w:pPr>
        <w:ind w:firstLine="360"/>
        <w:divId w:val="1922180441"/>
        <w:rPr>
          <w:rFonts w:eastAsia="Times New Roman"/>
        </w:rPr>
      </w:pPr>
      <w:r>
        <w:rPr>
          <w:rFonts w:eastAsia="Times New Roman"/>
          <w:color w:val="000000"/>
          <w:sz w:val="20"/>
          <w:szCs w:val="20"/>
        </w:rPr>
        <w:t>+           Management contract or compensatory plan o</w:t>
      </w:r>
      <w:r>
        <w:rPr>
          <w:rFonts w:eastAsia="Times New Roman"/>
          <w:color w:val="000000"/>
          <w:sz w:val="20"/>
          <w:szCs w:val="20"/>
        </w:rPr>
        <w:t>r arrangement</w:t>
      </w:r>
    </w:p>
    <w:p w:rsidR="00F123EE" w:rsidRDefault="00F123EE">
      <w:pPr>
        <w:jc w:val="center"/>
        <w:divId w:val="1775007988"/>
        <w:rPr>
          <w:rFonts w:eastAsia="Times New Roman"/>
        </w:rPr>
      </w:pPr>
      <w:r>
        <w:rPr>
          <w:rFonts w:eastAsia="Times New Roman"/>
          <w:color w:val="000000"/>
          <w:sz w:val="20"/>
          <w:szCs w:val="20"/>
        </w:rPr>
        <w:t>84</w:t>
      </w:r>
    </w:p>
    <w:sectPr w:rsidR="00F123E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123EE"/>
    <w:rsid w:val="00F123EE"/>
  </w:rsids>
  <m:mathPr>
    <m:mathFont m:val="Cambria Math"/>
    <m:brkBin m:val="before"/>
    <m:brkBinSub m:val="--"/>
    <m:smallFrac m:val="0"/>
    <m:dispDef/>
    <m:lMargin m:val="0"/>
    <m:rMargin m:val="0"/>
    <m:defJc m:val="centerGroup"/>
    <m:wrapIndent m:val="1440"/>
    <m:intLim m:val="subSup"/>
    <m:naryLim m:val="undOvr"/>
  </m:mathPr>
  <w:attachedSchema w:val="http://www.xbrl.org/inlineXBRL/transformation/2020-02-12"/>
  <w:attachedSchema w:val="http://xbrl.sec.gov/stpr/2022"/>
  <w:attachedSchema w:val="http://www.xbrl.org/2003/instance"/>
  <w:attachedSchema w:val="http://www.sec.gov/inlineXBRL/transformation/2015-08-31"/>
  <w:attachedSchema w:val="http://fasb.org/us-gaap/2022"/>
  <w:attachedSchema w:val="http://xbrl.sec.gov/dei/2022"/>
  <w:attachedSchema w:val="http://fasb.org/srt/2022"/>
  <w:attachedSchema w:val="http://www.xbrl.org/2003/linkbase"/>
  <w:attachedSchema w:val="http://www.xbrl.org/2013/inlineXBRL"/>
  <w:attachedSchema w:val="http://www.w3.org/1999/xlink"/>
  <w:attachedSchema w:val="http://www.xbrl.org/2003/iso4217"/>
  <w:attachedSchema w:val="http://xbrl.org/2006/xbrldi"/>
  <w:attachedSchema w:val="http://www.xbrl.org/2009/utr"/>
  <w:attachedSchema w:val="http://www.tractorsupply.com/202212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727">
      <w:marLeft w:val="0"/>
      <w:marRight w:val="0"/>
      <w:marTop w:val="0"/>
      <w:marBottom w:val="0"/>
      <w:divBdr>
        <w:top w:val="none" w:sz="0" w:space="0" w:color="auto"/>
        <w:left w:val="none" w:sz="0" w:space="0" w:color="auto"/>
        <w:bottom w:val="none" w:sz="0" w:space="0" w:color="auto"/>
        <w:right w:val="none" w:sz="0" w:space="0" w:color="auto"/>
      </w:divBdr>
    </w:div>
    <w:div w:id="3868686">
      <w:marLeft w:val="0"/>
      <w:marRight w:val="0"/>
      <w:marTop w:val="0"/>
      <w:marBottom w:val="0"/>
      <w:divBdr>
        <w:top w:val="none" w:sz="0" w:space="0" w:color="auto"/>
        <w:left w:val="none" w:sz="0" w:space="0" w:color="auto"/>
        <w:bottom w:val="none" w:sz="0" w:space="0" w:color="auto"/>
        <w:right w:val="none" w:sz="0" w:space="0" w:color="auto"/>
      </w:divBdr>
    </w:div>
    <w:div w:id="4408784">
      <w:marLeft w:val="0"/>
      <w:marRight w:val="0"/>
      <w:marTop w:val="0"/>
      <w:marBottom w:val="0"/>
      <w:divBdr>
        <w:top w:val="none" w:sz="0" w:space="0" w:color="auto"/>
        <w:left w:val="none" w:sz="0" w:space="0" w:color="auto"/>
        <w:bottom w:val="none" w:sz="0" w:space="0" w:color="auto"/>
        <w:right w:val="none" w:sz="0" w:space="0" w:color="auto"/>
      </w:divBdr>
    </w:div>
    <w:div w:id="11760102">
      <w:marLeft w:val="0"/>
      <w:marRight w:val="0"/>
      <w:marTop w:val="0"/>
      <w:marBottom w:val="0"/>
      <w:divBdr>
        <w:top w:val="none" w:sz="0" w:space="0" w:color="auto"/>
        <w:left w:val="none" w:sz="0" w:space="0" w:color="auto"/>
        <w:bottom w:val="none" w:sz="0" w:space="0" w:color="auto"/>
        <w:right w:val="none" w:sz="0" w:space="0" w:color="auto"/>
      </w:divBdr>
      <w:divsChild>
        <w:div w:id="1251815127">
          <w:marLeft w:val="0"/>
          <w:marRight w:val="0"/>
          <w:marTop w:val="0"/>
          <w:marBottom w:val="0"/>
          <w:divBdr>
            <w:top w:val="none" w:sz="0" w:space="0" w:color="auto"/>
            <w:left w:val="none" w:sz="0" w:space="0" w:color="auto"/>
            <w:bottom w:val="none" w:sz="0" w:space="0" w:color="auto"/>
            <w:right w:val="none" w:sz="0" w:space="0" w:color="auto"/>
          </w:divBdr>
        </w:div>
      </w:divsChild>
    </w:div>
    <w:div w:id="13651725">
      <w:marLeft w:val="0"/>
      <w:marRight w:val="0"/>
      <w:marTop w:val="0"/>
      <w:marBottom w:val="0"/>
      <w:divBdr>
        <w:top w:val="none" w:sz="0" w:space="0" w:color="auto"/>
        <w:left w:val="none" w:sz="0" w:space="0" w:color="auto"/>
        <w:bottom w:val="none" w:sz="0" w:space="0" w:color="auto"/>
        <w:right w:val="none" w:sz="0" w:space="0" w:color="auto"/>
      </w:divBdr>
    </w:div>
    <w:div w:id="16464864">
      <w:marLeft w:val="0"/>
      <w:marRight w:val="0"/>
      <w:marTop w:val="0"/>
      <w:marBottom w:val="0"/>
      <w:divBdr>
        <w:top w:val="none" w:sz="0" w:space="0" w:color="auto"/>
        <w:left w:val="none" w:sz="0" w:space="0" w:color="auto"/>
        <w:bottom w:val="none" w:sz="0" w:space="0" w:color="auto"/>
        <w:right w:val="none" w:sz="0" w:space="0" w:color="auto"/>
      </w:divBdr>
      <w:divsChild>
        <w:div w:id="62526649">
          <w:marLeft w:val="0"/>
          <w:marRight w:val="0"/>
          <w:marTop w:val="0"/>
          <w:marBottom w:val="0"/>
          <w:divBdr>
            <w:top w:val="none" w:sz="0" w:space="0" w:color="auto"/>
            <w:left w:val="none" w:sz="0" w:space="0" w:color="auto"/>
            <w:bottom w:val="none" w:sz="0" w:space="0" w:color="auto"/>
            <w:right w:val="none" w:sz="0" w:space="0" w:color="auto"/>
          </w:divBdr>
        </w:div>
      </w:divsChild>
    </w:div>
    <w:div w:id="18363652">
      <w:marLeft w:val="0"/>
      <w:marRight w:val="0"/>
      <w:marTop w:val="0"/>
      <w:marBottom w:val="0"/>
      <w:divBdr>
        <w:top w:val="none" w:sz="0" w:space="0" w:color="auto"/>
        <w:left w:val="none" w:sz="0" w:space="0" w:color="auto"/>
        <w:bottom w:val="none" w:sz="0" w:space="0" w:color="auto"/>
        <w:right w:val="none" w:sz="0" w:space="0" w:color="auto"/>
      </w:divBdr>
      <w:divsChild>
        <w:div w:id="2082437959">
          <w:marLeft w:val="0"/>
          <w:marRight w:val="0"/>
          <w:marTop w:val="0"/>
          <w:marBottom w:val="0"/>
          <w:divBdr>
            <w:top w:val="none" w:sz="0" w:space="0" w:color="auto"/>
            <w:left w:val="none" w:sz="0" w:space="0" w:color="auto"/>
            <w:bottom w:val="none" w:sz="0" w:space="0" w:color="auto"/>
            <w:right w:val="none" w:sz="0" w:space="0" w:color="auto"/>
          </w:divBdr>
        </w:div>
      </w:divsChild>
    </w:div>
    <w:div w:id="33039809">
      <w:marLeft w:val="0"/>
      <w:marRight w:val="0"/>
      <w:marTop w:val="0"/>
      <w:marBottom w:val="0"/>
      <w:divBdr>
        <w:top w:val="none" w:sz="0" w:space="0" w:color="auto"/>
        <w:left w:val="none" w:sz="0" w:space="0" w:color="auto"/>
        <w:bottom w:val="none" w:sz="0" w:space="0" w:color="auto"/>
        <w:right w:val="none" w:sz="0" w:space="0" w:color="auto"/>
      </w:divBdr>
    </w:div>
    <w:div w:id="34547084">
      <w:marLeft w:val="0"/>
      <w:marRight w:val="0"/>
      <w:marTop w:val="0"/>
      <w:marBottom w:val="0"/>
      <w:divBdr>
        <w:top w:val="none" w:sz="0" w:space="0" w:color="auto"/>
        <w:left w:val="none" w:sz="0" w:space="0" w:color="auto"/>
        <w:bottom w:val="none" w:sz="0" w:space="0" w:color="auto"/>
        <w:right w:val="none" w:sz="0" w:space="0" w:color="auto"/>
      </w:divBdr>
      <w:divsChild>
        <w:div w:id="657267544">
          <w:marLeft w:val="0"/>
          <w:marRight w:val="0"/>
          <w:marTop w:val="0"/>
          <w:marBottom w:val="0"/>
          <w:divBdr>
            <w:top w:val="none" w:sz="0" w:space="0" w:color="auto"/>
            <w:left w:val="none" w:sz="0" w:space="0" w:color="auto"/>
            <w:bottom w:val="none" w:sz="0" w:space="0" w:color="auto"/>
            <w:right w:val="none" w:sz="0" w:space="0" w:color="auto"/>
          </w:divBdr>
        </w:div>
      </w:divsChild>
    </w:div>
    <w:div w:id="44650003">
      <w:marLeft w:val="0"/>
      <w:marRight w:val="0"/>
      <w:marTop w:val="0"/>
      <w:marBottom w:val="0"/>
      <w:divBdr>
        <w:top w:val="none" w:sz="0" w:space="0" w:color="auto"/>
        <w:left w:val="none" w:sz="0" w:space="0" w:color="auto"/>
        <w:bottom w:val="none" w:sz="0" w:space="0" w:color="auto"/>
        <w:right w:val="none" w:sz="0" w:space="0" w:color="auto"/>
      </w:divBdr>
    </w:div>
    <w:div w:id="57098414">
      <w:marLeft w:val="0"/>
      <w:marRight w:val="0"/>
      <w:marTop w:val="0"/>
      <w:marBottom w:val="0"/>
      <w:divBdr>
        <w:top w:val="none" w:sz="0" w:space="0" w:color="auto"/>
        <w:left w:val="none" w:sz="0" w:space="0" w:color="auto"/>
        <w:bottom w:val="none" w:sz="0" w:space="0" w:color="auto"/>
        <w:right w:val="none" w:sz="0" w:space="0" w:color="auto"/>
      </w:divBdr>
      <w:divsChild>
        <w:div w:id="1075127555">
          <w:marLeft w:val="0"/>
          <w:marRight w:val="0"/>
          <w:marTop w:val="0"/>
          <w:marBottom w:val="0"/>
          <w:divBdr>
            <w:top w:val="none" w:sz="0" w:space="0" w:color="auto"/>
            <w:left w:val="none" w:sz="0" w:space="0" w:color="auto"/>
            <w:bottom w:val="none" w:sz="0" w:space="0" w:color="auto"/>
            <w:right w:val="none" w:sz="0" w:space="0" w:color="auto"/>
          </w:divBdr>
        </w:div>
      </w:divsChild>
    </w:div>
    <w:div w:id="67920954">
      <w:marLeft w:val="0"/>
      <w:marRight w:val="0"/>
      <w:marTop w:val="0"/>
      <w:marBottom w:val="0"/>
      <w:divBdr>
        <w:top w:val="none" w:sz="0" w:space="0" w:color="auto"/>
        <w:left w:val="none" w:sz="0" w:space="0" w:color="auto"/>
        <w:bottom w:val="none" w:sz="0" w:space="0" w:color="auto"/>
        <w:right w:val="none" w:sz="0" w:space="0" w:color="auto"/>
      </w:divBdr>
      <w:divsChild>
        <w:div w:id="1791512758">
          <w:marLeft w:val="0"/>
          <w:marRight w:val="0"/>
          <w:marTop w:val="0"/>
          <w:marBottom w:val="0"/>
          <w:divBdr>
            <w:top w:val="none" w:sz="0" w:space="0" w:color="auto"/>
            <w:left w:val="none" w:sz="0" w:space="0" w:color="auto"/>
            <w:bottom w:val="none" w:sz="0" w:space="0" w:color="auto"/>
            <w:right w:val="none" w:sz="0" w:space="0" w:color="auto"/>
          </w:divBdr>
        </w:div>
      </w:divsChild>
    </w:div>
    <w:div w:id="70851574">
      <w:marLeft w:val="0"/>
      <w:marRight w:val="0"/>
      <w:marTop w:val="0"/>
      <w:marBottom w:val="0"/>
      <w:divBdr>
        <w:top w:val="none" w:sz="0" w:space="0" w:color="auto"/>
        <w:left w:val="none" w:sz="0" w:space="0" w:color="auto"/>
        <w:bottom w:val="none" w:sz="0" w:space="0" w:color="auto"/>
        <w:right w:val="none" w:sz="0" w:space="0" w:color="auto"/>
      </w:divBdr>
      <w:divsChild>
        <w:div w:id="1166287891">
          <w:marLeft w:val="0"/>
          <w:marRight w:val="0"/>
          <w:marTop w:val="0"/>
          <w:marBottom w:val="0"/>
          <w:divBdr>
            <w:top w:val="none" w:sz="0" w:space="0" w:color="auto"/>
            <w:left w:val="none" w:sz="0" w:space="0" w:color="auto"/>
            <w:bottom w:val="none" w:sz="0" w:space="0" w:color="auto"/>
            <w:right w:val="none" w:sz="0" w:space="0" w:color="auto"/>
          </w:divBdr>
        </w:div>
      </w:divsChild>
    </w:div>
    <w:div w:id="71396015">
      <w:marLeft w:val="0"/>
      <w:marRight w:val="0"/>
      <w:marTop w:val="0"/>
      <w:marBottom w:val="0"/>
      <w:divBdr>
        <w:top w:val="none" w:sz="0" w:space="0" w:color="auto"/>
        <w:left w:val="none" w:sz="0" w:space="0" w:color="auto"/>
        <w:bottom w:val="none" w:sz="0" w:space="0" w:color="auto"/>
        <w:right w:val="none" w:sz="0" w:space="0" w:color="auto"/>
      </w:divBdr>
    </w:div>
    <w:div w:id="72515271">
      <w:marLeft w:val="0"/>
      <w:marRight w:val="0"/>
      <w:marTop w:val="0"/>
      <w:marBottom w:val="0"/>
      <w:divBdr>
        <w:top w:val="none" w:sz="0" w:space="0" w:color="auto"/>
        <w:left w:val="none" w:sz="0" w:space="0" w:color="auto"/>
        <w:bottom w:val="none" w:sz="0" w:space="0" w:color="auto"/>
        <w:right w:val="none" w:sz="0" w:space="0" w:color="auto"/>
      </w:divBdr>
    </w:div>
    <w:div w:id="74783054">
      <w:marLeft w:val="0"/>
      <w:marRight w:val="0"/>
      <w:marTop w:val="0"/>
      <w:marBottom w:val="0"/>
      <w:divBdr>
        <w:top w:val="none" w:sz="0" w:space="0" w:color="auto"/>
        <w:left w:val="none" w:sz="0" w:space="0" w:color="auto"/>
        <w:bottom w:val="none" w:sz="0" w:space="0" w:color="auto"/>
        <w:right w:val="none" w:sz="0" w:space="0" w:color="auto"/>
      </w:divBdr>
      <w:divsChild>
        <w:div w:id="182137326">
          <w:marLeft w:val="0"/>
          <w:marRight w:val="0"/>
          <w:marTop w:val="0"/>
          <w:marBottom w:val="0"/>
          <w:divBdr>
            <w:top w:val="none" w:sz="0" w:space="0" w:color="auto"/>
            <w:left w:val="none" w:sz="0" w:space="0" w:color="auto"/>
            <w:bottom w:val="none" w:sz="0" w:space="0" w:color="auto"/>
            <w:right w:val="none" w:sz="0" w:space="0" w:color="auto"/>
          </w:divBdr>
        </w:div>
      </w:divsChild>
    </w:div>
    <w:div w:id="81879946">
      <w:marLeft w:val="0"/>
      <w:marRight w:val="0"/>
      <w:marTop w:val="0"/>
      <w:marBottom w:val="0"/>
      <w:divBdr>
        <w:top w:val="none" w:sz="0" w:space="0" w:color="auto"/>
        <w:left w:val="none" w:sz="0" w:space="0" w:color="auto"/>
        <w:bottom w:val="none" w:sz="0" w:space="0" w:color="auto"/>
        <w:right w:val="none" w:sz="0" w:space="0" w:color="auto"/>
      </w:divBdr>
    </w:div>
    <w:div w:id="86656194">
      <w:marLeft w:val="0"/>
      <w:marRight w:val="0"/>
      <w:marTop w:val="0"/>
      <w:marBottom w:val="0"/>
      <w:divBdr>
        <w:top w:val="none" w:sz="0" w:space="0" w:color="auto"/>
        <w:left w:val="none" w:sz="0" w:space="0" w:color="auto"/>
        <w:bottom w:val="none" w:sz="0" w:space="0" w:color="auto"/>
        <w:right w:val="none" w:sz="0" w:space="0" w:color="auto"/>
      </w:divBdr>
      <w:divsChild>
        <w:div w:id="891960107">
          <w:marLeft w:val="0"/>
          <w:marRight w:val="0"/>
          <w:marTop w:val="0"/>
          <w:marBottom w:val="0"/>
          <w:divBdr>
            <w:top w:val="none" w:sz="0" w:space="0" w:color="auto"/>
            <w:left w:val="none" w:sz="0" w:space="0" w:color="auto"/>
            <w:bottom w:val="none" w:sz="0" w:space="0" w:color="auto"/>
            <w:right w:val="none" w:sz="0" w:space="0" w:color="auto"/>
          </w:divBdr>
        </w:div>
      </w:divsChild>
    </w:div>
    <w:div w:id="88165646">
      <w:marLeft w:val="0"/>
      <w:marRight w:val="0"/>
      <w:marTop w:val="0"/>
      <w:marBottom w:val="0"/>
      <w:divBdr>
        <w:top w:val="none" w:sz="0" w:space="0" w:color="auto"/>
        <w:left w:val="none" w:sz="0" w:space="0" w:color="auto"/>
        <w:bottom w:val="none" w:sz="0" w:space="0" w:color="auto"/>
        <w:right w:val="none" w:sz="0" w:space="0" w:color="auto"/>
      </w:divBdr>
    </w:div>
    <w:div w:id="88696826">
      <w:marLeft w:val="0"/>
      <w:marRight w:val="0"/>
      <w:marTop w:val="0"/>
      <w:marBottom w:val="0"/>
      <w:divBdr>
        <w:top w:val="none" w:sz="0" w:space="0" w:color="auto"/>
        <w:left w:val="none" w:sz="0" w:space="0" w:color="auto"/>
        <w:bottom w:val="none" w:sz="0" w:space="0" w:color="auto"/>
        <w:right w:val="none" w:sz="0" w:space="0" w:color="auto"/>
      </w:divBdr>
    </w:div>
    <w:div w:id="93521713">
      <w:marLeft w:val="0"/>
      <w:marRight w:val="0"/>
      <w:marTop w:val="0"/>
      <w:marBottom w:val="0"/>
      <w:divBdr>
        <w:top w:val="none" w:sz="0" w:space="0" w:color="auto"/>
        <w:left w:val="none" w:sz="0" w:space="0" w:color="auto"/>
        <w:bottom w:val="none" w:sz="0" w:space="0" w:color="auto"/>
        <w:right w:val="none" w:sz="0" w:space="0" w:color="auto"/>
      </w:divBdr>
    </w:div>
    <w:div w:id="94251347">
      <w:marLeft w:val="0"/>
      <w:marRight w:val="0"/>
      <w:marTop w:val="0"/>
      <w:marBottom w:val="0"/>
      <w:divBdr>
        <w:top w:val="none" w:sz="0" w:space="0" w:color="auto"/>
        <w:left w:val="none" w:sz="0" w:space="0" w:color="auto"/>
        <w:bottom w:val="none" w:sz="0" w:space="0" w:color="auto"/>
        <w:right w:val="none" w:sz="0" w:space="0" w:color="auto"/>
      </w:divBdr>
      <w:divsChild>
        <w:div w:id="1907296410">
          <w:marLeft w:val="0"/>
          <w:marRight w:val="0"/>
          <w:marTop w:val="0"/>
          <w:marBottom w:val="0"/>
          <w:divBdr>
            <w:top w:val="none" w:sz="0" w:space="0" w:color="auto"/>
            <w:left w:val="none" w:sz="0" w:space="0" w:color="auto"/>
            <w:bottom w:val="none" w:sz="0" w:space="0" w:color="auto"/>
            <w:right w:val="none" w:sz="0" w:space="0" w:color="auto"/>
          </w:divBdr>
        </w:div>
      </w:divsChild>
    </w:div>
    <w:div w:id="95374323">
      <w:marLeft w:val="0"/>
      <w:marRight w:val="0"/>
      <w:marTop w:val="0"/>
      <w:marBottom w:val="0"/>
      <w:divBdr>
        <w:top w:val="none" w:sz="0" w:space="0" w:color="auto"/>
        <w:left w:val="none" w:sz="0" w:space="0" w:color="auto"/>
        <w:bottom w:val="none" w:sz="0" w:space="0" w:color="auto"/>
        <w:right w:val="none" w:sz="0" w:space="0" w:color="auto"/>
      </w:divBdr>
      <w:divsChild>
        <w:div w:id="273055453">
          <w:marLeft w:val="0"/>
          <w:marRight w:val="0"/>
          <w:marTop w:val="0"/>
          <w:marBottom w:val="0"/>
          <w:divBdr>
            <w:top w:val="none" w:sz="0" w:space="0" w:color="auto"/>
            <w:left w:val="none" w:sz="0" w:space="0" w:color="auto"/>
            <w:bottom w:val="none" w:sz="0" w:space="0" w:color="auto"/>
            <w:right w:val="none" w:sz="0" w:space="0" w:color="auto"/>
          </w:divBdr>
        </w:div>
      </w:divsChild>
    </w:div>
    <w:div w:id="98336640">
      <w:marLeft w:val="0"/>
      <w:marRight w:val="0"/>
      <w:marTop w:val="0"/>
      <w:marBottom w:val="0"/>
      <w:divBdr>
        <w:top w:val="none" w:sz="0" w:space="0" w:color="auto"/>
        <w:left w:val="none" w:sz="0" w:space="0" w:color="auto"/>
        <w:bottom w:val="none" w:sz="0" w:space="0" w:color="auto"/>
        <w:right w:val="none" w:sz="0" w:space="0" w:color="auto"/>
      </w:divBdr>
    </w:div>
    <w:div w:id="98451713">
      <w:marLeft w:val="0"/>
      <w:marRight w:val="0"/>
      <w:marTop w:val="0"/>
      <w:marBottom w:val="0"/>
      <w:divBdr>
        <w:top w:val="none" w:sz="0" w:space="0" w:color="auto"/>
        <w:left w:val="none" w:sz="0" w:space="0" w:color="auto"/>
        <w:bottom w:val="none" w:sz="0" w:space="0" w:color="auto"/>
        <w:right w:val="none" w:sz="0" w:space="0" w:color="auto"/>
      </w:divBdr>
    </w:div>
    <w:div w:id="100420216">
      <w:marLeft w:val="0"/>
      <w:marRight w:val="0"/>
      <w:marTop w:val="0"/>
      <w:marBottom w:val="0"/>
      <w:divBdr>
        <w:top w:val="none" w:sz="0" w:space="0" w:color="auto"/>
        <w:left w:val="none" w:sz="0" w:space="0" w:color="auto"/>
        <w:bottom w:val="none" w:sz="0" w:space="0" w:color="auto"/>
        <w:right w:val="none" w:sz="0" w:space="0" w:color="auto"/>
      </w:divBdr>
    </w:div>
    <w:div w:id="101462229">
      <w:marLeft w:val="0"/>
      <w:marRight w:val="0"/>
      <w:marTop w:val="0"/>
      <w:marBottom w:val="0"/>
      <w:divBdr>
        <w:top w:val="none" w:sz="0" w:space="0" w:color="auto"/>
        <w:left w:val="none" w:sz="0" w:space="0" w:color="auto"/>
        <w:bottom w:val="none" w:sz="0" w:space="0" w:color="auto"/>
        <w:right w:val="none" w:sz="0" w:space="0" w:color="auto"/>
      </w:divBdr>
      <w:divsChild>
        <w:div w:id="735053664">
          <w:marLeft w:val="0"/>
          <w:marRight w:val="0"/>
          <w:marTop w:val="0"/>
          <w:marBottom w:val="0"/>
          <w:divBdr>
            <w:top w:val="none" w:sz="0" w:space="0" w:color="auto"/>
            <w:left w:val="none" w:sz="0" w:space="0" w:color="auto"/>
            <w:bottom w:val="none" w:sz="0" w:space="0" w:color="auto"/>
            <w:right w:val="none" w:sz="0" w:space="0" w:color="auto"/>
          </w:divBdr>
          <w:divsChild>
            <w:div w:id="9153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9748">
      <w:marLeft w:val="0"/>
      <w:marRight w:val="0"/>
      <w:marTop w:val="0"/>
      <w:marBottom w:val="0"/>
      <w:divBdr>
        <w:top w:val="none" w:sz="0" w:space="0" w:color="auto"/>
        <w:left w:val="none" w:sz="0" w:space="0" w:color="auto"/>
        <w:bottom w:val="none" w:sz="0" w:space="0" w:color="auto"/>
        <w:right w:val="none" w:sz="0" w:space="0" w:color="auto"/>
      </w:divBdr>
    </w:div>
    <w:div w:id="107356290">
      <w:marLeft w:val="0"/>
      <w:marRight w:val="0"/>
      <w:marTop w:val="0"/>
      <w:marBottom w:val="0"/>
      <w:divBdr>
        <w:top w:val="none" w:sz="0" w:space="0" w:color="auto"/>
        <w:left w:val="none" w:sz="0" w:space="0" w:color="auto"/>
        <w:bottom w:val="none" w:sz="0" w:space="0" w:color="auto"/>
        <w:right w:val="none" w:sz="0" w:space="0" w:color="auto"/>
      </w:divBdr>
    </w:div>
    <w:div w:id="107507560">
      <w:marLeft w:val="0"/>
      <w:marRight w:val="0"/>
      <w:marTop w:val="0"/>
      <w:marBottom w:val="0"/>
      <w:divBdr>
        <w:top w:val="none" w:sz="0" w:space="0" w:color="auto"/>
        <w:left w:val="none" w:sz="0" w:space="0" w:color="auto"/>
        <w:bottom w:val="none" w:sz="0" w:space="0" w:color="auto"/>
        <w:right w:val="none" w:sz="0" w:space="0" w:color="auto"/>
      </w:divBdr>
      <w:divsChild>
        <w:div w:id="943731088">
          <w:marLeft w:val="0"/>
          <w:marRight w:val="0"/>
          <w:marTop w:val="0"/>
          <w:marBottom w:val="0"/>
          <w:divBdr>
            <w:top w:val="none" w:sz="0" w:space="0" w:color="auto"/>
            <w:left w:val="none" w:sz="0" w:space="0" w:color="auto"/>
            <w:bottom w:val="none" w:sz="0" w:space="0" w:color="auto"/>
            <w:right w:val="none" w:sz="0" w:space="0" w:color="auto"/>
          </w:divBdr>
        </w:div>
      </w:divsChild>
    </w:div>
    <w:div w:id="111753167">
      <w:marLeft w:val="0"/>
      <w:marRight w:val="0"/>
      <w:marTop w:val="0"/>
      <w:marBottom w:val="0"/>
      <w:divBdr>
        <w:top w:val="none" w:sz="0" w:space="0" w:color="auto"/>
        <w:left w:val="none" w:sz="0" w:space="0" w:color="auto"/>
        <w:bottom w:val="none" w:sz="0" w:space="0" w:color="auto"/>
        <w:right w:val="none" w:sz="0" w:space="0" w:color="auto"/>
      </w:divBdr>
    </w:div>
    <w:div w:id="114834163">
      <w:marLeft w:val="0"/>
      <w:marRight w:val="0"/>
      <w:marTop w:val="0"/>
      <w:marBottom w:val="0"/>
      <w:divBdr>
        <w:top w:val="none" w:sz="0" w:space="0" w:color="auto"/>
        <w:left w:val="none" w:sz="0" w:space="0" w:color="auto"/>
        <w:bottom w:val="none" w:sz="0" w:space="0" w:color="auto"/>
        <w:right w:val="none" w:sz="0" w:space="0" w:color="auto"/>
      </w:divBdr>
    </w:div>
    <w:div w:id="122313453">
      <w:marLeft w:val="0"/>
      <w:marRight w:val="0"/>
      <w:marTop w:val="0"/>
      <w:marBottom w:val="0"/>
      <w:divBdr>
        <w:top w:val="none" w:sz="0" w:space="0" w:color="auto"/>
        <w:left w:val="none" w:sz="0" w:space="0" w:color="auto"/>
        <w:bottom w:val="none" w:sz="0" w:space="0" w:color="auto"/>
        <w:right w:val="none" w:sz="0" w:space="0" w:color="auto"/>
      </w:divBdr>
      <w:divsChild>
        <w:div w:id="889389139">
          <w:marLeft w:val="0"/>
          <w:marRight w:val="0"/>
          <w:marTop w:val="0"/>
          <w:marBottom w:val="0"/>
          <w:divBdr>
            <w:top w:val="none" w:sz="0" w:space="0" w:color="auto"/>
            <w:left w:val="none" w:sz="0" w:space="0" w:color="auto"/>
            <w:bottom w:val="none" w:sz="0" w:space="0" w:color="auto"/>
            <w:right w:val="none" w:sz="0" w:space="0" w:color="auto"/>
          </w:divBdr>
        </w:div>
      </w:divsChild>
    </w:div>
    <w:div w:id="125467796">
      <w:marLeft w:val="0"/>
      <w:marRight w:val="0"/>
      <w:marTop w:val="0"/>
      <w:marBottom w:val="0"/>
      <w:divBdr>
        <w:top w:val="none" w:sz="0" w:space="0" w:color="auto"/>
        <w:left w:val="none" w:sz="0" w:space="0" w:color="auto"/>
        <w:bottom w:val="none" w:sz="0" w:space="0" w:color="auto"/>
        <w:right w:val="none" w:sz="0" w:space="0" w:color="auto"/>
      </w:divBdr>
      <w:divsChild>
        <w:div w:id="2113044220">
          <w:marLeft w:val="0"/>
          <w:marRight w:val="0"/>
          <w:marTop w:val="0"/>
          <w:marBottom w:val="0"/>
          <w:divBdr>
            <w:top w:val="none" w:sz="0" w:space="0" w:color="auto"/>
            <w:left w:val="none" w:sz="0" w:space="0" w:color="auto"/>
            <w:bottom w:val="none" w:sz="0" w:space="0" w:color="auto"/>
            <w:right w:val="none" w:sz="0" w:space="0" w:color="auto"/>
          </w:divBdr>
        </w:div>
        <w:div w:id="1080174140">
          <w:marLeft w:val="0"/>
          <w:marRight w:val="0"/>
          <w:marTop w:val="0"/>
          <w:marBottom w:val="0"/>
          <w:divBdr>
            <w:top w:val="none" w:sz="0" w:space="0" w:color="auto"/>
            <w:left w:val="none" w:sz="0" w:space="0" w:color="auto"/>
            <w:bottom w:val="none" w:sz="0" w:space="0" w:color="auto"/>
            <w:right w:val="none" w:sz="0" w:space="0" w:color="auto"/>
          </w:divBdr>
        </w:div>
        <w:div w:id="1640189397">
          <w:marLeft w:val="0"/>
          <w:marRight w:val="0"/>
          <w:marTop w:val="0"/>
          <w:marBottom w:val="0"/>
          <w:divBdr>
            <w:top w:val="none" w:sz="0" w:space="0" w:color="auto"/>
            <w:left w:val="none" w:sz="0" w:space="0" w:color="auto"/>
            <w:bottom w:val="none" w:sz="0" w:space="0" w:color="auto"/>
            <w:right w:val="none" w:sz="0" w:space="0" w:color="auto"/>
          </w:divBdr>
        </w:div>
        <w:div w:id="1971786434">
          <w:marLeft w:val="0"/>
          <w:marRight w:val="0"/>
          <w:marTop w:val="0"/>
          <w:marBottom w:val="0"/>
          <w:divBdr>
            <w:top w:val="none" w:sz="0" w:space="0" w:color="auto"/>
            <w:left w:val="none" w:sz="0" w:space="0" w:color="auto"/>
            <w:bottom w:val="none" w:sz="0" w:space="0" w:color="auto"/>
            <w:right w:val="none" w:sz="0" w:space="0" w:color="auto"/>
          </w:divBdr>
        </w:div>
        <w:div w:id="739596910">
          <w:marLeft w:val="0"/>
          <w:marRight w:val="0"/>
          <w:marTop w:val="0"/>
          <w:marBottom w:val="0"/>
          <w:divBdr>
            <w:top w:val="none" w:sz="0" w:space="0" w:color="auto"/>
            <w:left w:val="none" w:sz="0" w:space="0" w:color="auto"/>
            <w:bottom w:val="none" w:sz="0" w:space="0" w:color="auto"/>
            <w:right w:val="none" w:sz="0" w:space="0" w:color="auto"/>
          </w:divBdr>
        </w:div>
        <w:div w:id="1508445301">
          <w:marLeft w:val="0"/>
          <w:marRight w:val="0"/>
          <w:marTop w:val="0"/>
          <w:marBottom w:val="0"/>
          <w:divBdr>
            <w:top w:val="none" w:sz="0" w:space="0" w:color="auto"/>
            <w:left w:val="none" w:sz="0" w:space="0" w:color="auto"/>
            <w:bottom w:val="none" w:sz="0" w:space="0" w:color="auto"/>
            <w:right w:val="none" w:sz="0" w:space="0" w:color="auto"/>
          </w:divBdr>
        </w:div>
        <w:div w:id="1797795904">
          <w:marLeft w:val="0"/>
          <w:marRight w:val="0"/>
          <w:marTop w:val="0"/>
          <w:marBottom w:val="0"/>
          <w:divBdr>
            <w:top w:val="none" w:sz="0" w:space="0" w:color="auto"/>
            <w:left w:val="none" w:sz="0" w:space="0" w:color="auto"/>
            <w:bottom w:val="none" w:sz="0" w:space="0" w:color="auto"/>
            <w:right w:val="none" w:sz="0" w:space="0" w:color="auto"/>
          </w:divBdr>
        </w:div>
        <w:div w:id="418335298">
          <w:marLeft w:val="0"/>
          <w:marRight w:val="0"/>
          <w:marTop w:val="0"/>
          <w:marBottom w:val="0"/>
          <w:divBdr>
            <w:top w:val="none" w:sz="0" w:space="0" w:color="auto"/>
            <w:left w:val="none" w:sz="0" w:space="0" w:color="auto"/>
            <w:bottom w:val="none" w:sz="0" w:space="0" w:color="auto"/>
            <w:right w:val="none" w:sz="0" w:space="0" w:color="auto"/>
          </w:divBdr>
        </w:div>
        <w:div w:id="1513759021">
          <w:marLeft w:val="0"/>
          <w:marRight w:val="0"/>
          <w:marTop w:val="0"/>
          <w:marBottom w:val="0"/>
          <w:divBdr>
            <w:top w:val="none" w:sz="0" w:space="0" w:color="auto"/>
            <w:left w:val="none" w:sz="0" w:space="0" w:color="auto"/>
            <w:bottom w:val="none" w:sz="0" w:space="0" w:color="auto"/>
            <w:right w:val="none" w:sz="0" w:space="0" w:color="auto"/>
          </w:divBdr>
        </w:div>
        <w:div w:id="1284462778">
          <w:marLeft w:val="0"/>
          <w:marRight w:val="0"/>
          <w:marTop w:val="0"/>
          <w:marBottom w:val="0"/>
          <w:divBdr>
            <w:top w:val="none" w:sz="0" w:space="0" w:color="auto"/>
            <w:left w:val="none" w:sz="0" w:space="0" w:color="auto"/>
            <w:bottom w:val="none" w:sz="0" w:space="0" w:color="auto"/>
            <w:right w:val="none" w:sz="0" w:space="0" w:color="auto"/>
          </w:divBdr>
        </w:div>
        <w:div w:id="140998496">
          <w:marLeft w:val="0"/>
          <w:marRight w:val="0"/>
          <w:marTop w:val="0"/>
          <w:marBottom w:val="0"/>
          <w:divBdr>
            <w:top w:val="none" w:sz="0" w:space="0" w:color="auto"/>
            <w:left w:val="none" w:sz="0" w:space="0" w:color="auto"/>
            <w:bottom w:val="none" w:sz="0" w:space="0" w:color="auto"/>
            <w:right w:val="none" w:sz="0" w:space="0" w:color="auto"/>
          </w:divBdr>
        </w:div>
        <w:div w:id="1271813920">
          <w:marLeft w:val="0"/>
          <w:marRight w:val="0"/>
          <w:marTop w:val="0"/>
          <w:marBottom w:val="0"/>
          <w:divBdr>
            <w:top w:val="none" w:sz="0" w:space="0" w:color="auto"/>
            <w:left w:val="none" w:sz="0" w:space="0" w:color="auto"/>
            <w:bottom w:val="none" w:sz="0" w:space="0" w:color="auto"/>
            <w:right w:val="none" w:sz="0" w:space="0" w:color="auto"/>
          </w:divBdr>
        </w:div>
        <w:div w:id="361051521">
          <w:marLeft w:val="0"/>
          <w:marRight w:val="0"/>
          <w:marTop w:val="0"/>
          <w:marBottom w:val="0"/>
          <w:divBdr>
            <w:top w:val="none" w:sz="0" w:space="0" w:color="auto"/>
            <w:left w:val="none" w:sz="0" w:space="0" w:color="auto"/>
            <w:bottom w:val="none" w:sz="0" w:space="0" w:color="auto"/>
            <w:right w:val="none" w:sz="0" w:space="0" w:color="auto"/>
          </w:divBdr>
        </w:div>
        <w:div w:id="936864381">
          <w:marLeft w:val="0"/>
          <w:marRight w:val="0"/>
          <w:marTop w:val="0"/>
          <w:marBottom w:val="0"/>
          <w:divBdr>
            <w:top w:val="none" w:sz="0" w:space="0" w:color="auto"/>
            <w:left w:val="none" w:sz="0" w:space="0" w:color="auto"/>
            <w:bottom w:val="none" w:sz="0" w:space="0" w:color="auto"/>
            <w:right w:val="none" w:sz="0" w:space="0" w:color="auto"/>
          </w:divBdr>
        </w:div>
        <w:div w:id="1499225365">
          <w:marLeft w:val="0"/>
          <w:marRight w:val="0"/>
          <w:marTop w:val="0"/>
          <w:marBottom w:val="0"/>
          <w:divBdr>
            <w:top w:val="none" w:sz="0" w:space="0" w:color="auto"/>
            <w:left w:val="none" w:sz="0" w:space="0" w:color="auto"/>
            <w:bottom w:val="none" w:sz="0" w:space="0" w:color="auto"/>
            <w:right w:val="none" w:sz="0" w:space="0" w:color="auto"/>
          </w:divBdr>
        </w:div>
        <w:div w:id="585042068">
          <w:marLeft w:val="0"/>
          <w:marRight w:val="0"/>
          <w:marTop w:val="0"/>
          <w:marBottom w:val="0"/>
          <w:divBdr>
            <w:top w:val="none" w:sz="0" w:space="0" w:color="auto"/>
            <w:left w:val="none" w:sz="0" w:space="0" w:color="auto"/>
            <w:bottom w:val="none" w:sz="0" w:space="0" w:color="auto"/>
            <w:right w:val="none" w:sz="0" w:space="0" w:color="auto"/>
          </w:divBdr>
        </w:div>
        <w:div w:id="317880726">
          <w:marLeft w:val="0"/>
          <w:marRight w:val="0"/>
          <w:marTop w:val="0"/>
          <w:marBottom w:val="0"/>
          <w:divBdr>
            <w:top w:val="none" w:sz="0" w:space="0" w:color="auto"/>
            <w:left w:val="none" w:sz="0" w:space="0" w:color="auto"/>
            <w:bottom w:val="none" w:sz="0" w:space="0" w:color="auto"/>
            <w:right w:val="none" w:sz="0" w:space="0" w:color="auto"/>
          </w:divBdr>
        </w:div>
        <w:div w:id="612054069">
          <w:marLeft w:val="0"/>
          <w:marRight w:val="0"/>
          <w:marTop w:val="0"/>
          <w:marBottom w:val="0"/>
          <w:divBdr>
            <w:top w:val="none" w:sz="0" w:space="0" w:color="auto"/>
            <w:left w:val="none" w:sz="0" w:space="0" w:color="auto"/>
            <w:bottom w:val="none" w:sz="0" w:space="0" w:color="auto"/>
            <w:right w:val="none" w:sz="0" w:space="0" w:color="auto"/>
          </w:divBdr>
        </w:div>
        <w:div w:id="1799103870">
          <w:marLeft w:val="0"/>
          <w:marRight w:val="0"/>
          <w:marTop w:val="0"/>
          <w:marBottom w:val="0"/>
          <w:divBdr>
            <w:top w:val="none" w:sz="0" w:space="0" w:color="auto"/>
            <w:left w:val="none" w:sz="0" w:space="0" w:color="auto"/>
            <w:bottom w:val="none" w:sz="0" w:space="0" w:color="auto"/>
            <w:right w:val="none" w:sz="0" w:space="0" w:color="auto"/>
          </w:divBdr>
        </w:div>
        <w:div w:id="1537617372">
          <w:marLeft w:val="0"/>
          <w:marRight w:val="0"/>
          <w:marTop w:val="0"/>
          <w:marBottom w:val="0"/>
          <w:divBdr>
            <w:top w:val="none" w:sz="0" w:space="0" w:color="auto"/>
            <w:left w:val="none" w:sz="0" w:space="0" w:color="auto"/>
            <w:bottom w:val="none" w:sz="0" w:space="0" w:color="auto"/>
            <w:right w:val="none" w:sz="0" w:space="0" w:color="auto"/>
          </w:divBdr>
        </w:div>
        <w:div w:id="2018459129">
          <w:marLeft w:val="0"/>
          <w:marRight w:val="0"/>
          <w:marTop w:val="0"/>
          <w:marBottom w:val="0"/>
          <w:divBdr>
            <w:top w:val="none" w:sz="0" w:space="0" w:color="auto"/>
            <w:left w:val="none" w:sz="0" w:space="0" w:color="auto"/>
            <w:bottom w:val="none" w:sz="0" w:space="0" w:color="auto"/>
            <w:right w:val="none" w:sz="0" w:space="0" w:color="auto"/>
          </w:divBdr>
        </w:div>
        <w:div w:id="67458196">
          <w:marLeft w:val="0"/>
          <w:marRight w:val="0"/>
          <w:marTop w:val="0"/>
          <w:marBottom w:val="0"/>
          <w:divBdr>
            <w:top w:val="none" w:sz="0" w:space="0" w:color="auto"/>
            <w:left w:val="none" w:sz="0" w:space="0" w:color="auto"/>
            <w:bottom w:val="none" w:sz="0" w:space="0" w:color="auto"/>
            <w:right w:val="none" w:sz="0" w:space="0" w:color="auto"/>
          </w:divBdr>
        </w:div>
        <w:div w:id="1470317494">
          <w:marLeft w:val="0"/>
          <w:marRight w:val="0"/>
          <w:marTop w:val="0"/>
          <w:marBottom w:val="0"/>
          <w:divBdr>
            <w:top w:val="none" w:sz="0" w:space="0" w:color="auto"/>
            <w:left w:val="none" w:sz="0" w:space="0" w:color="auto"/>
            <w:bottom w:val="none" w:sz="0" w:space="0" w:color="auto"/>
            <w:right w:val="none" w:sz="0" w:space="0" w:color="auto"/>
          </w:divBdr>
        </w:div>
        <w:div w:id="1197230550">
          <w:marLeft w:val="0"/>
          <w:marRight w:val="0"/>
          <w:marTop w:val="0"/>
          <w:marBottom w:val="0"/>
          <w:divBdr>
            <w:top w:val="none" w:sz="0" w:space="0" w:color="auto"/>
            <w:left w:val="none" w:sz="0" w:space="0" w:color="auto"/>
            <w:bottom w:val="none" w:sz="0" w:space="0" w:color="auto"/>
            <w:right w:val="none" w:sz="0" w:space="0" w:color="auto"/>
          </w:divBdr>
        </w:div>
        <w:div w:id="855339824">
          <w:marLeft w:val="0"/>
          <w:marRight w:val="0"/>
          <w:marTop w:val="0"/>
          <w:marBottom w:val="0"/>
          <w:divBdr>
            <w:top w:val="none" w:sz="0" w:space="0" w:color="auto"/>
            <w:left w:val="none" w:sz="0" w:space="0" w:color="auto"/>
            <w:bottom w:val="none" w:sz="0" w:space="0" w:color="auto"/>
            <w:right w:val="none" w:sz="0" w:space="0" w:color="auto"/>
          </w:divBdr>
        </w:div>
        <w:div w:id="904529105">
          <w:marLeft w:val="0"/>
          <w:marRight w:val="0"/>
          <w:marTop w:val="0"/>
          <w:marBottom w:val="0"/>
          <w:divBdr>
            <w:top w:val="none" w:sz="0" w:space="0" w:color="auto"/>
            <w:left w:val="none" w:sz="0" w:space="0" w:color="auto"/>
            <w:bottom w:val="none" w:sz="0" w:space="0" w:color="auto"/>
            <w:right w:val="none" w:sz="0" w:space="0" w:color="auto"/>
          </w:divBdr>
        </w:div>
        <w:div w:id="1528834644">
          <w:marLeft w:val="0"/>
          <w:marRight w:val="0"/>
          <w:marTop w:val="0"/>
          <w:marBottom w:val="0"/>
          <w:divBdr>
            <w:top w:val="none" w:sz="0" w:space="0" w:color="auto"/>
            <w:left w:val="none" w:sz="0" w:space="0" w:color="auto"/>
            <w:bottom w:val="none" w:sz="0" w:space="0" w:color="auto"/>
            <w:right w:val="none" w:sz="0" w:space="0" w:color="auto"/>
          </w:divBdr>
        </w:div>
        <w:div w:id="1559130714">
          <w:marLeft w:val="0"/>
          <w:marRight w:val="0"/>
          <w:marTop w:val="0"/>
          <w:marBottom w:val="0"/>
          <w:divBdr>
            <w:top w:val="none" w:sz="0" w:space="0" w:color="auto"/>
            <w:left w:val="none" w:sz="0" w:space="0" w:color="auto"/>
            <w:bottom w:val="none" w:sz="0" w:space="0" w:color="auto"/>
            <w:right w:val="none" w:sz="0" w:space="0" w:color="auto"/>
          </w:divBdr>
        </w:div>
        <w:div w:id="166679871">
          <w:marLeft w:val="0"/>
          <w:marRight w:val="0"/>
          <w:marTop w:val="0"/>
          <w:marBottom w:val="0"/>
          <w:divBdr>
            <w:top w:val="none" w:sz="0" w:space="0" w:color="auto"/>
            <w:left w:val="none" w:sz="0" w:space="0" w:color="auto"/>
            <w:bottom w:val="none" w:sz="0" w:space="0" w:color="auto"/>
            <w:right w:val="none" w:sz="0" w:space="0" w:color="auto"/>
          </w:divBdr>
        </w:div>
        <w:div w:id="2095273917">
          <w:marLeft w:val="0"/>
          <w:marRight w:val="0"/>
          <w:marTop w:val="0"/>
          <w:marBottom w:val="0"/>
          <w:divBdr>
            <w:top w:val="none" w:sz="0" w:space="0" w:color="auto"/>
            <w:left w:val="none" w:sz="0" w:space="0" w:color="auto"/>
            <w:bottom w:val="none" w:sz="0" w:space="0" w:color="auto"/>
            <w:right w:val="none" w:sz="0" w:space="0" w:color="auto"/>
          </w:divBdr>
        </w:div>
      </w:divsChild>
    </w:div>
    <w:div w:id="125969416">
      <w:marLeft w:val="0"/>
      <w:marRight w:val="0"/>
      <w:marTop w:val="0"/>
      <w:marBottom w:val="0"/>
      <w:divBdr>
        <w:top w:val="none" w:sz="0" w:space="0" w:color="auto"/>
        <w:left w:val="none" w:sz="0" w:space="0" w:color="auto"/>
        <w:bottom w:val="none" w:sz="0" w:space="0" w:color="auto"/>
        <w:right w:val="none" w:sz="0" w:space="0" w:color="auto"/>
      </w:divBdr>
    </w:div>
    <w:div w:id="126971434">
      <w:marLeft w:val="0"/>
      <w:marRight w:val="0"/>
      <w:marTop w:val="0"/>
      <w:marBottom w:val="0"/>
      <w:divBdr>
        <w:top w:val="none" w:sz="0" w:space="0" w:color="auto"/>
        <w:left w:val="none" w:sz="0" w:space="0" w:color="auto"/>
        <w:bottom w:val="none" w:sz="0" w:space="0" w:color="auto"/>
        <w:right w:val="none" w:sz="0" w:space="0" w:color="auto"/>
      </w:divBdr>
    </w:div>
    <w:div w:id="128978597">
      <w:marLeft w:val="0"/>
      <w:marRight w:val="0"/>
      <w:marTop w:val="0"/>
      <w:marBottom w:val="0"/>
      <w:divBdr>
        <w:top w:val="none" w:sz="0" w:space="0" w:color="auto"/>
        <w:left w:val="none" w:sz="0" w:space="0" w:color="auto"/>
        <w:bottom w:val="none" w:sz="0" w:space="0" w:color="auto"/>
        <w:right w:val="none" w:sz="0" w:space="0" w:color="auto"/>
      </w:divBdr>
      <w:divsChild>
        <w:div w:id="1645770317">
          <w:marLeft w:val="0"/>
          <w:marRight w:val="0"/>
          <w:marTop w:val="0"/>
          <w:marBottom w:val="0"/>
          <w:divBdr>
            <w:top w:val="none" w:sz="0" w:space="0" w:color="auto"/>
            <w:left w:val="none" w:sz="0" w:space="0" w:color="auto"/>
            <w:bottom w:val="none" w:sz="0" w:space="0" w:color="auto"/>
            <w:right w:val="none" w:sz="0" w:space="0" w:color="auto"/>
          </w:divBdr>
        </w:div>
      </w:divsChild>
    </w:div>
    <w:div w:id="130099302">
      <w:marLeft w:val="0"/>
      <w:marRight w:val="0"/>
      <w:marTop w:val="0"/>
      <w:marBottom w:val="0"/>
      <w:divBdr>
        <w:top w:val="none" w:sz="0" w:space="0" w:color="auto"/>
        <w:left w:val="none" w:sz="0" w:space="0" w:color="auto"/>
        <w:bottom w:val="none" w:sz="0" w:space="0" w:color="auto"/>
        <w:right w:val="none" w:sz="0" w:space="0" w:color="auto"/>
      </w:divBdr>
    </w:div>
    <w:div w:id="131295889">
      <w:marLeft w:val="0"/>
      <w:marRight w:val="0"/>
      <w:marTop w:val="0"/>
      <w:marBottom w:val="0"/>
      <w:divBdr>
        <w:top w:val="none" w:sz="0" w:space="0" w:color="auto"/>
        <w:left w:val="none" w:sz="0" w:space="0" w:color="auto"/>
        <w:bottom w:val="none" w:sz="0" w:space="0" w:color="auto"/>
        <w:right w:val="none" w:sz="0" w:space="0" w:color="auto"/>
      </w:divBdr>
    </w:div>
    <w:div w:id="139347652">
      <w:marLeft w:val="0"/>
      <w:marRight w:val="0"/>
      <w:marTop w:val="0"/>
      <w:marBottom w:val="0"/>
      <w:divBdr>
        <w:top w:val="none" w:sz="0" w:space="0" w:color="auto"/>
        <w:left w:val="none" w:sz="0" w:space="0" w:color="auto"/>
        <w:bottom w:val="none" w:sz="0" w:space="0" w:color="auto"/>
        <w:right w:val="none" w:sz="0" w:space="0" w:color="auto"/>
      </w:divBdr>
    </w:div>
    <w:div w:id="147209269">
      <w:marLeft w:val="0"/>
      <w:marRight w:val="0"/>
      <w:marTop w:val="0"/>
      <w:marBottom w:val="0"/>
      <w:divBdr>
        <w:top w:val="none" w:sz="0" w:space="0" w:color="auto"/>
        <w:left w:val="none" w:sz="0" w:space="0" w:color="auto"/>
        <w:bottom w:val="none" w:sz="0" w:space="0" w:color="auto"/>
        <w:right w:val="none" w:sz="0" w:space="0" w:color="auto"/>
      </w:divBdr>
    </w:div>
    <w:div w:id="151456477">
      <w:marLeft w:val="0"/>
      <w:marRight w:val="0"/>
      <w:marTop w:val="0"/>
      <w:marBottom w:val="0"/>
      <w:divBdr>
        <w:top w:val="none" w:sz="0" w:space="0" w:color="auto"/>
        <w:left w:val="none" w:sz="0" w:space="0" w:color="auto"/>
        <w:bottom w:val="none" w:sz="0" w:space="0" w:color="auto"/>
        <w:right w:val="none" w:sz="0" w:space="0" w:color="auto"/>
      </w:divBdr>
    </w:div>
    <w:div w:id="162626232">
      <w:marLeft w:val="0"/>
      <w:marRight w:val="0"/>
      <w:marTop w:val="0"/>
      <w:marBottom w:val="0"/>
      <w:divBdr>
        <w:top w:val="none" w:sz="0" w:space="0" w:color="auto"/>
        <w:left w:val="none" w:sz="0" w:space="0" w:color="auto"/>
        <w:bottom w:val="none" w:sz="0" w:space="0" w:color="auto"/>
        <w:right w:val="none" w:sz="0" w:space="0" w:color="auto"/>
      </w:divBdr>
      <w:divsChild>
        <w:div w:id="567108635">
          <w:marLeft w:val="0"/>
          <w:marRight w:val="0"/>
          <w:marTop w:val="0"/>
          <w:marBottom w:val="0"/>
          <w:divBdr>
            <w:top w:val="none" w:sz="0" w:space="0" w:color="auto"/>
            <w:left w:val="none" w:sz="0" w:space="0" w:color="auto"/>
            <w:bottom w:val="none" w:sz="0" w:space="0" w:color="auto"/>
            <w:right w:val="none" w:sz="0" w:space="0" w:color="auto"/>
          </w:divBdr>
        </w:div>
      </w:divsChild>
    </w:div>
    <w:div w:id="167256933">
      <w:marLeft w:val="0"/>
      <w:marRight w:val="0"/>
      <w:marTop w:val="0"/>
      <w:marBottom w:val="0"/>
      <w:divBdr>
        <w:top w:val="none" w:sz="0" w:space="0" w:color="auto"/>
        <w:left w:val="none" w:sz="0" w:space="0" w:color="auto"/>
        <w:bottom w:val="none" w:sz="0" w:space="0" w:color="auto"/>
        <w:right w:val="none" w:sz="0" w:space="0" w:color="auto"/>
      </w:divBdr>
    </w:div>
    <w:div w:id="170343780">
      <w:marLeft w:val="0"/>
      <w:marRight w:val="0"/>
      <w:marTop w:val="0"/>
      <w:marBottom w:val="0"/>
      <w:divBdr>
        <w:top w:val="none" w:sz="0" w:space="0" w:color="auto"/>
        <w:left w:val="none" w:sz="0" w:space="0" w:color="auto"/>
        <w:bottom w:val="none" w:sz="0" w:space="0" w:color="auto"/>
        <w:right w:val="none" w:sz="0" w:space="0" w:color="auto"/>
      </w:divBdr>
    </w:div>
    <w:div w:id="171069170">
      <w:marLeft w:val="0"/>
      <w:marRight w:val="0"/>
      <w:marTop w:val="0"/>
      <w:marBottom w:val="200"/>
      <w:divBdr>
        <w:top w:val="none" w:sz="0" w:space="0" w:color="auto"/>
        <w:left w:val="none" w:sz="0" w:space="0" w:color="auto"/>
        <w:bottom w:val="none" w:sz="0" w:space="0" w:color="auto"/>
        <w:right w:val="none" w:sz="0" w:space="0" w:color="auto"/>
      </w:divBdr>
    </w:div>
    <w:div w:id="175660030">
      <w:marLeft w:val="0"/>
      <w:marRight w:val="0"/>
      <w:marTop w:val="0"/>
      <w:marBottom w:val="0"/>
      <w:divBdr>
        <w:top w:val="none" w:sz="0" w:space="0" w:color="auto"/>
        <w:left w:val="none" w:sz="0" w:space="0" w:color="auto"/>
        <w:bottom w:val="none" w:sz="0" w:space="0" w:color="auto"/>
        <w:right w:val="none" w:sz="0" w:space="0" w:color="auto"/>
      </w:divBdr>
      <w:divsChild>
        <w:div w:id="1997881969">
          <w:marLeft w:val="0"/>
          <w:marRight w:val="0"/>
          <w:marTop w:val="0"/>
          <w:marBottom w:val="0"/>
          <w:divBdr>
            <w:top w:val="none" w:sz="0" w:space="0" w:color="auto"/>
            <w:left w:val="none" w:sz="0" w:space="0" w:color="auto"/>
            <w:bottom w:val="none" w:sz="0" w:space="0" w:color="auto"/>
            <w:right w:val="none" w:sz="0" w:space="0" w:color="auto"/>
          </w:divBdr>
        </w:div>
      </w:divsChild>
    </w:div>
    <w:div w:id="175728741">
      <w:marLeft w:val="0"/>
      <w:marRight w:val="0"/>
      <w:marTop w:val="0"/>
      <w:marBottom w:val="0"/>
      <w:divBdr>
        <w:top w:val="none" w:sz="0" w:space="0" w:color="auto"/>
        <w:left w:val="none" w:sz="0" w:space="0" w:color="auto"/>
        <w:bottom w:val="none" w:sz="0" w:space="0" w:color="auto"/>
        <w:right w:val="none" w:sz="0" w:space="0" w:color="auto"/>
      </w:divBdr>
    </w:div>
    <w:div w:id="179972203">
      <w:marLeft w:val="0"/>
      <w:marRight w:val="0"/>
      <w:marTop w:val="0"/>
      <w:marBottom w:val="0"/>
      <w:divBdr>
        <w:top w:val="none" w:sz="0" w:space="0" w:color="auto"/>
        <w:left w:val="none" w:sz="0" w:space="0" w:color="auto"/>
        <w:bottom w:val="none" w:sz="0" w:space="0" w:color="auto"/>
        <w:right w:val="none" w:sz="0" w:space="0" w:color="auto"/>
      </w:divBdr>
    </w:div>
    <w:div w:id="183521185">
      <w:marLeft w:val="0"/>
      <w:marRight w:val="0"/>
      <w:marTop w:val="0"/>
      <w:marBottom w:val="0"/>
      <w:divBdr>
        <w:top w:val="none" w:sz="0" w:space="0" w:color="auto"/>
        <w:left w:val="none" w:sz="0" w:space="0" w:color="auto"/>
        <w:bottom w:val="none" w:sz="0" w:space="0" w:color="auto"/>
        <w:right w:val="none" w:sz="0" w:space="0" w:color="auto"/>
      </w:divBdr>
    </w:div>
    <w:div w:id="185757129">
      <w:marLeft w:val="0"/>
      <w:marRight w:val="0"/>
      <w:marTop w:val="0"/>
      <w:marBottom w:val="0"/>
      <w:divBdr>
        <w:top w:val="none" w:sz="0" w:space="0" w:color="auto"/>
        <w:left w:val="none" w:sz="0" w:space="0" w:color="auto"/>
        <w:bottom w:val="none" w:sz="0" w:space="0" w:color="auto"/>
        <w:right w:val="none" w:sz="0" w:space="0" w:color="auto"/>
      </w:divBdr>
      <w:divsChild>
        <w:div w:id="198475435">
          <w:marLeft w:val="0"/>
          <w:marRight w:val="0"/>
          <w:marTop w:val="0"/>
          <w:marBottom w:val="0"/>
          <w:divBdr>
            <w:top w:val="none" w:sz="0" w:space="0" w:color="auto"/>
            <w:left w:val="none" w:sz="0" w:space="0" w:color="auto"/>
            <w:bottom w:val="none" w:sz="0" w:space="0" w:color="auto"/>
            <w:right w:val="none" w:sz="0" w:space="0" w:color="auto"/>
          </w:divBdr>
        </w:div>
      </w:divsChild>
    </w:div>
    <w:div w:id="186600901">
      <w:marLeft w:val="0"/>
      <w:marRight w:val="0"/>
      <w:marTop w:val="0"/>
      <w:marBottom w:val="0"/>
      <w:divBdr>
        <w:top w:val="none" w:sz="0" w:space="0" w:color="auto"/>
        <w:left w:val="none" w:sz="0" w:space="0" w:color="auto"/>
        <w:bottom w:val="none" w:sz="0" w:space="0" w:color="auto"/>
        <w:right w:val="none" w:sz="0" w:space="0" w:color="auto"/>
      </w:divBdr>
      <w:divsChild>
        <w:div w:id="1471166715">
          <w:marLeft w:val="0"/>
          <w:marRight w:val="0"/>
          <w:marTop w:val="0"/>
          <w:marBottom w:val="0"/>
          <w:divBdr>
            <w:top w:val="none" w:sz="0" w:space="0" w:color="auto"/>
            <w:left w:val="none" w:sz="0" w:space="0" w:color="auto"/>
            <w:bottom w:val="none" w:sz="0" w:space="0" w:color="auto"/>
            <w:right w:val="none" w:sz="0" w:space="0" w:color="auto"/>
          </w:divBdr>
        </w:div>
      </w:divsChild>
    </w:div>
    <w:div w:id="191068477">
      <w:marLeft w:val="0"/>
      <w:marRight w:val="0"/>
      <w:marTop w:val="0"/>
      <w:marBottom w:val="0"/>
      <w:divBdr>
        <w:top w:val="none" w:sz="0" w:space="0" w:color="auto"/>
        <w:left w:val="none" w:sz="0" w:space="0" w:color="auto"/>
        <w:bottom w:val="none" w:sz="0" w:space="0" w:color="auto"/>
        <w:right w:val="none" w:sz="0" w:space="0" w:color="auto"/>
      </w:divBdr>
    </w:div>
    <w:div w:id="194856108">
      <w:marLeft w:val="0"/>
      <w:marRight w:val="0"/>
      <w:marTop w:val="0"/>
      <w:marBottom w:val="0"/>
      <w:divBdr>
        <w:top w:val="none" w:sz="0" w:space="0" w:color="auto"/>
        <w:left w:val="none" w:sz="0" w:space="0" w:color="auto"/>
        <w:bottom w:val="none" w:sz="0" w:space="0" w:color="auto"/>
        <w:right w:val="none" w:sz="0" w:space="0" w:color="auto"/>
      </w:divBdr>
    </w:div>
    <w:div w:id="199049951">
      <w:marLeft w:val="0"/>
      <w:marRight w:val="0"/>
      <w:marTop w:val="0"/>
      <w:marBottom w:val="0"/>
      <w:divBdr>
        <w:top w:val="none" w:sz="0" w:space="0" w:color="auto"/>
        <w:left w:val="none" w:sz="0" w:space="0" w:color="auto"/>
        <w:bottom w:val="none" w:sz="0" w:space="0" w:color="auto"/>
        <w:right w:val="none" w:sz="0" w:space="0" w:color="auto"/>
      </w:divBdr>
    </w:div>
    <w:div w:id="203640499">
      <w:marLeft w:val="0"/>
      <w:marRight w:val="0"/>
      <w:marTop w:val="0"/>
      <w:marBottom w:val="0"/>
      <w:divBdr>
        <w:top w:val="none" w:sz="0" w:space="0" w:color="auto"/>
        <w:left w:val="none" w:sz="0" w:space="0" w:color="auto"/>
        <w:bottom w:val="none" w:sz="0" w:space="0" w:color="auto"/>
        <w:right w:val="none" w:sz="0" w:space="0" w:color="auto"/>
      </w:divBdr>
    </w:div>
    <w:div w:id="213859379">
      <w:marLeft w:val="0"/>
      <w:marRight w:val="0"/>
      <w:marTop w:val="0"/>
      <w:marBottom w:val="0"/>
      <w:divBdr>
        <w:top w:val="none" w:sz="0" w:space="0" w:color="auto"/>
        <w:left w:val="none" w:sz="0" w:space="0" w:color="auto"/>
        <w:bottom w:val="none" w:sz="0" w:space="0" w:color="auto"/>
        <w:right w:val="none" w:sz="0" w:space="0" w:color="auto"/>
      </w:divBdr>
      <w:divsChild>
        <w:div w:id="1704398479">
          <w:marLeft w:val="0"/>
          <w:marRight w:val="0"/>
          <w:marTop w:val="0"/>
          <w:marBottom w:val="0"/>
          <w:divBdr>
            <w:top w:val="none" w:sz="0" w:space="0" w:color="auto"/>
            <w:left w:val="none" w:sz="0" w:space="0" w:color="auto"/>
            <w:bottom w:val="none" w:sz="0" w:space="0" w:color="auto"/>
            <w:right w:val="none" w:sz="0" w:space="0" w:color="auto"/>
          </w:divBdr>
        </w:div>
      </w:divsChild>
    </w:div>
    <w:div w:id="237718525">
      <w:marLeft w:val="0"/>
      <w:marRight w:val="0"/>
      <w:marTop w:val="0"/>
      <w:marBottom w:val="0"/>
      <w:divBdr>
        <w:top w:val="none" w:sz="0" w:space="0" w:color="auto"/>
        <w:left w:val="none" w:sz="0" w:space="0" w:color="auto"/>
        <w:bottom w:val="none" w:sz="0" w:space="0" w:color="auto"/>
        <w:right w:val="none" w:sz="0" w:space="0" w:color="auto"/>
      </w:divBdr>
      <w:divsChild>
        <w:div w:id="627585718">
          <w:marLeft w:val="0"/>
          <w:marRight w:val="0"/>
          <w:marTop w:val="0"/>
          <w:marBottom w:val="0"/>
          <w:divBdr>
            <w:top w:val="none" w:sz="0" w:space="0" w:color="auto"/>
            <w:left w:val="none" w:sz="0" w:space="0" w:color="auto"/>
            <w:bottom w:val="none" w:sz="0" w:space="0" w:color="auto"/>
            <w:right w:val="none" w:sz="0" w:space="0" w:color="auto"/>
          </w:divBdr>
        </w:div>
      </w:divsChild>
    </w:div>
    <w:div w:id="245111316">
      <w:marLeft w:val="0"/>
      <w:marRight w:val="0"/>
      <w:marTop w:val="0"/>
      <w:marBottom w:val="0"/>
      <w:divBdr>
        <w:top w:val="none" w:sz="0" w:space="0" w:color="auto"/>
        <w:left w:val="none" w:sz="0" w:space="0" w:color="auto"/>
        <w:bottom w:val="none" w:sz="0" w:space="0" w:color="auto"/>
        <w:right w:val="none" w:sz="0" w:space="0" w:color="auto"/>
      </w:divBdr>
    </w:div>
    <w:div w:id="254480854">
      <w:marLeft w:val="0"/>
      <w:marRight w:val="0"/>
      <w:marTop w:val="0"/>
      <w:marBottom w:val="0"/>
      <w:divBdr>
        <w:top w:val="none" w:sz="0" w:space="0" w:color="auto"/>
        <w:left w:val="none" w:sz="0" w:space="0" w:color="auto"/>
        <w:bottom w:val="none" w:sz="0" w:space="0" w:color="auto"/>
        <w:right w:val="none" w:sz="0" w:space="0" w:color="auto"/>
      </w:divBdr>
    </w:div>
    <w:div w:id="255597895">
      <w:marLeft w:val="0"/>
      <w:marRight w:val="0"/>
      <w:marTop w:val="0"/>
      <w:marBottom w:val="0"/>
      <w:divBdr>
        <w:top w:val="none" w:sz="0" w:space="0" w:color="auto"/>
        <w:left w:val="none" w:sz="0" w:space="0" w:color="auto"/>
        <w:bottom w:val="none" w:sz="0" w:space="0" w:color="auto"/>
        <w:right w:val="none" w:sz="0" w:space="0" w:color="auto"/>
      </w:divBdr>
    </w:div>
    <w:div w:id="261572830">
      <w:marLeft w:val="0"/>
      <w:marRight w:val="0"/>
      <w:marTop w:val="0"/>
      <w:marBottom w:val="0"/>
      <w:divBdr>
        <w:top w:val="none" w:sz="0" w:space="0" w:color="auto"/>
        <w:left w:val="none" w:sz="0" w:space="0" w:color="auto"/>
        <w:bottom w:val="none" w:sz="0" w:space="0" w:color="auto"/>
        <w:right w:val="none" w:sz="0" w:space="0" w:color="auto"/>
      </w:divBdr>
      <w:divsChild>
        <w:div w:id="1669089682">
          <w:marLeft w:val="0"/>
          <w:marRight w:val="0"/>
          <w:marTop w:val="0"/>
          <w:marBottom w:val="0"/>
          <w:divBdr>
            <w:top w:val="none" w:sz="0" w:space="0" w:color="auto"/>
            <w:left w:val="none" w:sz="0" w:space="0" w:color="auto"/>
            <w:bottom w:val="none" w:sz="0" w:space="0" w:color="auto"/>
            <w:right w:val="none" w:sz="0" w:space="0" w:color="auto"/>
          </w:divBdr>
        </w:div>
      </w:divsChild>
    </w:div>
    <w:div w:id="262341894">
      <w:marLeft w:val="0"/>
      <w:marRight w:val="0"/>
      <w:marTop w:val="0"/>
      <w:marBottom w:val="0"/>
      <w:divBdr>
        <w:top w:val="none" w:sz="0" w:space="0" w:color="auto"/>
        <w:left w:val="none" w:sz="0" w:space="0" w:color="auto"/>
        <w:bottom w:val="none" w:sz="0" w:space="0" w:color="auto"/>
        <w:right w:val="none" w:sz="0" w:space="0" w:color="auto"/>
      </w:divBdr>
    </w:div>
    <w:div w:id="271783256">
      <w:marLeft w:val="0"/>
      <w:marRight w:val="0"/>
      <w:marTop w:val="0"/>
      <w:marBottom w:val="0"/>
      <w:divBdr>
        <w:top w:val="none" w:sz="0" w:space="0" w:color="auto"/>
        <w:left w:val="none" w:sz="0" w:space="0" w:color="auto"/>
        <w:bottom w:val="none" w:sz="0" w:space="0" w:color="auto"/>
        <w:right w:val="none" w:sz="0" w:space="0" w:color="auto"/>
      </w:divBdr>
    </w:div>
    <w:div w:id="274102405">
      <w:marLeft w:val="0"/>
      <w:marRight w:val="0"/>
      <w:marTop w:val="0"/>
      <w:marBottom w:val="0"/>
      <w:divBdr>
        <w:top w:val="none" w:sz="0" w:space="0" w:color="auto"/>
        <w:left w:val="none" w:sz="0" w:space="0" w:color="auto"/>
        <w:bottom w:val="none" w:sz="0" w:space="0" w:color="auto"/>
        <w:right w:val="none" w:sz="0" w:space="0" w:color="auto"/>
      </w:divBdr>
    </w:div>
    <w:div w:id="283315476">
      <w:marLeft w:val="0"/>
      <w:marRight w:val="0"/>
      <w:marTop w:val="0"/>
      <w:marBottom w:val="0"/>
      <w:divBdr>
        <w:top w:val="none" w:sz="0" w:space="0" w:color="auto"/>
        <w:left w:val="none" w:sz="0" w:space="0" w:color="auto"/>
        <w:bottom w:val="none" w:sz="0" w:space="0" w:color="auto"/>
        <w:right w:val="none" w:sz="0" w:space="0" w:color="auto"/>
      </w:divBdr>
      <w:divsChild>
        <w:div w:id="1731921774">
          <w:marLeft w:val="0"/>
          <w:marRight w:val="0"/>
          <w:marTop w:val="0"/>
          <w:marBottom w:val="0"/>
          <w:divBdr>
            <w:top w:val="none" w:sz="0" w:space="0" w:color="auto"/>
            <w:left w:val="none" w:sz="0" w:space="0" w:color="auto"/>
            <w:bottom w:val="none" w:sz="0" w:space="0" w:color="auto"/>
            <w:right w:val="none" w:sz="0" w:space="0" w:color="auto"/>
          </w:divBdr>
        </w:div>
      </w:divsChild>
    </w:div>
    <w:div w:id="283585172">
      <w:marLeft w:val="0"/>
      <w:marRight w:val="0"/>
      <w:marTop w:val="0"/>
      <w:marBottom w:val="0"/>
      <w:divBdr>
        <w:top w:val="none" w:sz="0" w:space="0" w:color="auto"/>
        <w:left w:val="none" w:sz="0" w:space="0" w:color="auto"/>
        <w:bottom w:val="none" w:sz="0" w:space="0" w:color="auto"/>
        <w:right w:val="none" w:sz="0" w:space="0" w:color="auto"/>
      </w:divBdr>
    </w:div>
    <w:div w:id="289013795">
      <w:marLeft w:val="0"/>
      <w:marRight w:val="0"/>
      <w:marTop w:val="0"/>
      <w:marBottom w:val="0"/>
      <w:divBdr>
        <w:top w:val="none" w:sz="0" w:space="0" w:color="auto"/>
        <w:left w:val="none" w:sz="0" w:space="0" w:color="auto"/>
        <w:bottom w:val="none" w:sz="0" w:space="0" w:color="auto"/>
        <w:right w:val="none" w:sz="0" w:space="0" w:color="auto"/>
      </w:divBdr>
    </w:div>
    <w:div w:id="290016988">
      <w:marLeft w:val="0"/>
      <w:marRight w:val="0"/>
      <w:marTop w:val="0"/>
      <w:marBottom w:val="0"/>
      <w:divBdr>
        <w:top w:val="none" w:sz="0" w:space="0" w:color="auto"/>
        <w:left w:val="none" w:sz="0" w:space="0" w:color="auto"/>
        <w:bottom w:val="none" w:sz="0" w:space="0" w:color="auto"/>
        <w:right w:val="none" w:sz="0" w:space="0" w:color="auto"/>
      </w:divBdr>
    </w:div>
    <w:div w:id="293022270">
      <w:marLeft w:val="0"/>
      <w:marRight w:val="0"/>
      <w:marTop w:val="0"/>
      <w:marBottom w:val="0"/>
      <w:divBdr>
        <w:top w:val="none" w:sz="0" w:space="0" w:color="auto"/>
        <w:left w:val="none" w:sz="0" w:space="0" w:color="auto"/>
        <w:bottom w:val="none" w:sz="0" w:space="0" w:color="auto"/>
        <w:right w:val="none" w:sz="0" w:space="0" w:color="auto"/>
      </w:divBdr>
    </w:div>
    <w:div w:id="298802139">
      <w:marLeft w:val="0"/>
      <w:marRight w:val="0"/>
      <w:marTop w:val="0"/>
      <w:marBottom w:val="0"/>
      <w:divBdr>
        <w:top w:val="none" w:sz="0" w:space="0" w:color="auto"/>
        <w:left w:val="none" w:sz="0" w:space="0" w:color="auto"/>
        <w:bottom w:val="none" w:sz="0" w:space="0" w:color="auto"/>
        <w:right w:val="none" w:sz="0" w:space="0" w:color="auto"/>
      </w:divBdr>
      <w:divsChild>
        <w:div w:id="462430571">
          <w:marLeft w:val="0"/>
          <w:marRight w:val="0"/>
          <w:marTop w:val="0"/>
          <w:marBottom w:val="0"/>
          <w:divBdr>
            <w:top w:val="none" w:sz="0" w:space="0" w:color="auto"/>
            <w:left w:val="none" w:sz="0" w:space="0" w:color="auto"/>
            <w:bottom w:val="none" w:sz="0" w:space="0" w:color="auto"/>
            <w:right w:val="none" w:sz="0" w:space="0" w:color="auto"/>
          </w:divBdr>
        </w:div>
      </w:divsChild>
    </w:div>
    <w:div w:id="302581786">
      <w:marLeft w:val="0"/>
      <w:marRight w:val="0"/>
      <w:marTop w:val="0"/>
      <w:marBottom w:val="0"/>
      <w:divBdr>
        <w:top w:val="none" w:sz="0" w:space="0" w:color="auto"/>
        <w:left w:val="none" w:sz="0" w:space="0" w:color="auto"/>
        <w:bottom w:val="none" w:sz="0" w:space="0" w:color="auto"/>
        <w:right w:val="none" w:sz="0" w:space="0" w:color="auto"/>
      </w:divBdr>
    </w:div>
    <w:div w:id="303509289">
      <w:marLeft w:val="0"/>
      <w:marRight w:val="0"/>
      <w:marTop w:val="0"/>
      <w:marBottom w:val="0"/>
      <w:divBdr>
        <w:top w:val="none" w:sz="0" w:space="0" w:color="auto"/>
        <w:left w:val="none" w:sz="0" w:space="0" w:color="auto"/>
        <w:bottom w:val="none" w:sz="0" w:space="0" w:color="auto"/>
        <w:right w:val="none" w:sz="0" w:space="0" w:color="auto"/>
      </w:divBdr>
    </w:div>
    <w:div w:id="307831480">
      <w:marLeft w:val="0"/>
      <w:marRight w:val="0"/>
      <w:marTop w:val="0"/>
      <w:marBottom w:val="0"/>
      <w:divBdr>
        <w:top w:val="none" w:sz="0" w:space="0" w:color="auto"/>
        <w:left w:val="none" w:sz="0" w:space="0" w:color="auto"/>
        <w:bottom w:val="none" w:sz="0" w:space="0" w:color="auto"/>
        <w:right w:val="none" w:sz="0" w:space="0" w:color="auto"/>
      </w:divBdr>
    </w:div>
    <w:div w:id="309482333">
      <w:marLeft w:val="0"/>
      <w:marRight w:val="0"/>
      <w:marTop w:val="0"/>
      <w:marBottom w:val="0"/>
      <w:divBdr>
        <w:top w:val="none" w:sz="0" w:space="0" w:color="auto"/>
        <w:left w:val="none" w:sz="0" w:space="0" w:color="auto"/>
        <w:bottom w:val="none" w:sz="0" w:space="0" w:color="auto"/>
        <w:right w:val="none" w:sz="0" w:space="0" w:color="auto"/>
      </w:divBdr>
    </w:div>
    <w:div w:id="311642318">
      <w:marLeft w:val="0"/>
      <w:marRight w:val="0"/>
      <w:marTop w:val="0"/>
      <w:marBottom w:val="0"/>
      <w:divBdr>
        <w:top w:val="none" w:sz="0" w:space="0" w:color="auto"/>
        <w:left w:val="none" w:sz="0" w:space="0" w:color="auto"/>
        <w:bottom w:val="none" w:sz="0" w:space="0" w:color="auto"/>
        <w:right w:val="none" w:sz="0" w:space="0" w:color="auto"/>
      </w:divBdr>
      <w:divsChild>
        <w:div w:id="459808247">
          <w:marLeft w:val="0"/>
          <w:marRight w:val="0"/>
          <w:marTop w:val="0"/>
          <w:marBottom w:val="0"/>
          <w:divBdr>
            <w:top w:val="none" w:sz="0" w:space="0" w:color="auto"/>
            <w:left w:val="none" w:sz="0" w:space="0" w:color="auto"/>
            <w:bottom w:val="none" w:sz="0" w:space="0" w:color="auto"/>
            <w:right w:val="none" w:sz="0" w:space="0" w:color="auto"/>
          </w:divBdr>
        </w:div>
      </w:divsChild>
    </w:div>
    <w:div w:id="312948658">
      <w:marLeft w:val="0"/>
      <w:marRight w:val="0"/>
      <w:marTop w:val="0"/>
      <w:marBottom w:val="0"/>
      <w:divBdr>
        <w:top w:val="none" w:sz="0" w:space="0" w:color="auto"/>
        <w:left w:val="none" w:sz="0" w:space="0" w:color="auto"/>
        <w:bottom w:val="none" w:sz="0" w:space="0" w:color="auto"/>
        <w:right w:val="none" w:sz="0" w:space="0" w:color="auto"/>
      </w:divBdr>
      <w:divsChild>
        <w:div w:id="1870558246">
          <w:marLeft w:val="0"/>
          <w:marRight w:val="0"/>
          <w:marTop w:val="0"/>
          <w:marBottom w:val="0"/>
          <w:divBdr>
            <w:top w:val="none" w:sz="0" w:space="0" w:color="auto"/>
            <w:left w:val="none" w:sz="0" w:space="0" w:color="auto"/>
            <w:bottom w:val="none" w:sz="0" w:space="0" w:color="auto"/>
            <w:right w:val="none" w:sz="0" w:space="0" w:color="auto"/>
          </w:divBdr>
        </w:div>
      </w:divsChild>
    </w:div>
    <w:div w:id="312951201">
      <w:marLeft w:val="0"/>
      <w:marRight w:val="0"/>
      <w:marTop w:val="0"/>
      <w:marBottom w:val="0"/>
      <w:divBdr>
        <w:top w:val="none" w:sz="0" w:space="0" w:color="auto"/>
        <w:left w:val="none" w:sz="0" w:space="0" w:color="auto"/>
        <w:bottom w:val="none" w:sz="0" w:space="0" w:color="auto"/>
        <w:right w:val="none" w:sz="0" w:space="0" w:color="auto"/>
      </w:divBdr>
      <w:divsChild>
        <w:div w:id="1622346733">
          <w:marLeft w:val="0"/>
          <w:marRight w:val="0"/>
          <w:marTop w:val="0"/>
          <w:marBottom w:val="0"/>
          <w:divBdr>
            <w:top w:val="none" w:sz="0" w:space="0" w:color="auto"/>
            <w:left w:val="none" w:sz="0" w:space="0" w:color="auto"/>
            <w:bottom w:val="none" w:sz="0" w:space="0" w:color="auto"/>
            <w:right w:val="none" w:sz="0" w:space="0" w:color="auto"/>
          </w:divBdr>
        </w:div>
      </w:divsChild>
    </w:div>
    <w:div w:id="319315465">
      <w:marLeft w:val="0"/>
      <w:marRight w:val="0"/>
      <w:marTop w:val="0"/>
      <w:marBottom w:val="0"/>
      <w:divBdr>
        <w:top w:val="none" w:sz="0" w:space="0" w:color="auto"/>
        <w:left w:val="none" w:sz="0" w:space="0" w:color="auto"/>
        <w:bottom w:val="none" w:sz="0" w:space="0" w:color="auto"/>
        <w:right w:val="none" w:sz="0" w:space="0" w:color="auto"/>
      </w:divBdr>
    </w:div>
    <w:div w:id="320544706">
      <w:marLeft w:val="0"/>
      <w:marRight w:val="0"/>
      <w:marTop w:val="0"/>
      <w:marBottom w:val="0"/>
      <w:divBdr>
        <w:top w:val="none" w:sz="0" w:space="0" w:color="auto"/>
        <w:left w:val="none" w:sz="0" w:space="0" w:color="auto"/>
        <w:bottom w:val="none" w:sz="0" w:space="0" w:color="auto"/>
        <w:right w:val="none" w:sz="0" w:space="0" w:color="auto"/>
      </w:divBdr>
      <w:divsChild>
        <w:div w:id="1321231184">
          <w:marLeft w:val="0"/>
          <w:marRight w:val="0"/>
          <w:marTop w:val="0"/>
          <w:marBottom w:val="0"/>
          <w:divBdr>
            <w:top w:val="none" w:sz="0" w:space="0" w:color="auto"/>
            <w:left w:val="none" w:sz="0" w:space="0" w:color="auto"/>
            <w:bottom w:val="none" w:sz="0" w:space="0" w:color="auto"/>
            <w:right w:val="none" w:sz="0" w:space="0" w:color="auto"/>
          </w:divBdr>
        </w:div>
      </w:divsChild>
    </w:div>
    <w:div w:id="322392934">
      <w:marLeft w:val="0"/>
      <w:marRight w:val="0"/>
      <w:marTop w:val="0"/>
      <w:marBottom w:val="0"/>
      <w:divBdr>
        <w:top w:val="none" w:sz="0" w:space="0" w:color="auto"/>
        <w:left w:val="none" w:sz="0" w:space="0" w:color="auto"/>
        <w:bottom w:val="none" w:sz="0" w:space="0" w:color="auto"/>
        <w:right w:val="none" w:sz="0" w:space="0" w:color="auto"/>
      </w:divBdr>
    </w:div>
    <w:div w:id="326590891">
      <w:marLeft w:val="0"/>
      <w:marRight w:val="0"/>
      <w:marTop w:val="0"/>
      <w:marBottom w:val="0"/>
      <w:divBdr>
        <w:top w:val="none" w:sz="0" w:space="0" w:color="auto"/>
        <w:left w:val="none" w:sz="0" w:space="0" w:color="auto"/>
        <w:bottom w:val="none" w:sz="0" w:space="0" w:color="auto"/>
        <w:right w:val="none" w:sz="0" w:space="0" w:color="auto"/>
      </w:divBdr>
    </w:div>
    <w:div w:id="330370669">
      <w:marLeft w:val="0"/>
      <w:marRight w:val="0"/>
      <w:marTop w:val="0"/>
      <w:marBottom w:val="0"/>
      <w:divBdr>
        <w:top w:val="none" w:sz="0" w:space="0" w:color="auto"/>
        <w:left w:val="none" w:sz="0" w:space="0" w:color="auto"/>
        <w:bottom w:val="none" w:sz="0" w:space="0" w:color="auto"/>
        <w:right w:val="none" w:sz="0" w:space="0" w:color="auto"/>
      </w:divBdr>
    </w:div>
    <w:div w:id="337849317">
      <w:marLeft w:val="0"/>
      <w:marRight w:val="0"/>
      <w:marTop w:val="0"/>
      <w:marBottom w:val="0"/>
      <w:divBdr>
        <w:top w:val="none" w:sz="0" w:space="0" w:color="auto"/>
        <w:left w:val="none" w:sz="0" w:space="0" w:color="auto"/>
        <w:bottom w:val="none" w:sz="0" w:space="0" w:color="auto"/>
        <w:right w:val="none" w:sz="0" w:space="0" w:color="auto"/>
      </w:divBdr>
    </w:div>
    <w:div w:id="343826667">
      <w:marLeft w:val="0"/>
      <w:marRight w:val="0"/>
      <w:marTop w:val="0"/>
      <w:marBottom w:val="0"/>
      <w:divBdr>
        <w:top w:val="none" w:sz="0" w:space="0" w:color="auto"/>
        <w:left w:val="none" w:sz="0" w:space="0" w:color="auto"/>
        <w:bottom w:val="none" w:sz="0" w:space="0" w:color="auto"/>
        <w:right w:val="none" w:sz="0" w:space="0" w:color="auto"/>
      </w:divBdr>
    </w:div>
    <w:div w:id="344594593">
      <w:marLeft w:val="0"/>
      <w:marRight w:val="0"/>
      <w:marTop w:val="0"/>
      <w:marBottom w:val="0"/>
      <w:divBdr>
        <w:top w:val="none" w:sz="0" w:space="0" w:color="auto"/>
        <w:left w:val="none" w:sz="0" w:space="0" w:color="auto"/>
        <w:bottom w:val="none" w:sz="0" w:space="0" w:color="auto"/>
        <w:right w:val="none" w:sz="0" w:space="0" w:color="auto"/>
      </w:divBdr>
    </w:div>
    <w:div w:id="345056427">
      <w:marLeft w:val="0"/>
      <w:marRight w:val="0"/>
      <w:marTop w:val="0"/>
      <w:marBottom w:val="0"/>
      <w:divBdr>
        <w:top w:val="none" w:sz="0" w:space="0" w:color="auto"/>
        <w:left w:val="none" w:sz="0" w:space="0" w:color="auto"/>
        <w:bottom w:val="none" w:sz="0" w:space="0" w:color="auto"/>
        <w:right w:val="none" w:sz="0" w:space="0" w:color="auto"/>
      </w:divBdr>
    </w:div>
    <w:div w:id="346375233">
      <w:marLeft w:val="0"/>
      <w:marRight w:val="0"/>
      <w:marTop w:val="0"/>
      <w:marBottom w:val="0"/>
      <w:divBdr>
        <w:top w:val="none" w:sz="0" w:space="0" w:color="auto"/>
        <w:left w:val="none" w:sz="0" w:space="0" w:color="auto"/>
        <w:bottom w:val="none" w:sz="0" w:space="0" w:color="auto"/>
        <w:right w:val="none" w:sz="0" w:space="0" w:color="auto"/>
      </w:divBdr>
    </w:div>
    <w:div w:id="351076411">
      <w:marLeft w:val="0"/>
      <w:marRight w:val="0"/>
      <w:marTop w:val="0"/>
      <w:marBottom w:val="0"/>
      <w:divBdr>
        <w:top w:val="none" w:sz="0" w:space="0" w:color="auto"/>
        <w:left w:val="none" w:sz="0" w:space="0" w:color="auto"/>
        <w:bottom w:val="none" w:sz="0" w:space="0" w:color="auto"/>
        <w:right w:val="none" w:sz="0" w:space="0" w:color="auto"/>
      </w:divBdr>
    </w:div>
    <w:div w:id="356739658">
      <w:marLeft w:val="0"/>
      <w:marRight w:val="0"/>
      <w:marTop w:val="0"/>
      <w:marBottom w:val="0"/>
      <w:divBdr>
        <w:top w:val="none" w:sz="0" w:space="0" w:color="auto"/>
        <w:left w:val="none" w:sz="0" w:space="0" w:color="auto"/>
        <w:bottom w:val="none" w:sz="0" w:space="0" w:color="auto"/>
        <w:right w:val="none" w:sz="0" w:space="0" w:color="auto"/>
      </w:divBdr>
    </w:div>
    <w:div w:id="369847112">
      <w:marLeft w:val="0"/>
      <w:marRight w:val="0"/>
      <w:marTop w:val="0"/>
      <w:marBottom w:val="0"/>
      <w:divBdr>
        <w:top w:val="none" w:sz="0" w:space="0" w:color="auto"/>
        <w:left w:val="none" w:sz="0" w:space="0" w:color="auto"/>
        <w:bottom w:val="none" w:sz="0" w:space="0" w:color="auto"/>
        <w:right w:val="none" w:sz="0" w:space="0" w:color="auto"/>
      </w:divBdr>
    </w:div>
    <w:div w:id="371270593">
      <w:marLeft w:val="0"/>
      <w:marRight w:val="0"/>
      <w:marTop w:val="0"/>
      <w:marBottom w:val="0"/>
      <w:divBdr>
        <w:top w:val="none" w:sz="0" w:space="0" w:color="auto"/>
        <w:left w:val="none" w:sz="0" w:space="0" w:color="auto"/>
        <w:bottom w:val="none" w:sz="0" w:space="0" w:color="auto"/>
        <w:right w:val="none" w:sz="0" w:space="0" w:color="auto"/>
      </w:divBdr>
    </w:div>
    <w:div w:id="375277115">
      <w:marLeft w:val="0"/>
      <w:marRight w:val="0"/>
      <w:marTop w:val="0"/>
      <w:marBottom w:val="0"/>
      <w:divBdr>
        <w:top w:val="none" w:sz="0" w:space="0" w:color="auto"/>
        <w:left w:val="none" w:sz="0" w:space="0" w:color="auto"/>
        <w:bottom w:val="none" w:sz="0" w:space="0" w:color="auto"/>
        <w:right w:val="none" w:sz="0" w:space="0" w:color="auto"/>
      </w:divBdr>
    </w:div>
    <w:div w:id="384181965">
      <w:marLeft w:val="0"/>
      <w:marRight w:val="0"/>
      <w:marTop w:val="0"/>
      <w:marBottom w:val="0"/>
      <w:divBdr>
        <w:top w:val="none" w:sz="0" w:space="0" w:color="auto"/>
        <w:left w:val="none" w:sz="0" w:space="0" w:color="auto"/>
        <w:bottom w:val="none" w:sz="0" w:space="0" w:color="auto"/>
        <w:right w:val="none" w:sz="0" w:space="0" w:color="auto"/>
      </w:divBdr>
    </w:div>
    <w:div w:id="389185518">
      <w:marLeft w:val="0"/>
      <w:marRight w:val="0"/>
      <w:marTop w:val="0"/>
      <w:marBottom w:val="0"/>
      <w:divBdr>
        <w:top w:val="none" w:sz="0" w:space="0" w:color="auto"/>
        <w:left w:val="none" w:sz="0" w:space="0" w:color="auto"/>
        <w:bottom w:val="none" w:sz="0" w:space="0" w:color="auto"/>
        <w:right w:val="none" w:sz="0" w:space="0" w:color="auto"/>
      </w:divBdr>
      <w:divsChild>
        <w:div w:id="882904222">
          <w:marLeft w:val="0"/>
          <w:marRight w:val="0"/>
          <w:marTop w:val="0"/>
          <w:marBottom w:val="0"/>
          <w:divBdr>
            <w:top w:val="none" w:sz="0" w:space="0" w:color="auto"/>
            <w:left w:val="none" w:sz="0" w:space="0" w:color="auto"/>
            <w:bottom w:val="none" w:sz="0" w:space="0" w:color="auto"/>
            <w:right w:val="none" w:sz="0" w:space="0" w:color="auto"/>
          </w:divBdr>
        </w:div>
      </w:divsChild>
    </w:div>
    <w:div w:id="393625678">
      <w:marLeft w:val="0"/>
      <w:marRight w:val="0"/>
      <w:marTop w:val="0"/>
      <w:marBottom w:val="0"/>
      <w:divBdr>
        <w:top w:val="none" w:sz="0" w:space="0" w:color="auto"/>
        <w:left w:val="none" w:sz="0" w:space="0" w:color="auto"/>
        <w:bottom w:val="none" w:sz="0" w:space="0" w:color="auto"/>
        <w:right w:val="none" w:sz="0" w:space="0" w:color="auto"/>
      </w:divBdr>
      <w:divsChild>
        <w:div w:id="1795100450">
          <w:marLeft w:val="0"/>
          <w:marRight w:val="0"/>
          <w:marTop w:val="0"/>
          <w:marBottom w:val="0"/>
          <w:divBdr>
            <w:top w:val="none" w:sz="0" w:space="0" w:color="auto"/>
            <w:left w:val="none" w:sz="0" w:space="0" w:color="auto"/>
            <w:bottom w:val="none" w:sz="0" w:space="0" w:color="auto"/>
            <w:right w:val="none" w:sz="0" w:space="0" w:color="auto"/>
          </w:divBdr>
        </w:div>
      </w:divsChild>
    </w:div>
    <w:div w:id="398015160">
      <w:marLeft w:val="0"/>
      <w:marRight w:val="0"/>
      <w:marTop w:val="0"/>
      <w:marBottom w:val="0"/>
      <w:divBdr>
        <w:top w:val="none" w:sz="0" w:space="0" w:color="auto"/>
        <w:left w:val="none" w:sz="0" w:space="0" w:color="auto"/>
        <w:bottom w:val="none" w:sz="0" w:space="0" w:color="auto"/>
        <w:right w:val="none" w:sz="0" w:space="0" w:color="auto"/>
      </w:divBdr>
    </w:div>
    <w:div w:id="402605948">
      <w:marLeft w:val="0"/>
      <w:marRight w:val="0"/>
      <w:marTop w:val="0"/>
      <w:marBottom w:val="0"/>
      <w:divBdr>
        <w:top w:val="none" w:sz="0" w:space="0" w:color="auto"/>
        <w:left w:val="none" w:sz="0" w:space="0" w:color="auto"/>
        <w:bottom w:val="none" w:sz="0" w:space="0" w:color="auto"/>
        <w:right w:val="none" w:sz="0" w:space="0" w:color="auto"/>
      </w:divBdr>
    </w:div>
    <w:div w:id="407264183">
      <w:marLeft w:val="0"/>
      <w:marRight w:val="0"/>
      <w:marTop w:val="0"/>
      <w:marBottom w:val="0"/>
      <w:divBdr>
        <w:top w:val="none" w:sz="0" w:space="0" w:color="auto"/>
        <w:left w:val="none" w:sz="0" w:space="0" w:color="auto"/>
        <w:bottom w:val="none" w:sz="0" w:space="0" w:color="auto"/>
        <w:right w:val="none" w:sz="0" w:space="0" w:color="auto"/>
      </w:divBdr>
    </w:div>
    <w:div w:id="408694850">
      <w:marLeft w:val="0"/>
      <w:marRight w:val="0"/>
      <w:marTop w:val="0"/>
      <w:marBottom w:val="0"/>
      <w:divBdr>
        <w:top w:val="none" w:sz="0" w:space="0" w:color="auto"/>
        <w:left w:val="none" w:sz="0" w:space="0" w:color="auto"/>
        <w:bottom w:val="none" w:sz="0" w:space="0" w:color="auto"/>
        <w:right w:val="none" w:sz="0" w:space="0" w:color="auto"/>
      </w:divBdr>
    </w:div>
    <w:div w:id="420837754">
      <w:marLeft w:val="0"/>
      <w:marRight w:val="0"/>
      <w:marTop w:val="0"/>
      <w:marBottom w:val="0"/>
      <w:divBdr>
        <w:top w:val="none" w:sz="0" w:space="0" w:color="auto"/>
        <w:left w:val="none" w:sz="0" w:space="0" w:color="auto"/>
        <w:bottom w:val="none" w:sz="0" w:space="0" w:color="auto"/>
        <w:right w:val="none" w:sz="0" w:space="0" w:color="auto"/>
      </w:divBdr>
    </w:div>
    <w:div w:id="426657659">
      <w:marLeft w:val="0"/>
      <w:marRight w:val="0"/>
      <w:marTop w:val="0"/>
      <w:marBottom w:val="0"/>
      <w:divBdr>
        <w:top w:val="none" w:sz="0" w:space="0" w:color="auto"/>
        <w:left w:val="none" w:sz="0" w:space="0" w:color="auto"/>
        <w:bottom w:val="none" w:sz="0" w:space="0" w:color="auto"/>
        <w:right w:val="none" w:sz="0" w:space="0" w:color="auto"/>
      </w:divBdr>
    </w:div>
    <w:div w:id="428431348">
      <w:marLeft w:val="0"/>
      <w:marRight w:val="0"/>
      <w:marTop w:val="0"/>
      <w:marBottom w:val="0"/>
      <w:divBdr>
        <w:top w:val="none" w:sz="0" w:space="0" w:color="auto"/>
        <w:left w:val="none" w:sz="0" w:space="0" w:color="auto"/>
        <w:bottom w:val="none" w:sz="0" w:space="0" w:color="auto"/>
        <w:right w:val="none" w:sz="0" w:space="0" w:color="auto"/>
      </w:divBdr>
    </w:div>
    <w:div w:id="436557325">
      <w:marLeft w:val="0"/>
      <w:marRight w:val="0"/>
      <w:marTop w:val="0"/>
      <w:marBottom w:val="0"/>
      <w:divBdr>
        <w:top w:val="none" w:sz="0" w:space="0" w:color="auto"/>
        <w:left w:val="none" w:sz="0" w:space="0" w:color="auto"/>
        <w:bottom w:val="none" w:sz="0" w:space="0" w:color="auto"/>
        <w:right w:val="none" w:sz="0" w:space="0" w:color="auto"/>
      </w:divBdr>
    </w:div>
    <w:div w:id="438447756">
      <w:marLeft w:val="0"/>
      <w:marRight w:val="0"/>
      <w:marTop w:val="0"/>
      <w:marBottom w:val="0"/>
      <w:divBdr>
        <w:top w:val="none" w:sz="0" w:space="0" w:color="auto"/>
        <w:left w:val="none" w:sz="0" w:space="0" w:color="auto"/>
        <w:bottom w:val="none" w:sz="0" w:space="0" w:color="auto"/>
        <w:right w:val="none" w:sz="0" w:space="0" w:color="auto"/>
      </w:divBdr>
      <w:divsChild>
        <w:div w:id="798033361">
          <w:marLeft w:val="0"/>
          <w:marRight w:val="0"/>
          <w:marTop w:val="0"/>
          <w:marBottom w:val="0"/>
          <w:divBdr>
            <w:top w:val="none" w:sz="0" w:space="0" w:color="auto"/>
            <w:left w:val="none" w:sz="0" w:space="0" w:color="auto"/>
            <w:bottom w:val="none" w:sz="0" w:space="0" w:color="auto"/>
            <w:right w:val="none" w:sz="0" w:space="0" w:color="auto"/>
          </w:divBdr>
        </w:div>
      </w:divsChild>
    </w:div>
    <w:div w:id="445319281">
      <w:marLeft w:val="0"/>
      <w:marRight w:val="0"/>
      <w:marTop w:val="0"/>
      <w:marBottom w:val="0"/>
      <w:divBdr>
        <w:top w:val="none" w:sz="0" w:space="0" w:color="auto"/>
        <w:left w:val="none" w:sz="0" w:space="0" w:color="auto"/>
        <w:bottom w:val="none" w:sz="0" w:space="0" w:color="auto"/>
        <w:right w:val="none" w:sz="0" w:space="0" w:color="auto"/>
      </w:divBdr>
    </w:div>
    <w:div w:id="447168146">
      <w:marLeft w:val="0"/>
      <w:marRight w:val="0"/>
      <w:marTop w:val="0"/>
      <w:marBottom w:val="0"/>
      <w:divBdr>
        <w:top w:val="none" w:sz="0" w:space="0" w:color="auto"/>
        <w:left w:val="none" w:sz="0" w:space="0" w:color="auto"/>
        <w:bottom w:val="none" w:sz="0" w:space="0" w:color="auto"/>
        <w:right w:val="none" w:sz="0" w:space="0" w:color="auto"/>
      </w:divBdr>
    </w:div>
    <w:div w:id="447772521">
      <w:marLeft w:val="0"/>
      <w:marRight w:val="0"/>
      <w:marTop w:val="0"/>
      <w:marBottom w:val="0"/>
      <w:divBdr>
        <w:top w:val="none" w:sz="0" w:space="0" w:color="auto"/>
        <w:left w:val="none" w:sz="0" w:space="0" w:color="auto"/>
        <w:bottom w:val="none" w:sz="0" w:space="0" w:color="auto"/>
        <w:right w:val="none" w:sz="0" w:space="0" w:color="auto"/>
      </w:divBdr>
      <w:divsChild>
        <w:div w:id="1990012959">
          <w:marLeft w:val="0"/>
          <w:marRight w:val="0"/>
          <w:marTop w:val="0"/>
          <w:marBottom w:val="0"/>
          <w:divBdr>
            <w:top w:val="none" w:sz="0" w:space="0" w:color="auto"/>
            <w:left w:val="none" w:sz="0" w:space="0" w:color="auto"/>
            <w:bottom w:val="none" w:sz="0" w:space="0" w:color="auto"/>
            <w:right w:val="none" w:sz="0" w:space="0" w:color="auto"/>
          </w:divBdr>
        </w:div>
      </w:divsChild>
    </w:div>
    <w:div w:id="450635245">
      <w:marLeft w:val="0"/>
      <w:marRight w:val="0"/>
      <w:marTop w:val="0"/>
      <w:marBottom w:val="0"/>
      <w:divBdr>
        <w:top w:val="none" w:sz="0" w:space="0" w:color="auto"/>
        <w:left w:val="none" w:sz="0" w:space="0" w:color="auto"/>
        <w:bottom w:val="none" w:sz="0" w:space="0" w:color="auto"/>
        <w:right w:val="none" w:sz="0" w:space="0" w:color="auto"/>
      </w:divBdr>
      <w:divsChild>
        <w:div w:id="1689795252">
          <w:marLeft w:val="0"/>
          <w:marRight w:val="0"/>
          <w:marTop w:val="0"/>
          <w:marBottom w:val="0"/>
          <w:divBdr>
            <w:top w:val="none" w:sz="0" w:space="0" w:color="auto"/>
            <w:left w:val="none" w:sz="0" w:space="0" w:color="auto"/>
            <w:bottom w:val="none" w:sz="0" w:space="0" w:color="auto"/>
            <w:right w:val="none" w:sz="0" w:space="0" w:color="auto"/>
          </w:divBdr>
        </w:div>
      </w:divsChild>
    </w:div>
    <w:div w:id="451437962">
      <w:marLeft w:val="0"/>
      <w:marRight w:val="0"/>
      <w:marTop w:val="0"/>
      <w:marBottom w:val="0"/>
      <w:divBdr>
        <w:top w:val="none" w:sz="0" w:space="0" w:color="auto"/>
        <w:left w:val="none" w:sz="0" w:space="0" w:color="auto"/>
        <w:bottom w:val="none" w:sz="0" w:space="0" w:color="auto"/>
        <w:right w:val="none" w:sz="0" w:space="0" w:color="auto"/>
      </w:divBdr>
      <w:divsChild>
        <w:div w:id="179972853">
          <w:marLeft w:val="0"/>
          <w:marRight w:val="0"/>
          <w:marTop w:val="0"/>
          <w:marBottom w:val="0"/>
          <w:divBdr>
            <w:top w:val="none" w:sz="0" w:space="0" w:color="auto"/>
            <w:left w:val="none" w:sz="0" w:space="0" w:color="auto"/>
            <w:bottom w:val="none" w:sz="0" w:space="0" w:color="auto"/>
            <w:right w:val="none" w:sz="0" w:space="0" w:color="auto"/>
          </w:divBdr>
        </w:div>
      </w:divsChild>
    </w:div>
    <w:div w:id="455874036">
      <w:marLeft w:val="0"/>
      <w:marRight w:val="0"/>
      <w:marTop w:val="0"/>
      <w:marBottom w:val="0"/>
      <w:divBdr>
        <w:top w:val="none" w:sz="0" w:space="0" w:color="auto"/>
        <w:left w:val="none" w:sz="0" w:space="0" w:color="auto"/>
        <w:bottom w:val="none" w:sz="0" w:space="0" w:color="auto"/>
        <w:right w:val="none" w:sz="0" w:space="0" w:color="auto"/>
      </w:divBdr>
    </w:div>
    <w:div w:id="458845551">
      <w:marLeft w:val="0"/>
      <w:marRight w:val="0"/>
      <w:marTop w:val="0"/>
      <w:marBottom w:val="0"/>
      <w:divBdr>
        <w:top w:val="none" w:sz="0" w:space="0" w:color="auto"/>
        <w:left w:val="none" w:sz="0" w:space="0" w:color="auto"/>
        <w:bottom w:val="none" w:sz="0" w:space="0" w:color="auto"/>
        <w:right w:val="none" w:sz="0" w:space="0" w:color="auto"/>
      </w:divBdr>
    </w:div>
    <w:div w:id="464004431">
      <w:marLeft w:val="0"/>
      <w:marRight w:val="0"/>
      <w:marTop w:val="0"/>
      <w:marBottom w:val="0"/>
      <w:divBdr>
        <w:top w:val="none" w:sz="0" w:space="0" w:color="auto"/>
        <w:left w:val="none" w:sz="0" w:space="0" w:color="auto"/>
        <w:bottom w:val="none" w:sz="0" w:space="0" w:color="auto"/>
        <w:right w:val="none" w:sz="0" w:space="0" w:color="auto"/>
      </w:divBdr>
      <w:divsChild>
        <w:div w:id="208999296">
          <w:marLeft w:val="0"/>
          <w:marRight w:val="0"/>
          <w:marTop w:val="0"/>
          <w:marBottom w:val="0"/>
          <w:divBdr>
            <w:top w:val="none" w:sz="0" w:space="0" w:color="auto"/>
            <w:left w:val="none" w:sz="0" w:space="0" w:color="auto"/>
            <w:bottom w:val="none" w:sz="0" w:space="0" w:color="auto"/>
            <w:right w:val="none" w:sz="0" w:space="0" w:color="auto"/>
          </w:divBdr>
          <w:divsChild>
            <w:div w:id="5988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27992">
      <w:marLeft w:val="0"/>
      <w:marRight w:val="0"/>
      <w:marTop w:val="0"/>
      <w:marBottom w:val="0"/>
      <w:divBdr>
        <w:top w:val="none" w:sz="0" w:space="0" w:color="auto"/>
        <w:left w:val="none" w:sz="0" w:space="0" w:color="auto"/>
        <w:bottom w:val="none" w:sz="0" w:space="0" w:color="auto"/>
        <w:right w:val="none" w:sz="0" w:space="0" w:color="auto"/>
      </w:divBdr>
    </w:div>
    <w:div w:id="470365791">
      <w:marLeft w:val="0"/>
      <w:marRight w:val="0"/>
      <w:marTop w:val="0"/>
      <w:marBottom w:val="0"/>
      <w:divBdr>
        <w:top w:val="none" w:sz="0" w:space="0" w:color="auto"/>
        <w:left w:val="none" w:sz="0" w:space="0" w:color="auto"/>
        <w:bottom w:val="none" w:sz="0" w:space="0" w:color="auto"/>
        <w:right w:val="none" w:sz="0" w:space="0" w:color="auto"/>
      </w:divBdr>
    </w:div>
    <w:div w:id="470489879">
      <w:marLeft w:val="0"/>
      <w:marRight w:val="0"/>
      <w:marTop w:val="0"/>
      <w:marBottom w:val="0"/>
      <w:divBdr>
        <w:top w:val="none" w:sz="0" w:space="0" w:color="auto"/>
        <w:left w:val="none" w:sz="0" w:space="0" w:color="auto"/>
        <w:bottom w:val="none" w:sz="0" w:space="0" w:color="auto"/>
        <w:right w:val="none" w:sz="0" w:space="0" w:color="auto"/>
      </w:divBdr>
      <w:divsChild>
        <w:div w:id="600840648">
          <w:marLeft w:val="0"/>
          <w:marRight w:val="0"/>
          <w:marTop w:val="0"/>
          <w:marBottom w:val="0"/>
          <w:divBdr>
            <w:top w:val="none" w:sz="0" w:space="0" w:color="auto"/>
            <w:left w:val="none" w:sz="0" w:space="0" w:color="auto"/>
            <w:bottom w:val="none" w:sz="0" w:space="0" w:color="auto"/>
            <w:right w:val="none" w:sz="0" w:space="0" w:color="auto"/>
          </w:divBdr>
        </w:div>
      </w:divsChild>
    </w:div>
    <w:div w:id="484711062">
      <w:marLeft w:val="0"/>
      <w:marRight w:val="0"/>
      <w:marTop w:val="0"/>
      <w:marBottom w:val="0"/>
      <w:divBdr>
        <w:top w:val="none" w:sz="0" w:space="0" w:color="auto"/>
        <w:left w:val="none" w:sz="0" w:space="0" w:color="auto"/>
        <w:bottom w:val="none" w:sz="0" w:space="0" w:color="auto"/>
        <w:right w:val="none" w:sz="0" w:space="0" w:color="auto"/>
      </w:divBdr>
    </w:div>
    <w:div w:id="487791613">
      <w:marLeft w:val="0"/>
      <w:marRight w:val="0"/>
      <w:marTop w:val="0"/>
      <w:marBottom w:val="0"/>
      <w:divBdr>
        <w:top w:val="none" w:sz="0" w:space="0" w:color="auto"/>
        <w:left w:val="none" w:sz="0" w:space="0" w:color="auto"/>
        <w:bottom w:val="none" w:sz="0" w:space="0" w:color="auto"/>
        <w:right w:val="none" w:sz="0" w:space="0" w:color="auto"/>
      </w:divBdr>
      <w:divsChild>
        <w:div w:id="1080374747">
          <w:marLeft w:val="0"/>
          <w:marRight w:val="0"/>
          <w:marTop w:val="0"/>
          <w:marBottom w:val="0"/>
          <w:divBdr>
            <w:top w:val="none" w:sz="0" w:space="0" w:color="auto"/>
            <w:left w:val="none" w:sz="0" w:space="0" w:color="auto"/>
            <w:bottom w:val="none" w:sz="0" w:space="0" w:color="auto"/>
            <w:right w:val="none" w:sz="0" w:space="0" w:color="auto"/>
          </w:divBdr>
        </w:div>
      </w:divsChild>
    </w:div>
    <w:div w:id="490100964">
      <w:marLeft w:val="0"/>
      <w:marRight w:val="0"/>
      <w:marTop w:val="0"/>
      <w:marBottom w:val="0"/>
      <w:divBdr>
        <w:top w:val="none" w:sz="0" w:space="0" w:color="auto"/>
        <w:left w:val="none" w:sz="0" w:space="0" w:color="auto"/>
        <w:bottom w:val="none" w:sz="0" w:space="0" w:color="auto"/>
        <w:right w:val="none" w:sz="0" w:space="0" w:color="auto"/>
      </w:divBdr>
    </w:div>
    <w:div w:id="500043846">
      <w:marLeft w:val="0"/>
      <w:marRight w:val="0"/>
      <w:marTop w:val="0"/>
      <w:marBottom w:val="0"/>
      <w:divBdr>
        <w:top w:val="none" w:sz="0" w:space="0" w:color="auto"/>
        <w:left w:val="none" w:sz="0" w:space="0" w:color="auto"/>
        <w:bottom w:val="none" w:sz="0" w:space="0" w:color="auto"/>
        <w:right w:val="none" w:sz="0" w:space="0" w:color="auto"/>
      </w:divBdr>
    </w:div>
    <w:div w:id="504831327">
      <w:marLeft w:val="0"/>
      <w:marRight w:val="0"/>
      <w:marTop w:val="0"/>
      <w:marBottom w:val="0"/>
      <w:divBdr>
        <w:top w:val="none" w:sz="0" w:space="0" w:color="auto"/>
        <w:left w:val="none" w:sz="0" w:space="0" w:color="auto"/>
        <w:bottom w:val="none" w:sz="0" w:space="0" w:color="auto"/>
        <w:right w:val="none" w:sz="0" w:space="0" w:color="auto"/>
      </w:divBdr>
      <w:divsChild>
        <w:div w:id="114562814">
          <w:marLeft w:val="0"/>
          <w:marRight w:val="0"/>
          <w:marTop w:val="0"/>
          <w:marBottom w:val="0"/>
          <w:divBdr>
            <w:top w:val="none" w:sz="0" w:space="0" w:color="auto"/>
            <w:left w:val="none" w:sz="0" w:space="0" w:color="auto"/>
            <w:bottom w:val="none" w:sz="0" w:space="0" w:color="auto"/>
            <w:right w:val="none" w:sz="0" w:space="0" w:color="auto"/>
          </w:divBdr>
        </w:div>
      </w:divsChild>
    </w:div>
    <w:div w:id="509181061">
      <w:marLeft w:val="0"/>
      <w:marRight w:val="0"/>
      <w:marTop w:val="120"/>
      <w:marBottom w:val="0"/>
      <w:divBdr>
        <w:top w:val="none" w:sz="0" w:space="0" w:color="auto"/>
        <w:left w:val="none" w:sz="0" w:space="0" w:color="auto"/>
        <w:bottom w:val="none" w:sz="0" w:space="0" w:color="auto"/>
        <w:right w:val="none" w:sz="0" w:space="0" w:color="auto"/>
      </w:divBdr>
    </w:div>
    <w:div w:id="513812273">
      <w:marLeft w:val="0"/>
      <w:marRight w:val="0"/>
      <w:marTop w:val="0"/>
      <w:marBottom w:val="0"/>
      <w:divBdr>
        <w:top w:val="none" w:sz="0" w:space="0" w:color="auto"/>
        <w:left w:val="none" w:sz="0" w:space="0" w:color="auto"/>
        <w:bottom w:val="none" w:sz="0" w:space="0" w:color="auto"/>
        <w:right w:val="none" w:sz="0" w:space="0" w:color="auto"/>
      </w:divBdr>
      <w:divsChild>
        <w:div w:id="734357248">
          <w:marLeft w:val="0"/>
          <w:marRight w:val="0"/>
          <w:marTop w:val="0"/>
          <w:marBottom w:val="0"/>
          <w:divBdr>
            <w:top w:val="none" w:sz="0" w:space="0" w:color="auto"/>
            <w:left w:val="none" w:sz="0" w:space="0" w:color="auto"/>
            <w:bottom w:val="none" w:sz="0" w:space="0" w:color="auto"/>
            <w:right w:val="none" w:sz="0" w:space="0" w:color="auto"/>
          </w:divBdr>
        </w:div>
      </w:divsChild>
    </w:div>
    <w:div w:id="518619023">
      <w:marLeft w:val="0"/>
      <w:marRight w:val="0"/>
      <w:marTop w:val="0"/>
      <w:marBottom w:val="0"/>
      <w:divBdr>
        <w:top w:val="none" w:sz="0" w:space="0" w:color="auto"/>
        <w:left w:val="none" w:sz="0" w:space="0" w:color="auto"/>
        <w:bottom w:val="none" w:sz="0" w:space="0" w:color="auto"/>
        <w:right w:val="none" w:sz="0" w:space="0" w:color="auto"/>
      </w:divBdr>
      <w:divsChild>
        <w:div w:id="847065973">
          <w:marLeft w:val="0"/>
          <w:marRight w:val="0"/>
          <w:marTop w:val="0"/>
          <w:marBottom w:val="0"/>
          <w:divBdr>
            <w:top w:val="none" w:sz="0" w:space="0" w:color="auto"/>
            <w:left w:val="none" w:sz="0" w:space="0" w:color="auto"/>
            <w:bottom w:val="none" w:sz="0" w:space="0" w:color="auto"/>
            <w:right w:val="none" w:sz="0" w:space="0" w:color="auto"/>
          </w:divBdr>
        </w:div>
      </w:divsChild>
    </w:div>
    <w:div w:id="529341943">
      <w:marLeft w:val="0"/>
      <w:marRight w:val="0"/>
      <w:marTop w:val="0"/>
      <w:marBottom w:val="0"/>
      <w:divBdr>
        <w:top w:val="none" w:sz="0" w:space="0" w:color="auto"/>
        <w:left w:val="none" w:sz="0" w:space="0" w:color="auto"/>
        <w:bottom w:val="none" w:sz="0" w:space="0" w:color="auto"/>
        <w:right w:val="none" w:sz="0" w:space="0" w:color="auto"/>
      </w:divBdr>
    </w:div>
    <w:div w:id="532964255">
      <w:marLeft w:val="0"/>
      <w:marRight w:val="0"/>
      <w:marTop w:val="0"/>
      <w:marBottom w:val="0"/>
      <w:divBdr>
        <w:top w:val="none" w:sz="0" w:space="0" w:color="auto"/>
        <w:left w:val="none" w:sz="0" w:space="0" w:color="auto"/>
        <w:bottom w:val="none" w:sz="0" w:space="0" w:color="auto"/>
        <w:right w:val="none" w:sz="0" w:space="0" w:color="auto"/>
      </w:divBdr>
    </w:div>
    <w:div w:id="533807689">
      <w:marLeft w:val="0"/>
      <w:marRight w:val="0"/>
      <w:marTop w:val="0"/>
      <w:marBottom w:val="0"/>
      <w:divBdr>
        <w:top w:val="none" w:sz="0" w:space="0" w:color="auto"/>
        <w:left w:val="none" w:sz="0" w:space="0" w:color="auto"/>
        <w:bottom w:val="none" w:sz="0" w:space="0" w:color="auto"/>
        <w:right w:val="none" w:sz="0" w:space="0" w:color="auto"/>
      </w:divBdr>
    </w:div>
    <w:div w:id="540820940">
      <w:marLeft w:val="0"/>
      <w:marRight w:val="0"/>
      <w:marTop w:val="0"/>
      <w:marBottom w:val="0"/>
      <w:divBdr>
        <w:top w:val="none" w:sz="0" w:space="0" w:color="auto"/>
        <w:left w:val="none" w:sz="0" w:space="0" w:color="auto"/>
        <w:bottom w:val="none" w:sz="0" w:space="0" w:color="auto"/>
        <w:right w:val="none" w:sz="0" w:space="0" w:color="auto"/>
      </w:divBdr>
      <w:divsChild>
        <w:div w:id="1793743385">
          <w:marLeft w:val="0"/>
          <w:marRight w:val="0"/>
          <w:marTop w:val="0"/>
          <w:marBottom w:val="0"/>
          <w:divBdr>
            <w:top w:val="none" w:sz="0" w:space="0" w:color="auto"/>
            <w:left w:val="none" w:sz="0" w:space="0" w:color="auto"/>
            <w:bottom w:val="none" w:sz="0" w:space="0" w:color="auto"/>
            <w:right w:val="none" w:sz="0" w:space="0" w:color="auto"/>
          </w:divBdr>
        </w:div>
      </w:divsChild>
    </w:div>
    <w:div w:id="544561420">
      <w:marLeft w:val="0"/>
      <w:marRight w:val="0"/>
      <w:marTop w:val="0"/>
      <w:marBottom w:val="0"/>
      <w:divBdr>
        <w:top w:val="none" w:sz="0" w:space="0" w:color="auto"/>
        <w:left w:val="none" w:sz="0" w:space="0" w:color="auto"/>
        <w:bottom w:val="none" w:sz="0" w:space="0" w:color="auto"/>
        <w:right w:val="none" w:sz="0" w:space="0" w:color="auto"/>
      </w:divBdr>
    </w:div>
    <w:div w:id="547761356">
      <w:marLeft w:val="0"/>
      <w:marRight w:val="0"/>
      <w:marTop w:val="0"/>
      <w:marBottom w:val="0"/>
      <w:divBdr>
        <w:top w:val="none" w:sz="0" w:space="0" w:color="auto"/>
        <w:left w:val="none" w:sz="0" w:space="0" w:color="auto"/>
        <w:bottom w:val="none" w:sz="0" w:space="0" w:color="auto"/>
        <w:right w:val="none" w:sz="0" w:space="0" w:color="auto"/>
      </w:divBdr>
    </w:div>
    <w:div w:id="548303622">
      <w:marLeft w:val="0"/>
      <w:marRight w:val="0"/>
      <w:marTop w:val="0"/>
      <w:marBottom w:val="0"/>
      <w:divBdr>
        <w:top w:val="none" w:sz="0" w:space="0" w:color="auto"/>
        <w:left w:val="none" w:sz="0" w:space="0" w:color="auto"/>
        <w:bottom w:val="none" w:sz="0" w:space="0" w:color="auto"/>
        <w:right w:val="none" w:sz="0" w:space="0" w:color="auto"/>
      </w:divBdr>
    </w:div>
    <w:div w:id="551577474">
      <w:marLeft w:val="0"/>
      <w:marRight w:val="0"/>
      <w:marTop w:val="0"/>
      <w:marBottom w:val="0"/>
      <w:divBdr>
        <w:top w:val="none" w:sz="0" w:space="0" w:color="auto"/>
        <w:left w:val="none" w:sz="0" w:space="0" w:color="auto"/>
        <w:bottom w:val="none" w:sz="0" w:space="0" w:color="auto"/>
        <w:right w:val="none" w:sz="0" w:space="0" w:color="auto"/>
      </w:divBdr>
    </w:div>
    <w:div w:id="554778133">
      <w:marLeft w:val="0"/>
      <w:marRight w:val="0"/>
      <w:marTop w:val="0"/>
      <w:marBottom w:val="0"/>
      <w:divBdr>
        <w:top w:val="none" w:sz="0" w:space="0" w:color="auto"/>
        <w:left w:val="none" w:sz="0" w:space="0" w:color="auto"/>
        <w:bottom w:val="none" w:sz="0" w:space="0" w:color="auto"/>
        <w:right w:val="none" w:sz="0" w:space="0" w:color="auto"/>
      </w:divBdr>
    </w:div>
    <w:div w:id="558395701">
      <w:marLeft w:val="0"/>
      <w:marRight w:val="0"/>
      <w:marTop w:val="0"/>
      <w:marBottom w:val="0"/>
      <w:divBdr>
        <w:top w:val="none" w:sz="0" w:space="0" w:color="auto"/>
        <w:left w:val="none" w:sz="0" w:space="0" w:color="auto"/>
        <w:bottom w:val="none" w:sz="0" w:space="0" w:color="auto"/>
        <w:right w:val="none" w:sz="0" w:space="0" w:color="auto"/>
      </w:divBdr>
      <w:divsChild>
        <w:div w:id="2009945728">
          <w:marLeft w:val="0"/>
          <w:marRight w:val="0"/>
          <w:marTop w:val="0"/>
          <w:marBottom w:val="0"/>
          <w:divBdr>
            <w:top w:val="none" w:sz="0" w:space="0" w:color="auto"/>
            <w:left w:val="none" w:sz="0" w:space="0" w:color="auto"/>
            <w:bottom w:val="none" w:sz="0" w:space="0" w:color="auto"/>
            <w:right w:val="none" w:sz="0" w:space="0" w:color="auto"/>
          </w:divBdr>
        </w:div>
      </w:divsChild>
    </w:div>
    <w:div w:id="560756646">
      <w:marLeft w:val="0"/>
      <w:marRight w:val="0"/>
      <w:marTop w:val="0"/>
      <w:marBottom w:val="0"/>
      <w:divBdr>
        <w:top w:val="none" w:sz="0" w:space="0" w:color="auto"/>
        <w:left w:val="none" w:sz="0" w:space="0" w:color="auto"/>
        <w:bottom w:val="none" w:sz="0" w:space="0" w:color="auto"/>
        <w:right w:val="none" w:sz="0" w:space="0" w:color="auto"/>
      </w:divBdr>
    </w:div>
    <w:div w:id="561523502">
      <w:marLeft w:val="0"/>
      <w:marRight w:val="0"/>
      <w:marTop w:val="0"/>
      <w:marBottom w:val="0"/>
      <w:divBdr>
        <w:top w:val="none" w:sz="0" w:space="0" w:color="auto"/>
        <w:left w:val="none" w:sz="0" w:space="0" w:color="auto"/>
        <w:bottom w:val="none" w:sz="0" w:space="0" w:color="auto"/>
        <w:right w:val="none" w:sz="0" w:space="0" w:color="auto"/>
      </w:divBdr>
    </w:div>
    <w:div w:id="563683505">
      <w:marLeft w:val="0"/>
      <w:marRight w:val="0"/>
      <w:marTop w:val="0"/>
      <w:marBottom w:val="0"/>
      <w:divBdr>
        <w:top w:val="none" w:sz="0" w:space="0" w:color="auto"/>
        <w:left w:val="none" w:sz="0" w:space="0" w:color="auto"/>
        <w:bottom w:val="none" w:sz="0" w:space="0" w:color="auto"/>
        <w:right w:val="none" w:sz="0" w:space="0" w:color="auto"/>
      </w:divBdr>
      <w:divsChild>
        <w:div w:id="1866358011">
          <w:marLeft w:val="0"/>
          <w:marRight w:val="0"/>
          <w:marTop w:val="0"/>
          <w:marBottom w:val="0"/>
          <w:divBdr>
            <w:top w:val="none" w:sz="0" w:space="0" w:color="auto"/>
            <w:left w:val="none" w:sz="0" w:space="0" w:color="auto"/>
            <w:bottom w:val="none" w:sz="0" w:space="0" w:color="auto"/>
            <w:right w:val="none" w:sz="0" w:space="0" w:color="auto"/>
          </w:divBdr>
        </w:div>
      </w:divsChild>
    </w:div>
    <w:div w:id="567500362">
      <w:marLeft w:val="0"/>
      <w:marRight w:val="0"/>
      <w:marTop w:val="0"/>
      <w:marBottom w:val="0"/>
      <w:divBdr>
        <w:top w:val="none" w:sz="0" w:space="0" w:color="auto"/>
        <w:left w:val="none" w:sz="0" w:space="0" w:color="auto"/>
        <w:bottom w:val="none" w:sz="0" w:space="0" w:color="auto"/>
        <w:right w:val="none" w:sz="0" w:space="0" w:color="auto"/>
      </w:divBdr>
      <w:divsChild>
        <w:div w:id="197426626">
          <w:marLeft w:val="0"/>
          <w:marRight w:val="0"/>
          <w:marTop w:val="0"/>
          <w:marBottom w:val="0"/>
          <w:divBdr>
            <w:top w:val="none" w:sz="0" w:space="0" w:color="auto"/>
            <w:left w:val="none" w:sz="0" w:space="0" w:color="auto"/>
            <w:bottom w:val="none" w:sz="0" w:space="0" w:color="auto"/>
            <w:right w:val="none" w:sz="0" w:space="0" w:color="auto"/>
          </w:divBdr>
        </w:div>
      </w:divsChild>
    </w:div>
    <w:div w:id="580723471">
      <w:marLeft w:val="0"/>
      <w:marRight w:val="0"/>
      <w:marTop w:val="0"/>
      <w:marBottom w:val="0"/>
      <w:divBdr>
        <w:top w:val="none" w:sz="0" w:space="0" w:color="auto"/>
        <w:left w:val="none" w:sz="0" w:space="0" w:color="auto"/>
        <w:bottom w:val="none" w:sz="0" w:space="0" w:color="auto"/>
        <w:right w:val="none" w:sz="0" w:space="0" w:color="auto"/>
      </w:divBdr>
    </w:div>
    <w:div w:id="583953828">
      <w:marLeft w:val="0"/>
      <w:marRight w:val="0"/>
      <w:marTop w:val="0"/>
      <w:marBottom w:val="0"/>
      <w:divBdr>
        <w:top w:val="none" w:sz="0" w:space="0" w:color="auto"/>
        <w:left w:val="none" w:sz="0" w:space="0" w:color="auto"/>
        <w:bottom w:val="none" w:sz="0" w:space="0" w:color="auto"/>
        <w:right w:val="none" w:sz="0" w:space="0" w:color="auto"/>
      </w:divBdr>
      <w:divsChild>
        <w:div w:id="1391267108">
          <w:marLeft w:val="0"/>
          <w:marRight w:val="0"/>
          <w:marTop w:val="0"/>
          <w:marBottom w:val="0"/>
          <w:divBdr>
            <w:top w:val="none" w:sz="0" w:space="0" w:color="auto"/>
            <w:left w:val="none" w:sz="0" w:space="0" w:color="auto"/>
            <w:bottom w:val="none" w:sz="0" w:space="0" w:color="auto"/>
            <w:right w:val="none" w:sz="0" w:space="0" w:color="auto"/>
          </w:divBdr>
        </w:div>
      </w:divsChild>
    </w:div>
    <w:div w:id="586303846">
      <w:marLeft w:val="0"/>
      <w:marRight w:val="0"/>
      <w:marTop w:val="0"/>
      <w:marBottom w:val="0"/>
      <w:divBdr>
        <w:top w:val="none" w:sz="0" w:space="0" w:color="auto"/>
        <w:left w:val="none" w:sz="0" w:space="0" w:color="auto"/>
        <w:bottom w:val="none" w:sz="0" w:space="0" w:color="auto"/>
        <w:right w:val="none" w:sz="0" w:space="0" w:color="auto"/>
      </w:divBdr>
    </w:div>
    <w:div w:id="592206600">
      <w:marLeft w:val="0"/>
      <w:marRight w:val="0"/>
      <w:marTop w:val="0"/>
      <w:marBottom w:val="0"/>
      <w:divBdr>
        <w:top w:val="none" w:sz="0" w:space="0" w:color="auto"/>
        <w:left w:val="none" w:sz="0" w:space="0" w:color="auto"/>
        <w:bottom w:val="none" w:sz="0" w:space="0" w:color="auto"/>
        <w:right w:val="none" w:sz="0" w:space="0" w:color="auto"/>
      </w:divBdr>
    </w:div>
    <w:div w:id="596400913">
      <w:marLeft w:val="0"/>
      <w:marRight w:val="0"/>
      <w:marTop w:val="0"/>
      <w:marBottom w:val="0"/>
      <w:divBdr>
        <w:top w:val="none" w:sz="0" w:space="0" w:color="auto"/>
        <w:left w:val="none" w:sz="0" w:space="0" w:color="auto"/>
        <w:bottom w:val="none" w:sz="0" w:space="0" w:color="auto"/>
        <w:right w:val="none" w:sz="0" w:space="0" w:color="auto"/>
      </w:divBdr>
      <w:divsChild>
        <w:div w:id="830100570">
          <w:marLeft w:val="0"/>
          <w:marRight w:val="0"/>
          <w:marTop w:val="0"/>
          <w:marBottom w:val="0"/>
          <w:divBdr>
            <w:top w:val="none" w:sz="0" w:space="0" w:color="auto"/>
            <w:left w:val="none" w:sz="0" w:space="0" w:color="auto"/>
            <w:bottom w:val="none" w:sz="0" w:space="0" w:color="auto"/>
            <w:right w:val="none" w:sz="0" w:space="0" w:color="auto"/>
          </w:divBdr>
        </w:div>
      </w:divsChild>
    </w:div>
    <w:div w:id="597446824">
      <w:marLeft w:val="0"/>
      <w:marRight w:val="0"/>
      <w:marTop w:val="0"/>
      <w:marBottom w:val="0"/>
      <w:divBdr>
        <w:top w:val="none" w:sz="0" w:space="0" w:color="auto"/>
        <w:left w:val="none" w:sz="0" w:space="0" w:color="auto"/>
        <w:bottom w:val="none" w:sz="0" w:space="0" w:color="auto"/>
        <w:right w:val="none" w:sz="0" w:space="0" w:color="auto"/>
      </w:divBdr>
    </w:div>
    <w:div w:id="601184253">
      <w:marLeft w:val="0"/>
      <w:marRight w:val="0"/>
      <w:marTop w:val="0"/>
      <w:marBottom w:val="0"/>
      <w:divBdr>
        <w:top w:val="none" w:sz="0" w:space="0" w:color="auto"/>
        <w:left w:val="none" w:sz="0" w:space="0" w:color="auto"/>
        <w:bottom w:val="none" w:sz="0" w:space="0" w:color="auto"/>
        <w:right w:val="none" w:sz="0" w:space="0" w:color="auto"/>
      </w:divBdr>
    </w:div>
    <w:div w:id="611590095">
      <w:marLeft w:val="0"/>
      <w:marRight w:val="0"/>
      <w:marTop w:val="0"/>
      <w:marBottom w:val="0"/>
      <w:divBdr>
        <w:top w:val="none" w:sz="0" w:space="0" w:color="auto"/>
        <w:left w:val="none" w:sz="0" w:space="0" w:color="auto"/>
        <w:bottom w:val="none" w:sz="0" w:space="0" w:color="auto"/>
        <w:right w:val="none" w:sz="0" w:space="0" w:color="auto"/>
      </w:divBdr>
    </w:div>
    <w:div w:id="615254356">
      <w:marLeft w:val="0"/>
      <w:marRight w:val="0"/>
      <w:marTop w:val="0"/>
      <w:marBottom w:val="0"/>
      <w:divBdr>
        <w:top w:val="none" w:sz="0" w:space="0" w:color="auto"/>
        <w:left w:val="none" w:sz="0" w:space="0" w:color="auto"/>
        <w:bottom w:val="none" w:sz="0" w:space="0" w:color="auto"/>
        <w:right w:val="none" w:sz="0" w:space="0" w:color="auto"/>
      </w:divBdr>
    </w:div>
    <w:div w:id="616638722">
      <w:marLeft w:val="0"/>
      <w:marRight w:val="0"/>
      <w:marTop w:val="0"/>
      <w:marBottom w:val="0"/>
      <w:divBdr>
        <w:top w:val="none" w:sz="0" w:space="0" w:color="auto"/>
        <w:left w:val="none" w:sz="0" w:space="0" w:color="auto"/>
        <w:bottom w:val="none" w:sz="0" w:space="0" w:color="auto"/>
        <w:right w:val="none" w:sz="0" w:space="0" w:color="auto"/>
      </w:divBdr>
    </w:div>
    <w:div w:id="620258790">
      <w:marLeft w:val="0"/>
      <w:marRight w:val="0"/>
      <w:marTop w:val="0"/>
      <w:marBottom w:val="0"/>
      <w:divBdr>
        <w:top w:val="none" w:sz="0" w:space="0" w:color="auto"/>
        <w:left w:val="none" w:sz="0" w:space="0" w:color="auto"/>
        <w:bottom w:val="none" w:sz="0" w:space="0" w:color="auto"/>
        <w:right w:val="none" w:sz="0" w:space="0" w:color="auto"/>
      </w:divBdr>
    </w:div>
    <w:div w:id="634718708">
      <w:marLeft w:val="0"/>
      <w:marRight w:val="0"/>
      <w:marTop w:val="0"/>
      <w:marBottom w:val="0"/>
      <w:divBdr>
        <w:top w:val="none" w:sz="0" w:space="0" w:color="auto"/>
        <w:left w:val="none" w:sz="0" w:space="0" w:color="auto"/>
        <w:bottom w:val="none" w:sz="0" w:space="0" w:color="auto"/>
        <w:right w:val="none" w:sz="0" w:space="0" w:color="auto"/>
      </w:divBdr>
      <w:divsChild>
        <w:div w:id="1160658068">
          <w:marLeft w:val="0"/>
          <w:marRight w:val="0"/>
          <w:marTop w:val="0"/>
          <w:marBottom w:val="0"/>
          <w:divBdr>
            <w:top w:val="none" w:sz="0" w:space="0" w:color="auto"/>
            <w:left w:val="none" w:sz="0" w:space="0" w:color="auto"/>
            <w:bottom w:val="none" w:sz="0" w:space="0" w:color="auto"/>
            <w:right w:val="none" w:sz="0" w:space="0" w:color="auto"/>
          </w:divBdr>
        </w:div>
      </w:divsChild>
    </w:div>
    <w:div w:id="636765343">
      <w:marLeft w:val="0"/>
      <w:marRight w:val="0"/>
      <w:marTop w:val="0"/>
      <w:marBottom w:val="0"/>
      <w:divBdr>
        <w:top w:val="none" w:sz="0" w:space="0" w:color="auto"/>
        <w:left w:val="none" w:sz="0" w:space="0" w:color="auto"/>
        <w:bottom w:val="none" w:sz="0" w:space="0" w:color="auto"/>
        <w:right w:val="none" w:sz="0" w:space="0" w:color="auto"/>
      </w:divBdr>
      <w:divsChild>
        <w:div w:id="1355614033">
          <w:marLeft w:val="0"/>
          <w:marRight w:val="0"/>
          <w:marTop w:val="0"/>
          <w:marBottom w:val="0"/>
          <w:divBdr>
            <w:top w:val="none" w:sz="0" w:space="0" w:color="auto"/>
            <w:left w:val="none" w:sz="0" w:space="0" w:color="auto"/>
            <w:bottom w:val="none" w:sz="0" w:space="0" w:color="auto"/>
            <w:right w:val="none" w:sz="0" w:space="0" w:color="auto"/>
          </w:divBdr>
        </w:div>
      </w:divsChild>
    </w:div>
    <w:div w:id="641929170">
      <w:marLeft w:val="0"/>
      <w:marRight w:val="0"/>
      <w:marTop w:val="0"/>
      <w:marBottom w:val="0"/>
      <w:divBdr>
        <w:top w:val="none" w:sz="0" w:space="0" w:color="auto"/>
        <w:left w:val="none" w:sz="0" w:space="0" w:color="auto"/>
        <w:bottom w:val="none" w:sz="0" w:space="0" w:color="auto"/>
        <w:right w:val="none" w:sz="0" w:space="0" w:color="auto"/>
      </w:divBdr>
    </w:div>
    <w:div w:id="647171777">
      <w:marLeft w:val="0"/>
      <w:marRight w:val="0"/>
      <w:marTop w:val="0"/>
      <w:marBottom w:val="0"/>
      <w:divBdr>
        <w:top w:val="none" w:sz="0" w:space="0" w:color="auto"/>
        <w:left w:val="none" w:sz="0" w:space="0" w:color="auto"/>
        <w:bottom w:val="none" w:sz="0" w:space="0" w:color="auto"/>
        <w:right w:val="none" w:sz="0" w:space="0" w:color="auto"/>
      </w:divBdr>
      <w:divsChild>
        <w:div w:id="1954708186">
          <w:marLeft w:val="0"/>
          <w:marRight w:val="0"/>
          <w:marTop w:val="0"/>
          <w:marBottom w:val="0"/>
          <w:divBdr>
            <w:top w:val="none" w:sz="0" w:space="0" w:color="auto"/>
            <w:left w:val="none" w:sz="0" w:space="0" w:color="auto"/>
            <w:bottom w:val="none" w:sz="0" w:space="0" w:color="auto"/>
            <w:right w:val="none" w:sz="0" w:space="0" w:color="auto"/>
          </w:divBdr>
        </w:div>
      </w:divsChild>
    </w:div>
    <w:div w:id="659390168">
      <w:marLeft w:val="0"/>
      <w:marRight w:val="0"/>
      <w:marTop w:val="0"/>
      <w:marBottom w:val="0"/>
      <w:divBdr>
        <w:top w:val="none" w:sz="0" w:space="0" w:color="auto"/>
        <w:left w:val="none" w:sz="0" w:space="0" w:color="auto"/>
        <w:bottom w:val="none" w:sz="0" w:space="0" w:color="auto"/>
        <w:right w:val="none" w:sz="0" w:space="0" w:color="auto"/>
      </w:divBdr>
    </w:div>
    <w:div w:id="660036637">
      <w:marLeft w:val="0"/>
      <w:marRight w:val="0"/>
      <w:marTop w:val="0"/>
      <w:marBottom w:val="0"/>
      <w:divBdr>
        <w:top w:val="none" w:sz="0" w:space="0" w:color="auto"/>
        <w:left w:val="none" w:sz="0" w:space="0" w:color="auto"/>
        <w:bottom w:val="none" w:sz="0" w:space="0" w:color="auto"/>
        <w:right w:val="none" w:sz="0" w:space="0" w:color="auto"/>
      </w:divBdr>
      <w:divsChild>
        <w:div w:id="2019573492">
          <w:marLeft w:val="0"/>
          <w:marRight w:val="0"/>
          <w:marTop w:val="0"/>
          <w:marBottom w:val="0"/>
          <w:divBdr>
            <w:top w:val="none" w:sz="0" w:space="0" w:color="auto"/>
            <w:left w:val="none" w:sz="0" w:space="0" w:color="auto"/>
            <w:bottom w:val="none" w:sz="0" w:space="0" w:color="auto"/>
            <w:right w:val="none" w:sz="0" w:space="0" w:color="auto"/>
          </w:divBdr>
        </w:div>
      </w:divsChild>
    </w:div>
    <w:div w:id="662702729">
      <w:marLeft w:val="0"/>
      <w:marRight w:val="0"/>
      <w:marTop w:val="0"/>
      <w:marBottom w:val="0"/>
      <w:divBdr>
        <w:top w:val="none" w:sz="0" w:space="0" w:color="auto"/>
        <w:left w:val="none" w:sz="0" w:space="0" w:color="auto"/>
        <w:bottom w:val="none" w:sz="0" w:space="0" w:color="auto"/>
        <w:right w:val="none" w:sz="0" w:space="0" w:color="auto"/>
      </w:divBdr>
    </w:div>
    <w:div w:id="665667671">
      <w:marLeft w:val="0"/>
      <w:marRight w:val="0"/>
      <w:marTop w:val="0"/>
      <w:marBottom w:val="0"/>
      <w:divBdr>
        <w:top w:val="none" w:sz="0" w:space="0" w:color="auto"/>
        <w:left w:val="none" w:sz="0" w:space="0" w:color="auto"/>
        <w:bottom w:val="none" w:sz="0" w:space="0" w:color="auto"/>
        <w:right w:val="none" w:sz="0" w:space="0" w:color="auto"/>
      </w:divBdr>
      <w:divsChild>
        <w:div w:id="756366404">
          <w:marLeft w:val="0"/>
          <w:marRight w:val="0"/>
          <w:marTop w:val="0"/>
          <w:marBottom w:val="0"/>
          <w:divBdr>
            <w:top w:val="none" w:sz="0" w:space="0" w:color="auto"/>
            <w:left w:val="none" w:sz="0" w:space="0" w:color="auto"/>
            <w:bottom w:val="none" w:sz="0" w:space="0" w:color="auto"/>
            <w:right w:val="none" w:sz="0" w:space="0" w:color="auto"/>
          </w:divBdr>
        </w:div>
      </w:divsChild>
    </w:div>
    <w:div w:id="681400635">
      <w:marLeft w:val="0"/>
      <w:marRight w:val="0"/>
      <w:marTop w:val="0"/>
      <w:marBottom w:val="0"/>
      <w:divBdr>
        <w:top w:val="none" w:sz="0" w:space="0" w:color="auto"/>
        <w:left w:val="none" w:sz="0" w:space="0" w:color="auto"/>
        <w:bottom w:val="none" w:sz="0" w:space="0" w:color="auto"/>
        <w:right w:val="none" w:sz="0" w:space="0" w:color="auto"/>
      </w:divBdr>
    </w:div>
    <w:div w:id="681706597">
      <w:marLeft w:val="0"/>
      <w:marRight w:val="0"/>
      <w:marTop w:val="0"/>
      <w:marBottom w:val="0"/>
      <w:divBdr>
        <w:top w:val="none" w:sz="0" w:space="0" w:color="auto"/>
        <w:left w:val="none" w:sz="0" w:space="0" w:color="auto"/>
        <w:bottom w:val="none" w:sz="0" w:space="0" w:color="auto"/>
        <w:right w:val="none" w:sz="0" w:space="0" w:color="auto"/>
      </w:divBdr>
      <w:divsChild>
        <w:div w:id="572855011">
          <w:marLeft w:val="0"/>
          <w:marRight w:val="0"/>
          <w:marTop w:val="0"/>
          <w:marBottom w:val="0"/>
          <w:divBdr>
            <w:top w:val="none" w:sz="0" w:space="0" w:color="auto"/>
            <w:left w:val="none" w:sz="0" w:space="0" w:color="auto"/>
            <w:bottom w:val="none" w:sz="0" w:space="0" w:color="auto"/>
            <w:right w:val="none" w:sz="0" w:space="0" w:color="auto"/>
          </w:divBdr>
        </w:div>
      </w:divsChild>
    </w:div>
    <w:div w:id="697971672">
      <w:marLeft w:val="0"/>
      <w:marRight w:val="0"/>
      <w:marTop w:val="0"/>
      <w:marBottom w:val="0"/>
      <w:divBdr>
        <w:top w:val="none" w:sz="0" w:space="0" w:color="auto"/>
        <w:left w:val="none" w:sz="0" w:space="0" w:color="auto"/>
        <w:bottom w:val="none" w:sz="0" w:space="0" w:color="auto"/>
        <w:right w:val="none" w:sz="0" w:space="0" w:color="auto"/>
      </w:divBdr>
      <w:divsChild>
        <w:div w:id="1242445372">
          <w:marLeft w:val="0"/>
          <w:marRight w:val="0"/>
          <w:marTop w:val="0"/>
          <w:marBottom w:val="0"/>
          <w:divBdr>
            <w:top w:val="none" w:sz="0" w:space="0" w:color="auto"/>
            <w:left w:val="none" w:sz="0" w:space="0" w:color="auto"/>
            <w:bottom w:val="none" w:sz="0" w:space="0" w:color="auto"/>
            <w:right w:val="none" w:sz="0" w:space="0" w:color="auto"/>
          </w:divBdr>
        </w:div>
      </w:divsChild>
    </w:div>
    <w:div w:id="699018366">
      <w:marLeft w:val="0"/>
      <w:marRight w:val="0"/>
      <w:marTop w:val="0"/>
      <w:marBottom w:val="0"/>
      <w:divBdr>
        <w:top w:val="none" w:sz="0" w:space="0" w:color="auto"/>
        <w:left w:val="none" w:sz="0" w:space="0" w:color="auto"/>
        <w:bottom w:val="none" w:sz="0" w:space="0" w:color="auto"/>
        <w:right w:val="none" w:sz="0" w:space="0" w:color="auto"/>
      </w:divBdr>
    </w:div>
    <w:div w:id="702288861">
      <w:marLeft w:val="0"/>
      <w:marRight w:val="0"/>
      <w:marTop w:val="0"/>
      <w:marBottom w:val="0"/>
      <w:divBdr>
        <w:top w:val="none" w:sz="0" w:space="0" w:color="auto"/>
        <w:left w:val="none" w:sz="0" w:space="0" w:color="auto"/>
        <w:bottom w:val="none" w:sz="0" w:space="0" w:color="auto"/>
        <w:right w:val="none" w:sz="0" w:space="0" w:color="auto"/>
      </w:divBdr>
    </w:div>
    <w:div w:id="703672840">
      <w:marLeft w:val="0"/>
      <w:marRight w:val="0"/>
      <w:marTop w:val="0"/>
      <w:marBottom w:val="0"/>
      <w:divBdr>
        <w:top w:val="none" w:sz="0" w:space="0" w:color="auto"/>
        <w:left w:val="none" w:sz="0" w:space="0" w:color="auto"/>
        <w:bottom w:val="none" w:sz="0" w:space="0" w:color="auto"/>
        <w:right w:val="none" w:sz="0" w:space="0" w:color="auto"/>
      </w:divBdr>
    </w:div>
    <w:div w:id="704259508">
      <w:marLeft w:val="0"/>
      <w:marRight w:val="0"/>
      <w:marTop w:val="0"/>
      <w:marBottom w:val="0"/>
      <w:divBdr>
        <w:top w:val="none" w:sz="0" w:space="0" w:color="auto"/>
        <w:left w:val="none" w:sz="0" w:space="0" w:color="auto"/>
        <w:bottom w:val="none" w:sz="0" w:space="0" w:color="auto"/>
        <w:right w:val="none" w:sz="0" w:space="0" w:color="auto"/>
      </w:divBdr>
      <w:divsChild>
        <w:div w:id="430708031">
          <w:marLeft w:val="0"/>
          <w:marRight w:val="0"/>
          <w:marTop w:val="0"/>
          <w:marBottom w:val="0"/>
          <w:divBdr>
            <w:top w:val="none" w:sz="0" w:space="0" w:color="auto"/>
            <w:left w:val="none" w:sz="0" w:space="0" w:color="auto"/>
            <w:bottom w:val="none" w:sz="0" w:space="0" w:color="auto"/>
            <w:right w:val="none" w:sz="0" w:space="0" w:color="auto"/>
          </w:divBdr>
        </w:div>
      </w:divsChild>
    </w:div>
    <w:div w:id="705330408">
      <w:marLeft w:val="0"/>
      <w:marRight w:val="0"/>
      <w:marTop w:val="0"/>
      <w:marBottom w:val="0"/>
      <w:divBdr>
        <w:top w:val="none" w:sz="0" w:space="0" w:color="auto"/>
        <w:left w:val="none" w:sz="0" w:space="0" w:color="auto"/>
        <w:bottom w:val="none" w:sz="0" w:space="0" w:color="auto"/>
        <w:right w:val="none" w:sz="0" w:space="0" w:color="auto"/>
      </w:divBdr>
    </w:div>
    <w:div w:id="711156503">
      <w:marLeft w:val="0"/>
      <w:marRight w:val="0"/>
      <w:marTop w:val="0"/>
      <w:marBottom w:val="0"/>
      <w:divBdr>
        <w:top w:val="none" w:sz="0" w:space="0" w:color="auto"/>
        <w:left w:val="none" w:sz="0" w:space="0" w:color="auto"/>
        <w:bottom w:val="none" w:sz="0" w:space="0" w:color="auto"/>
        <w:right w:val="none" w:sz="0" w:space="0" w:color="auto"/>
      </w:divBdr>
      <w:divsChild>
        <w:div w:id="526531499">
          <w:marLeft w:val="0"/>
          <w:marRight w:val="0"/>
          <w:marTop w:val="0"/>
          <w:marBottom w:val="0"/>
          <w:divBdr>
            <w:top w:val="none" w:sz="0" w:space="0" w:color="auto"/>
            <w:left w:val="none" w:sz="0" w:space="0" w:color="auto"/>
            <w:bottom w:val="none" w:sz="0" w:space="0" w:color="auto"/>
            <w:right w:val="none" w:sz="0" w:space="0" w:color="auto"/>
          </w:divBdr>
        </w:div>
      </w:divsChild>
    </w:div>
    <w:div w:id="716126869">
      <w:marLeft w:val="0"/>
      <w:marRight w:val="0"/>
      <w:marTop w:val="0"/>
      <w:marBottom w:val="0"/>
      <w:divBdr>
        <w:top w:val="none" w:sz="0" w:space="0" w:color="auto"/>
        <w:left w:val="none" w:sz="0" w:space="0" w:color="auto"/>
        <w:bottom w:val="none" w:sz="0" w:space="0" w:color="auto"/>
        <w:right w:val="none" w:sz="0" w:space="0" w:color="auto"/>
      </w:divBdr>
    </w:div>
    <w:div w:id="716781993">
      <w:marLeft w:val="0"/>
      <w:marRight w:val="0"/>
      <w:marTop w:val="0"/>
      <w:marBottom w:val="0"/>
      <w:divBdr>
        <w:top w:val="none" w:sz="0" w:space="0" w:color="auto"/>
        <w:left w:val="none" w:sz="0" w:space="0" w:color="auto"/>
        <w:bottom w:val="none" w:sz="0" w:space="0" w:color="auto"/>
        <w:right w:val="none" w:sz="0" w:space="0" w:color="auto"/>
      </w:divBdr>
    </w:div>
    <w:div w:id="730421451">
      <w:marLeft w:val="0"/>
      <w:marRight w:val="0"/>
      <w:marTop w:val="0"/>
      <w:marBottom w:val="0"/>
      <w:divBdr>
        <w:top w:val="none" w:sz="0" w:space="0" w:color="auto"/>
        <w:left w:val="none" w:sz="0" w:space="0" w:color="auto"/>
        <w:bottom w:val="none" w:sz="0" w:space="0" w:color="auto"/>
        <w:right w:val="none" w:sz="0" w:space="0" w:color="auto"/>
      </w:divBdr>
    </w:div>
    <w:div w:id="739522362">
      <w:marLeft w:val="0"/>
      <w:marRight w:val="0"/>
      <w:marTop w:val="0"/>
      <w:marBottom w:val="0"/>
      <w:divBdr>
        <w:top w:val="none" w:sz="0" w:space="0" w:color="auto"/>
        <w:left w:val="none" w:sz="0" w:space="0" w:color="auto"/>
        <w:bottom w:val="none" w:sz="0" w:space="0" w:color="auto"/>
        <w:right w:val="none" w:sz="0" w:space="0" w:color="auto"/>
      </w:divBdr>
    </w:div>
    <w:div w:id="748693529">
      <w:marLeft w:val="0"/>
      <w:marRight w:val="0"/>
      <w:marTop w:val="0"/>
      <w:marBottom w:val="0"/>
      <w:divBdr>
        <w:top w:val="none" w:sz="0" w:space="0" w:color="auto"/>
        <w:left w:val="none" w:sz="0" w:space="0" w:color="auto"/>
        <w:bottom w:val="none" w:sz="0" w:space="0" w:color="auto"/>
        <w:right w:val="none" w:sz="0" w:space="0" w:color="auto"/>
      </w:divBdr>
    </w:div>
    <w:div w:id="753626150">
      <w:marLeft w:val="0"/>
      <w:marRight w:val="0"/>
      <w:marTop w:val="0"/>
      <w:marBottom w:val="0"/>
      <w:divBdr>
        <w:top w:val="none" w:sz="0" w:space="0" w:color="auto"/>
        <w:left w:val="none" w:sz="0" w:space="0" w:color="auto"/>
        <w:bottom w:val="none" w:sz="0" w:space="0" w:color="auto"/>
        <w:right w:val="none" w:sz="0" w:space="0" w:color="auto"/>
      </w:divBdr>
      <w:divsChild>
        <w:div w:id="1597210003">
          <w:marLeft w:val="0"/>
          <w:marRight w:val="0"/>
          <w:marTop w:val="0"/>
          <w:marBottom w:val="0"/>
          <w:divBdr>
            <w:top w:val="none" w:sz="0" w:space="0" w:color="auto"/>
            <w:left w:val="none" w:sz="0" w:space="0" w:color="auto"/>
            <w:bottom w:val="none" w:sz="0" w:space="0" w:color="auto"/>
            <w:right w:val="none" w:sz="0" w:space="0" w:color="auto"/>
          </w:divBdr>
        </w:div>
      </w:divsChild>
    </w:div>
    <w:div w:id="754595182">
      <w:marLeft w:val="0"/>
      <w:marRight w:val="0"/>
      <w:marTop w:val="0"/>
      <w:marBottom w:val="0"/>
      <w:divBdr>
        <w:top w:val="none" w:sz="0" w:space="0" w:color="auto"/>
        <w:left w:val="none" w:sz="0" w:space="0" w:color="auto"/>
        <w:bottom w:val="none" w:sz="0" w:space="0" w:color="auto"/>
        <w:right w:val="none" w:sz="0" w:space="0" w:color="auto"/>
      </w:divBdr>
    </w:div>
    <w:div w:id="760179163">
      <w:marLeft w:val="0"/>
      <w:marRight w:val="0"/>
      <w:marTop w:val="0"/>
      <w:marBottom w:val="0"/>
      <w:divBdr>
        <w:top w:val="none" w:sz="0" w:space="0" w:color="auto"/>
        <w:left w:val="none" w:sz="0" w:space="0" w:color="auto"/>
        <w:bottom w:val="none" w:sz="0" w:space="0" w:color="auto"/>
        <w:right w:val="none" w:sz="0" w:space="0" w:color="auto"/>
      </w:divBdr>
      <w:divsChild>
        <w:div w:id="1885949612">
          <w:marLeft w:val="0"/>
          <w:marRight w:val="0"/>
          <w:marTop w:val="0"/>
          <w:marBottom w:val="0"/>
          <w:divBdr>
            <w:top w:val="none" w:sz="0" w:space="0" w:color="auto"/>
            <w:left w:val="none" w:sz="0" w:space="0" w:color="auto"/>
            <w:bottom w:val="none" w:sz="0" w:space="0" w:color="auto"/>
            <w:right w:val="none" w:sz="0" w:space="0" w:color="auto"/>
          </w:divBdr>
        </w:div>
      </w:divsChild>
    </w:div>
    <w:div w:id="762261858">
      <w:marLeft w:val="0"/>
      <w:marRight w:val="0"/>
      <w:marTop w:val="0"/>
      <w:marBottom w:val="0"/>
      <w:divBdr>
        <w:top w:val="none" w:sz="0" w:space="0" w:color="auto"/>
        <w:left w:val="none" w:sz="0" w:space="0" w:color="auto"/>
        <w:bottom w:val="none" w:sz="0" w:space="0" w:color="auto"/>
        <w:right w:val="none" w:sz="0" w:space="0" w:color="auto"/>
      </w:divBdr>
      <w:divsChild>
        <w:div w:id="979769727">
          <w:marLeft w:val="0"/>
          <w:marRight w:val="0"/>
          <w:marTop w:val="0"/>
          <w:marBottom w:val="0"/>
          <w:divBdr>
            <w:top w:val="none" w:sz="0" w:space="0" w:color="auto"/>
            <w:left w:val="none" w:sz="0" w:space="0" w:color="auto"/>
            <w:bottom w:val="none" w:sz="0" w:space="0" w:color="auto"/>
            <w:right w:val="none" w:sz="0" w:space="0" w:color="auto"/>
          </w:divBdr>
        </w:div>
      </w:divsChild>
    </w:div>
    <w:div w:id="767114340">
      <w:marLeft w:val="0"/>
      <w:marRight w:val="0"/>
      <w:marTop w:val="0"/>
      <w:marBottom w:val="0"/>
      <w:divBdr>
        <w:top w:val="none" w:sz="0" w:space="0" w:color="auto"/>
        <w:left w:val="none" w:sz="0" w:space="0" w:color="auto"/>
        <w:bottom w:val="none" w:sz="0" w:space="0" w:color="auto"/>
        <w:right w:val="none" w:sz="0" w:space="0" w:color="auto"/>
      </w:divBdr>
    </w:div>
    <w:div w:id="767309831">
      <w:marLeft w:val="0"/>
      <w:marRight w:val="0"/>
      <w:marTop w:val="0"/>
      <w:marBottom w:val="0"/>
      <w:divBdr>
        <w:top w:val="none" w:sz="0" w:space="0" w:color="auto"/>
        <w:left w:val="none" w:sz="0" w:space="0" w:color="auto"/>
        <w:bottom w:val="none" w:sz="0" w:space="0" w:color="auto"/>
        <w:right w:val="none" w:sz="0" w:space="0" w:color="auto"/>
      </w:divBdr>
      <w:divsChild>
        <w:div w:id="667825964">
          <w:marLeft w:val="0"/>
          <w:marRight w:val="0"/>
          <w:marTop w:val="0"/>
          <w:marBottom w:val="0"/>
          <w:divBdr>
            <w:top w:val="none" w:sz="0" w:space="0" w:color="auto"/>
            <w:left w:val="none" w:sz="0" w:space="0" w:color="auto"/>
            <w:bottom w:val="none" w:sz="0" w:space="0" w:color="auto"/>
            <w:right w:val="none" w:sz="0" w:space="0" w:color="auto"/>
          </w:divBdr>
        </w:div>
      </w:divsChild>
    </w:div>
    <w:div w:id="773011952">
      <w:marLeft w:val="0"/>
      <w:marRight w:val="0"/>
      <w:marTop w:val="0"/>
      <w:marBottom w:val="0"/>
      <w:divBdr>
        <w:top w:val="none" w:sz="0" w:space="0" w:color="auto"/>
        <w:left w:val="none" w:sz="0" w:space="0" w:color="auto"/>
        <w:bottom w:val="none" w:sz="0" w:space="0" w:color="auto"/>
        <w:right w:val="none" w:sz="0" w:space="0" w:color="auto"/>
      </w:divBdr>
    </w:div>
    <w:div w:id="776413474">
      <w:marLeft w:val="0"/>
      <w:marRight w:val="0"/>
      <w:marTop w:val="0"/>
      <w:marBottom w:val="0"/>
      <w:divBdr>
        <w:top w:val="none" w:sz="0" w:space="0" w:color="auto"/>
        <w:left w:val="none" w:sz="0" w:space="0" w:color="auto"/>
        <w:bottom w:val="none" w:sz="0" w:space="0" w:color="auto"/>
        <w:right w:val="none" w:sz="0" w:space="0" w:color="auto"/>
      </w:divBdr>
      <w:divsChild>
        <w:div w:id="84767660">
          <w:marLeft w:val="0"/>
          <w:marRight w:val="0"/>
          <w:marTop w:val="0"/>
          <w:marBottom w:val="0"/>
          <w:divBdr>
            <w:top w:val="none" w:sz="0" w:space="0" w:color="auto"/>
            <w:left w:val="none" w:sz="0" w:space="0" w:color="auto"/>
            <w:bottom w:val="none" w:sz="0" w:space="0" w:color="auto"/>
            <w:right w:val="none" w:sz="0" w:space="0" w:color="auto"/>
          </w:divBdr>
        </w:div>
      </w:divsChild>
    </w:div>
    <w:div w:id="777796349">
      <w:marLeft w:val="0"/>
      <w:marRight w:val="0"/>
      <w:marTop w:val="0"/>
      <w:marBottom w:val="0"/>
      <w:divBdr>
        <w:top w:val="none" w:sz="0" w:space="0" w:color="auto"/>
        <w:left w:val="none" w:sz="0" w:space="0" w:color="auto"/>
        <w:bottom w:val="none" w:sz="0" w:space="0" w:color="auto"/>
        <w:right w:val="none" w:sz="0" w:space="0" w:color="auto"/>
      </w:divBdr>
    </w:div>
    <w:div w:id="783618912">
      <w:marLeft w:val="0"/>
      <w:marRight w:val="0"/>
      <w:marTop w:val="0"/>
      <w:marBottom w:val="0"/>
      <w:divBdr>
        <w:top w:val="none" w:sz="0" w:space="0" w:color="auto"/>
        <w:left w:val="none" w:sz="0" w:space="0" w:color="auto"/>
        <w:bottom w:val="none" w:sz="0" w:space="0" w:color="auto"/>
        <w:right w:val="none" w:sz="0" w:space="0" w:color="auto"/>
      </w:divBdr>
      <w:divsChild>
        <w:div w:id="1917937305">
          <w:marLeft w:val="0"/>
          <w:marRight w:val="0"/>
          <w:marTop w:val="0"/>
          <w:marBottom w:val="0"/>
          <w:divBdr>
            <w:top w:val="none" w:sz="0" w:space="0" w:color="auto"/>
            <w:left w:val="none" w:sz="0" w:space="0" w:color="auto"/>
            <w:bottom w:val="none" w:sz="0" w:space="0" w:color="auto"/>
            <w:right w:val="none" w:sz="0" w:space="0" w:color="auto"/>
          </w:divBdr>
        </w:div>
      </w:divsChild>
    </w:div>
    <w:div w:id="784547166">
      <w:marLeft w:val="0"/>
      <w:marRight w:val="0"/>
      <w:marTop w:val="0"/>
      <w:marBottom w:val="0"/>
      <w:divBdr>
        <w:top w:val="none" w:sz="0" w:space="0" w:color="auto"/>
        <w:left w:val="none" w:sz="0" w:space="0" w:color="auto"/>
        <w:bottom w:val="none" w:sz="0" w:space="0" w:color="auto"/>
        <w:right w:val="none" w:sz="0" w:space="0" w:color="auto"/>
      </w:divBdr>
    </w:div>
    <w:div w:id="786856695">
      <w:marLeft w:val="0"/>
      <w:marRight w:val="0"/>
      <w:marTop w:val="0"/>
      <w:marBottom w:val="0"/>
      <w:divBdr>
        <w:top w:val="none" w:sz="0" w:space="0" w:color="auto"/>
        <w:left w:val="none" w:sz="0" w:space="0" w:color="auto"/>
        <w:bottom w:val="none" w:sz="0" w:space="0" w:color="auto"/>
        <w:right w:val="none" w:sz="0" w:space="0" w:color="auto"/>
      </w:divBdr>
    </w:div>
    <w:div w:id="792213968">
      <w:marLeft w:val="0"/>
      <w:marRight w:val="0"/>
      <w:marTop w:val="0"/>
      <w:marBottom w:val="0"/>
      <w:divBdr>
        <w:top w:val="none" w:sz="0" w:space="0" w:color="auto"/>
        <w:left w:val="none" w:sz="0" w:space="0" w:color="auto"/>
        <w:bottom w:val="none" w:sz="0" w:space="0" w:color="auto"/>
        <w:right w:val="none" w:sz="0" w:space="0" w:color="auto"/>
      </w:divBdr>
      <w:divsChild>
        <w:div w:id="1106656989">
          <w:marLeft w:val="0"/>
          <w:marRight w:val="0"/>
          <w:marTop w:val="0"/>
          <w:marBottom w:val="0"/>
          <w:divBdr>
            <w:top w:val="none" w:sz="0" w:space="0" w:color="auto"/>
            <w:left w:val="none" w:sz="0" w:space="0" w:color="auto"/>
            <w:bottom w:val="none" w:sz="0" w:space="0" w:color="auto"/>
            <w:right w:val="none" w:sz="0" w:space="0" w:color="auto"/>
          </w:divBdr>
        </w:div>
      </w:divsChild>
    </w:div>
    <w:div w:id="798839520">
      <w:marLeft w:val="0"/>
      <w:marRight w:val="0"/>
      <w:marTop w:val="0"/>
      <w:marBottom w:val="0"/>
      <w:divBdr>
        <w:top w:val="none" w:sz="0" w:space="0" w:color="auto"/>
        <w:left w:val="none" w:sz="0" w:space="0" w:color="auto"/>
        <w:bottom w:val="none" w:sz="0" w:space="0" w:color="auto"/>
        <w:right w:val="none" w:sz="0" w:space="0" w:color="auto"/>
      </w:divBdr>
    </w:div>
    <w:div w:id="801922524">
      <w:marLeft w:val="0"/>
      <w:marRight w:val="0"/>
      <w:marTop w:val="0"/>
      <w:marBottom w:val="0"/>
      <w:divBdr>
        <w:top w:val="none" w:sz="0" w:space="0" w:color="auto"/>
        <w:left w:val="none" w:sz="0" w:space="0" w:color="auto"/>
        <w:bottom w:val="none" w:sz="0" w:space="0" w:color="auto"/>
        <w:right w:val="none" w:sz="0" w:space="0" w:color="auto"/>
      </w:divBdr>
    </w:div>
    <w:div w:id="803085383">
      <w:marLeft w:val="0"/>
      <w:marRight w:val="0"/>
      <w:marTop w:val="0"/>
      <w:marBottom w:val="0"/>
      <w:divBdr>
        <w:top w:val="none" w:sz="0" w:space="0" w:color="auto"/>
        <w:left w:val="none" w:sz="0" w:space="0" w:color="auto"/>
        <w:bottom w:val="none" w:sz="0" w:space="0" w:color="auto"/>
        <w:right w:val="none" w:sz="0" w:space="0" w:color="auto"/>
      </w:divBdr>
      <w:divsChild>
        <w:div w:id="731928436">
          <w:marLeft w:val="0"/>
          <w:marRight w:val="0"/>
          <w:marTop w:val="0"/>
          <w:marBottom w:val="0"/>
          <w:divBdr>
            <w:top w:val="none" w:sz="0" w:space="0" w:color="auto"/>
            <w:left w:val="none" w:sz="0" w:space="0" w:color="auto"/>
            <w:bottom w:val="none" w:sz="0" w:space="0" w:color="auto"/>
            <w:right w:val="none" w:sz="0" w:space="0" w:color="auto"/>
          </w:divBdr>
        </w:div>
      </w:divsChild>
    </w:div>
    <w:div w:id="804741141">
      <w:marLeft w:val="0"/>
      <w:marRight w:val="0"/>
      <w:marTop w:val="0"/>
      <w:marBottom w:val="0"/>
      <w:divBdr>
        <w:top w:val="none" w:sz="0" w:space="0" w:color="auto"/>
        <w:left w:val="none" w:sz="0" w:space="0" w:color="auto"/>
        <w:bottom w:val="none" w:sz="0" w:space="0" w:color="auto"/>
        <w:right w:val="none" w:sz="0" w:space="0" w:color="auto"/>
      </w:divBdr>
      <w:divsChild>
        <w:div w:id="914626106">
          <w:marLeft w:val="0"/>
          <w:marRight w:val="0"/>
          <w:marTop w:val="0"/>
          <w:marBottom w:val="0"/>
          <w:divBdr>
            <w:top w:val="none" w:sz="0" w:space="0" w:color="auto"/>
            <w:left w:val="none" w:sz="0" w:space="0" w:color="auto"/>
            <w:bottom w:val="none" w:sz="0" w:space="0" w:color="auto"/>
            <w:right w:val="none" w:sz="0" w:space="0" w:color="auto"/>
          </w:divBdr>
        </w:div>
      </w:divsChild>
    </w:div>
    <w:div w:id="807212372">
      <w:marLeft w:val="0"/>
      <w:marRight w:val="0"/>
      <w:marTop w:val="0"/>
      <w:marBottom w:val="0"/>
      <w:divBdr>
        <w:top w:val="none" w:sz="0" w:space="0" w:color="auto"/>
        <w:left w:val="none" w:sz="0" w:space="0" w:color="auto"/>
        <w:bottom w:val="none" w:sz="0" w:space="0" w:color="auto"/>
        <w:right w:val="none" w:sz="0" w:space="0" w:color="auto"/>
      </w:divBdr>
    </w:div>
    <w:div w:id="807675110">
      <w:marLeft w:val="0"/>
      <w:marRight w:val="0"/>
      <w:marTop w:val="0"/>
      <w:marBottom w:val="0"/>
      <w:divBdr>
        <w:top w:val="none" w:sz="0" w:space="0" w:color="auto"/>
        <w:left w:val="none" w:sz="0" w:space="0" w:color="auto"/>
        <w:bottom w:val="none" w:sz="0" w:space="0" w:color="auto"/>
        <w:right w:val="none" w:sz="0" w:space="0" w:color="auto"/>
      </w:divBdr>
    </w:div>
    <w:div w:id="826632093">
      <w:marLeft w:val="0"/>
      <w:marRight w:val="0"/>
      <w:marTop w:val="0"/>
      <w:marBottom w:val="0"/>
      <w:divBdr>
        <w:top w:val="none" w:sz="0" w:space="0" w:color="auto"/>
        <w:left w:val="none" w:sz="0" w:space="0" w:color="auto"/>
        <w:bottom w:val="none" w:sz="0" w:space="0" w:color="auto"/>
        <w:right w:val="none" w:sz="0" w:space="0" w:color="auto"/>
      </w:divBdr>
    </w:div>
    <w:div w:id="834148380">
      <w:marLeft w:val="0"/>
      <w:marRight w:val="0"/>
      <w:marTop w:val="0"/>
      <w:marBottom w:val="0"/>
      <w:divBdr>
        <w:top w:val="none" w:sz="0" w:space="0" w:color="auto"/>
        <w:left w:val="none" w:sz="0" w:space="0" w:color="auto"/>
        <w:bottom w:val="none" w:sz="0" w:space="0" w:color="auto"/>
        <w:right w:val="none" w:sz="0" w:space="0" w:color="auto"/>
      </w:divBdr>
    </w:div>
    <w:div w:id="835921918">
      <w:marLeft w:val="0"/>
      <w:marRight w:val="0"/>
      <w:marTop w:val="0"/>
      <w:marBottom w:val="0"/>
      <w:divBdr>
        <w:top w:val="none" w:sz="0" w:space="0" w:color="auto"/>
        <w:left w:val="none" w:sz="0" w:space="0" w:color="auto"/>
        <w:bottom w:val="none" w:sz="0" w:space="0" w:color="auto"/>
        <w:right w:val="none" w:sz="0" w:space="0" w:color="auto"/>
      </w:divBdr>
      <w:divsChild>
        <w:div w:id="2511255">
          <w:marLeft w:val="0"/>
          <w:marRight w:val="0"/>
          <w:marTop w:val="0"/>
          <w:marBottom w:val="0"/>
          <w:divBdr>
            <w:top w:val="none" w:sz="0" w:space="0" w:color="auto"/>
            <w:left w:val="none" w:sz="0" w:space="0" w:color="auto"/>
            <w:bottom w:val="none" w:sz="0" w:space="0" w:color="auto"/>
            <w:right w:val="none" w:sz="0" w:space="0" w:color="auto"/>
          </w:divBdr>
        </w:div>
      </w:divsChild>
    </w:div>
    <w:div w:id="836460320">
      <w:marLeft w:val="0"/>
      <w:marRight w:val="0"/>
      <w:marTop w:val="0"/>
      <w:marBottom w:val="0"/>
      <w:divBdr>
        <w:top w:val="none" w:sz="0" w:space="0" w:color="auto"/>
        <w:left w:val="none" w:sz="0" w:space="0" w:color="auto"/>
        <w:bottom w:val="none" w:sz="0" w:space="0" w:color="auto"/>
        <w:right w:val="none" w:sz="0" w:space="0" w:color="auto"/>
      </w:divBdr>
      <w:divsChild>
        <w:div w:id="854541508">
          <w:marLeft w:val="0"/>
          <w:marRight w:val="0"/>
          <w:marTop w:val="0"/>
          <w:marBottom w:val="0"/>
          <w:divBdr>
            <w:top w:val="none" w:sz="0" w:space="0" w:color="auto"/>
            <w:left w:val="none" w:sz="0" w:space="0" w:color="auto"/>
            <w:bottom w:val="none" w:sz="0" w:space="0" w:color="auto"/>
            <w:right w:val="none" w:sz="0" w:space="0" w:color="auto"/>
          </w:divBdr>
        </w:div>
      </w:divsChild>
    </w:div>
    <w:div w:id="840463668">
      <w:marLeft w:val="0"/>
      <w:marRight w:val="0"/>
      <w:marTop w:val="0"/>
      <w:marBottom w:val="0"/>
      <w:divBdr>
        <w:top w:val="none" w:sz="0" w:space="0" w:color="auto"/>
        <w:left w:val="none" w:sz="0" w:space="0" w:color="auto"/>
        <w:bottom w:val="none" w:sz="0" w:space="0" w:color="auto"/>
        <w:right w:val="none" w:sz="0" w:space="0" w:color="auto"/>
      </w:divBdr>
    </w:div>
    <w:div w:id="852648429">
      <w:marLeft w:val="0"/>
      <w:marRight w:val="0"/>
      <w:marTop w:val="0"/>
      <w:marBottom w:val="0"/>
      <w:divBdr>
        <w:top w:val="none" w:sz="0" w:space="0" w:color="auto"/>
        <w:left w:val="none" w:sz="0" w:space="0" w:color="auto"/>
        <w:bottom w:val="none" w:sz="0" w:space="0" w:color="auto"/>
        <w:right w:val="none" w:sz="0" w:space="0" w:color="auto"/>
      </w:divBdr>
      <w:divsChild>
        <w:div w:id="1456950539">
          <w:marLeft w:val="0"/>
          <w:marRight w:val="0"/>
          <w:marTop w:val="0"/>
          <w:marBottom w:val="0"/>
          <w:divBdr>
            <w:top w:val="none" w:sz="0" w:space="0" w:color="auto"/>
            <w:left w:val="none" w:sz="0" w:space="0" w:color="auto"/>
            <w:bottom w:val="none" w:sz="0" w:space="0" w:color="auto"/>
            <w:right w:val="none" w:sz="0" w:space="0" w:color="auto"/>
          </w:divBdr>
        </w:div>
      </w:divsChild>
    </w:div>
    <w:div w:id="852914860">
      <w:marLeft w:val="0"/>
      <w:marRight w:val="0"/>
      <w:marTop w:val="0"/>
      <w:marBottom w:val="0"/>
      <w:divBdr>
        <w:top w:val="none" w:sz="0" w:space="0" w:color="auto"/>
        <w:left w:val="none" w:sz="0" w:space="0" w:color="auto"/>
        <w:bottom w:val="none" w:sz="0" w:space="0" w:color="auto"/>
        <w:right w:val="none" w:sz="0" w:space="0" w:color="auto"/>
      </w:divBdr>
    </w:div>
    <w:div w:id="860050744">
      <w:marLeft w:val="0"/>
      <w:marRight w:val="0"/>
      <w:marTop w:val="0"/>
      <w:marBottom w:val="0"/>
      <w:divBdr>
        <w:top w:val="none" w:sz="0" w:space="0" w:color="auto"/>
        <w:left w:val="none" w:sz="0" w:space="0" w:color="auto"/>
        <w:bottom w:val="none" w:sz="0" w:space="0" w:color="auto"/>
        <w:right w:val="none" w:sz="0" w:space="0" w:color="auto"/>
      </w:divBdr>
    </w:div>
    <w:div w:id="864443567">
      <w:marLeft w:val="0"/>
      <w:marRight w:val="0"/>
      <w:marTop w:val="0"/>
      <w:marBottom w:val="0"/>
      <w:divBdr>
        <w:top w:val="none" w:sz="0" w:space="0" w:color="auto"/>
        <w:left w:val="none" w:sz="0" w:space="0" w:color="auto"/>
        <w:bottom w:val="none" w:sz="0" w:space="0" w:color="auto"/>
        <w:right w:val="none" w:sz="0" w:space="0" w:color="auto"/>
      </w:divBdr>
    </w:div>
    <w:div w:id="875852976">
      <w:marLeft w:val="0"/>
      <w:marRight w:val="0"/>
      <w:marTop w:val="0"/>
      <w:marBottom w:val="0"/>
      <w:divBdr>
        <w:top w:val="none" w:sz="0" w:space="0" w:color="auto"/>
        <w:left w:val="none" w:sz="0" w:space="0" w:color="auto"/>
        <w:bottom w:val="none" w:sz="0" w:space="0" w:color="auto"/>
        <w:right w:val="none" w:sz="0" w:space="0" w:color="auto"/>
      </w:divBdr>
    </w:div>
    <w:div w:id="881555650">
      <w:marLeft w:val="0"/>
      <w:marRight w:val="0"/>
      <w:marTop w:val="0"/>
      <w:marBottom w:val="0"/>
      <w:divBdr>
        <w:top w:val="none" w:sz="0" w:space="0" w:color="auto"/>
        <w:left w:val="none" w:sz="0" w:space="0" w:color="auto"/>
        <w:bottom w:val="none" w:sz="0" w:space="0" w:color="auto"/>
        <w:right w:val="none" w:sz="0" w:space="0" w:color="auto"/>
      </w:divBdr>
      <w:divsChild>
        <w:div w:id="1809781332">
          <w:marLeft w:val="0"/>
          <w:marRight w:val="0"/>
          <w:marTop w:val="0"/>
          <w:marBottom w:val="0"/>
          <w:divBdr>
            <w:top w:val="none" w:sz="0" w:space="0" w:color="auto"/>
            <w:left w:val="none" w:sz="0" w:space="0" w:color="auto"/>
            <w:bottom w:val="none" w:sz="0" w:space="0" w:color="auto"/>
            <w:right w:val="none" w:sz="0" w:space="0" w:color="auto"/>
          </w:divBdr>
        </w:div>
      </w:divsChild>
    </w:div>
    <w:div w:id="882252462">
      <w:marLeft w:val="0"/>
      <w:marRight w:val="0"/>
      <w:marTop w:val="0"/>
      <w:marBottom w:val="0"/>
      <w:divBdr>
        <w:top w:val="none" w:sz="0" w:space="0" w:color="auto"/>
        <w:left w:val="none" w:sz="0" w:space="0" w:color="auto"/>
        <w:bottom w:val="none" w:sz="0" w:space="0" w:color="auto"/>
        <w:right w:val="none" w:sz="0" w:space="0" w:color="auto"/>
      </w:divBdr>
    </w:div>
    <w:div w:id="888497382">
      <w:marLeft w:val="0"/>
      <w:marRight w:val="0"/>
      <w:marTop w:val="0"/>
      <w:marBottom w:val="0"/>
      <w:divBdr>
        <w:top w:val="none" w:sz="0" w:space="0" w:color="auto"/>
        <w:left w:val="none" w:sz="0" w:space="0" w:color="auto"/>
        <w:bottom w:val="none" w:sz="0" w:space="0" w:color="auto"/>
        <w:right w:val="none" w:sz="0" w:space="0" w:color="auto"/>
      </w:divBdr>
    </w:div>
    <w:div w:id="893810170">
      <w:marLeft w:val="0"/>
      <w:marRight w:val="0"/>
      <w:marTop w:val="0"/>
      <w:marBottom w:val="0"/>
      <w:divBdr>
        <w:top w:val="none" w:sz="0" w:space="0" w:color="auto"/>
        <w:left w:val="none" w:sz="0" w:space="0" w:color="auto"/>
        <w:bottom w:val="none" w:sz="0" w:space="0" w:color="auto"/>
        <w:right w:val="none" w:sz="0" w:space="0" w:color="auto"/>
      </w:divBdr>
    </w:div>
    <w:div w:id="913007366">
      <w:marLeft w:val="0"/>
      <w:marRight w:val="0"/>
      <w:marTop w:val="0"/>
      <w:marBottom w:val="0"/>
      <w:divBdr>
        <w:top w:val="none" w:sz="0" w:space="0" w:color="auto"/>
        <w:left w:val="none" w:sz="0" w:space="0" w:color="auto"/>
        <w:bottom w:val="none" w:sz="0" w:space="0" w:color="auto"/>
        <w:right w:val="none" w:sz="0" w:space="0" w:color="auto"/>
      </w:divBdr>
      <w:divsChild>
        <w:div w:id="78254716">
          <w:marLeft w:val="0"/>
          <w:marRight w:val="0"/>
          <w:marTop w:val="0"/>
          <w:marBottom w:val="0"/>
          <w:divBdr>
            <w:top w:val="none" w:sz="0" w:space="0" w:color="auto"/>
            <w:left w:val="none" w:sz="0" w:space="0" w:color="auto"/>
            <w:bottom w:val="none" w:sz="0" w:space="0" w:color="auto"/>
            <w:right w:val="none" w:sz="0" w:space="0" w:color="auto"/>
          </w:divBdr>
        </w:div>
      </w:divsChild>
    </w:div>
    <w:div w:id="914170365">
      <w:marLeft w:val="0"/>
      <w:marRight w:val="0"/>
      <w:marTop w:val="0"/>
      <w:marBottom w:val="0"/>
      <w:divBdr>
        <w:top w:val="none" w:sz="0" w:space="0" w:color="auto"/>
        <w:left w:val="none" w:sz="0" w:space="0" w:color="auto"/>
        <w:bottom w:val="none" w:sz="0" w:space="0" w:color="auto"/>
        <w:right w:val="none" w:sz="0" w:space="0" w:color="auto"/>
      </w:divBdr>
    </w:div>
    <w:div w:id="920605276">
      <w:marLeft w:val="0"/>
      <w:marRight w:val="0"/>
      <w:marTop w:val="0"/>
      <w:marBottom w:val="0"/>
      <w:divBdr>
        <w:top w:val="none" w:sz="0" w:space="0" w:color="auto"/>
        <w:left w:val="none" w:sz="0" w:space="0" w:color="auto"/>
        <w:bottom w:val="none" w:sz="0" w:space="0" w:color="auto"/>
        <w:right w:val="none" w:sz="0" w:space="0" w:color="auto"/>
      </w:divBdr>
    </w:div>
    <w:div w:id="924267709">
      <w:marLeft w:val="0"/>
      <w:marRight w:val="0"/>
      <w:marTop w:val="0"/>
      <w:marBottom w:val="0"/>
      <w:divBdr>
        <w:top w:val="none" w:sz="0" w:space="0" w:color="auto"/>
        <w:left w:val="none" w:sz="0" w:space="0" w:color="auto"/>
        <w:bottom w:val="none" w:sz="0" w:space="0" w:color="auto"/>
        <w:right w:val="none" w:sz="0" w:space="0" w:color="auto"/>
      </w:divBdr>
    </w:div>
    <w:div w:id="929853538">
      <w:marLeft w:val="0"/>
      <w:marRight w:val="0"/>
      <w:marTop w:val="0"/>
      <w:marBottom w:val="0"/>
      <w:divBdr>
        <w:top w:val="none" w:sz="0" w:space="0" w:color="auto"/>
        <w:left w:val="none" w:sz="0" w:space="0" w:color="auto"/>
        <w:bottom w:val="none" w:sz="0" w:space="0" w:color="auto"/>
        <w:right w:val="none" w:sz="0" w:space="0" w:color="auto"/>
      </w:divBdr>
    </w:div>
    <w:div w:id="931740473">
      <w:marLeft w:val="0"/>
      <w:marRight w:val="0"/>
      <w:marTop w:val="0"/>
      <w:marBottom w:val="0"/>
      <w:divBdr>
        <w:top w:val="none" w:sz="0" w:space="0" w:color="auto"/>
        <w:left w:val="none" w:sz="0" w:space="0" w:color="auto"/>
        <w:bottom w:val="none" w:sz="0" w:space="0" w:color="auto"/>
        <w:right w:val="none" w:sz="0" w:space="0" w:color="auto"/>
      </w:divBdr>
      <w:divsChild>
        <w:div w:id="1640501951">
          <w:marLeft w:val="0"/>
          <w:marRight w:val="0"/>
          <w:marTop w:val="0"/>
          <w:marBottom w:val="0"/>
          <w:divBdr>
            <w:top w:val="none" w:sz="0" w:space="0" w:color="auto"/>
            <w:left w:val="none" w:sz="0" w:space="0" w:color="auto"/>
            <w:bottom w:val="none" w:sz="0" w:space="0" w:color="auto"/>
            <w:right w:val="none" w:sz="0" w:space="0" w:color="auto"/>
          </w:divBdr>
        </w:div>
      </w:divsChild>
    </w:div>
    <w:div w:id="932208303">
      <w:marLeft w:val="0"/>
      <w:marRight w:val="0"/>
      <w:marTop w:val="0"/>
      <w:marBottom w:val="0"/>
      <w:divBdr>
        <w:top w:val="none" w:sz="0" w:space="0" w:color="auto"/>
        <w:left w:val="none" w:sz="0" w:space="0" w:color="auto"/>
        <w:bottom w:val="none" w:sz="0" w:space="0" w:color="auto"/>
        <w:right w:val="none" w:sz="0" w:space="0" w:color="auto"/>
      </w:divBdr>
    </w:div>
    <w:div w:id="932321592">
      <w:marLeft w:val="0"/>
      <w:marRight w:val="0"/>
      <w:marTop w:val="0"/>
      <w:marBottom w:val="0"/>
      <w:divBdr>
        <w:top w:val="none" w:sz="0" w:space="0" w:color="auto"/>
        <w:left w:val="none" w:sz="0" w:space="0" w:color="auto"/>
        <w:bottom w:val="none" w:sz="0" w:space="0" w:color="auto"/>
        <w:right w:val="none" w:sz="0" w:space="0" w:color="auto"/>
      </w:divBdr>
    </w:div>
    <w:div w:id="939335676">
      <w:marLeft w:val="0"/>
      <w:marRight w:val="0"/>
      <w:marTop w:val="0"/>
      <w:marBottom w:val="0"/>
      <w:divBdr>
        <w:top w:val="none" w:sz="0" w:space="0" w:color="auto"/>
        <w:left w:val="none" w:sz="0" w:space="0" w:color="auto"/>
        <w:bottom w:val="none" w:sz="0" w:space="0" w:color="auto"/>
        <w:right w:val="none" w:sz="0" w:space="0" w:color="auto"/>
      </w:divBdr>
      <w:divsChild>
        <w:div w:id="1683162467">
          <w:marLeft w:val="0"/>
          <w:marRight w:val="0"/>
          <w:marTop w:val="0"/>
          <w:marBottom w:val="0"/>
          <w:divBdr>
            <w:top w:val="none" w:sz="0" w:space="0" w:color="auto"/>
            <w:left w:val="none" w:sz="0" w:space="0" w:color="auto"/>
            <w:bottom w:val="none" w:sz="0" w:space="0" w:color="auto"/>
            <w:right w:val="none" w:sz="0" w:space="0" w:color="auto"/>
          </w:divBdr>
        </w:div>
      </w:divsChild>
    </w:div>
    <w:div w:id="944927074">
      <w:marLeft w:val="0"/>
      <w:marRight w:val="0"/>
      <w:marTop w:val="0"/>
      <w:marBottom w:val="0"/>
      <w:divBdr>
        <w:top w:val="none" w:sz="0" w:space="0" w:color="auto"/>
        <w:left w:val="none" w:sz="0" w:space="0" w:color="auto"/>
        <w:bottom w:val="none" w:sz="0" w:space="0" w:color="auto"/>
        <w:right w:val="none" w:sz="0" w:space="0" w:color="auto"/>
      </w:divBdr>
    </w:div>
    <w:div w:id="945622537">
      <w:marLeft w:val="0"/>
      <w:marRight w:val="0"/>
      <w:marTop w:val="0"/>
      <w:marBottom w:val="0"/>
      <w:divBdr>
        <w:top w:val="none" w:sz="0" w:space="0" w:color="auto"/>
        <w:left w:val="none" w:sz="0" w:space="0" w:color="auto"/>
        <w:bottom w:val="none" w:sz="0" w:space="0" w:color="auto"/>
        <w:right w:val="none" w:sz="0" w:space="0" w:color="auto"/>
      </w:divBdr>
    </w:div>
    <w:div w:id="948313452">
      <w:marLeft w:val="0"/>
      <w:marRight w:val="0"/>
      <w:marTop w:val="0"/>
      <w:marBottom w:val="0"/>
      <w:divBdr>
        <w:top w:val="none" w:sz="0" w:space="0" w:color="auto"/>
        <w:left w:val="none" w:sz="0" w:space="0" w:color="auto"/>
        <w:bottom w:val="none" w:sz="0" w:space="0" w:color="auto"/>
        <w:right w:val="none" w:sz="0" w:space="0" w:color="auto"/>
      </w:divBdr>
    </w:div>
    <w:div w:id="966278071">
      <w:marLeft w:val="0"/>
      <w:marRight w:val="0"/>
      <w:marTop w:val="0"/>
      <w:marBottom w:val="0"/>
      <w:divBdr>
        <w:top w:val="none" w:sz="0" w:space="0" w:color="auto"/>
        <w:left w:val="none" w:sz="0" w:space="0" w:color="auto"/>
        <w:bottom w:val="none" w:sz="0" w:space="0" w:color="auto"/>
        <w:right w:val="none" w:sz="0" w:space="0" w:color="auto"/>
      </w:divBdr>
    </w:div>
    <w:div w:id="969752389">
      <w:marLeft w:val="0"/>
      <w:marRight w:val="0"/>
      <w:marTop w:val="0"/>
      <w:marBottom w:val="0"/>
      <w:divBdr>
        <w:top w:val="none" w:sz="0" w:space="0" w:color="auto"/>
        <w:left w:val="none" w:sz="0" w:space="0" w:color="auto"/>
        <w:bottom w:val="none" w:sz="0" w:space="0" w:color="auto"/>
        <w:right w:val="none" w:sz="0" w:space="0" w:color="auto"/>
      </w:divBdr>
    </w:div>
    <w:div w:id="974023222">
      <w:marLeft w:val="0"/>
      <w:marRight w:val="0"/>
      <w:marTop w:val="0"/>
      <w:marBottom w:val="0"/>
      <w:divBdr>
        <w:top w:val="none" w:sz="0" w:space="0" w:color="auto"/>
        <w:left w:val="none" w:sz="0" w:space="0" w:color="auto"/>
        <w:bottom w:val="none" w:sz="0" w:space="0" w:color="auto"/>
        <w:right w:val="none" w:sz="0" w:space="0" w:color="auto"/>
      </w:divBdr>
    </w:div>
    <w:div w:id="983047150">
      <w:marLeft w:val="0"/>
      <w:marRight w:val="0"/>
      <w:marTop w:val="0"/>
      <w:marBottom w:val="0"/>
      <w:divBdr>
        <w:top w:val="none" w:sz="0" w:space="0" w:color="auto"/>
        <w:left w:val="none" w:sz="0" w:space="0" w:color="auto"/>
        <w:bottom w:val="none" w:sz="0" w:space="0" w:color="auto"/>
        <w:right w:val="none" w:sz="0" w:space="0" w:color="auto"/>
      </w:divBdr>
      <w:divsChild>
        <w:div w:id="2019112899">
          <w:marLeft w:val="0"/>
          <w:marRight w:val="0"/>
          <w:marTop w:val="0"/>
          <w:marBottom w:val="0"/>
          <w:divBdr>
            <w:top w:val="none" w:sz="0" w:space="0" w:color="auto"/>
            <w:left w:val="none" w:sz="0" w:space="0" w:color="auto"/>
            <w:bottom w:val="none" w:sz="0" w:space="0" w:color="auto"/>
            <w:right w:val="none" w:sz="0" w:space="0" w:color="auto"/>
          </w:divBdr>
        </w:div>
      </w:divsChild>
    </w:div>
    <w:div w:id="985091078">
      <w:marLeft w:val="0"/>
      <w:marRight w:val="0"/>
      <w:marTop w:val="0"/>
      <w:marBottom w:val="0"/>
      <w:divBdr>
        <w:top w:val="none" w:sz="0" w:space="0" w:color="auto"/>
        <w:left w:val="none" w:sz="0" w:space="0" w:color="auto"/>
        <w:bottom w:val="none" w:sz="0" w:space="0" w:color="auto"/>
        <w:right w:val="none" w:sz="0" w:space="0" w:color="auto"/>
      </w:divBdr>
    </w:div>
    <w:div w:id="989331886">
      <w:marLeft w:val="0"/>
      <w:marRight w:val="0"/>
      <w:marTop w:val="0"/>
      <w:marBottom w:val="0"/>
      <w:divBdr>
        <w:top w:val="none" w:sz="0" w:space="0" w:color="auto"/>
        <w:left w:val="none" w:sz="0" w:space="0" w:color="auto"/>
        <w:bottom w:val="none" w:sz="0" w:space="0" w:color="auto"/>
        <w:right w:val="none" w:sz="0" w:space="0" w:color="auto"/>
      </w:divBdr>
    </w:div>
    <w:div w:id="991521716">
      <w:marLeft w:val="0"/>
      <w:marRight w:val="0"/>
      <w:marTop w:val="0"/>
      <w:marBottom w:val="0"/>
      <w:divBdr>
        <w:top w:val="none" w:sz="0" w:space="0" w:color="auto"/>
        <w:left w:val="none" w:sz="0" w:space="0" w:color="auto"/>
        <w:bottom w:val="none" w:sz="0" w:space="0" w:color="auto"/>
        <w:right w:val="none" w:sz="0" w:space="0" w:color="auto"/>
      </w:divBdr>
      <w:divsChild>
        <w:div w:id="1746953918">
          <w:marLeft w:val="0"/>
          <w:marRight w:val="0"/>
          <w:marTop w:val="0"/>
          <w:marBottom w:val="0"/>
          <w:divBdr>
            <w:top w:val="none" w:sz="0" w:space="0" w:color="auto"/>
            <w:left w:val="none" w:sz="0" w:space="0" w:color="auto"/>
            <w:bottom w:val="none" w:sz="0" w:space="0" w:color="auto"/>
            <w:right w:val="none" w:sz="0" w:space="0" w:color="auto"/>
          </w:divBdr>
        </w:div>
      </w:divsChild>
    </w:div>
    <w:div w:id="992685587">
      <w:marLeft w:val="0"/>
      <w:marRight w:val="0"/>
      <w:marTop w:val="0"/>
      <w:marBottom w:val="0"/>
      <w:divBdr>
        <w:top w:val="none" w:sz="0" w:space="0" w:color="auto"/>
        <w:left w:val="none" w:sz="0" w:space="0" w:color="auto"/>
        <w:bottom w:val="none" w:sz="0" w:space="0" w:color="auto"/>
        <w:right w:val="none" w:sz="0" w:space="0" w:color="auto"/>
      </w:divBdr>
    </w:div>
    <w:div w:id="996612985">
      <w:marLeft w:val="0"/>
      <w:marRight w:val="0"/>
      <w:marTop w:val="0"/>
      <w:marBottom w:val="0"/>
      <w:divBdr>
        <w:top w:val="none" w:sz="0" w:space="0" w:color="auto"/>
        <w:left w:val="none" w:sz="0" w:space="0" w:color="auto"/>
        <w:bottom w:val="none" w:sz="0" w:space="0" w:color="auto"/>
        <w:right w:val="none" w:sz="0" w:space="0" w:color="auto"/>
      </w:divBdr>
      <w:divsChild>
        <w:div w:id="1721400313">
          <w:marLeft w:val="0"/>
          <w:marRight w:val="0"/>
          <w:marTop w:val="0"/>
          <w:marBottom w:val="0"/>
          <w:divBdr>
            <w:top w:val="none" w:sz="0" w:space="0" w:color="auto"/>
            <w:left w:val="none" w:sz="0" w:space="0" w:color="auto"/>
            <w:bottom w:val="none" w:sz="0" w:space="0" w:color="auto"/>
            <w:right w:val="none" w:sz="0" w:space="0" w:color="auto"/>
          </w:divBdr>
        </w:div>
      </w:divsChild>
    </w:div>
    <w:div w:id="997270781">
      <w:marLeft w:val="0"/>
      <w:marRight w:val="0"/>
      <w:marTop w:val="0"/>
      <w:marBottom w:val="0"/>
      <w:divBdr>
        <w:top w:val="none" w:sz="0" w:space="0" w:color="auto"/>
        <w:left w:val="none" w:sz="0" w:space="0" w:color="auto"/>
        <w:bottom w:val="none" w:sz="0" w:space="0" w:color="auto"/>
        <w:right w:val="none" w:sz="0" w:space="0" w:color="auto"/>
      </w:divBdr>
    </w:div>
    <w:div w:id="1000500415">
      <w:marLeft w:val="0"/>
      <w:marRight w:val="0"/>
      <w:marTop w:val="0"/>
      <w:marBottom w:val="0"/>
      <w:divBdr>
        <w:top w:val="none" w:sz="0" w:space="0" w:color="auto"/>
        <w:left w:val="none" w:sz="0" w:space="0" w:color="auto"/>
        <w:bottom w:val="none" w:sz="0" w:space="0" w:color="auto"/>
        <w:right w:val="none" w:sz="0" w:space="0" w:color="auto"/>
      </w:divBdr>
    </w:div>
    <w:div w:id="1006907531">
      <w:marLeft w:val="0"/>
      <w:marRight w:val="0"/>
      <w:marTop w:val="0"/>
      <w:marBottom w:val="0"/>
      <w:divBdr>
        <w:top w:val="none" w:sz="0" w:space="0" w:color="auto"/>
        <w:left w:val="none" w:sz="0" w:space="0" w:color="auto"/>
        <w:bottom w:val="none" w:sz="0" w:space="0" w:color="auto"/>
        <w:right w:val="none" w:sz="0" w:space="0" w:color="auto"/>
      </w:divBdr>
      <w:divsChild>
        <w:div w:id="1785617696">
          <w:marLeft w:val="0"/>
          <w:marRight w:val="0"/>
          <w:marTop w:val="0"/>
          <w:marBottom w:val="0"/>
          <w:divBdr>
            <w:top w:val="none" w:sz="0" w:space="0" w:color="auto"/>
            <w:left w:val="none" w:sz="0" w:space="0" w:color="auto"/>
            <w:bottom w:val="none" w:sz="0" w:space="0" w:color="auto"/>
            <w:right w:val="none" w:sz="0" w:space="0" w:color="auto"/>
          </w:divBdr>
        </w:div>
      </w:divsChild>
    </w:div>
    <w:div w:id="1010985914">
      <w:marLeft w:val="0"/>
      <w:marRight w:val="0"/>
      <w:marTop w:val="0"/>
      <w:marBottom w:val="0"/>
      <w:divBdr>
        <w:top w:val="none" w:sz="0" w:space="0" w:color="auto"/>
        <w:left w:val="none" w:sz="0" w:space="0" w:color="auto"/>
        <w:bottom w:val="none" w:sz="0" w:space="0" w:color="auto"/>
        <w:right w:val="none" w:sz="0" w:space="0" w:color="auto"/>
      </w:divBdr>
    </w:div>
    <w:div w:id="1014650347">
      <w:marLeft w:val="0"/>
      <w:marRight w:val="0"/>
      <w:marTop w:val="0"/>
      <w:marBottom w:val="0"/>
      <w:divBdr>
        <w:top w:val="none" w:sz="0" w:space="0" w:color="auto"/>
        <w:left w:val="none" w:sz="0" w:space="0" w:color="auto"/>
        <w:bottom w:val="none" w:sz="0" w:space="0" w:color="auto"/>
        <w:right w:val="none" w:sz="0" w:space="0" w:color="auto"/>
      </w:divBdr>
    </w:div>
    <w:div w:id="1017317134">
      <w:marLeft w:val="0"/>
      <w:marRight w:val="0"/>
      <w:marTop w:val="0"/>
      <w:marBottom w:val="0"/>
      <w:divBdr>
        <w:top w:val="none" w:sz="0" w:space="0" w:color="auto"/>
        <w:left w:val="none" w:sz="0" w:space="0" w:color="auto"/>
        <w:bottom w:val="none" w:sz="0" w:space="0" w:color="auto"/>
        <w:right w:val="none" w:sz="0" w:space="0" w:color="auto"/>
      </w:divBdr>
    </w:div>
    <w:div w:id="1020469645">
      <w:marLeft w:val="0"/>
      <w:marRight w:val="0"/>
      <w:marTop w:val="0"/>
      <w:marBottom w:val="0"/>
      <w:divBdr>
        <w:top w:val="none" w:sz="0" w:space="0" w:color="auto"/>
        <w:left w:val="none" w:sz="0" w:space="0" w:color="auto"/>
        <w:bottom w:val="none" w:sz="0" w:space="0" w:color="auto"/>
        <w:right w:val="none" w:sz="0" w:space="0" w:color="auto"/>
      </w:divBdr>
    </w:div>
    <w:div w:id="1021132262">
      <w:marLeft w:val="0"/>
      <w:marRight w:val="0"/>
      <w:marTop w:val="0"/>
      <w:marBottom w:val="0"/>
      <w:divBdr>
        <w:top w:val="none" w:sz="0" w:space="0" w:color="auto"/>
        <w:left w:val="none" w:sz="0" w:space="0" w:color="auto"/>
        <w:bottom w:val="none" w:sz="0" w:space="0" w:color="auto"/>
        <w:right w:val="none" w:sz="0" w:space="0" w:color="auto"/>
      </w:divBdr>
      <w:divsChild>
        <w:div w:id="179439248">
          <w:marLeft w:val="0"/>
          <w:marRight w:val="0"/>
          <w:marTop w:val="0"/>
          <w:marBottom w:val="0"/>
          <w:divBdr>
            <w:top w:val="none" w:sz="0" w:space="0" w:color="auto"/>
            <w:left w:val="none" w:sz="0" w:space="0" w:color="auto"/>
            <w:bottom w:val="none" w:sz="0" w:space="0" w:color="auto"/>
            <w:right w:val="none" w:sz="0" w:space="0" w:color="auto"/>
          </w:divBdr>
        </w:div>
      </w:divsChild>
    </w:div>
    <w:div w:id="1023164343">
      <w:marLeft w:val="0"/>
      <w:marRight w:val="0"/>
      <w:marTop w:val="0"/>
      <w:marBottom w:val="0"/>
      <w:divBdr>
        <w:top w:val="none" w:sz="0" w:space="0" w:color="auto"/>
        <w:left w:val="none" w:sz="0" w:space="0" w:color="auto"/>
        <w:bottom w:val="none" w:sz="0" w:space="0" w:color="auto"/>
        <w:right w:val="none" w:sz="0" w:space="0" w:color="auto"/>
      </w:divBdr>
      <w:divsChild>
        <w:div w:id="268246293">
          <w:marLeft w:val="0"/>
          <w:marRight w:val="0"/>
          <w:marTop w:val="0"/>
          <w:marBottom w:val="0"/>
          <w:divBdr>
            <w:top w:val="none" w:sz="0" w:space="0" w:color="auto"/>
            <w:left w:val="none" w:sz="0" w:space="0" w:color="auto"/>
            <w:bottom w:val="none" w:sz="0" w:space="0" w:color="auto"/>
            <w:right w:val="none" w:sz="0" w:space="0" w:color="auto"/>
          </w:divBdr>
        </w:div>
      </w:divsChild>
    </w:div>
    <w:div w:id="1029720014">
      <w:marLeft w:val="0"/>
      <w:marRight w:val="0"/>
      <w:marTop w:val="0"/>
      <w:marBottom w:val="0"/>
      <w:divBdr>
        <w:top w:val="none" w:sz="0" w:space="0" w:color="auto"/>
        <w:left w:val="none" w:sz="0" w:space="0" w:color="auto"/>
        <w:bottom w:val="none" w:sz="0" w:space="0" w:color="auto"/>
        <w:right w:val="none" w:sz="0" w:space="0" w:color="auto"/>
      </w:divBdr>
    </w:div>
    <w:div w:id="1030842327">
      <w:marLeft w:val="0"/>
      <w:marRight w:val="0"/>
      <w:marTop w:val="0"/>
      <w:marBottom w:val="0"/>
      <w:divBdr>
        <w:top w:val="none" w:sz="0" w:space="0" w:color="auto"/>
        <w:left w:val="none" w:sz="0" w:space="0" w:color="auto"/>
        <w:bottom w:val="none" w:sz="0" w:space="0" w:color="auto"/>
        <w:right w:val="none" w:sz="0" w:space="0" w:color="auto"/>
      </w:divBdr>
      <w:divsChild>
        <w:div w:id="246037930">
          <w:marLeft w:val="0"/>
          <w:marRight w:val="0"/>
          <w:marTop w:val="0"/>
          <w:marBottom w:val="0"/>
          <w:divBdr>
            <w:top w:val="none" w:sz="0" w:space="0" w:color="auto"/>
            <w:left w:val="none" w:sz="0" w:space="0" w:color="auto"/>
            <w:bottom w:val="none" w:sz="0" w:space="0" w:color="auto"/>
            <w:right w:val="none" w:sz="0" w:space="0" w:color="auto"/>
          </w:divBdr>
        </w:div>
      </w:divsChild>
    </w:div>
    <w:div w:id="1033307938">
      <w:marLeft w:val="0"/>
      <w:marRight w:val="0"/>
      <w:marTop w:val="0"/>
      <w:marBottom w:val="0"/>
      <w:divBdr>
        <w:top w:val="none" w:sz="0" w:space="0" w:color="auto"/>
        <w:left w:val="none" w:sz="0" w:space="0" w:color="auto"/>
        <w:bottom w:val="none" w:sz="0" w:space="0" w:color="auto"/>
        <w:right w:val="none" w:sz="0" w:space="0" w:color="auto"/>
      </w:divBdr>
      <w:divsChild>
        <w:div w:id="379671299">
          <w:marLeft w:val="0"/>
          <w:marRight w:val="0"/>
          <w:marTop w:val="0"/>
          <w:marBottom w:val="0"/>
          <w:divBdr>
            <w:top w:val="none" w:sz="0" w:space="0" w:color="auto"/>
            <w:left w:val="none" w:sz="0" w:space="0" w:color="auto"/>
            <w:bottom w:val="none" w:sz="0" w:space="0" w:color="auto"/>
            <w:right w:val="none" w:sz="0" w:space="0" w:color="auto"/>
          </w:divBdr>
        </w:div>
      </w:divsChild>
    </w:div>
    <w:div w:id="1034188122">
      <w:marLeft w:val="0"/>
      <w:marRight w:val="0"/>
      <w:marTop w:val="0"/>
      <w:marBottom w:val="0"/>
      <w:divBdr>
        <w:top w:val="none" w:sz="0" w:space="0" w:color="auto"/>
        <w:left w:val="none" w:sz="0" w:space="0" w:color="auto"/>
        <w:bottom w:val="none" w:sz="0" w:space="0" w:color="auto"/>
        <w:right w:val="none" w:sz="0" w:space="0" w:color="auto"/>
      </w:divBdr>
    </w:div>
    <w:div w:id="1037118751">
      <w:marLeft w:val="0"/>
      <w:marRight w:val="0"/>
      <w:marTop w:val="0"/>
      <w:marBottom w:val="0"/>
      <w:divBdr>
        <w:top w:val="none" w:sz="0" w:space="0" w:color="auto"/>
        <w:left w:val="none" w:sz="0" w:space="0" w:color="auto"/>
        <w:bottom w:val="none" w:sz="0" w:space="0" w:color="auto"/>
        <w:right w:val="none" w:sz="0" w:space="0" w:color="auto"/>
      </w:divBdr>
    </w:div>
    <w:div w:id="1041520537">
      <w:marLeft w:val="0"/>
      <w:marRight w:val="0"/>
      <w:marTop w:val="0"/>
      <w:marBottom w:val="0"/>
      <w:divBdr>
        <w:top w:val="none" w:sz="0" w:space="0" w:color="auto"/>
        <w:left w:val="none" w:sz="0" w:space="0" w:color="auto"/>
        <w:bottom w:val="none" w:sz="0" w:space="0" w:color="auto"/>
        <w:right w:val="none" w:sz="0" w:space="0" w:color="auto"/>
      </w:divBdr>
      <w:divsChild>
        <w:div w:id="981733882">
          <w:marLeft w:val="0"/>
          <w:marRight w:val="0"/>
          <w:marTop w:val="0"/>
          <w:marBottom w:val="0"/>
          <w:divBdr>
            <w:top w:val="none" w:sz="0" w:space="0" w:color="auto"/>
            <w:left w:val="none" w:sz="0" w:space="0" w:color="auto"/>
            <w:bottom w:val="none" w:sz="0" w:space="0" w:color="auto"/>
            <w:right w:val="none" w:sz="0" w:space="0" w:color="auto"/>
          </w:divBdr>
        </w:div>
      </w:divsChild>
    </w:div>
    <w:div w:id="1044212118">
      <w:marLeft w:val="0"/>
      <w:marRight w:val="0"/>
      <w:marTop w:val="0"/>
      <w:marBottom w:val="0"/>
      <w:divBdr>
        <w:top w:val="none" w:sz="0" w:space="0" w:color="auto"/>
        <w:left w:val="none" w:sz="0" w:space="0" w:color="auto"/>
        <w:bottom w:val="none" w:sz="0" w:space="0" w:color="auto"/>
        <w:right w:val="none" w:sz="0" w:space="0" w:color="auto"/>
      </w:divBdr>
    </w:div>
    <w:div w:id="1045057620">
      <w:marLeft w:val="0"/>
      <w:marRight w:val="0"/>
      <w:marTop w:val="0"/>
      <w:marBottom w:val="0"/>
      <w:divBdr>
        <w:top w:val="none" w:sz="0" w:space="0" w:color="auto"/>
        <w:left w:val="none" w:sz="0" w:space="0" w:color="auto"/>
        <w:bottom w:val="none" w:sz="0" w:space="0" w:color="auto"/>
        <w:right w:val="none" w:sz="0" w:space="0" w:color="auto"/>
      </w:divBdr>
    </w:div>
    <w:div w:id="1049958274">
      <w:marLeft w:val="0"/>
      <w:marRight w:val="0"/>
      <w:marTop w:val="0"/>
      <w:marBottom w:val="0"/>
      <w:divBdr>
        <w:top w:val="none" w:sz="0" w:space="0" w:color="auto"/>
        <w:left w:val="none" w:sz="0" w:space="0" w:color="auto"/>
        <w:bottom w:val="none" w:sz="0" w:space="0" w:color="auto"/>
        <w:right w:val="none" w:sz="0" w:space="0" w:color="auto"/>
      </w:divBdr>
      <w:divsChild>
        <w:div w:id="520827732">
          <w:marLeft w:val="0"/>
          <w:marRight w:val="0"/>
          <w:marTop w:val="0"/>
          <w:marBottom w:val="0"/>
          <w:divBdr>
            <w:top w:val="none" w:sz="0" w:space="0" w:color="auto"/>
            <w:left w:val="none" w:sz="0" w:space="0" w:color="auto"/>
            <w:bottom w:val="none" w:sz="0" w:space="0" w:color="auto"/>
            <w:right w:val="none" w:sz="0" w:space="0" w:color="auto"/>
          </w:divBdr>
        </w:div>
      </w:divsChild>
    </w:div>
    <w:div w:id="1060983465">
      <w:marLeft w:val="0"/>
      <w:marRight w:val="0"/>
      <w:marTop w:val="0"/>
      <w:marBottom w:val="0"/>
      <w:divBdr>
        <w:top w:val="none" w:sz="0" w:space="0" w:color="auto"/>
        <w:left w:val="none" w:sz="0" w:space="0" w:color="auto"/>
        <w:bottom w:val="none" w:sz="0" w:space="0" w:color="auto"/>
        <w:right w:val="none" w:sz="0" w:space="0" w:color="auto"/>
      </w:divBdr>
      <w:divsChild>
        <w:div w:id="146097455">
          <w:marLeft w:val="0"/>
          <w:marRight w:val="0"/>
          <w:marTop w:val="0"/>
          <w:marBottom w:val="0"/>
          <w:divBdr>
            <w:top w:val="none" w:sz="0" w:space="0" w:color="auto"/>
            <w:left w:val="none" w:sz="0" w:space="0" w:color="auto"/>
            <w:bottom w:val="none" w:sz="0" w:space="0" w:color="auto"/>
            <w:right w:val="none" w:sz="0" w:space="0" w:color="auto"/>
          </w:divBdr>
        </w:div>
      </w:divsChild>
    </w:div>
    <w:div w:id="1068574782">
      <w:marLeft w:val="0"/>
      <w:marRight w:val="0"/>
      <w:marTop w:val="0"/>
      <w:marBottom w:val="0"/>
      <w:divBdr>
        <w:top w:val="none" w:sz="0" w:space="0" w:color="auto"/>
        <w:left w:val="none" w:sz="0" w:space="0" w:color="auto"/>
        <w:bottom w:val="none" w:sz="0" w:space="0" w:color="auto"/>
        <w:right w:val="none" w:sz="0" w:space="0" w:color="auto"/>
      </w:divBdr>
    </w:div>
    <w:div w:id="1068578139">
      <w:marLeft w:val="0"/>
      <w:marRight w:val="0"/>
      <w:marTop w:val="0"/>
      <w:marBottom w:val="0"/>
      <w:divBdr>
        <w:top w:val="none" w:sz="0" w:space="0" w:color="auto"/>
        <w:left w:val="none" w:sz="0" w:space="0" w:color="auto"/>
        <w:bottom w:val="none" w:sz="0" w:space="0" w:color="auto"/>
        <w:right w:val="none" w:sz="0" w:space="0" w:color="auto"/>
      </w:divBdr>
      <w:divsChild>
        <w:div w:id="486826546">
          <w:marLeft w:val="0"/>
          <w:marRight w:val="0"/>
          <w:marTop w:val="0"/>
          <w:marBottom w:val="0"/>
          <w:divBdr>
            <w:top w:val="none" w:sz="0" w:space="0" w:color="auto"/>
            <w:left w:val="none" w:sz="0" w:space="0" w:color="auto"/>
            <w:bottom w:val="none" w:sz="0" w:space="0" w:color="auto"/>
            <w:right w:val="none" w:sz="0" w:space="0" w:color="auto"/>
          </w:divBdr>
        </w:div>
      </w:divsChild>
    </w:div>
    <w:div w:id="1079669913">
      <w:marLeft w:val="0"/>
      <w:marRight w:val="0"/>
      <w:marTop w:val="0"/>
      <w:marBottom w:val="0"/>
      <w:divBdr>
        <w:top w:val="none" w:sz="0" w:space="0" w:color="auto"/>
        <w:left w:val="none" w:sz="0" w:space="0" w:color="auto"/>
        <w:bottom w:val="none" w:sz="0" w:space="0" w:color="auto"/>
        <w:right w:val="none" w:sz="0" w:space="0" w:color="auto"/>
      </w:divBdr>
    </w:div>
    <w:div w:id="1089697963">
      <w:marLeft w:val="0"/>
      <w:marRight w:val="0"/>
      <w:marTop w:val="0"/>
      <w:marBottom w:val="0"/>
      <w:divBdr>
        <w:top w:val="none" w:sz="0" w:space="0" w:color="auto"/>
        <w:left w:val="none" w:sz="0" w:space="0" w:color="auto"/>
        <w:bottom w:val="none" w:sz="0" w:space="0" w:color="auto"/>
        <w:right w:val="none" w:sz="0" w:space="0" w:color="auto"/>
      </w:divBdr>
    </w:div>
    <w:div w:id="1091389414">
      <w:marLeft w:val="0"/>
      <w:marRight w:val="0"/>
      <w:marTop w:val="0"/>
      <w:marBottom w:val="0"/>
      <w:divBdr>
        <w:top w:val="none" w:sz="0" w:space="0" w:color="auto"/>
        <w:left w:val="none" w:sz="0" w:space="0" w:color="auto"/>
        <w:bottom w:val="none" w:sz="0" w:space="0" w:color="auto"/>
        <w:right w:val="none" w:sz="0" w:space="0" w:color="auto"/>
      </w:divBdr>
      <w:divsChild>
        <w:div w:id="503863921">
          <w:marLeft w:val="0"/>
          <w:marRight w:val="0"/>
          <w:marTop w:val="0"/>
          <w:marBottom w:val="0"/>
          <w:divBdr>
            <w:top w:val="none" w:sz="0" w:space="0" w:color="auto"/>
            <w:left w:val="none" w:sz="0" w:space="0" w:color="auto"/>
            <w:bottom w:val="none" w:sz="0" w:space="0" w:color="auto"/>
            <w:right w:val="none" w:sz="0" w:space="0" w:color="auto"/>
          </w:divBdr>
        </w:div>
      </w:divsChild>
    </w:div>
    <w:div w:id="1092971339">
      <w:marLeft w:val="0"/>
      <w:marRight w:val="0"/>
      <w:marTop w:val="0"/>
      <w:marBottom w:val="0"/>
      <w:divBdr>
        <w:top w:val="none" w:sz="0" w:space="0" w:color="auto"/>
        <w:left w:val="none" w:sz="0" w:space="0" w:color="auto"/>
        <w:bottom w:val="none" w:sz="0" w:space="0" w:color="auto"/>
        <w:right w:val="none" w:sz="0" w:space="0" w:color="auto"/>
      </w:divBdr>
    </w:div>
    <w:div w:id="1097746677">
      <w:marLeft w:val="0"/>
      <w:marRight w:val="0"/>
      <w:marTop w:val="0"/>
      <w:marBottom w:val="0"/>
      <w:divBdr>
        <w:top w:val="none" w:sz="0" w:space="0" w:color="auto"/>
        <w:left w:val="none" w:sz="0" w:space="0" w:color="auto"/>
        <w:bottom w:val="none" w:sz="0" w:space="0" w:color="auto"/>
        <w:right w:val="none" w:sz="0" w:space="0" w:color="auto"/>
      </w:divBdr>
    </w:div>
    <w:div w:id="1102145852">
      <w:marLeft w:val="0"/>
      <w:marRight w:val="0"/>
      <w:marTop w:val="0"/>
      <w:marBottom w:val="0"/>
      <w:divBdr>
        <w:top w:val="none" w:sz="0" w:space="0" w:color="auto"/>
        <w:left w:val="none" w:sz="0" w:space="0" w:color="auto"/>
        <w:bottom w:val="none" w:sz="0" w:space="0" w:color="auto"/>
        <w:right w:val="none" w:sz="0" w:space="0" w:color="auto"/>
      </w:divBdr>
    </w:div>
    <w:div w:id="1107694116">
      <w:marLeft w:val="0"/>
      <w:marRight w:val="0"/>
      <w:marTop w:val="0"/>
      <w:marBottom w:val="0"/>
      <w:divBdr>
        <w:top w:val="none" w:sz="0" w:space="0" w:color="auto"/>
        <w:left w:val="none" w:sz="0" w:space="0" w:color="auto"/>
        <w:bottom w:val="none" w:sz="0" w:space="0" w:color="auto"/>
        <w:right w:val="none" w:sz="0" w:space="0" w:color="auto"/>
      </w:divBdr>
      <w:divsChild>
        <w:div w:id="1945795651">
          <w:marLeft w:val="0"/>
          <w:marRight w:val="0"/>
          <w:marTop w:val="0"/>
          <w:marBottom w:val="0"/>
          <w:divBdr>
            <w:top w:val="none" w:sz="0" w:space="0" w:color="auto"/>
            <w:left w:val="none" w:sz="0" w:space="0" w:color="auto"/>
            <w:bottom w:val="none" w:sz="0" w:space="0" w:color="auto"/>
            <w:right w:val="none" w:sz="0" w:space="0" w:color="auto"/>
          </w:divBdr>
        </w:div>
      </w:divsChild>
    </w:div>
    <w:div w:id="1116633761">
      <w:marLeft w:val="0"/>
      <w:marRight w:val="0"/>
      <w:marTop w:val="0"/>
      <w:marBottom w:val="0"/>
      <w:divBdr>
        <w:top w:val="none" w:sz="0" w:space="0" w:color="auto"/>
        <w:left w:val="none" w:sz="0" w:space="0" w:color="auto"/>
        <w:bottom w:val="none" w:sz="0" w:space="0" w:color="auto"/>
        <w:right w:val="none" w:sz="0" w:space="0" w:color="auto"/>
      </w:divBdr>
    </w:div>
    <w:div w:id="1119296013">
      <w:marLeft w:val="0"/>
      <w:marRight w:val="0"/>
      <w:marTop w:val="0"/>
      <w:marBottom w:val="0"/>
      <w:divBdr>
        <w:top w:val="none" w:sz="0" w:space="0" w:color="auto"/>
        <w:left w:val="none" w:sz="0" w:space="0" w:color="auto"/>
        <w:bottom w:val="none" w:sz="0" w:space="0" w:color="auto"/>
        <w:right w:val="none" w:sz="0" w:space="0" w:color="auto"/>
      </w:divBdr>
    </w:div>
    <w:div w:id="1122378688">
      <w:marLeft w:val="0"/>
      <w:marRight w:val="0"/>
      <w:marTop w:val="0"/>
      <w:marBottom w:val="0"/>
      <w:divBdr>
        <w:top w:val="none" w:sz="0" w:space="0" w:color="auto"/>
        <w:left w:val="none" w:sz="0" w:space="0" w:color="auto"/>
        <w:bottom w:val="none" w:sz="0" w:space="0" w:color="auto"/>
        <w:right w:val="none" w:sz="0" w:space="0" w:color="auto"/>
      </w:divBdr>
    </w:div>
    <w:div w:id="1139616386">
      <w:marLeft w:val="0"/>
      <w:marRight w:val="0"/>
      <w:marTop w:val="0"/>
      <w:marBottom w:val="0"/>
      <w:divBdr>
        <w:top w:val="none" w:sz="0" w:space="0" w:color="auto"/>
        <w:left w:val="none" w:sz="0" w:space="0" w:color="auto"/>
        <w:bottom w:val="none" w:sz="0" w:space="0" w:color="auto"/>
        <w:right w:val="none" w:sz="0" w:space="0" w:color="auto"/>
      </w:divBdr>
    </w:div>
    <w:div w:id="1139762386">
      <w:marLeft w:val="0"/>
      <w:marRight w:val="0"/>
      <w:marTop w:val="0"/>
      <w:marBottom w:val="0"/>
      <w:divBdr>
        <w:top w:val="none" w:sz="0" w:space="0" w:color="auto"/>
        <w:left w:val="none" w:sz="0" w:space="0" w:color="auto"/>
        <w:bottom w:val="none" w:sz="0" w:space="0" w:color="auto"/>
        <w:right w:val="none" w:sz="0" w:space="0" w:color="auto"/>
      </w:divBdr>
      <w:divsChild>
        <w:div w:id="120459851">
          <w:marLeft w:val="0"/>
          <w:marRight w:val="0"/>
          <w:marTop w:val="0"/>
          <w:marBottom w:val="0"/>
          <w:divBdr>
            <w:top w:val="none" w:sz="0" w:space="0" w:color="auto"/>
            <w:left w:val="none" w:sz="0" w:space="0" w:color="auto"/>
            <w:bottom w:val="none" w:sz="0" w:space="0" w:color="auto"/>
            <w:right w:val="none" w:sz="0" w:space="0" w:color="auto"/>
          </w:divBdr>
        </w:div>
      </w:divsChild>
    </w:div>
    <w:div w:id="1150713801">
      <w:marLeft w:val="0"/>
      <w:marRight w:val="0"/>
      <w:marTop w:val="0"/>
      <w:marBottom w:val="0"/>
      <w:divBdr>
        <w:top w:val="none" w:sz="0" w:space="0" w:color="auto"/>
        <w:left w:val="none" w:sz="0" w:space="0" w:color="auto"/>
        <w:bottom w:val="none" w:sz="0" w:space="0" w:color="auto"/>
        <w:right w:val="none" w:sz="0" w:space="0" w:color="auto"/>
      </w:divBdr>
      <w:divsChild>
        <w:div w:id="803471782">
          <w:marLeft w:val="0"/>
          <w:marRight w:val="0"/>
          <w:marTop w:val="0"/>
          <w:marBottom w:val="0"/>
          <w:divBdr>
            <w:top w:val="none" w:sz="0" w:space="0" w:color="auto"/>
            <w:left w:val="none" w:sz="0" w:space="0" w:color="auto"/>
            <w:bottom w:val="none" w:sz="0" w:space="0" w:color="auto"/>
            <w:right w:val="none" w:sz="0" w:space="0" w:color="auto"/>
          </w:divBdr>
        </w:div>
      </w:divsChild>
    </w:div>
    <w:div w:id="1151673515">
      <w:marLeft w:val="0"/>
      <w:marRight w:val="0"/>
      <w:marTop w:val="0"/>
      <w:marBottom w:val="0"/>
      <w:divBdr>
        <w:top w:val="none" w:sz="0" w:space="0" w:color="auto"/>
        <w:left w:val="none" w:sz="0" w:space="0" w:color="auto"/>
        <w:bottom w:val="none" w:sz="0" w:space="0" w:color="auto"/>
        <w:right w:val="none" w:sz="0" w:space="0" w:color="auto"/>
      </w:divBdr>
    </w:div>
    <w:div w:id="1153181590">
      <w:marLeft w:val="0"/>
      <w:marRight w:val="0"/>
      <w:marTop w:val="0"/>
      <w:marBottom w:val="0"/>
      <w:divBdr>
        <w:top w:val="none" w:sz="0" w:space="0" w:color="auto"/>
        <w:left w:val="none" w:sz="0" w:space="0" w:color="auto"/>
        <w:bottom w:val="none" w:sz="0" w:space="0" w:color="auto"/>
        <w:right w:val="none" w:sz="0" w:space="0" w:color="auto"/>
      </w:divBdr>
      <w:divsChild>
        <w:div w:id="1693536013">
          <w:marLeft w:val="0"/>
          <w:marRight w:val="0"/>
          <w:marTop w:val="0"/>
          <w:marBottom w:val="0"/>
          <w:divBdr>
            <w:top w:val="none" w:sz="0" w:space="0" w:color="auto"/>
            <w:left w:val="none" w:sz="0" w:space="0" w:color="auto"/>
            <w:bottom w:val="none" w:sz="0" w:space="0" w:color="auto"/>
            <w:right w:val="none" w:sz="0" w:space="0" w:color="auto"/>
          </w:divBdr>
        </w:div>
      </w:divsChild>
    </w:div>
    <w:div w:id="1154026820">
      <w:marLeft w:val="0"/>
      <w:marRight w:val="0"/>
      <w:marTop w:val="0"/>
      <w:marBottom w:val="0"/>
      <w:divBdr>
        <w:top w:val="none" w:sz="0" w:space="0" w:color="auto"/>
        <w:left w:val="none" w:sz="0" w:space="0" w:color="auto"/>
        <w:bottom w:val="none" w:sz="0" w:space="0" w:color="auto"/>
        <w:right w:val="none" w:sz="0" w:space="0" w:color="auto"/>
      </w:divBdr>
    </w:div>
    <w:div w:id="1166441246">
      <w:marLeft w:val="0"/>
      <w:marRight w:val="0"/>
      <w:marTop w:val="0"/>
      <w:marBottom w:val="0"/>
      <w:divBdr>
        <w:top w:val="none" w:sz="0" w:space="0" w:color="auto"/>
        <w:left w:val="none" w:sz="0" w:space="0" w:color="auto"/>
        <w:bottom w:val="none" w:sz="0" w:space="0" w:color="auto"/>
        <w:right w:val="none" w:sz="0" w:space="0" w:color="auto"/>
      </w:divBdr>
      <w:divsChild>
        <w:div w:id="1100566388">
          <w:marLeft w:val="0"/>
          <w:marRight w:val="0"/>
          <w:marTop w:val="0"/>
          <w:marBottom w:val="0"/>
          <w:divBdr>
            <w:top w:val="none" w:sz="0" w:space="0" w:color="auto"/>
            <w:left w:val="none" w:sz="0" w:space="0" w:color="auto"/>
            <w:bottom w:val="none" w:sz="0" w:space="0" w:color="auto"/>
            <w:right w:val="none" w:sz="0" w:space="0" w:color="auto"/>
          </w:divBdr>
        </w:div>
      </w:divsChild>
    </w:div>
    <w:div w:id="1167790208">
      <w:marLeft w:val="0"/>
      <w:marRight w:val="0"/>
      <w:marTop w:val="0"/>
      <w:marBottom w:val="0"/>
      <w:divBdr>
        <w:top w:val="none" w:sz="0" w:space="0" w:color="auto"/>
        <w:left w:val="none" w:sz="0" w:space="0" w:color="auto"/>
        <w:bottom w:val="none" w:sz="0" w:space="0" w:color="auto"/>
        <w:right w:val="none" w:sz="0" w:space="0" w:color="auto"/>
      </w:divBdr>
      <w:divsChild>
        <w:div w:id="1268585178">
          <w:marLeft w:val="0"/>
          <w:marRight w:val="0"/>
          <w:marTop w:val="0"/>
          <w:marBottom w:val="0"/>
          <w:divBdr>
            <w:top w:val="none" w:sz="0" w:space="0" w:color="auto"/>
            <w:left w:val="none" w:sz="0" w:space="0" w:color="auto"/>
            <w:bottom w:val="none" w:sz="0" w:space="0" w:color="auto"/>
            <w:right w:val="none" w:sz="0" w:space="0" w:color="auto"/>
          </w:divBdr>
        </w:div>
      </w:divsChild>
    </w:div>
    <w:div w:id="1169831851">
      <w:marLeft w:val="0"/>
      <w:marRight w:val="0"/>
      <w:marTop w:val="0"/>
      <w:marBottom w:val="0"/>
      <w:divBdr>
        <w:top w:val="none" w:sz="0" w:space="0" w:color="auto"/>
        <w:left w:val="none" w:sz="0" w:space="0" w:color="auto"/>
        <w:bottom w:val="none" w:sz="0" w:space="0" w:color="auto"/>
        <w:right w:val="none" w:sz="0" w:space="0" w:color="auto"/>
      </w:divBdr>
      <w:divsChild>
        <w:div w:id="1842118083">
          <w:marLeft w:val="0"/>
          <w:marRight w:val="0"/>
          <w:marTop w:val="0"/>
          <w:marBottom w:val="0"/>
          <w:divBdr>
            <w:top w:val="none" w:sz="0" w:space="0" w:color="auto"/>
            <w:left w:val="none" w:sz="0" w:space="0" w:color="auto"/>
            <w:bottom w:val="none" w:sz="0" w:space="0" w:color="auto"/>
            <w:right w:val="none" w:sz="0" w:space="0" w:color="auto"/>
          </w:divBdr>
        </w:div>
      </w:divsChild>
    </w:div>
    <w:div w:id="1172454533">
      <w:marLeft w:val="0"/>
      <w:marRight w:val="0"/>
      <w:marTop w:val="0"/>
      <w:marBottom w:val="0"/>
      <w:divBdr>
        <w:top w:val="none" w:sz="0" w:space="0" w:color="auto"/>
        <w:left w:val="none" w:sz="0" w:space="0" w:color="auto"/>
        <w:bottom w:val="none" w:sz="0" w:space="0" w:color="auto"/>
        <w:right w:val="none" w:sz="0" w:space="0" w:color="auto"/>
      </w:divBdr>
    </w:div>
    <w:div w:id="1172797250">
      <w:marLeft w:val="0"/>
      <w:marRight w:val="0"/>
      <w:marTop w:val="0"/>
      <w:marBottom w:val="0"/>
      <w:divBdr>
        <w:top w:val="none" w:sz="0" w:space="0" w:color="auto"/>
        <w:left w:val="none" w:sz="0" w:space="0" w:color="auto"/>
        <w:bottom w:val="none" w:sz="0" w:space="0" w:color="auto"/>
        <w:right w:val="none" w:sz="0" w:space="0" w:color="auto"/>
      </w:divBdr>
    </w:div>
    <w:div w:id="1180508332">
      <w:marLeft w:val="0"/>
      <w:marRight w:val="0"/>
      <w:marTop w:val="0"/>
      <w:marBottom w:val="0"/>
      <w:divBdr>
        <w:top w:val="none" w:sz="0" w:space="0" w:color="auto"/>
        <w:left w:val="none" w:sz="0" w:space="0" w:color="auto"/>
        <w:bottom w:val="none" w:sz="0" w:space="0" w:color="auto"/>
        <w:right w:val="none" w:sz="0" w:space="0" w:color="auto"/>
      </w:divBdr>
      <w:divsChild>
        <w:div w:id="1870530045">
          <w:marLeft w:val="0"/>
          <w:marRight w:val="0"/>
          <w:marTop w:val="0"/>
          <w:marBottom w:val="0"/>
          <w:divBdr>
            <w:top w:val="none" w:sz="0" w:space="0" w:color="auto"/>
            <w:left w:val="none" w:sz="0" w:space="0" w:color="auto"/>
            <w:bottom w:val="none" w:sz="0" w:space="0" w:color="auto"/>
            <w:right w:val="none" w:sz="0" w:space="0" w:color="auto"/>
          </w:divBdr>
        </w:div>
      </w:divsChild>
    </w:div>
    <w:div w:id="1183476282">
      <w:marLeft w:val="0"/>
      <w:marRight w:val="0"/>
      <w:marTop w:val="0"/>
      <w:marBottom w:val="0"/>
      <w:divBdr>
        <w:top w:val="none" w:sz="0" w:space="0" w:color="auto"/>
        <w:left w:val="none" w:sz="0" w:space="0" w:color="auto"/>
        <w:bottom w:val="none" w:sz="0" w:space="0" w:color="auto"/>
        <w:right w:val="none" w:sz="0" w:space="0" w:color="auto"/>
      </w:divBdr>
    </w:div>
    <w:div w:id="1185245651">
      <w:marLeft w:val="0"/>
      <w:marRight w:val="0"/>
      <w:marTop w:val="0"/>
      <w:marBottom w:val="0"/>
      <w:divBdr>
        <w:top w:val="none" w:sz="0" w:space="0" w:color="auto"/>
        <w:left w:val="none" w:sz="0" w:space="0" w:color="auto"/>
        <w:bottom w:val="none" w:sz="0" w:space="0" w:color="auto"/>
        <w:right w:val="none" w:sz="0" w:space="0" w:color="auto"/>
      </w:divBdr>
    </w:div>
    <w:div w:id="1189216910">
      <w:marLeft w:val="0"/>
      <w:marRight w:val="0"/>
      <w:marTop w:val="0"/>
      <w:marBottom w:val="0"/>
      <w:divBdr>
        <w:top w:val="none" w:sz="0" w:space="0" w:color="auto"/>
        <w:left w:val="none" w:sz="0" w:space="0" w:color="auto"/>
        <w:bottom w:val="none" w:sz="0" w:space="0" w:color="auto"/>
        <w:right w:val="none" w:sz="0" w:space="0" w:color="auto"/>
      </w:divBdr>
    </w:div>
    <w:div w:id="1191869196">
      <w:marLeft w:val="0"/>
      <w:marRight w:val="0"/>
      <w:marTop w:val="0"/>
      <w:marBottom w:val="0"/>
      <w:divBdr>
        <w:top w:val="none" w:sz="0" w:space="0" w:color="auto"/>
        <w:left w:val="none" w:sz="0" w:space="0" w:color="auto"/>
        <w:bottom w:val="none" w:sz="0" w:space="0" w:color="auto"/>
        <w:right w:val="none" w:sz="0" w:space="0" w:color="auto"/>
      </w:divBdr>
      <w:divsChild>
        <w:div w:id="412438442">
          <w:marLeft w:val="0"/>
          <w:marRight w:val="0"/>
          <w:marTop w:val="0"/>
          <w:marBottom w:val="0"/>
          <w:divBdr>
            <w:top w:val="none" w:sz="0" w:space="0" w:color="auto"/>
            <w:left w:val="none" w:sz="0" w:space="0" w:color="auto"/>
            <w:bottom w:val="none" w:sz="0" w:space="0" w:color="auto"/>
            <w:right w:val="none" w:sz="0" w:space="0" w:color="auto"/>
          </w:divBdr>
        </w:div>
      </w:divsChild>
    </w:div>
    <w:div w:id="1192575994">
      <w:marLeft w:val="0"/>
      <w:marRight w:val="0"/>
      <w:marTop w:val="0"/>
      <w:marBottom w:val="0"/>
      <w:divBdr>
        <w:top w:val="none" w:sz="0" w:space="0" w:color="auto"/>
        <w:left w:val="none" w:sz="0" w:space="0" w:color="auto"/>
        <w:bottom w:val="none" w:sz="0" w:space="0" w:color="auto"/>
        <w:right w:val="none" w:sz="0" w:space="0" w:color="auto"/>
      </w:divBdr>
    </w:div>
    <w:div w:id="1195461541">
      <w:marLeft w:val="0"/>
      <w:marRight w:val="0"/>
      <w:marTop w:val="0"/>
      <w:marBottom w:val="0"/>
      <w:divBdr>
        <w:top w:val="none" w:sz="0" w:space="0" w:color="auto"/>
        <w:left w:val="none" w:sz="0" w:space="0" w:color="auto"/>
        <w:bottom w:val="none" w:sz="0" w:space="0" w:color="auto"/>
        <w:right w:val="none" w:sz="0" w:space="0" w:color="auto"/>
      </w:divBdr>
    </w:div>
    <w:div w:id="1202939420">
      <w:marLeft w:val="0"/>
      <w:marRight w:val="0"/>
      <w:marTop w:val="0"/>
      <w:marBottom w:val="0"/>
      <w:divBdr>
        <w:top w:val="none" w:sz="0" w:space="0" w:color="auto"/>
        <w:left w:val="none" w:sz="0" w:space="0" w:color="auto"/>
        <w:bottom w:val="none" w:sz="0" w:space="0" w:color="auto"/>
        <w:right w:val="none" w:sz="0" w:space="0" w:color="auto"/>
      </w:divBdr>
      <w:divsChild>
        <w:div w:id="1577477743">
          <w:marLeft w:val="0"/>
          <w:marRight w:val="0"/>
          <w:marTop w:val="0"/>
          <w:marBottom w:val="0"/>
          <w:divBdr>
            <w:top w:val="none" w:sz="0" w:space="0" w:color="auto"/>
            <w:left w:val="none" w:sz="0" w:space="0" w:color="auto"/>
            <w:bottom w:val="none" w:sz="0" w:space="0" w:color="auto"/>
            <w:right w:val="none" w:sz="0" w:space="0" w:color="auto"/>
          </w:divBdr>
        </w:div>
      </w:divsChild>
    </w:div>
    <w:div w:id="1205020371">
      <w:marLeft w:val="0"/>
      <w:marRight w:val="0"/>
      <w:marTop w:val="0"/>
      <w:marBottom w:val="0"/>
      <w:divBdr>
        <w:top w:val="none" w:sz="0" w:space="0" w:color="auto"/>
        <w:left w:val="none" w:sz="0" w:space="0" w:color="auto"/>
        <w:bottom w:val="none" w:sz="0" w:space="0" w:color="auto"/>
        <w:right w:val="none" w:sz="0" w:space="0" w:color="auto"/>
      </w:divBdr>
    </w:div>
    <w:div w:id="1208029352">
      <w:marLeft w:val="0"/>
      <w:marRight w:val="0"/>
      <w:marTop w:val="0"/>
      <w:marBottom w:val="0"/>
      <w:divBdr>
        <w:top w:val="none" w:sz="0" w:space="0" w:color="auto"/>
        <w:left w:val="none" w:sz="0" w:space="0" w:color="auto"/>
        <w:bottom w:val="none" w:sz="0" w:space="0" w:color="auto"/>
        <w:right w:val="none" w:sz="0" w:space="0" w:color="auto"/>
      </w:divBdr>
    </w:div>
    <w:div w:id="1208109465">
      <w:marLeft w:val="0"/>
      <w:marRight w:val="0"/>
      <w:marTop w:val="0"/>
      <w:marBottom w:val="0"/>
      <w:divBdr>
        <w:top w:val="none" w:sz="0" w:space="0" w:color="auto"/>
        <w:left w:val="none" w:sz="0" w:space="0" w:color="auto"/>
        <w:bottom w:val="none" w:sz="0" w:space="0" w:color="auto"/>
        <w:right w:val="none" w:sz="0" w:space="0" w:color="auto"/>
      </w:divBdr>
    </w:div>
    <w:div w:id="1208253141">
      <w:marLeft w:val="0"/>
      <w:marRight w:val="0"/>
      <w:marTop w:val="0"/>
      <w:marBottom w:val="0"/>
      <w:divBdr>
        <w:top w:val="none" w:sz="0" w:space="0" w:color="auto"/>
        <w:left w:val="none" w:sz="0" w:space="0" w:color="auto"/>
        <w:bottom w:val="none" w:sz="0" w:space="0" w:color="auto"/>
        <w:right w:val="none" w:sz="0" w:space="0" w:color="auto"/>
      </w:divBdr>
      <w:divsChild>
        <w:div w:id="2093155944">
          <w:marLeft w:val="0"/>
          <w:marRight w:val="0"/>
          <w:marTop w:val="0"/>
          <w:marBottom w:val="0"/>
          <w:divBdr>
            <w:top w:val="none" w:sz="0" w:space="0" w:color="auto"/>
            <w:left w:val="none" w:sz="0" w:space="0" w:color="auto"/>
            <w:bottom w:val="none" w:sz="0" w:space="0" w:color="auto"/>
            <w:right w:val="none" w:sz="0" w:space="0" w:color="auto"/>
          </w:divBdr>
        </w:div>
      </w:divsChild>
    </w:div>
    <w:div w:id="1209605185">
      <w:marLeft w:val="0"/>
      <w:marRight w:val="0"/>
      <w:marTop w:val="0"/>
      <w:marBottom w:val="0"/>
      <w:divBdr>
        <w:top w:val="none" w:sz="0" w:space="0" w:color="auto"/>
        <w:left w:val="none" w:sz="0" w:space="0" w:color="auto"/>
        <w:bottom w:val="none" w:sz="0" w:space="0" w:color="auto"/>
        <w:right w:val="none" w:sz="0" w:space="0" w:color="auto"/>
      </w:divBdr>
    </w:div>
    <w:div w:id="1212886816">
      <w:marLeft w:val="0"/>
      <w:marRight w:val="0"/>
      <w:marTop w:val="0"/>
      <w:marBottom w:val="0"/>
      <w:divBdr>
        <w:top w:val="none" w:sz="0" w:space="0" w:color="auto"/>
        <w:left w:val="none" w:sz="0" w:space="0" w:color="auto"/>
        <w:bottom w:val="none" w:sz="0" w:space="0" w:color="auto"/>
        <w:right w:val="none" w:sz="0" w:space="0" w:color="auto"/>
      </w:divBdr>
    </w:div>
    <w:div w:id="1219317225">
      <w:marLeft w:val="0"/>
      <w:marRight w:val="0"/>
      <w:marTop w:val="0"/>
      <w:marBottom w:val="0"/>
      <w:divBdr>
        <w:top w:val="none" w:sz="0" w:space="0" w:color="auto"/>
        <w:left w:val="none" w:sz="0" w:space="0" w:color="auto"/>
        <w:bottom w:val="none" w:sz="0" w:space="0" w:color="auto"/>
        <w:right w:val="none" w:sz="0" w:space="0" w:color="auto"/>
      </w:divBdr>
    </w:div>
    <w:div w:id="1219513829">
      <w:marLeft w:val="0"/>
      <w:marRight w:val="0"/>
      <w:marTop w:val="0"/>
      <w:marBottom w:val="0"/>
      <w:divBdr>
        <w:top w:val="none" w:sz="0" w:space="0" w:color="auto"/>
        <w:left w:val="none" w:sz="0" w:space="0" w:color="auto"/>
        <w:bottom w:val="none" w:sz="0" w:space="0" w:color="auto"/>
        <w:right w:val="none" w:sz="0" w:space="0" w:color="auto"/>
      </w:divBdr>
    </w:div>
    <w:div w:id="1221818530">
      <w:marLeft w:val="0"/>
      <w:marRight w:val="0"/>
      <w:marTop w:val="0"/>
      <w:marBottom w:val="0"/>
      <w:divBdr>
        <w:top w:val="none" w:sz="0" w:space="0" w:color="auto"/>
        <w:left w:val="none" w:sz="0" w:space="0" w:color="auto"/>
        <w:bottom w:val="none" w:sz="0" w:space="0" w:color="auto"/>
        <w:right w:val="none" w:sz="0" w:space="0" w:color="auto"/>
      </w:divBdr>
      <w:divsChild>
        <w:div w:id="833256145">
          <w:marLeft w:val="0"/>
          <w:marRight w:val="0"/>
          <w:marTop w:val="0"/>
          <w:marBottom w:val="0"/>
          <w:divBdr>
            <w:top w:val="none" w:sz="0" w:space="0" w:color="auto"/>
            <w:left w:val="none" w:sz="0" w:space="0" w:color="auto"/>
            <w:bottom w:val="none" w:sz="0" w:space="0" w:color="auto"/>
            <w:right w:val="none" w:sz="0" w:space="0" w:color="auto"/>
          </w:divBdr>
        </w:div>
      </w:divsChild>
    </w:div>
    <w:div w:id="1230266383">
      <w:marLeft w:val="0"/>
      <w:marRight w:val="0"/>
      <w:marTop w:val="0"/>
      <w:marBottom w:val="0"/>
      <w:divBdr>
        <w:top w:val="none" w:sz="0" w:space="0" w:color="auto"/>
        <w:left w:val="none" w:sz="0" w:space="0" w:color="auto"/>
        <w:bottom w:val="none" w:sz="0" w:space="0" w:color="auto"/>
        <w:right w:val="none" w:sz="0" w:space="0" w:color="auto"/>
      </w:divBdr>
    </w:div>
    <w:div w:id="1244608625">
      <w:marLeft w:val="0"/>
      <w:marRight w:val="0"/>
      <w:marTop w:val="0"/>
      <w:marBottom w:val="0"/>
      <w:divBdr>
        <w:top w:val="none" w:sz="0" w:space="0" w:color="auto"/>
        <w:left w:val="none" w:sz="0" w:space="0" w:color="auto"/>
        <w:bottom w:val="none" w:sz="0" w:space="0" w:color="auto"/>
        <w:right w:val="none" w:sz="0" w:space="0" w:color="auto"/>
      </w:divBdr>
      <w:divsChild>
        <w:div w:id="79330722">
          <w:marLeft w:val="0"/>
          <w:marRight w:val="0"/>
          <w:marTop w:val="0"/>
          <w:marBottom w:val="0"/>
          <w:divBdr>
            <w:top w:val="none" w:sz="0" w:space="0" w:color="auto"/>
            <w:left w:val="none" w:sz="0" w:space="0" w:color="auto"/>
            <w:bottom w:val="none" w:sz="0" w:space="0" w:color="auto"/>
            <w:right w:val="none" w:sz="0" w:space="0" w:color="auto"/>
          </w:divBdr>
        </w:div>
        <w:div w:id="1443762987">
          <w:marLeft w:val="0"/>
          <w:marRight w:val="0"/>
          <w:marTop w:val="0"/>
          <w:marBottom w:val="0"/>
          <w:divBdr>
            <w:top w:val="none" w:sz="0" w:space="0" w:color="auto"/>
            <w:left w:val="none" w:sz="0" w:space="0" w:color="auto"/>
            <w:bottom w:val="none" w:sz="0" w:space="0" w:color="auto"/>
            <w:right w:val="none" w:sz="0" w:space="0" w:color="auto"/>
          </w:divBdr>
        </w:div>
        <w:div w:id="1802307568">
          <w:marLeft w:val="0"/>
          <w:marRight w:val="0"/>
          <w:marTop w:val="0"/>
          <w:marBottom w:val="0"/>
          <w:divBdr>
            <w:top w:val="none" w:sz="0" w:space="0" w:color="auto"/>
            <w:left w:val="none" w:sz="0" w:space="0" w:color="auto"/>
            <w:bottom w:val="none" w:sz="0" w:space="0" w:color="auto"/>
            <w:right w:val="none" w:sz="0" w:space="0" w:color="auto"/>
          </w:divBdr>
        </w:div>
        <w:div w:id="349915509">
          <w:marLeft w:val="0"/>
          <w:marRight w:val="0"/>
          <w:marTop w:val="0"/>
          <w:marBottom w:val="0"/>
          <w:divBdr>
            <w:top w:val="none" w:sz="0" w:space="0" w:color="auto"/>
            <w:left w:val="none" w:sz="0" w:space="0" w:color="auto"/>
            <w:bottom w:val="none" w:sz="0" w:space="0" w:color="auto"/>
            <w:right w:val="none" w:sz="0" w:space="0" w:color="auto"/>
          </w:divBdr>
        </w:div>
        <w:div w:id="828979366">
          <w:marLeft w:val="0"/>
          <w:marRight w:val="0"/>
          <w:marTop w:val="0"/>
          <w:marBottom w:val="0"/>
          <w:divBdr>
            <w:top w:val="none" w:sz="0" w:space="0" w:color="auto"/>
            <w:left w:val="none" w:sz="0" w:space="0" w:color="auto"/>
            <w:bottom w:val="none" w:sz="0" w:space="0" w:color="auto"/>
            <w:right w:val="none" w:sz="0" w:space="0" w:color="auto"/>
          </w:divBdr>
        </w:div>
        <w:div w:id="1630932601">
          <w:marLeft w:val="0"/>
          <w:marRight w:val="0"/>
          <w:marTop w:val="0"/>
          <w:marBottom w:val="0"/>
          <w:divBdr>
            <w:top w:val="none" w:sz="0" w:space="0" w:color="auto"/>
            <w:left w:val="none" w:sz="0" w:space="0" w:color="auto"/>
            <w:bottom w:val="none" w:sz="0" w:space="0" w:color="auto"/>
            <w:right w:val="none" w:sz="0" w:space="0" w:color="auto"/>
          </w:divBdr>
        </w:div>
        <w:div w:id="988174666">
          <w:marLeft w:val="0"/>
          <w:marRight w:val="0"/>
          <w:marTop w:val="0"/>
          <w:marBottom w:val="0"/>
          <w:divBdr>
            <w:top w:val="none" w:sz="0" w:space="0" w:color="auto"/>
            <w:left w:val="none" w:sz="0" w:space="0" w:color="auto"/>
            <w:bottom w:val="none" w:sz="0" w:space="0" w:color="auto"/>
            <w:right w:val="none" w:sz="0" w:space="0" w:color="auto"/>
          </w:divBdr>
        </w:div>
        <w:div w:id="171456531">
          <w:marLeft w:val="0"/>
          <w:marRight w:val="0"/>
          <w:marTop w:val="0"/>
          <w:marBottom w:val="0"/>
          <w:divBdr>
            <w:top w:val="none" w:sz="0" w:space="0" w:color="auto"/>
            <w:left w:val="none" w:sz="0" w:space="0" w:color="auto"/>
            <w:bottom w:val="none" w:sz="0" w:space="0" w:color="auto"/>
            <w:right w:val="none" w:sz="0" w:space="0" w:color="auto"/>
          </w:divBdr>
        </w:div>
        <w:div w:id="1132944534">
          <w:marLeft w:val="0"/>
          <w:marRight w:val="0"/>
          <w:marTop w:val="0"/>
          <w:marBottom w:val="0"/>
          <w:divBdr>
            <w:top w:val="none" w:sz="0" w:space="0" w:color="auto"/>
            <w:left w:val="none" w:sz="0" w:space="0" w:color="auto"/>
            <w:bottom w:val="none" w:sz="0" w:space="0" w:color="auto"/>
            <w:right w:val="none" w:sz="0" w:space="0" w:color="auto"/>
          </w:divBdr>
        </w:div>
        <w:div w:id="2139907595">
          <w:marLeft w:val="0"/>
          <w:marRight w:val="0"/>
          <w:marTop w:val="0"/>
          <w:marBottom w:val="0"/>
          <w:divBdr>
            <w:top w:val="none" w:sz="0" w:space="0" w:color="auto"/>
            <w:left w:val="none" w:sz="0" w:space="0" w:color="auto"/>
            <w:bottom w:val="none" w:sz="0" w:space="0" w:color="auto"/>
            <w:right w:val="none" w:sz="0" w:space="0" w:color="auto"/>
          </w:divBdr>
        </w:div>
        <w:div w:id="1207714496">
          <w:marLeft w:val="0"/>
          <w:marRight w:val="0"/>
          <w:marTop w:val="0"/>
          <w:marBottom w:val="0"/>
          <w:divBdr>
            <w:top w:val="none" w:sz="0" w:space="0" w:color="auto"/>
            <w:left w:val="none" w:sz="0" w:space="0" w:color="auto"/>
            <w:bottom w:val="none" w:sz="0" w:space="0" w:color="auto"/>
            <w:right w:val="none" w:sz="0" w:space="0" w:color="auto"/>
          </w:divBdr>
        </w:div>
        <w:div w:id="1575316355">
          <w:marLeft w:val="0"/>
          <w:marRight w:val="0"/>
          <w:marTop w:val="0"/>
          <w:marBottom w:val="0"/>
          <w:divBdr>
            <w:top w:val="none" w:sz="0" w:space="0" w:color="auto"/>
            <w:left w:val="none" w:sz="0" w:space="0" w:color="auto"/>
            <w:bottom w:val="none" w:sz="0" w:space="0" w:color="auto"/>
            <w:right w:val="none" w:sz="0" w:space="0" w:color="auto"/>
          </w:divBdr>
        </w:div>
        <w:div w:id="420568284">
          <w:marLeft w:val="0"/>
          <w:marRight w:val="0"/>
          <w:marTop w:val="0"/>
          <w:marBottom w:val="0"/>
          <w:divBdr>
            <w:top w:val="none" w:sz="0" w:space="0" w:color="auto"/>
            <w:left w:val="none" w:sz="0" w:space="0" w:color="auto"/>
            <w:bottom w:val="none" w:sz="0" w:space="0" w:color="auto"/>
            <w:right w:val="none" w:sz="0" w:space="0" w:color="auto"/>
          </w:divBdr>
        </w:div>
        <w:div w:id="31615484">
          <w:marLeft w:val="0"/>
          <w:marRight w:val="0"/>
          <w:marTop w:val="0"/>
          <w:marBottom w:val="0"/>
          <w:divBdr>
            <w:top w:val="none" w:sz="0" w:space="0" w:color="auto"/>
            <w:left w:val="none" w:sz="0" w:space="0" w:color="auto"/>
            <w:bottom w:val="none" w:sz="0" w:space="0" w:color="auto"/>
            <w:right w:val="none" w:sz="0" w:space="0" w:color="auto"/>
          </w:divBdr>
        </w:div>
        <w:div w:id="368649663">
          <w:marLeft w:val="0"/>
          <w:marRight w:val="0"/>
          <w:marTop w:val="0"/>
          <w:marBottom w:val="0"/>
          <w:divBdr>
            <w:top w:val="none" w:sz="0" w:space="0" w:color="auto"/>
            <w:left w:val="none" w:sz="0" w:space="0" w:color="auto"/>
            <w:bottom w:val="none" w:sz="0" w:space="0" w:color="auto"/>
            <w:right w:val="none" w:sz="0" w:space="0" w:color="auto"/>
          </w:divBdr>
        </w:div>
        <w:div w:id="638874807">
          <w:marLeft w:val="0"/>
          <w:marRight w:val="0"/>
          <w:marTop w:val="0"/>
          <w:marBottom w:val="0"/>
          <w:divBdr>
            <w:top w:val="none" w:sz="0" w:space="0" w:color="auto"/>
            <w:left w:val="none" w:sz="0" w:space="0" w:color="auto"/>
            <w:bottom w:val="none" w:sz="0" w:space="0" w:color="auto"/>
            <w:right w:val="none" w:sz="0" w:space="0" w:color="auto"/>
          </w:divBdr>
        </w:div>
        <w:div w:id="968819743">
          <w:marLeft w:val="0"/>
          <w:marRight w:val="0"/>
          <w:marTop w:val="0"/>
          <w:marBottom w:val="0"/>
          <w:divBdr>
            <w:top w:val="none" w:sz="0" w:space="0" w:color="auto"/>
            <w:left w:val="none" w:sz="0" w:space="0" w:color="auto"/>
            <w:bottom w:val="none" w:sz="0" w:space="0" w:color="auto"/>
            <w:right w:val="none" w:sz="0" w:space="0" w:color="auto"/>
          </w:divBdr>
        </w:div>
        <w:div w:id="739645020">
          <w:marLeft w:val="0"/>
          <w:marRight w:val="0"/>
          <w:marTop w:val="0"/>
          <w:marBottom w:val="0"/>
          <w:divBdr>
            <w:top w:val="none" w:sz="0" w:space="0" w:color="auto"/>
            <w:left w:val="none" w:sz="0" w:space="0" w:color="auto"/>
            <w:bottom w:val="none" w:sz="0" w:space="0" w:color="auto"/>
            <w:right w:val="none" w:sz="0" w:space="0" w:color="auto"/>
          </w:divBdr>
        </w:div>
        <w:div w:id="1249971460">
          <w:marLeft w:val="0"/>
          <w:marRight w:val="0"/>
          <w:marTop w:val="0"/>
          <w:marBottom w:val="0"/>
          <w:divBdr>
            <w:top w:val="none" w:sz="0" w:space="0" w:color="auto"/>
            <w:left w:val="none" w:sz="0" w:space="0" w:color="auto"/>
            <w:bottom w:val="none" w:sz="0" w:space="0" w:color="auto"/>
            <w:right w:val="none" w:sz="0" w:space="0" w:color="auto"/>
          </w:divBdr>
        </w:div>
        <w:div w:id="1538618411">
          <w:marLeft w:val="0"/>
          <w:marRight w:val="0"/>
          <w:marTop w:val="0"/>
          <w:marBottom w:val="0"/>
          <w:divBdr>
            <w:top w:val="none" w:sz="0" w:space="0" w:color="auto"/>
            <w:left w:val="none" w:sz="0" w:space="0" w:color="auto"/>
            <w:bottom w:val="none" w:sz="0" w:space="0" w:color="auto"/>
            <w:right w:val="none" w:sz="0" w:space="0" w:color="auto"/>
          </w:divBdr>
        </w:div>
        <w:div w:id="795028078">
          <w:marLeft w:val="0"/>
          <w:marRight w:val="0"/>
          <w:marTop w:val="0"/>
          <w:marBottom w:val="0"/>
          <w:divBdr>
            <w:top w:val="none" w:sz="0" w:space="0" w:color="auto"/>
            <w:left w:val="none" w:sz="0" w:space="0" w:color="auto"/>
            <w:bottom w:val="none" w:sz="0" w:space="0" w:color="auto"/>
            <w:right w:val="none" w:sz="0" w:space="0" w:color="auto"/>
          </w:divBdr>
        </w:div>
        <w:div w:id="1565412665">
          <w:marLeft w:val="0"/>
          <w:marRight w:val="0"/>
          <w:marTop w:val="0"/>
          <w:marBottom w:val="0"/>
          <w:divBdr>
            <w:top w:val="none" w:sz="0" w:space="0" w:color="auto"/>
            <w:left w:val="none" w:sz="0" w:space="0" w:color="auto"/>
            <w:bottom w:val="none" w:sz="0" w:space="0" w:color="auto"/>
            <w:right w:val="none" w:sz="0" w:space="0" w:color="auto"/>
          </w:divBdr>
        </w:div>
        <w:div w:id="716708305">
          <w:marLeft w:val="0"/>
          <w:marRight w:val="0"/>
          <w:marTop w:val="0"/>
          <w:marBottom w:val="0"/>
          <w:divBdr>
            <w:top w:val="none" w:sz="0" w:space="0" w:color="auto"/>
            <w:left w:val="none" w:sz="0" w:space="0" w:color="auto"/>
            <w:bottom w:val="none" w:sz="0" w:space="0" w:color="auto"/>
            <w:right w:val="none" w:sz="0" w:space="0" w:color="auto"/>
          </w:divBdr>
        </w:div>
        <w:div w:id="1925868930">
          <w:marLeft w:val="0"/>
          <w:marRight w:val="0"/>
          <w:marTop w:val="0"/>
          <w:marBottom w:val="0"/>
          <w:divBdr>
            <w:top w:val="none" w:sz="0" w:space="0" w:color="auto"/>
            <w:left w:val="none" w:sz="0" w:space="0" w:color="auto"/>
            <w:bottom w:val="none" w:sz="0" w:space="0" w:color="auto"/>
            <w:right w:val="none" w:sz="0" w:space="0" w:color="auto"/>
          </w:divBdr>
        </w:div>
        <w:div w:id="1005284081">
          <w:marLeft w:val="0"/>
          <w:marRight w:val="0"/>
          <w:marTop w:val="0"/>
          <w:marBottom w:val="0"/>
          <w:divBdr>
            <w:top w:val="none" w:sz="0" w:space="0" w:color="auto"/>
            <w:left w:val="none" w:sz="0" w:space="0" w:color="auto"/>
            <w:bottom w:val="none" w:sz="0" w:space="0" w:color="auto"/>
            <w:right w:val="none" w:sz="0" w:space="0" w:color="auto"/>
          </w:divBdr>
        </w:div>
        <w:div w:id="1417022236">
          <w:marLeft w:val="0"/>
          <w:marRight w:val="0"/>
          <w:marTop w:val="0"/>
          <w:marBottom w:val="0"/>
          <w:divBdr>
            <w:top w:val="none" w:sz="0" w:space="0" w:color="auto"/>
            <w:left w:val="none" w:sz="0" w:space="0" w:color="auto"/>
            <w:bottom w:val="none" w:sz="0" w:space="0" w:color="auto"/>
            <w:right w:val="none" w:sz="0" w:space="0" w:color="auto"/>
          </w:divBdr>
        </w:div>
        <w:div w:id="729113585">
          <w:marLeft w:val="0"/>
          <w:marRight w:val="0"/>
          <w:marTop w:val="0"/>
          <w:marBottom w:val="0"/>
          <w:divBdr>
            <w:top w:val="none" w:sz="0" w:space="0" w:color="auto"/>
            <w:left w:val="none" w:sz="0" w:space="0" w:color="auto"/>
            <w:bottom w:val="none" w:sz="0" w:space="0" w:color="auto"/>
            <w:right w:val="none" w:sz="0" w:space="0" w:color="auto"/>
          </w:divBdr>
        </w:div>
        <w:div w:id="724259143">
          <w:marLeft w:val="0"/>
          <w:marRight w:val="0"/>
          <w:marTop w:val="0"/>
          <w:marBottom w:val="0"/>
          <w:divBdr>
            <w:top w:val="none" w:sz="0" w:space="0" w:color="auto"/>
            <w:left w:val="none" w:sz="0" w:space="0" w:color="auto"/>
            <w:bottom w:val="none" w:sz="0" w:space="0" w:color="auto"/>
            <w:right w:val="none" w:sz="0" w:space="0" w:color="auto"/>
          </w:divBdr>
        </w:div>
        <w:div w:id="607276007">
          <w:marLeft w:val="0"/>
          <w:marRight w:val="0"/>
          <w:marTop w:val="0"/>
          <w:marBottom w:val="0"/>
          <w:divBdr>
            <w:top w:val="none" w:sz="0" w:space="0" w:color="auto"/>
            <w:left w:val="none" w:sz="0" w:space="0" w:color="auto"/>
            <w:bottom w:val="none" w:sz="0" w:space="0" w:color="auto"/>
            <w:right w:val="none" w:sz="0" w:space="0" w:color="auto"/>
          </w:divBdr>
        </w:div>
        <w:div w:id="94401230">
          <w:marLeft w:val="0"/>
          <w:marRight w:val="0"/>
          <w:marTop w:val="0"/>
          <w:marBottom w:val="0"/>
          <w:divBdr>
            <w:top w:val="none" w:sz="0" w:space="0" w:color="auto"/>
            <w:left w:val="none" w:sz="0" w:space="0" w:color="auto"/>
            <w:bottom w:val="none" w:sz="0" w:space="0" w:color="auto"/>
            <w:right w:val="none" w:sz="0" w:space="0" w:color="auto"/>
          </w:divBdr>
        </w:div>
        <w:div w:id="1894581302">
          <w:marLeft w:val="0"/>
          <w:marRight w:val="0"/>
          <w:marTop w:val="0"/>
          <w:marBottom w:val="0"/>
          <w:divBdr>
            <w:top w:val="none" w:sz="0" w:space="0" w:color="auto"/>
            <w:left w:val="none" w:sz="0" w:space="0" w:color="auto"/>
            <w:bottom w:val="none" w:sz="0" w:space="0" w:color="auto"/>
            <w:right w:val="none" w:sz="0" w:space="0" w:color="auto"/>
          </w:divBdr>
        </w:div>
        <w:div w:id="635065146">
          <w:marLeft w:val="0"/>
          <w:marRight w:val="0"/>
          <w:marTop w:val="0"/>
          <w:marBottom w:val="0"/>
          <w:divBdr>
            <w:top w:val="none" w:sz="0" w:space="0" w:color="auto"/>
            <w:left w:val="none" w:sz="0" w:space="0" w:color="auto"/>
            <w:bottom w:val="none" w:sz="0" w:space="0" w:color="auto"/>
            <w:right w:val="none" w:sz="0" w:space="0" w:color="auto"/>
          </w:divBdr>
        </w:div>
        <w:div w:id="161701220">
          <w:marLeft w:val="0"/>
          <w:marRight w:val="0"/>
          <w:marTop w:val="0"/>
          <w:marBottom w:val="0"/>
          <w:divBdr>
            <w:top w:val="none" w:sz="0" w:space="0" w:color="auto"/>
            <w:left w:val="none" w:sz="0" w:space="0" w:color="auto"/>
            <w:bottom w:val="none" w:sz="0" w:space="0" w:color="auto"/>
            <w:right w:val="none" w:sz="0" w:space="0" w:color="auto"/>
          </w:divBdr>
        </w:div>
        <w:div w:id="1938906763">
          <w:marLeft w:val="0"/>
          <w:marRight w:val="0"/>
          <w:marTop w:val="0"/>
          <w:marBottom w:val="0"/>
          <w:divBdr>
            <w:top w:val="none" w:sz="0" w:space="0" w:color="auto"/>
            <w:left w:val="none" w:sz="0" w:space="0" w:color="auto"/>
            <w:bottom w:val="none" w:sz="0" w:space="0" w:color="auto"/>
            <w:right w:val="none" w:sz="0" w:space="0" w:color="auto"/>
          </w:divBdr>
        </w:div>
        <w:div w:id="723603798">
          <w:marLeft w:val="0"/>
          <w:marRight w:val="0"/>
          <w:marTop w:val="0"/>
          <w:marBottom w:val="0"/>
          <w:divBdr>
            <w:top w:val="none" w:sz="0" w:space="0" w:color="auto"/>
            <w:left w:val="none" w:sz="0" w:space="0" w:color="auto"/>
            <w:bottom w:val="none" w:sz="0" w:space="0" w:color="auto"/>
            <w:right w:val="none" w:sz="0" w:space="0" w:color="auto"/>
          </w:divBdr>
        </w:div>
        <w:div w:id="1999994099">
          <w:marLeft w:val="0"/>
          <w:marRight w:val="0"/>
          <w:marTop w:val="0"/>
          <w:marBottom w:val="0"/>
          <w:divBdr>
            <w:top w:val="none" w:sz="0" w:space="0" w:color="auto"/>
            <w:left w:val="none" w:sz="0" w:space="0" w:color="auto"/>
            <w:bottom w:val="none" w:sz="0" w:space="0" w:color="auto"/>
            <w:right w:val="none" w:sz="0" w:space="0" w:color="auto"/>
          </w:divBdr>
        </w:div>
        <w:div w:id="395981990">
          <w:marLeft w:val="0"/>
          <w:marRight w:val="0"/>
          <w:marTop w:val="0"/>
          <w:marBottom w:val="0"/>
          <w:divBdr>
            <w:top w:val="none" w:sz="0" w:space="0" w:color="auto"/>
            <w:left w:val="none" w:sz="0" w:space="0" w:color="auto"/>
            <w:bottom w:val="none" w:sz="0" w:space="0" w:color="auto"/>
            <w:right w:val="none" w:sz="0" w:space="0" w:color="auto"/>
          </w:divBdr>
        </w:div>
        <w:div w:id="1436098478">
          <w:marLeft w:val="0"/>
          <w:marRight w:val="0"/>
          <w:marTop w:val="0"/>
          <w:marBottom w:val="0"/>
          <w:divBdr>
            <w:top w:val="none" w:sz="0" w:space="0" w:color="auto"/>
            <w:left w:val="none" w:sz="0" w:space="0" w:color="auto"/>
            <w:bottom w:val="none" w:sz="0" w:space="0" w:color="auto"/>
            <w:right w:val="none" w:sz="0" w:space="0" w:color="auto"/>
          </w:divBdr>
        </w:div>
        <w:div w:id="1798835933">
          <w:marLeft w:val="0"/>
          <w:marRight w:val="0"/>
          <w:marTop w:val="0"/>
          <w:marBottom w:val="0"/>
          <w:divBdr>
            <w:top w:val="none" w:sz="0" w:space="0" w:color="auto"/>
            <w:left w:val="none" w:sz="0" w:space="0" w:color="auto"/>
            <w:bottom w:val="none" w:sz="0" w:space="0" w:color="auto"/>
            <w:right w:val="none" w:sz="0" w:space="0" w:color="auto"/>
          </w:divBdr>
        </w:div>
        <w:div w:id="959065340">
          <w:marLeft w:val="0"/>
          <w:marRight w:val="0"/>
          <w:marTop w:val="0"/>
          <w:marBottom w:val="0"/>
          <w:divBdr>
            <w:top w:val="none" w:sz="0" w:space="0" w:color="auto"/>
            <w:left w:val="none" w:sz="0" w:space="0" w:color="auto"/>
            <w:bottom w:val="none" w:sz="0" w:space="0" w:color="auto"/>
            <w:right w:val="none" w:sz="0" w:space="0" w:color="auto"/>
          </w:divBdr>
        </w:div>
        <w:div w:id="1563060377">
          <w:marLeft w:val="0"/>
          <w:marRight w:val="0"/>
          <w:marTop w:val="0"/>
          <w:marBottom w:val="0"/>
          <w:divBdr>
            <w:top w:val="none" w:sz="0" w:space="0" w:color="auto"/>
            <w:left w:val="none" w:sz="0" w:space="0" w:color="auto"/>
            <w:bottom w:val="none" w:sz="0" w:space="0" w:color="auto"/>
            <w:right w:val="none" w:sz="0" w:space="0" w:color="auto"/>
          </w:divBdr>
        </w:div>
        <w:div w:id="1549955237">
          <w:marLeft w:val="0"/>
          <w:marRight w:val="0"/>
          <w:marTop w:val="0"/>
          <w:marBottom w:val="0"/>
          <w:divBdr>
            <w:top w:val="none" w:sz="0" w:space="0" w:color="auto"/>
            <w:left w:val="none" w:sz="0" w:space="0" w:color="auto"/>
            <w:bottom w:val="none" w:sz="0" w:space="0" w:color="auto"/>
            <w:right w:val="none" w:sz="0" w:space="0" w:color="auto"/>
          </w:divBdr>
        </w:div>
        <w:div w:id="218787949">
          <w:marLeft w:val="0"/>
          <w:marRight w:val="0"/>
          <w:marTop w:val="0"/>
          <w:marBottom w:val="0"/>
          <w:divBdr>
            <w:top w:val="none" w:sz="0" w:space="0" w:color="auto"/>
            <w:left w:val="none" w:sz="0" w:space="0" w:color="auto"/>
            <w:bottom w:val="none" w:sz="0" w:space="0" w:color="auto"/>
            <w:right w:val="none" w:sz="0" w:space="0" w:color="auto"/>
          </w:divBdr>
        </w:div>
        <w:div w:id="882136762">
          <w:marLeft w:val="0"/>
          <w:marRight w:val="0"/>
          <w:marTop w:val="0"/>
          <w:marBottom w:val="0"/>
          <w:divBdr>
            <w:top w:val="none" w:sz="0" w:space="0" w:color="auto"/>
            <w:left w:val="none" w:sz="0" w:space="0" w:color="auto"/>
            <w:bottom w:val="none" w:sz="0" w:space="0" w:color="auto"/>
            <w:right w:val="none" w:sz="0" w:space="0" w:color="auto"/>
          </w:divBdr>
        </w:div>
        <w:div w:id="1319385865">
          <w:marLeft w:val="0"/>
          <w:marRight w:val="0"/>
          <w:marTop w:val="0"/>
          <w:marBottom w:val="0"/>
          <w:divBdr>
            <w:top w:val="none" w:sz="0" w:space="0" w:color="auto"/>
            <w:left w:val="none" w:sz="0" w:space="0" w:color="auto"/>
            <w:bottom w:val="none" w:sz="0" w:space="0" w:color="auto"/>
            <w:right w:val="none" w:sz="0" w:space="0" w:color="auto"/>
          </w:divBdr>
        </w:div>
        <w:div w:id="1894385104">
          <w:marLeft w:val="0"/>
          <w:marRight w:val="0"/>
          <w:marTop w:val="0"/>
          <w:marBottom w:val="0"/>
          <w:divBdr>
            <w:top w:val="none" w:sz="0" w:space="0" w:color="auto"/>
            <w:left w:val="none" w:sz="0" w:space="0" w:color="auto"/>
            <w:bottom w:val="none" w:sz="0" w:space="0" w:color="auto"/>
            <w:right w:val="none" w:sz="0" w:space="0" w:color="auto"/>
          </w:divBdr>
        </w:div>
        <w:div w:id="168104545">
          <w:marLeft w:val="0"/>
          <w:marRight w:val="0"/>
          <w:marTop w:val="0"/>
          <w:marBottom w:val="0"/>
          <w:divBdr>
            <w:top w:val="none" w:sz="0" w:space="0" w:color="auto"/>
            <w:left w:val="none" w:sz="0" w:space="0" w:color="auto"/>
            <w:bottom w:val="none" w:sz="0" w:space="0" w:color="auto"/>
            <w:right w:val="none" w:sz="0" w:space="0" w:color="auto"/>
          </w:divBdr>
        </w:div>
        <w:div w:id="846558128">
          <w:marLeft w:val="0"/>
          <w:marRight w:val="0"/>
          <w:marTop w:val="0"/>
          <w:marBottom w:val="0"/>
          <w:divBdr>
            <w:top w:val="none" w:sz="0" w:space="0" w:color="auto"/>
            <w:left w:val="none" w:sz="0" w:space="0" w:color="auto"/>
            <w:bottom w:val="none" w:sz="0" w:space="0" w:color="auto"/>
            <w:right w:val="none" w:sz="0" w:space="0" w:color="auto"/>
          </w:divBdr>
        </w:div>
        <w:div w:id="1113668897">
          <w:marLeft w:val="0"/>
          <w:marRight w:val="0"/>
          <w:marTop w:val="0"/>
          <w:marBottom w:val="0"/>
          <w:divBdr>
            <w:top w:val="none" w:sz="0" w:space="0" w:color="auto"/>
            <w:left w:val="none" w:sz="0" w:space="0" w:color="auto"/>
            <w:bottom w:val="none" w:sz="0" w:space="0" w:color="auto"/>
            <w:right w:val="none" w:sz="0" w:space="0" w:color="auto"/>
          </w:divBdr>
        </w:div>
        <w:div w:id="987781076">
          <w:marLeft w:val="0"/>
          <w:marRight w:val="0"/>
          <w:marTop w:val="0"/>
          <w:marBottom w:val="0"/>
          <w:divBdr>
            <w:top w:val="none" w:sz="0" w:space="0" w:color="auto"/>
            <w:left w:val="none" w:sz="0" w:space="0" w:color="auto"/>
            <w:bottom w:val="none" w:sz="0" w:space="0" w:color="auto"/>
            <w:right w:val="none" w:sz="0" w:space="0" w:color="auto"/>
          </w:divBdr>
        </w:div>
      </w:divsChild>
    </w:div>
    <w:div w:id="1247226744">
      <w:marLeft w:val="0"/>
      <w:marRight w:val="0"/>
      <w:marTop w:val="0"/>
      <w:marBottom w:val="0"/>
      <w:divBdr>
        <w:top w:val="none" w:sz="0" w:space="0" w:color="auto"/>
        <w:left w:val="none" w:sz="0" w:space="0" w:color="auto"/>
        <w:bottom w:val="none" w:sz="0" w:space="0" w:color="auto"/>
        <w:right w:val="none" w:sz="0" w:space="0" w:color="auto"/>
      </w:divBdr>
      <w:divsChild>
        <w:div w:id="1942032837">
          <w:marLeft w:val="0"/>
          <w:marRight w:val="0"/>
          <w:marTop w:val="0"/>
          <w:marBottom w:val="0"/>
          <w:divBdr>
            <w:top w:val="none" w:sz="0" w:space="0" w:color="auto"/>
            <w:left w:val="none" w:sz="0" w:space="0" w:color="auto"/>
            <w:bottom w:val="none" w:sz="0" w:space="0" w:color="auto"/>
            <w:right w:val="none" w:sz="0" w:space="0" w:color="auto"/>
          </w:divBdr>
        </w:div>
      </w:divsChild>
    </w:div>
    <w:div w:id="1247379125">
      <w:marLeft w:val="0"/>
      <w:marRight w:val="0"/>
      <w:marTop w:val="0"/>
      <w:marBottom w:val="0"/>
      <w:divBdr>
        <w:top w:val="none" w:sz="0" w:space="0" w:color="auto"/>
        <w:left w:val="none" w:sz="0" w:space="0" w:color="auto"/>
        <w:bottom w:val="none" w:sz="0" w:space="0" w:color="auto"/>
        <w:right w:val="none" w:sz="0" w:space="0" w:color="auto"/>
      </w:divBdr>
    </w:div>
    <w:div w:id="1251158029">
      <w:marLeft w:val="0"/>
      <w:marRight w:val="0"/>
      <w:marTop w:val="0"/>
      <w:marBottom w:val="0"/>
      <w:divBdr>
        <w:top w:val="none" w:sz="0" w:space="0" w:color="auto"/>
        <w:left w:val="none" w:sz="0" w:space="0" w:color="auto"/>
        <w:bottom w:val="none" w:sz="0" w:space="0" w:color="auto"/>
        <w:right w:val="none" w:sz="0" w:space="0" w:color="auto"/>
      </w:divBdr>
      <w:divsChild>
        <w:div w:id="1515072160">
          <w:marLeft w:val="0"/>
          <w:marRight w:val="0"/>
          <w:marTop w:val="0"/>
          <w:marBottom w:val="0"/>
          <w:divBdr>
            <w:top w:val="none" w:sz="0" w:space="0" w:color="auto"/>
            <w:left w:val="none" w:sz="0" w:space="0" w:color="auto"/>
            <w:bottom w:val="none" w:sz="0" w:space="0" w:color="auto"/>
            <w:right w:val="none" w:sz="0" w:space="0" w:color="auto"/>
          </w:divBdr>
        </w:div>
      </w:divsChild>
    </w:div>
    <w:div w:id="1257010192">
      <w:marLeft w:val="0"/>
      <w:marRight w:val="0"/>
      <w:marTop w:val="0"/>
      <w:marBottom w:val="0"/>
      <w:divBdr>
        <w:top w:val="none" w:sz="0" w:space="0" w:color="auto"/>
        <w:left w:val="none" w:sz="0" w:space="0" w:color="auto"/>
        <w:bottom w:val="none" w:sz="0" w:space="0" w:color="auto"/>
        <w:right w:val="none" w:sz="0" w:space="0" w:color="auto"/>
      </w:divBdr>
      <w:divsChild>
        <w:div w:id="1835991739">
          <w:marLeft w:val="0"/>
          <w:marRight w:val="0"/>
          <w:marTop w:val="0"/>
          <w:marBottom w:val="0"/>
          <w:divBdr>
            <w:top w:val="none" w:sz="0" w:space="0" w:color="auto"/>
            <w:left w:val="none" w:sz="0" w:space="0" w:color="auto"/>
            <w:bottom w:val="none" w:sz="0" w:space="0" w:color="auto"/>
            <w:right w:val="none" w:sz="0" w:space="0" w:color="auto"/>
          </w:divBdr>
        </w:div>
      </w:divsChild>
    </w:div>
    <w:div w:id="1260333742">
      <w:marLeft w:val="0"/>
      <w:marRight w:val="0"/>
      <w:marTop w:val="0"/>
      <w:marBottom w:val="0"/>
      <w:divBdr>
        <w:top w:val="none" w:sz="0" w:space="0" w:color="auto"/>
        <w:left w:val="none" w:sz="0" w:space="0" w:color="auto"/>
        <w:bottom w:val="none" w:sz="0" w:space="0" w:color="auto"/>
        <w:right w:val="none" w:sz="0" w:space="0" w:color="auto"/>
      </w:divBdr>
    </w:div>
    <w:div w:id="1263684022">
      <w:marLeft w:val="0"/>
      <w:marRight w:val="0"/>
      <w:marTop w:val="0"/>
      <w:marBottom w:val="0"/>
      <w:divBdr>
        <w:top w:val="none" w:sz="0" w:space="0" w:color="auto"/>
        <w:left w:val="none" w:sz="0" w:space="0" w:color="auto"/>
        <w:bottom w:val="none" w:sz="0" w:space="0" w:color="auto"/>
        <w:right w:val="none" w:sz="0" w:space="0" w:color="auto"/>
      </w:divBdr>
      <w:divsChild>
        <w:div w:id="788204263">
          <w:marLeft w:val="0"/>
          <w:marRight w:val="0"/>
          <w:marTop w:val="0"/>
          <w:marBottom w:val="0"/>
          <w:divBdr>
            <w:top w:val="none" w:sz="0" w:space="0" w:color="auto"/>
            <w:left w:val="none" w:sz="0" w:space="0" w:color="auto"/>
            <w:bottom w:val="none" w:sz="0" w:space="0" w:color="auto"/>
            <w:right w:val="none" w:sz="0" w:space="0" w:color="auto"/>
          </w:divBdr>
        </w:div>
      </w:divsChild>
    </w:div>
    <w:div w:id="1269388381">
      <w:marLeft w:val="0"/>
      <w:marRight w:val="0"/>
      <w:marTop w:val="0"/>
      <w:marBottom w:val="0"/>
      <w:divBdr>
        <w:top w:val="none" w:sz="0" w:space="0" w:color="auto"/>
        <w:left w:val="none" w:sz="0" w:space="0" w:color="auto"/>
        <w:bottom w:val="none" w:sz="0" w:space="0" w:color="auto"/>
        <w:right w:val="none" w:sz="0" w:space="0" w:color="auto"/>
      </w:divBdr>
      <w:divsChild>
        <w:div w:id="934434667">
          <w:marLeft w:val="0"/>
          <w:marRight w:val="0"/>
          <w:marTop w:val="0"/>
          <w:marBottom w:val="0"/>
          <w:divBdr>
            <w:top w:val="none" w:sz="0" w:space="0" w:color="auto"/>
            <w:left w:val="none" w:sz="0" w:space="0" w:color="auto"/>
            <w:bottom w:val="none" w:sz="0" w:space="0" w:color="auto"/>
            <w:right w:val="none" w:sz="0" w:space="0" w:color="auto"/>
          </w:divBdr>
        </w:div>
      </w:divsChild>
    </w:div>
    <w:div w:id="1270577783">
      <w:marLeft w:val="0"/>
      <w:marRight w:val="0"/>
      <w:marTop w:val="0"/>
      <w:marBottom w:val="0"/>
      <w:divBdr>
        <w:top w:val="none" w:sz="0" w:space="0" w:color="auto"/>
        <w:left w:val="none" w:sz="0" w:space="0" w:color="auto"/>
        <w:bottom w:val="none" w:sz="0" w:space="0" w:color="auto"/>
        <w:right w:val="none" w:sz="0" w:space="0" w:color="auto"/>
      </w:divBdr>
    </w:div>
    <w:div w:id="1271930447">
      <w:marLeft w:val="0"/>
      <w:marRight w:val="0"/>
      <w:marTop w:val="0"/>
      <w:marBottom w:val="0"/>
      <w:divBdr>
        <w:top w:val="none" w:sz="0" w:space="0" w:color="auto"/>
        <w:left w:val="none" w:sz="0" w:space="0" w:color="auto"/>
        <w:bottom w:val="none" w:sz="0" w:space="0" w:color="auto"/>
        <w:right w:val="none" w:sz="0" w:space="0" w:color="auto"/>
      </w:divBdr>
    </w:div>
    <w:div w:id="1275793144">
      <w:marLeft w:val="0"/>
      <w:marRight w:val="0"/>
      <w:marTop w:val="0"/>
      <w:marBottom w:val="0"/>
      <w:divBdr>
        <w:top w:val="none" w:sz="0" w:space="0" w:color="auto"/>
        <w:left w:val="none" w:sz="0" w:space="0" w:color="auto"/>
        <w:bottom w:val="none" w:sz="0" w:space="0" w:color="auto"/>
        <w:right w:val="none" w:sz="0" w:space="0" w:color="auto"/>
      </w:divBdr>
      <w:divsChild>
        <w:div w:id="751465679">
          <w:marLeft w:val="0"/>
          <w:marRight w:val="0"/>
          <w:marTop w:val="0"/>
          <w:marBottom w:val="0"/>
          <w:divBdr>
            <w:top w:val="none" w:sz="0" w:space="0" w:color="auto"/>
            <w:left w:val="none" w:sz="0" w:space="0" w:color="auto"/>
            <w:bottom w:val="none" w:sz="0" w:space="0" w:color="auto"/>
            <w:right w:val="none" w:sz="0" w:space="0" w:color="auto"/>
          </w:divBdr>
        </w:div>
      </w:divsChild>
    </w:div>
    <w:div w:id="1279531897">
      <w:marLeft w:val="0"/>
      <w:marRight w:val="0"/>
      <w:marTop w:val="0"/>
      <w:marBottom w:val="0"/>
      <w:divBdr>
        <w:top w:val="none" w:sz="0" w:space="0" w:color="auto"/>
        <w:left w:val="none" w:sz="0" w:space="0" w:color="auto"/>
        <w:bottom w:val="none" w:sz="0" w:space="0" w:color="auto"/>
        <w:right w:val="none" w:sz="0" w:space="0" w:color="auto"/>
      </w:divBdr>
    </w:div>
    <w:div w:id="1281184512">
      <w:marLeft w:val="0"/>
      <w:marRight w:val="0"/>
      <w:marTop w:val="0"/>
      <w:marBottom w:val="0"/>
      <w:divBdr>
        <w:top w:val="none" w:sz="0" w:space="0" w:color="auto"/>
        <w:left w:val="none" w:sz="0" w:space="0" w:color="auto"/>
        <w:bottom w:val="none" w:sz="0" w:space="0" w:color="auto"/>
        <w:right w:val="none" w:sz="0" w:space="0" w:color="auto"/>
      </w:divBdr>
    </w:div>
    <w:div w:id="1282492772">
      <w:marLeft w:val="0"/>
      <w:marRight w:val="0"/>
      <w:marTop w:val="0"/>
      <w:marBottom w:val="0"/>
      <w:divBdr>
        <w:top w:val="none" w:sz="0" w:space="0" w:color="auto"/>
        <w:left w:val="none" w:sz="0" w:space="0" w:color="auto"/>
        <w:bottom w:val="none" w:sz="0" w:space="0" w:color="auto"/>
        <w:right w:val="none" w:sz="0" w:space="0" w:color="auto"/>
      </w:divBdr>
      <w:divsChild>
        <w:div w:id="2036225065">
          <w:marLeft w:val="0"/>
          <w:marRight w:val="0"/>
          <w:marTop w:val="0"/>
          <w:marBottom w:val="0"/>
          <w:divBdr>
            <w:top w:val="none" w:sz="0" w:space="0" w:color="auto"/>
            <w:left w:val="none" w:sz="0" w:space="0" w:color="auto"/>
            <w:bottom w:val="none" w:sz="0" w:space="0" w:color="auto"/>
            <w:right w:val="none" w:sz="0" w:space="0" w:color="auto"/>
          </w:divBdr>
        </w:div>
      </w:divsChild>
    </w:div>
    <w:div w:id="1284114033">
      <w:marLeft w:val="0"/>
      <w:marRight w:val="0"/>
      <w:marTop w:val="0"/>
      <w:marBottom w:val="0"/>
      <w:divBdr>
        <w:top w:val="none" w:sz="0" w:space="0" w:color="auto"/>
        <w:left w:val="none" w:sz="0" w:space="0" w:color="auto"/>
        <w:bottom w:val="none" w:sz="0" w:space="0" w:color="auto"/>
        <w:right w:val="none" w:sz="0" w:space="0" w:color="auto"/>
      </w:divBdr>
      <w:divsChild>
        <w:div w:id="731579808">
          <w:marLeft w:val="0"/>
          <w:marRight w:val="0"/>
          <w:marTop w:val="0"/>
          <w:marBottom w:val="0"/>
          <w:divBdr>
            <w:top w:val="none" w:sz="0" w:space="0" w:color="auto"/>
            <w:left w:val="none" w:sz="0" w:space="0" w:color="auto"/>
            <w:bottom w:val="none" w:sz="0" w:space="0" w:color="auto"/>
            <w:right w:val="none" w:sz="0" w:space="0" w:color="auto"/>
          </w:divBdr>
        </w:div>
      </w:divsChild>
    </w:div>
    <w:div w:id="1291940435">
      <w:marLeft w:val="0"/>
      <w:marRight w:val="0"/>
      <w:marTop w:val="0"/>
      <w:marBottom w:val="0"/>
      <w:divBdr>
        <w:top w:val="none" w:sz="0" w:space="0" w:color="auto"/>
        <w:left w:val="none" w:sz="0" w:space="0" w:color="auto"/>
        <w:bottom w:val="none" w:sz="0" w:space="0" w:color="auto"/>
        <w:right w:val="none" w:sz="0" w:space="0" w:color="auto"/>
      </w:divBdr>
      <w:divsChild>
        <w:div w:id="1244074354">
          <w:marLeft w:val="0"/>
          <w:marRight w:val="0"/>
          <w:marTop w:val="0"/>
          <w:marBottom w:val="0"/>
          <w:divBdr>
            <w:top w:val="none" w:sz="0" w:space="0" w:color="auto"/>
            <w:left w:val="none" w:sz="0" w:space="0" w:color="auto"/>
            <w:bottom w:val="none" w:sz="0" w:space="0" w:color="auto"/>
            <w:right w:val="none" w:sz="0" w:space="0" w:color="auto"/>
          </w:divBdr>
        </w:div>
      </w:divsChild>
    </w:div>
    <w:div w:id="1292320321">
      <w:marLeft w:val="0"/>
      <w:marRight w:val="0"/>
      <w:marTop w:val="0"/>
      <w:marBottom w:val="0"/>
      <w:divBdr>
        <w:top w:val="none" w:sz="0" w:space="0" w:color="auto"/>
        <w:left w:val="none" w:sz="0" w:space="0" w:color="auto"/>
        <w:bottom w:val="none" w:sz="0" w:space="0" w:color="auto"/>
        <w:right w:val="none" w:sz="0" w:space="0" w:color="auto"/>
      </w:divBdr>
      <w:divsChild>
        <w:div w:id="1598293848">
          <w:marLeft w:val="0"/>
          <w:marRight w:val="0"/>
          <w:marTop w:val="0"/>
          <w:marBottom w:val="0"/>
          <w:divBdr>
            <w:top w:val="none" w:sz="0" w:space="0" w:color="auto"/>
            <w:left w:val="none" w:sz="0" w:space="0" w:color="auto"/>
            <w:bottom w:val="none" w:sz="0" w:space="0" w:color="auto"/>
            <w:right w:val="none" w:sz="0" w:space="0" w:color="auto"/>
          </w:divBdr>
        </w:div>
      </w:divsChild>
    </w:div>
    <w:div w:id="1310741776">
      <w:marLeft w:val="0"/>
      <w:marRight w:val="0"/>
      <w:marTop w:val="0"/>
      <w:marBottom w:val="0"/>
      <w:divBdr>
        <w:top w:val="none" w:sz="0" w:space="0" w:color="auto"/>
        <w:left w:val="none" w:sz="0" w:space="0" w:color="auto"/>
        <w:bottom w:val="none" w:sz="0" w:space="0" w:color="auto"/>
        <w:right w:val="none" w:sz="0" w:space="0" w:color="auto"/>
      </w:divBdr>
    </w:div>
    <w:div w:id="1313294636">
      <w:marLeft w:val="0"/>
      <w:marRight w:val="0"/>
      <w:marTop w:val="0"/>
      <w:marBottom w:val="0"/>
      <w:divBdr>
        <w:top w:val="none" w:sz="0" w:space="0" w:color="auto"/>
        <w:left w:val="none" w:sz="0" w:space="0" w:color="auto"/>
        <w:bottom w:val="none" w:sz="0" w:space="0" w:color="auto"/>
        <w:right w:val="none" w:sz="0" w:space="0" w:color="auto"/>
      </w:divBdr>
    </w:div>
    <w:div w:id="1315138478">
      <w:marLeft w:val="0"/>
      <w:marRight w:val="0"/>
      <w:marTop w:val="0"/>
      <w:marBottom w:val="0"/>
      <w:divBdr>
        <w:top w:val="none" w:sz="0" w:space="0" w:color="auto"/>
        <w:left w:val="none" w:sz="0" w:space="0" w:color="auto"/>
        <w:bottom w:val="none" w:sz="0" w:space="0" w:color="auto"/>
        <w:right w:val="none" w:sz="0" w:space="0" w:color="auto"/>
      </w:divBdr>
    </w:div>
    <w:div w:id="1319192697">
      <w:marLeft w:val="0"/>
      <w:marRight w:val="0"/>
      <w:marTop w:val="0"/>
      <w:marBottom w:val="0"/>
      <w:divBdr>
        <w:top w:val="none" w:sz="0" w:space="0" w:color="auto"/>
        <w:left w:val="none" w:sz="0" w:space="0" w:color="auto"/>
        <w:bottom w:val="none" w:sz="0" w:space="0" w:color="auto"/>
        <w:right w:val="none" w:sz="0" w:space="0" w:color="auto"/>
      </w:divBdr>
      <w:divsChild>
        <w:div w:id="822896499">
          <w:marLeft w:val="0"/>
          <w:marRight w:val="0"/>
          <w:marTop w:val="0"/>
          <w:marBottom w:val="0"/>
          <w:divBdr>
            <w:top w:val="none" w:sz="0" w:space="0" w:color="auto"/>
            <w:left w:val="none" w:sz="0" w:space="0" w:color="auto"/>
            <w:bottom w:val="none" w:sz="0" w:space="0" w:color="auto"/>
            <w:right w:val="none" w:sz="0" w:space="0" w:color="auto"/>
          </w:divBdr>
        </w:div>
      </w:divsChild>
    </w:div>
    <w:div w:id="1321957298">
      <w:marLeft w:val="0"/>
      <w:marRight w:val="0"/>
      <w:marTop w:val="0"/>
      <w:marBottom w:val="0"/>
      <w:divBdr>
        <w:top w:val="none" w:sz="0" w:space="0" w:color="auto"/>
        <w:left w:val="none" w:sz="0" w:space="0" w:color="auto"/>
        <w:bottom w:val="none" w:sz="0" w:space="0" w:color="auto"/>
        <w:right w:val="none" w:sz="0" w:space="0" w:color="auto"/>
      </w:divBdr>
    </w:div>
    <w:div w:id="1322583734">
      <w:marLeft w:val="0"/>
      <w:marRight w:val="0"/>
      <w:marTop w:val="0"/>
      <w:marBottom w:val="0"/>
      <w:divBdr>
        <w:top w:val="none" w:sz="0" w:space="0" w:color="auto"/>
        <w:left w:val="none" w:sz="0" w:space="0" w:color="auto"/>
        <w:bottom w:val="none" w:sz="0" w:space="0" w:color="auto"/>
        <w:right w:val="none" w:sz="0" w:space="0" w:color="auto"/>
      </w:divBdr>
      <w:divsChild>
        <w:div w:id="110827630">
          <w:marLeft w:val="0"/>
          <w:marRight w:val="0"/>
          <w:marTop w:val="0"/>
          <w:marBottom w:val="0"/>
          <w:divBdr>
            <w:top w:val="none" w:sz="0" w:space="0" w:color="auto"/>
            <w:left w:val="none" w:sz="0" w:space="0" w:color="auto"/>
            <w:bottom w:val="none" w:sz="0" w:space="0" w:color="auto"/>
            <w:right w:val="none" w:sz="0" w:space="0" w:color="auto"/>
          </w:divBdr>
        </w:div>
      </w:divsChild>
    </w:div>
    <w:div w:id="1324621225">
      <w:marLeft w:val="0"/>
      <w:marRight w:val="0"/>
      <w:marTop w:val="0"/>
      <w:marBottom w:val="0"/>
      <w:divBdr>
        <w:top w:val="none" w:sz="0" w:space="0" w:color="auto"/>
        <w:left w:val="none" w:sz="0" w:space="0" w:color="auto"/>
        <w:bottom w:val="none" w:sz="0" w:space="0" w:color="auto"/>
        <w:right w:val="none" w:sz="0" w:space="0" w:color="auto"/>
      </w:divBdr>
      <w:divsChild>
        <w:div w:id="1542938092">
          <w:marLeft w:val="0"/>
          <w:marRight w:val="0"/>
          <w:marTop w:val="0"/>
          <w:marBottom w:val="0"/>
          <w:divBdr>
            <w:top w:val="none" w:sz="0" w:space="0" w:color="auto"/>
            <w:left w:val="none" w:sz="0" w:space="0" w:color="auto"/>
            <w:bottom w:val="none" w:sz="0" w:space="0" w:color="auto"/>
            <w:right w:val="none" w:sz="0" w:space="0" w:color="auto"/>
          </w:divBdr>
        </w:div>
      </w:divsChild>
    </w:div>
    <w:div w:id="1326396438">
      <w:marLeft w:val="0"/>
      <w:marRight w:val="0"/>
      <w:marTop w:val="0"/>
      <w:marBottom w:val="0"/>
      <w:divBdr>
        <w:top w:val="none" w:sz="0" w:space="0" w:color="auto"/>
        <w:left w:val="none" w:sz="0" w:space="0" w:color="auto"/>
        <w:bottom w:val="none" w:sz="0" w:space="0" w:color="auto"/>
        <w:right w:val="none" w:sz="0" w:space="0" w:color="auto"/>
      </w:divBdr>
      <w:divsChild>
        <w:div w:id="289477792">
          <w:marLeft w:val="0"/>
          <w:marRight w:val="0"/>
          <w:marTop w:val="0"/>
          <w:marBottom w:val="0"/>
          <w:divBdr>
            <w:top w:val="none" w:sz="0" w:space="0" w:color="auto"/>
            <w:left w:val="none" w:sz="0" w:space="0" w:color="auto"/>
            <w:bottom w:val="none" w:sz="0" w:space="0" w:color="auto"/>
            <w:right w:val="none" w:sz="0" w:space="0" w:color="auto"/>
          </w:divBdr>
        </w:div>
      </w:divsChild>
    </w:div>
    <w:div w:id="1327825942">
      <w:marLeft w:val="0"/>
      <w:marRight w:val="0"/>
      <w:marTop w:val="0"/>
      <w:marBottom w:val="0"/>
      <w:divBdr>
        <w:top w:val="none" w:sz="0" w:space="0" w:color="auto"/>
        <w:left w:val="none" w:sz="0" w:space="0" w:color="auto"/>
        <w:bottom w:val="none" w:sz="0" w:space="0" w:color="auto"/>
        <w:right w:val="none" w:sz="0" w:space="0" w:color="auto"/>
      </w:divBdr>
      <w:divsChild>
        <w:div w:id="28378995">
          <w:marLeft w:val="0"/>
          <w:marRight w:val="0"/>
          <w:marTop w:val="0"/>
          <w:marBottom w:val="0"/>
          <w:divBdr>
            <w:top w:val="none" w:sz="0" w:space="0" w:color="auto"/>
            <w:left w:val="none" w:sz="0" w:space="0" w:color="auto"/>
            <w:bottom w:val="none" w:sz="0" w:space="0" w:color="auto"/>
            <w:right w:val="none" w:sz="0" w:space="0" w:color="auto"/>
          </w:divBdr>
        </w:div>
      </w:divsChild>
    </w:div>
    <w:div w:id="1336107070">
      <w:marLeft w:val="0"/>
      <w:marRight w:val="0"/>
      <w:marTop w:val="0"/>
      <w:marBottom w:val="0"/>
      <w:divBdr>
        <w:top w:val="none" w:sz="0" w:space="0" w:color="auto"/>
        <w:left w:val="none" w:sz="0" w:space="0" w:color="auto"/>
        <w:bottom w:val="none" w:sz="0" w:space="0" w:color="auto"/>
        <w:right w:val="none" w:sz="0" w:space="0" w:color="auto"/>
      </w:divBdr>
    </w:div>
    <w:div w:id="1337803028">
      <w:marLeft w:val="0"/>
      <w:marRight w:val="0"/>
      <w:marTop w:val="0"/>
      <w:marBottom w:val="0"/>
      <w:divBdr>
        <w:top w:val="none" w:sz="0" w:space="0" w:color="auto"/>
        <w:left w:val="none" w:sz="0" w:space="0" w:color="auto"/>
        <w:bottom w:val="none" w:sz="0" w:space="0" w:color="auto"/>
        <w:right w:val="none" w:sz="0" w:space="0" w:color="auto"/>
      </w:divBdr>
    </w:div>
    <w:div w:id="1339119957">
      <w:marLeft w:val="0"/>
      <w:marRight w:val="0"/>
      <w:marTop w:val="0"/>
      <w:marBottom w:val="0"/>
      <w:divBdr>
        <w:top w:val="none" w:sz="0" w:space="0" w:color="auto"/>
        <w:left w:val="none" w:sz="0" w:space="0" w:color="auto"/>
        <w:bottom w:val="none" w:sz="0" w:space="0" w:color="auto"/>
        <w:right w:val="none" w:sz="0" w:space="0" w:color="auto"/>
      </w:divBdr>
    </w:div>
    <w:div w:id="1341350730">
      <w:marLeft w:val="0"/>
      <w:marRight w:val="0"/>
      <w:marTop w:val="0"/>
      <w:marBottom w:val="0"/>
      <w:divBdr>
        <w:top w:val="none" w:sz="0" w:space="0" w:color="auto"/>
        <w:left w:val="none" w:sz="0" w:space="0" w:color="auto"/>
        <w:bottom w:val="none" w:sz="0" w:space="0" w:color="auto"/>
        <w:right w:val="none" w:sz="0" w:space="0" w:color="auto"/>
      </w:divBdr>
    </w:div>
    <w:div w:id="1342004880">
      <w:marLeft w:val="0"/>
      <w:marRight w:val="0"/>
      <w:marTop w:val="0"/>
      <w:marBottom w:val="0"/>
      <w:divBdr>
        <w:top w:val="none" w:sz="0" w:space="0" w:color="auto"/>
        <w:left w:val="none" w:sz="0" w:space="0" w:color="auto"/>
        <w:bottom w:val="none" w:sz="0" w:space="0" w:color="auto"/>
        <w:right w:val="none" w:sz="0" w:space="0" w:color="auto"/>
      </w:divBdr>
      <w:divsChild>
        <w:div w:id="1452632697">
          <w:marLeft w:val="0"/>
          <w:marRight w:val="0"/>
          <w:marTop w:val="0"/>
          <w:marBottom w:val="0"/>
          <w:divBdr>
            <w:top w:val="none" w:sz="0" w:space="0" w:color="auto"/>
            <w:left w:val="none" w:sz="0" w:space="0" w:color="auto"/>
            <w:bottom w:val="none" w:sz="0" w:space="0" w:color="auto"/>
            <w:right w:val="none" w:sz="0" w:space="0" w:color="auto"/>
          </w:divBdr>
        </w:div>
      </w:divsChild>
    </w:div>
    <w:div w:id="1344362425">
      <w:marLeft w:val="0"/>
      <w:marRight w:val="0"/>
      <w:marTop w:val="0"/>
      <w:marBottom w:val="0"/>
      <w:divBdr>
        <w:top w:val="none" w:sz="0" w:space="0" w:color="auto"/>
        <w:left w:val="none" w:sz="0" w:space="0" w:color="auto"/>
        <w:bottom w:val="none" w:sz="0" w:space="0" w:color="auto"/>
        <w:right w:val="none" w:sz="0" w:space="0" w:color="auto"/>
      </w:divBdr>
      <w:divsChild>
        <w:div w:id="2107848686">
          <w:marLeft w:val="0"/>
          <w:marRight w:val="0"/>
          <w:marTop w:val="0"/>
          <w:marBottom w:val="0"/>
          <w:divBdr>
            <w:top w:val="none" w:sz="0" w:space="0" w:color="auto"/>
            <w:left w:val="none" w:sz="0" w:space="0" w:color="auto"/>
            <w:bottom w:val="none" w:sz="0" w:space="0" w:color="auto"/>
            <w:right w:val="none" w:sz="0" w:space="0" w:color="auto"/>
          </w:divBdr>
        </w:div>
      </w:divsChild>
    </w:div>
    <w:div w:id="1345549084">
      <w:marLeft w:val="0"/>
      <w:marRight w:val="0"/>
      <w:marTop w:val="0"/>
      <w:marBottom w:val="0"/>
      <w:divBdr>
        <w:top w:val="none" w:sz="0" w:space="0" w:color="auto"/>
        <w:left w:val="none" w:sz="0" w:space="0" w:color="auto"/>
        <w:bottom w:val="none" w:sz="0" w:space="0" w:color="auto"/>
        <w:right w:val="none" w:sz="0" w:space="0" w:color="auto"/>
      </w:divBdr>
    </w:div>
    <w:div w:id="1353604186">
      <w:marLeft w:val="0"/>
      <w:marRight w:val="0"/>
      <w:marTop w:val="0"/>
      <w:marBottom w:val="0"/>
      <w:divBdr>
        <w:top w:val="none" w:sz="0" w:space="0" w:color="auto"/>
        <w:left w:val="none" w:sz="0" w:space="0" w:color="auto"/>
        <w:bottom w:val="none" w:sz="0" w:space="0" w:color="auto"/>
        <w:right w:val="none" w:sz="0" w:space="0" w:color="auto"/>
      </w:divBdr>
      <w:divsChild>
        <w:div w:id="238247284">
          <w:marLeft w:val="0"/>
          <w:marRight w:val="0"/>
          <w:marTop w:val="0"/>
          <w:marBottom w:val="0"/>
          <w:divBdr>
            <w:top w:val="none" w:sz="0" w:space="0" w:color="auto"/>
            <w:left w:val="none" w:sz="0" w:space="0" w:color="auto"/>
            <w:bottom w:val="none" w:sz="0" w:space="0" w:color="auto"/>
            <w:right w:val="none" w:sz="0" w:space="0" w:color="auto"/>
          </w:divBdr>
        </w:div>
      </w:divsChild>
    </w:div>
    <w:div w:id="1353799834">
      <w:marLeft w:val="0"/>
      <w:marRight w:val="0"/>
      <w:marTop w:val="0"/>
      <w:marBottom w:val="0"/>
      <w:divBdr>
        <w:top w:val="none" w:sz="0" w:space="0" w:color="auto"/>
        <w:left w:val="none" w:sz="0" w:space="0" w:color="auto"/>
        <w:bottom w:val="none" w:sz="0" w:space="0" w:color="auto"/>
        <w:right w:val="none" w:sz="0" w:space="0" w:color="auto"/>
      </w:divBdr>
    </w:div>
    <w:div w:id="1354065539">
      <w:marLeft w:val="0"/>
      <w:marRight w:val="0"/>
      <w:marTop w:val="0"/>
      <w:marBottom w:val="0"/>
      <w:divBdr>
        <w:top w:val="none" w:sz="0" w:space="0" w:color="auto"/>
        <w:left w:val="none" w:sz="0" w:space="0" w:color="auto"/>
        <w:bottom w:val="none" w:sz="0" w:space="0" w:color="auto"/>
        <w:right w:val="none" w:sz="0" w:space="0" w:color="auto"/>
      </w:divBdr>
    </w:div>
    <w:div w:id="1355955716">
      <w:marLeft w:val="0"/>
      <w:marRight w:val="0"/>
      <w:marTop w:val="0"/>
      <w:marBottom w:val="0"/>
      <w:divBdr>
        <w:top w:val="none" w:sz="0" w:space="0" w:color="auto"/>
        <w:left w:val="none" w:sz="0" w:space="0" w:color="auto"/>
        <w:bottom w:val="none" w:sz="0" w:space="0" w:color="auto"/>
        <w:right w:val="none" w:sz="0" w:space="0" w:color="auto"/>
      </w:divBdr>
      <w:divsChild>
        <w:div w:id="398553535">
          <w:marLeft w:val="0"/>
          <w:marRight w:val="0"/>
          <w:marTop w:val="0"/>
          <w:marBottom w:val="0"/>
          <w:divBdr>
            <w:top w:val="none" w:sz="0" w:space="0" w:color="auto"/>
            <w:left w:val="none" w:sz="0" w:space="0" w:color="auto"/>
            <w:bottom w:val="none" w:sz="0" w:space="0" w:color="auto"/>
            <w:right w:val="none" w:sz="0" w:space="0" w:color="auto"/>
          </w:divBdr>
        </w:div>
      </w:divsChild>
    </w:div>
    <w:div w:id="1357460860">
      <w:marLeft w:val="0"/>
      <w:marRight w:val="0"/>
      <w:marTop w:val="0"/>
      <w:marBottom w:val="0"/>
      <w:divBdr>
        <w:top w:val="none" w:sz="0" w:space="0" w:color="auto"/>
        <w:left w:val="none" w:sz="0" w:space="0" w:color="auto"/>
        <w:bottom w:val="none" w:sz="0" w:space="0" w:color="auto"/>
        <w:right w:val="none" w:sz="0" w:space="0" w:color="auto"/>
      </w:divBdr>
      <w:divsChild>
        <w:div w:id="1755122464">
          <w:marLeft w:val="0"/>
          <w:marRight w:val="0"/>
          <w:marTop w:val="0"/>
          <w:marBottom w:val="0"/>
          <w:divBdr>
            <w:top w:val="none" w:sz="0" w:space="0" w:color="auto"/>
            <w:left w:val="none" w:sz="0" w:space="0" w:color="auto"/>
            <w:bottom w:val="none" w:sz="0" w:space="0" w:color="auto"/>
            <w:right w:val="none" w:sz="0" w:space="0" w:color="auto"/>
          </w:divBdr>
        </w:div>
      </w:divsChild>
    </w:div>
    <w:div w:id="1361980172">
      <w:marLeft w:val="0"/>
      <w:marRight w:val="0"/>
      <w:marTop w:val="0"/>
      <w:marBottom w:val="0"/>
      <w:divBdr>
        <w:top w:val="none" w:sz="0" w:space="0" w:color="auto"/>
        <w:left w:val="none" w:sz="0" w:space="0" w:color="auto"/>
        <w:bottom w:val="none" w:sz="0" w:space="0" w:color="auto"/>
        <w:right w:val="none" w:sz="0" w:space="0" w:color="auto"/>
      </w:divBdr>
    </w:div>
    <w:div w:id="1377244342">
      <w:marLeft w:val="0"/>
      <w:marRight w:val="0"/>
      <w:marTop w:val="0"/>
      <w:marBottom w:val="0"/>
      <w:divBdr>
        <w:top w:val="none" w:sz="0" w:space="0" w:color="auto"/>
        <w:left w:val="none" w:sz="0" w:space="0" w:color="auto"/>
        <w:bottom w:val="none" w:sz="0" w:space="0" w:color="auto"/>
        <w:right w:val="none" w:sz="0" w:space="0" w:color="auto"/>
      </w:divBdr>
    </w:div>
    <w:div w:id="1380125312">
      <w:marLeft w:val="0"/>
      <w:marRight w:val="0"/>
      <w:marTop w:val="0"/>
      <w:marBottom w:val="0"/>
      <w:divBdr>
        <w:top w:val="none" w:sz="0" w:space="0" w:color="auto"/>
        <w:left w:val="none" w:sz="0" w:space="0" w:color="auto"/>
        <w:bottom w:val="none" w:sz="0" w:space="0" w:color="auto"/>
        <w:right w:val="none" w:sz="0" w:space="0" w:color="auto"/>
      </w:divBdr>
      <w:divsChild>
        <w:div w:id="2021664139">
          <w:marLeft w:val="0"/>
          <w:marRight w:val="0"/>
          <w:marTop w:val="0"/>
          <w:marBottom w:val="0"/>
          <w:divBdr>
            <w:top w:val="none" w:sz="0" w:space="0" w:color="auto"/>
            <w:left w:val="none" w:sz="0" w:space="0" w:color="auto"/>
            <w:bottom w:val="none" w:sz="0" w:space="0" w:color="auto"/>
            <w:right w:val="none" w:sz="0" w:space="0" w:color="auto"/>
          </w:divBdr>
        </w:div>
      </w:divsChild>
    </w:div>
    <w:div w:id="1383335424">
      <w:marLeft w:val="0"/>
      <w:marRight w:val="0"/>
      <w:marTop w:val="0"/>
      <w:marBottom w:val="0"/>
      <w:divBdr>
        <w:top w:val="none" w:sz="0" w:space="0" w:color="auto"/>
        <w:left w:val="none" w:sz="0" w:space="0" w:color="auto"/>
        <w:bottom w:val="none" w:sz="0" w:space="0" w:color="auto"/>
        <w:right w:val="none" w:sz="0" w:space="0" w:color="auto"/>
      </w:divBdr>
    </w:div>
    <w:div w:id="1384402530">
      <w:marLeft w:val="0"/>
      <w:marRight w:val="0"/>
      <w:marTop w:val="0"/>
      <w:marBottom w:val="0"/>
      <w:divBdr>
        <w:top w:val="none" w:sz="0" w:space="0" w:color="auto"/>
        <w:left w:val="none" w:sz="0" w:space="0" w:color="auto"/>
        <w:bottom w:val="none" w:sz="0" w:space="0" w:color="auto"/>
        <w:right w:val="none" w:sz="0" w:space="0" w:color="auto"/>
      </w:divBdr>
    </w:div>
    <w:div w:id="1388139926">
      <w:marLeft w:val="0"/>
      <w:marRight w:val="0"/>
      <w:marTop w:val="0"/>
      <w:marBottom w:val="0"/>
      <w:divBdr>
        <w:top w:val="none" w:sz="0" w:space="0" w:color="auto"/>
        <w:left w:val="none" w:sz="0" w:space="0" w:color="auto"/>
        <w:bottom w:val="none" w:sz="0" w:space="0" w:color="auto"/>
        <w:right w:val="none" w:sz="0" w:space="0" w:color="auto"/>
      </w:divBdr>
      <w:divsChild>
        <w:div w:id="880096332">
          <w:marLeft w:val="0"/>
          <w:marRight w:val="0"/>
          <w:marTop w:val="0"/>
          <w:marBottom w:val="0"/>
          <w:divBdr>
            <w:top w:val="none" w:sz="0" w:space="0" w:color="auto"/>
            <w:left w:val="none" w:sz="0" w:space="0" w:color="auto"/>
            <w:bottom w:val="none" w:sz="0" w:space="0" w:color="auto"/>
            <w:right w:val="none" w:sz="0" w:space="0" w:color="auto"/>
          </w:divBdr>
          <w:divsChild>
            <w:div w:id="11915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98947">
      <w:marLeft w:val="0"/>
      <w:marRight w:val="0"/>
      <w:marTop w:val="0"/>
      <w:marBottom w:val="0"/>
      <w:divBdr>
        <w:top w:val="none" w:sz="0" w:space="0" w:color="auto"/>
        <w:left w:val="none" w:sz="0" w:space="0" w:color="auto"/>
        <w:bottom w:val="none" w:sz="0" w:space="0" w:color="auto"/>
        <w:right w:val="none" w:sz="0" w:space="0" w:color="auto"/>
      </w:divBdr>
    </w:div>
    <w:div w:id="1396123061">
      <w:marLeft w:val="0"/>
      <w:marRight w:val="0"/>
      <w:marTop w:val="0"/>
      <w:marBottom w:val="0"/>
      <w:divBdr>
        <w:top w:val="none" w:sz="0" w:space="0" w:color="auto"/>
        <w:left w:val="none" w:sz="0" w:space="0" w:color="auto"/>
        <w:bottom w:val="none" w:sz="0" w:space="0" w:color="auto"/>
        <w:right w:val="none" w:sz="0" w:space="0" w:color="auto"/>
      </w:divBdr>
    </w:div>
    <w:div w:id="1397359249">
      <w:marLeft w:val="0"/>
      <w:marRight w:val="0"/>
      <w:marTop w:val="0"/>
      <w:marBottom w:val="0"/>
      <w:divBdr>
        <w:top w:val="none" w:sz="0" w:space="0" w:color="auto"/>
        <w:left w:val="none" w:sz="0" w:space="0" w:color="auto"/>
        <w:bottom w:val="none" w:sz="0" w:space="0" w:color="auto"/>
        <w:right w:val="none" w:sz="0" w:space="0" w:color="auto"/>
      </w:divBdr>
    </w:div>
    <w:div w:id="1399940759">
      <w:marLeft w:val="0"/>
      <w:marRight w:val="0"/>
      <w:marTop w:val="0"/>
      <w:marBottom w:val="0"/>
      <w:divBdr>
        <w:top w:val="none" w:sz="0" w:space="0" w:color="auto"/>
        <w:left w:val="none" w:sz="0" w:space="0" w:color="auto"/>
        <w:bottom w:val="none" w:sz="0" w:space="0" w:color="auto"/>
        <w:right w:val="none" w:sz="0" w:space="0" w:color="auto"/>
      </w:divBdr>
    </w:div>
    <w:div w:id="1410468088">
      <w:marLeft w:val="0"/>
      <w:marRight w:val="0"/>
      <w:marTop w:val="0"/>
      <w:marBottom w:val="0"/>
      <w:divBdr>
        <w:top w:val="none" w:sz="0" w:space="0" w:color="auto"/>
        <w:left w:val="none" w:sz="0" w:space="0" w:color="auto"/>
        <w:bottom w:val="none" w:sz="0" w:space="0" w:color="auto"/>
        <w:right w:val="none" w:sz="0" w:space="0" w:color="auto"/>
      </w:divBdr>
      <w:divsChild>
        <w:div w:id="1409116720">
          <w:marLeft w:val="0"/>
          <w:marRight w:val="0"/>
          <w:marTop w:val="0"/>
          <w:marBottom w:val="0"/>
          <w:divBdr>
            <w:top w:val="none" w:sz="0" w:space="0" w:color="auto"/>
            <w:left w:val="none" w:sz="0" w:space="0" w:color="auto"/>
            <w:bottom w:val="none" w:sz="0" w:space="0" w:color="auto"/>
            <w:right w:val="none" w:sz="0" w:space="0" w:color="auto"/>
          </w:divBdr>
        </w:div>
      </w:divsChild>
    </w:div>
    <w:div w:id="1412046788">
      <w:marLeft w:val="0"/>
      <w:marRight w:val="0"/>
      <w:marTop w:val="0"/>
      <w:marBottom w:val="0"/>
      <w:divBdr>
        <w:top w:val="none" w:sz="0" w:space="0" w:color="auto"/>
        <w:left w:val="none" w:sz="0" w:space="0" w:color="auto"/>
        <w:bottom w:val="none" w:sz="0" w:space="0" w:color="auto"/>
        <w:right w:val="none" w:sz="0" w:space="0" w:color="auto"/>
      </w:divBdr>
      <w:divsChild>
        <w:div w:id="1079717897">
          <w:marLeft w:val="0"/>
          <w:marRight w:val="0"/>
          <w:marTop w:val="0"/>
          <w:marBottom w:val="0"/>
          <w:divBdr>
            <w:top w:val="none" w:sz="0" w:space="0" w:color="auto"/>
            <w:left w:val="none" w:sz="0" w:space="0" w:color="auto"/>
            <w:bottom w:val="none" w:sz="0" w:space="0" w:color="auto"/>
            <w:right w:val="none" w:sz="0" w:space="0" w:color="auto"/>
          </w:divBdr>
        </w:div>
      </w:divsChild>
    </w:div>
    <w:div w:id="1413238897">
      <w:marLeft w:val="0"/>
      <w:marRight w:val="0"/>
      <w:marTop w:val="0"/>
      <w:marBottom w:val="0"/>
      <w:divBdr>
        <w:top w:val="none" w:sz="0" w:space="0" w:color="auto"/>
        <w:left w:val="none" w:sz="0" w:space="0" w:color="auto"/>
        <w:bottom w:val="none" w:sz="0" w:space="0" w:color="auto"/>
        <w:right w:val="none" w:sz="0" w:space="0" w:color="auto"/>
      </w:divBdr>
    </w:div>
    <w:div w:id="1413351249">
      <w:marLeft w:val="0"/>
      <w:marRight w:val="0"/>
      <w:marTop w:val="0"/>
      <w:marBottom w:val="0"/>
      <w:divBdr>
        <w:top w:val="none" w:sz="0" w:space="0" w:color="auto"/>
        <w:left w:val="none" w:sz="0" w:space="0" w:color="auto"/>
        <w:bottom w:val="none" w:sz="0" w:space="0" w:color="auto"/>
        <w:right w:val="none" w:sz="0" w:space="0" w:color="auto"/>
      </w:divBdr>
    </w:div>
    <w:div w:id="1413969666">
      <w:marLeft w:val="0"/>
      <w:marRight w:val="0"/>
      <w:marTop w:val="0"/>
      <w:marBottom w:val="0"/>
      <w:divBdr>
        <w:top w:val="none" w:sz="0" w:space="0" w:color="auto"/>
        <w:left w:val="none" w:sz="0" w:space="0" w:color="auto"/>
        <w:bottom w:val="none" w:sz="0" w:space="0" w:color="auto"/>
        <w:right w:val="none" w:sz="0" w:space="0" w:color="auto"/>
      </w:divBdr>
      <w:divsChild>
        <w:div w:id="100610671">
          <w:marLeft w:val="0"/>
          <w:marRight w:val="0"/>
          <w:marTop w:val="0"/>
          <w:marBottom w:val="0"/>
          <w:divBdr>
            <w:top w:val="none" w:sz="0" w:space="0" w:color="auto"/>
            <w:left w:val="none" w:sz="0" w:space="0" w:color="auto"/>
            <w:bottom w:val="none" w:sz="0" w:space="0" w:color="auto"/>
            <w:right w:val="none" w:sz="0" w:space="0" w:color="auto"/>
          </w:divBdr>
        </w:div>
      </w:divsChild>
    </w:div>
    <w:div w:id="1416319409">
      <w:marLeft w:val="0"/>
      <w:marRight w:val="0"/>
      <w:marTop w:val="0"/>
      <w:marBottom w:val="0"/>
      <w:divBdr>
        <w:top w:val="none" w:sz="0" w:space="0" w:color="auto"/>
        <w:left w:val="none" w:sz="0" w:space="0" w:color="auto"/>
        <w:bottom w:val="none" w:sz="0" w:space="0" w:color="auto"/>
        <w:right w:val="none" w:sz="0" w:space="0" w:color="auto"/>
      </w:divBdr>
      <w:divsChild>
        <w:div w:id="188959077">
          <w:marLeft w:val="0"/>
          <w:marRight w:val="0"/>
          <w:marTop w:val="0"/>
          <w:marBottom w:val="0"/>
          <w:divBdr>
            <w:top w:val="none" w:sz="0" w:space="0" w:color="auto"/>
            <w:left w:val="none" w:sz="0" w:space="0" w:color="auto"/>
            <w:bottom w:val="none" w:sz="0" w:space="0" w:color="auto"/>
            <w:right w:val="none" w:sz="0" w:space="0" w:color="auto"/>
          </w:divBdr>
        </w:div>
      </w:divsChild>
    </w:div>
    <w:div w:id="1418792911">
      <w:marLeft w:val="0"/>
      <w:marRight w:val="0"/>
      <w:marTop w:val="0"/>
      <w:marBottom w:val="0"/>
      <w:divBdr>
        <w:top w:val="none" w:sz="0" w:space="0" w:color="auto"/>
        <w:left w:val="none" w:sz="0" w:space="0" w:color="auto"/>
        <w:bottom w:val="none" w:sz="0" w:space="0" w:color="auto"/>
        <w:right w:val="none" w:sz="0" w:space="0" w:color="auto"/>
      </w:divBdr>
    </w:div>
    <w:div w:id="1429352838">
      <w:marLeft w:val="0"/>
      <w:marRight w:val="0"/>
      <w:marTop w:val="0"/>
      <w:marBottom w:val="0"/>
      <w:divBdr>
        <w:top w:val="none" w:sz="0" w:space="0" w:color="auto"/>
        <w:left w:val="none" w:sz="0" w:space="0" w:color="auto"/>
        <w:bottom w:val="none" w:sz="0" w:space="0" w:color="auto"/>
        <w:right w:val="none" w:sz="0" w:space="0" w:color="auto"/>
      </w:divBdr>
      <w:divsChild>
        <w:div w:id="1016618006">
          <w:marLeft w:val="0"/>
          <w:marRight w:val="0"/>
          <w:marTop w:val="0"/>
          <w:marBottom w:val="0"/>
          <w:divBdr>
            <w:top w:val="none" w:sz="0" w:space="0" w:color="auto"/>
            <w:left w:val="none" w:sz="0" w:space="0" w:color="auto"/>
            <w:bottom w:val="none" w:sz="0" w:space="0" w:color="auto"/>
            <w:right w:val="none" w:sz="0" w:space="0" w:color="auto"/>
          </w:divBdr>
        </w:div>
      </w:divsChild>
    </w:div>
    <w:div w:id="1434201703">
      <w:marLeft w:val="0"/>
      <w:marRight w:val="0"/>
      <w:marTop w:val="0"/>
      <w:marBottom w:val="0"/>
      <w:divBdr>
        <w:top w:val="none" w:sz="0" w:space="0" w:color="auto"/>
        <w:left w:val="none" w:sz="0" w:space="0" w:color="auto"/>
        <w:bottom w:val="none" w:sz="0" w:space="0" w:color="auto"/>
        <w:right w:val="none" w:sz="0" w:space="0" w:color="auto"/>
      </w:divBdr>
    </w:div>
    <w:div w:id="1445466392">
      <w:marLeft w:val="0"/>
      <w:marRight w:val="0"/>
      <w:marTop w:val="0"/>
      <w:marBottom w:val="0"/>
      <w:divBdr>
        <w:top w:val="none" w:sz="0" w:space="0" w:color="auto"/>
        <w:left w:val="none" w:sz="0" w:space="0" w:color="auto"/>
        <w:bottom w:val="none" w:sz="0" w:space="0" w:color="auto"/>
        <w:right w:val="none" w:sz="0" w:space="0" w:color="auto"/>
      </w:divBdr>
      <w:divsChild>
        <w:div w:id="81992968">
          <w:marLeft w:val="0"/>
          <w:marRight w:val="0"/>
          <w:marTop w:val="0"/>
          <w:marBottom w:val="0"/>
          <w:divBdr>
            <w:top w:val="none" w:sz="0" w:space="0" w:color="auto"/>
            <w:left w:val="none" w:sz="0" w:space="0" w:color="auto"/>
            <w:bottom w:val="none" w:sz="0" w:space="0" w:color="auto"/>
            <w:right w:val="none" w:sz="0" w:space="0" w:color="auto"/>
          </w:divBdr>
        </w:div>
      </w:divsChild>
    </w:div>
    <w:div w:id="1451899281">
      <w:marLeft w:val="0"/>
      <w:marRight w:val="0"/>
      <w:marTop w:val="0"/>
      <w:marBottom w:val="0"/>
      <w:divBdr>
        <w:top w:val="none" w:sz="0" w:space="0" w:color="auto"/>
        <w:left w:val="none" w:sz="0" w:space="0" w:color="auto"/>
        <w:bottom w:val="none" w:sz="0" w:space="0" w:color="auto"/>
        <w:right w:val="none" w:sz="0" w:space="0" w:color="auto"/>
      </w:divBdr>
    </w:div>
    <w:div w:id="1453205165">
      <w:marLeft w:val="0"/>
      <w:marRight w:val="0"/>
      <w:marTop w:val="0"/>
      <w:marBottom w:val="0"/>
      <w:divBdr>
        <w:top w:val="none" w:sz="0" w:space="0" w:color="auto"/>
        <w:left w:val="none" w:sz="0" w:space="0" w:color="auto"/>
        <w:bottom w:val="none" w:sz="0" w:space="0" w:color="auto"/>
        <w:right w:val="none" w:sz="0" w:space="0" w:color="auto"/>
      </w:divBdr>
    </w:div>
    <w:div w:id="1453400260">
      <w:marLeft w:val="0"/>
      <w:marRight w:val="0"/>
      <w:marTop w:val="0"/>
      <w:marBottom w:val="0"/>
      <w:divBdr>
        <w:top w:val="none" w:sz="0" w:space="0" w:color="auto"/>
        <w:left w:val="none" w:sz="0" w:space="0" w:color="auto"/>
        <w:bottom w:val="none" w:sz="0" w:space="0" w:color="auto"/>
        <w:right w:val="none" w:sz="0" w:space="0" w:color="auto"/>
      </w:divBdr>
    </w:div>
    <w:div w:id="1455173334">
      <w:marLeft w:val="0"/>
      <w:marRight w:val="0"/>
      <w:marTop w:val="0"/>
      <w:marBottom w:val="0"/>
      <w:divBdr>
        <w:top w:val="none" w:sz="0" w:space="0" w:color="auto"/>
        <w:left w:val="none" w:sz="0" w:space="0" w:color="auto"/>
        <w:bottom w:val="none" w:sz="0" w:space="0" w:color="auto"/>
        <w:right w:val="none" w:sz="0" w:space="0" w:color="auto"/>
      </w:divBdr>
    </w:div>
    <w:div w:id="1458840991">
      <w:marLeft w:val="0"/>
      <w:marRight w:val="0"/>
      <w:marTop w:val="0"/>
      <w:marBottom w:val="0"/>
      <w:divBdr>
        <w:top w:val="none" w:sz="0" w:space="0" w:color="auto"/>
        <w:left w:val="none" w:sz="0" w:space="0" w:color="auto"/>
        <w:bottom w:val="none" w:sz="0" w:space="0" w:color="auto"/>
        <w:right w:val="none" w:sz="0" w:space="0" w:color="auto"/>
      </w:divBdr>
    </w:div>
    <w:div w:id="1460344726">
      <w:marLeft w:val="0"/>
      <w:marRight w:val="0"/>
      <w:marTop w:val="0"/>
      <w:marBottom w:val="0"/>
      <w:divBdr>
        <w:top w:val="none" w:sz="0" w:space="0" w:color="auto"/>
        <w:left w:val="none" w:sz="0" w:space="0" w:color="auto"/>
        <w:bottom w:val="none" w:sz="0" w:space="0" w:color="auto"/>
        <w:right w:val="none" w:sz="0" w:space="0" w:color="auto"/>
      </w:divBdr>
    </w:div>
    <w:div w:id="1465274225">
      <w:marLeft w:val="0"/>
      <w:marRight w:val="0"/>
      <w:marTop w:val="0"/>
      <w:marBottom w:val="0"/>
      <w:divBdr>
        <w:top w:val="none" w:sz="0" w:space="0" w:color="auto"/>
        <w:left w:val="none" w:sz="0" w:space="0" w:color="auto"/>
        <w:bottom w:val="none" w:sz="0" w:space="0" w:color="auto"/>
        <w:right w:val="none" w:sz="0" w:space="0" w:color="auto"/>
      </w:divBdr>
    </w:div>
    <w:div w:id="1469859559">
      <w:marLeft w:val="0"/>
      <w:marRight w:val="0"/>
      <w:marTop w:val="0"/>
      <w:marBottom w:val="0"/>
      <w:divBdr>
        <w:top w:val="none" w:sz="0" w:space="0" w:color="auto"/>
        <w:left w:val="none" w:sz="0" w:space="0" w:color="auto"/>
        <w:bottom w:val="none" w:sz="0" w:space="0" w:color="auto"/>
        <w:right w:val="none" w:sz="0" w:space="0" w:color="auto"/>
      </w:divBdr>
    </w:div>
    <w:div w:id="1470321384">
      <w:marLeft w:val="0"/>
      <w:marRight w:val="0"/>
      <w:marTop w:val="0"/>
      <w:marBottom w:val="0"/>
      <w:divBdr>
        <w:top w:val="none" w:sz="0" w:space="0" w:color="auto"/>
        <w:left w:val="none" w:sz="0" w:space="0" w:color="auto"/>
        <w:bottom w:val="none" w:sz="0" w:space="0" w:color="auto"/>
        <w:right w:val="none" w:sz="0" w:space="0" w:color="auto"/>
      </w:divBdr>
    </w:div>
    <w:div w:id="1476526355">
      <w:marLeft w:val="0"/>
      <w:marRight w:val="0"/>
      <w:marTop w:val="0"/>
      <w:marBottom w:val="0"/>
      <w:divBdr>
        <w:top w:val="none" w:sz="0" w:space="0" w:color="auto"/>
        <w:left w:val="none" w:sz="0" w:space="0" w:color="auto"/>
        <w:bottom w:val="none" w:sz="0" w:space="0" w:color="auto"/>
        <w:right w:val="none" w:sz="0" w:space="0" w:color="auto"/>
      </w:divBdr>
    </w:div>
    <w:div w:id="1490903863">
      <w:marLeft w:val="0"/>
      <w:marRight w:val="0"/>
      <w:marTop w:val="0"/>
      <w:marBottom w:val="0"/>
      <w:divBdr>
        <w:top w:val="none" w:sz="0" w:space="0" w:color="auto"/>
        <w:left w:val="none" w:sz="0" w:space="0" w:color="auto"/>
        <w:bottom w:val="none" w:sz="0" w:space="0" w:color="auto"/>
        <w:right w:val="none" w:sz="0" w:space="0" w:color="auto"/>
      </w:divBdr>
    </w:div>
    <w:div w:id="1491864500">
      <w:marLeft w:val="0"/>
      <w:marRight w:val="0"/>
      <w:marTop w:val="0"/>
      <w:marBottom w:val="0"/>
      <w:divBdr>
        <w:top w:val="none" w:sz="0" w:space="0" w:color="auto"/>
        <w:left w:val="none" w:sz="0" w:space="0" w:color="auto"/>
        <w:bottom w:val="none" w:sz="0" w:space="0" w:color="auto"/>
        <w:right w:val="none" w:sz="0" w:space="0" w:color="auto"/>
      </w:divBdr>
      <w:divsChild>
        <w:div w:id="840509261">
          <w:marLeft w:val="0"/>
          <w:marRight w:val="0"/>
          <w:marTop w:val="0"/>
          <w:marBottom w:val="0"/>
          <w:divBdr>
            <w:top w:val="none" w:sz="0" w:space="0" w:color="auto"/>
            <w:left w:val="none" w:sz="0" w:space="0" w:color="auto"/>
            <w:bottom w:val="none" w:sz="0" w:space="0" w:color="auto"/>
            <w:right w:val="none" w:sz="0" w:space="0" w:color="auto"/>
          </w:divBdr>
        </w:div>
      </w:divsChild>
    </w:div>
    <w:div w:id="1493139306">
      <w:marLeft w:val="0"/>
      <w:marRight w:val="0"/>
      <w:marTop w:val="0"/>
      <w:marBottom w:val="0"/>
      <w:divBdr>
        <w:top w:val="none" w:sz="0" w:space="0" w:color="auto"/>
        <w:left w:val="none" w:sz="0" w:space="0" w:color="auto"/>
        <w:bottom w:val="none" w:sz="0" w:space="0" w:color="auto"/>
        <w:right w:val="none" w:sz="0" w:space="0" w:color="auto"/>
      </w:divBdr>
    </w:div>
    <w:div w:id="1494956329">
      <w:marLeft w:val="0"/>
      <w:marRight w:val="0"/>
      <w:marTop w:val="0"/>
      <w:marBottom w:val="0"/>
      <w:divBdr>
        <w:top w:val="none" w:sz="0" w:space="0" w:color="auto"/>
        <w:left w:val="none" w:sz="0" w:space="0" w:color="auto"/>
        <w:bottom w:val="none" w:sz="0" w:space="0" w:color="auto"/>
        <w:right w:val="none" w:sz="0" w:space="0" w:color="auto"/>
      </w:divBdr>
      <w:divsChild>
        <w:div w:id="913319260">
          <w:marLeft w:val="0"/>
          <w:marRight w:val="0"/>
          <w:marTop w:val="0"/>
          <w:marBottom w:val="0"/>
          <w:divBdr>
            <w:top w:val="none" w:sz="0" w:space="0" w:color="auto"/>
            <w:left w:val="none" w:sz="0" w:space="0" w:color="auto"/>
            <w:bottom w:val="none" w:sz="0" w:space="0" w:color="auto"/>
            <w:right w:val="none" w:sz="0" w:space="0" w:color="auto"/>
          </w:divBdr>
        </w:div>
      </w:divsChild>
    </w:div>
    <w:div w:id="1497110378">
      <w:marLeft w:val="0"/>
      <w:marRight w:val="0"/>
      <w:marTop w:val="0"/>
      <w:marBottom w:val="0"/>
      <w:divBdr>
        <w:top w:val="none" w:sz="0" w:space="0" w:color="auto"/>
        <w:left w:val="none" w:sz="0" w:space="0" w:color="auto"/>
        <w:bottom w:val="none" w:sz="0" w:space="0" w:color="auto"/>
        <w:right w:val="none" w:sz="0" w:space="0" w:color="auto"/>
      </w:divBdr>
    </w:div>
    <w:div w:id="1499492307">
      <w:marLeft w:val="0"/>
      <w:marRight w:val="0"/>
      <w:marTop w:val="0"/>
      <w:marBottom w:val="0"/>
      <w:divBdr>
        <w:top w:val="none" w:sz="0" w:space="0" w:color="auto"/>
        <w:left w:val="none" w:sz="0" w:space="0" w:color="auto"/>
        <w:bottom w:val="none" w:sz="0" w:space="0" w:color="auto"/>
        <w:right w:val="none" w:sz="0" w:space="0" w:color="auto"/>
      </w:divBdr>
    </w:div>
    <w:div w:id="1508209315">
      <w:marLeft w:val="0"/>
      <w:marRight w:val="0"/>
      <w:marTop w:val="0"/>
      <w:marBottom w:val="0"/>
      <w:divBdr>
        <w:top w:val="none" w:sz="0" w:space="0" w:color="auto"/>
        <w:left w:val="none" w:sz="0" w:space="0" w:color="auto"/>
        <w:bottom w:val="none" w:sz="0" w:space="0" w:color="auto"/>
        <w:right w:val="none" w:sz="0" w:space="0" w:color="auto"/>
      </w:divBdr>
      <w:divsChild>
        <w:div w:id="70583409">
          <w:marLeft w:val="0"/>
          <w:marRight w:val="0"/>
          <w:marTop w:val="0"/>
          <w:marBottom w:val="0"/>
          <w:divBdr>
            <w:top w:val="none" w:sz="0" w:space="0" w:color="auto"/>
            <w:left w:val="none" w:sz="0" w:space="0" w:color="auto"/>
            <w:bottom w:val="none" w:sz="0" w:space="0" w:color="auto"/>
            <w:right w:val="none" w:sz="0" w:space="0" w:color="auto"/>
          </w:divBdr>
        </w:div>
      </w:divsChild>
    </w:div>
    <w:div w:id="1508863919">
      <w:marLeft w:val="0"/>
      <w:marRight w:val="0"/>
      <w:marTop w:val="0"/>
      <w:marBottom w:val="0"/>
      <w:divBdr>
        <w:top w:val="none" w:sz="0" w:space="0" w:color="auto"/>
        <w:left w:val="none" w:sz="0" w:space="0" w:color="auto"/>
        <w:bottom w:val="none" w:sz="0" w:space="0" w:color="auto"/>
        <w:right w:val="none" w:sz="0" w:space="0" w:color="auto"/>
      </w:divBdr>
    </w:div>
    <w:div w:id="1510020171">
      <w:marLeft w:val="0"/>
      <w:marRight w:val="0"/>
      <w:marTop w:val="0"/>
      <w:marBottom w:val="0"/>
      <w:divBdr>
        <w:top w:val="none" w:sz="0" w:space="0" w:color="auto"/>
        <w:left w:val="none" w:sz="0" w:space="0" w:color="auto"/>
        <w:bottom w:val="none" w:sz="0" w:space="0" w:color="auto"/>
        <w:right w:val="none" w:sz="0" w:space="0" w:color="auto"/>
      </w:divBdr>
    </w:div>
    <w:div w:id="1510410499">
      <w:marLeft w:val="0"/>
      <w:marRight w:val="0"/>
      <w:marTop w:val="0"/>
      <w:marBottom w:val="0"/>
      <w:divBdr>
        <w:top w:val="none" w:sz="0" w:space="0" w:color="auto"/>
        <w:left w:val="none" w:sz="0" w:space="0" w:color="auto"/>
        <w:bottom w:val="none" w:sz="0" w:space="0" w:color="auto"/>
        <w:right w:val="none" w:sz="0" w:space="0" w:color="auto"/>
      </w:divBdr>
    </w:div>
    <w:div w:id="1512908834">
      <w:marLeft w:val="0"/>
      <w:marRight w:val="0"/>
      <w:marTop w:val="0"/>
      <w:marBottom w:val="0"/>
      <w:divBdr>
        <w:top w:val="none" w:sz="0" w:space="0" w:color="auto"/>
        <w:left w:val="none" w:sz="0" w:space="0" w:color="auto"/>
        <w:bottom w:val="none" w:sz="0" w:space="0" w:color="auto"/>
        <w:right w:val="none" w:sz="0" w:space="0" w:color="auto"/>
      </w:divBdr>
    </w:div>
    <w:div w:id="1514882587">
      <w:marLeft w:val="0"/>
      <w:marRight w:val="0"/>
      <w:marTop w:val="0"/>
      <w:marBottom w:val="0"/>
      <w:divBdr>
        <w:top w:val="none" w:sz="0" w:space="0" w:color="auto"/>
        <w:left w:val="none" w:sz="0" w:space="0" w:color="auto"/>
        <w:bottom w:val="none" w:sz="0" w:space="0" w:color="auto"/>
        <w:right w:val="none" w:sz="0" w:space="0" w:color="auto"/>
      </w:divBdr>
    </w:div>
    <w:div w:id="1515266858">
      <w:marLeft w:val="0"/>
      <w:marRight w:val="0"/>
      <w:marTop w:val="0"/>
      <w:marBottom w:val="0"/>
      <w:divBdr>
        <w:top w:val="none" w:sz="0" w:space="0" w:color="auto"/>
        <w:left w:val="none" w:sz="0" w:space="0" w:color="auto"/>
        <w:bottom w:val="none" w:sz="0" w:space="0" w:color="auto"/>
        <w:right w:val="none" w:sz="0" w:space="0" w:color="auto"/>
      </w:divBdr>
      <w:divsChild>
        <w:div w:id="492182405">
          <w:marLeft w:val="0"/>
          <w:marRight w:val="0"/>
          <w:marTop w:val="0"/>
          <w:marBottom w:val="0"/>
          <w:divBdr>
            <w:top w:val="none" w:sz="0" w:space="0" w:color="auto"/>
            <w:left w:val="none" w:sz="0" w:space="0" w:color="auto"/>
            <w:bottom w:val="none" w:sz="0" w:space="0" w:color="auto"/>
            <w:right w:val="none" w:sz="0" w:space="0" w:color="auto"/>
          </w:divBdr>
        </w:div>
      </w:divsChild>
    </w:div>
    <w:div w:id="1520385760">
      <w:marLeft w:val="0"/>
      <w:marRight w:val="0"/>
      <w:marTop w:val="0"/>
      <w:marBottom w:val="0"/>
      <w:divBdr>
        <w:top w:val="none" w:sz="0" w:space="0" w:color="auto"/>
        <w:left w:val="none" w:sz="0" w:space="0" w:color="auto"/>
        <w:bottom w:val="none" w:sz="0" w:space="0" w:color="auto"/>
        <w:right w:val="none" w:sz="0" w:space="0" w:color="auto"/>
      </w:divBdr>
    </w:div>
    <w:div w:id="1524436162">
      <w:marLeft w:val="0"/>
      <w:marRight w:val="0"/>
      <w:marTop w:val="0"/>
      <w:marBottom w:val="0"/>
      <w:divBdr>
        <w:top w:val="none" w:sz="0" w:space="0" w:color="auto"/>
        <w:left w:val="none" w:sz="0" w:space="0" w:color="auto"/>
        <w:bottom w:val="none" w:sz="0" w:space="0" w:color="auto"/>
        <w:right w:val="none" w:sz="0" w:space="0" w:color="auto"/>
      </w:divBdr>
    </w:div>
    <w:div w:id="1524437342">
      <w:marLeft w:val="0"/>
      <w:marRight w:val="0"/>
      <w:marTop w:val="0"/>
      <w:marBottom w:val="0"/>
      <w:divBdr>
        <w:top w:val="none" w:sz="0" w:space="0" w:color="auto"/>
        <w:left w:val="none" w:sz="0" w:space="0" w:color="auto"/>
        <w:bottom w:val="none" w:sz="0" w:space="0" w:color="auto"/>
        <w:right w:val="none" w:sz="0" w:space="0" w:color="auto"/>
      </w:divBdr>
      <w:divsChild>
        <w:div w:id="690034585">
          <w:marLeft w:val="0"/>
          <w:marRight w:val="0"/>
          <w:marTop w:val="0"/>
          <w:marBottom w:val="0"/>
          <w:divBdr>
            <w:top w:val="none" w:sz="0" w:space="0" w:color="auto"/>
            <w:left w:val="none" w:sz="0" w:space="0" w:color="auto"/>
            <w:bottom w:val="none" w:sz="0" w:space="0" w:color="auto"/>
            <w:right w:val="none" w:sz="0" w:space="0" w:color="auto"/>
          </w:divBdr>
        </w:div>
      </w:divsChild>
    </w:div>
    <w:div w:id="1531264772">
      <w:marLeft w:val="0"/>
      <w:marRight w:val="0"/>
      <w:marTop w:val="0"/>
      <w:marBottom w:val="0"/>
      <w:divBdr>
        <w:top w:val="none" w:sz="0" w:space="0" w:color="auto"/>
        <w:left w:val="none" w:sz="0" w:space="0" w:color="auto"/>
        <w:bottom w:val="none" w:sz="0" w:space="0" w:color="auto"/>
        <w:right w:val="none" w:sz="0" w:space="0" w:color="auto"/>
      </w:divBdr>
    </w:div>
    <w:div w:id="1532570720">
      <w:marLeft w:val="0"/>
      <w:marRight w:val="0"/>
      <w:marTop w:val="0"/>
      <w:marBottom w:val="0"/>
      <w:divBdr>
        <w:top w:val="none" w:sz="0" w:space="0" w:color="auto"/>
        <w:left w:val="none" w:sz="0" w:space="0" w:color="auto"/>
        <w:bottom w:val="none" w:sz="0" w:space="0" w:color="auto"/>
        <w:right w:val="none" w:sz="0" w:space="0" w:color="auto"/>
      </w:divBdr>
      <w:divsChild>
        <w:div w:id="1858733219">
          <w:marLeft w:val="0"/>
          <w:marRight w:val="0"/>
          <w:marTop w:val="0"/>
          <w:marBottom w:val="0"/>
          <w:divBdr>
            <w:top w:val="none" w:sz="0" w:space="0" w:color="auto"/>
            <w:left w:val="none" w:sz="0" w:space="0" w:color="auto"/>
            <w:bottom w:val="none" w:sz="0" w:space="0" w:color="auto"/>
            <w:right w:val="none" w:sz="0" w:space="0" w:color="auto"/>
          </w:divBdr>
        </w:div>
      </w:divsChild>
    </w:div>
    <w:div w:id="1533613804">
      <w:marLeft w:val="0"/>
      <w:marRight w:val="0"/>
      <w:marTop w:val="0"/>
      <w:marBottom w:val="0"/>
      <w:divBdr>
        <w:top w:val="none" w:sz="0" w:space="0" w:color="auto"/>
        <w:left w:val="none" w:sz="0" w:space="0" w:color="auto"/>
        <w:bottom w:val="none" w:sz="0" w:space="0" w:color="auto"/>
        <w:right w:val="none" w:sz="0" w:space="0" w:color="auto"/>
      </w:divBdr>
      <w:divsChild>
        <w:div w:id="598173872">
          <w:marLeft w:val="0"/>
          <w:marRight w:val="0"/>
          <w:marTop w:val="0"/>
          <w:marBottom w:val="0"/>
          <w:divBdr>
            <w:top w:val="none" w:sz="0" w:space="0" w:color="auto"/>
            <w:left w:val="none" w:sz="0" w:space="0" w:color="auto"/>
            <w:bottom w:val="none" w:sz="0" w:space="0" w:color="auto"/>
            <w:right w:val="none" w:sz="0" w:space="0" w:color="auto"/>
          </w:divBdr>
        </w:div>
      </w:divsChild>
    </w:div>
    <w:div w:id="1547571133">
      <w:marLeft w:val="0"/>
      <w:marRight w:val="0"/>
      <w:marTop w:val="0"/>
      <w:marBottom w:val="0"/>
      <w:divBdr>
        <w:top w:val="none" w:sz="0" w:space="0" w:color="auto"/>
        <w:left w:val="none" w:sz="0" w:space="0" w:color="auto"/>
        <w:bottom w:val="none" w:sz="0" w:space="0" w:color="auto"/>
        <w:right w:val="none" w:sz="0" w:space="0" w:color="auto"/>
      </w:divBdr>
    </w:div>
    <w:div w:id="1548491950">
      <w:marLeft w:val="0"/>
      <w:marRight w:val="0"/>
      <w:marTop w:val="0"/>
      <w:marBottom w:val="0"/>
      <w:divBdr>
        <w:top w:val="none" w:sz="0" w:space="0" w:color="auto"/>
        <w:left w:val="none" w:sz="0" w:space="0" w:color="auto"/>
        <w:bottom w:val="none" w:sz="0" w:space="0" w:color="auto"/>
        <w:right w:val="none" w:sz="0" w:space="0" w:color="auto"/>
      </w:divBdr>
      <w:divsChild>
        <w:div w:id="260453752">
          <w:marLeft w:val="0"/>
          <w:marRight w:val="0"/>
          <w:marTop w:val="0"/>
          <w:marBottom w:val="0"/>
          <w:divBdr>
            <w:top w:val="none" w:sz="0" w:space="0" w:color="auto"/>
            <w:left w:val="none" w:sz="0" w:space="0" w:color="auto"/>
            <w:bottom w:val="none" w:sz="0" w:space="0" w:color="auto"/>
            <w:right w:val="none" w:sz="0" w:space="0" w:color="auto"/>
          </w:divBdr>
        </w:div>
      </w:divsChild>
    </w:div>
    <w:div w:id="1549293223">
      <w:marLeft w:val="0"/>
      <w:marRight w:val="0"/>
      <w:marTop w:val="0"/>
      <w:marBottom w:val="0"/>
      <w:divBdr>
        <w:top w:val="none" w:sz="0" w:space="0" w:color="auto"/>
        <w:left w:val="none" w:sz="0" w:space="0" w:color="auto"/>
        <w:bottom w:val="none" w:sz="0" w:space="0" w:color="auto"/>
        <w:right w:val="none" w:sz="0" w:space="0" w:color="auto"/>
      </w:divBdr>
    </w:div>
    <w:div w:id="1556354499">
      <w:marLeft w:val="0"/>
      <w:marRight w:val="0"/>
      <w:marTop w:val="0"/>
      <w:marBottom w:val="0"/>
      <w:divBdr>
        <w:top w:val="none" w:sz="0" w:space="0" w:color="auto"/>
        <w:left w:val="none" w:sz="0" w:space="0" w:color="auto"/>
        <w:bottom w:val="none" w:sz="0" w:space="0" w:color="auto"/>
        <w:right w:val="none" w:sz="0" w:space="0" w:color="auto"/>
      </w:divBdr>
    </w:div>
    <w:div w:id="1558466014">
      <w:marLeft w:val="0"/>
      <w:marRight w:val="0"/>
      <w:marTop w:val="0"/>
      <w:marBottom w:val="0"/>
      <w:divBdr>
        <w:top w:val="none" w:sz="0" w:space="0" w:color="auto"/>
        <w:left w:val="none" w:sz="0" w:space="0" w:color="auto"/>
        <w:bottom w:val="none" w:sz="0" w:space="0" w:color="auto"/>
        <w:right w:val="none" w:sz="0" w:space="0" w:color="auto"/>
      </w:divBdr>
      <w:divsChild>
        <w:div w:id="1387411796">
          <w:marLeft w:val="0"/>
          <w:marRight w:val="0"/>
          <w:marTop w:val="0"/>
          <w:marBottom w:val="0"/>
          <w:divBdr>
            <w:top w:val="none" w:sz="0" w:space="0" w:color="auto"/>
            <w:left w:val="none" w:sz="0" w:space="0" w:color="auto"/>
            <w:bottom w:val="none" w:sz="0" w:space="0" w:color="auto"/>
            <w:right w:val="none" w:sz="0" w:space="0" w:color="auto"/>
          </w:divBdr>
        </w:div>
      </w:divsChild>
    </w:div>
    <w:div w:id="1558588081">
      <w:marLeft w:val="0"/>
      <w:marRight w:val="0"/>
      <w:marTop w:val="0"/>
      <w:marBottom w:val="0"/>
      <w:divBdr>
        <w:top w:val="none" w:sz="0" w:space="0" w:color="auto"/>
        <w:left w:val="none" w:sz="0" w:space="0" w:color="auto"/>
        <w:bottom w:val="none" w:sz="0" w:space="0" w:color="auto"/>
        <w:right w:val="none" w:sz="0" w:space="0" w:color="auto"/>
      </w:divBdr>
      <w:divsChild>
        <w:div w:id="1765609876">
          <w:marLeft w:val="0"/>
          <w:marRight w:val="0"/>
          <w:marTop w:val="0"/>
          <w:marBottom w:val="0"/>
          <w:divBdr>
            <w:top w:val="none" w:sz="0" w:space="0" w:color="auto"/>
            <w:left w:val="none" w:sz="0" w:space="0" w:color="auto"/>
            <w:bottom w:val="none" w:sz="0" w:space="0" w:color="auto"/>
            <w:right w:val="none" w:sz="0" w:space="0" w:color="auto"/>
          </w:divBdr>
        </w:div>
      </w:divsChild>
    </w:div>
    <w:div w:id="1565290808">
      <w:marLeft w:val="0"/>
      <w:marRight w:val="0"/>
      <w:marTop w:val="0"/>
      <w:marBottom w:val="0"/>
      <w:divBdr>
        <w:top w:val="none" w:sz="0" w:space="0" w:color="auto"/>
        <w:left w:val="none" w:sz="0" w:space="0" w:color="auto"/>
        <w:bottom w:val="none" w:sz="0" w:space="0" w:color="auto"/>
        <w:right w:val="none" w:sz="0" w:space="0" w:color="auto"/>
      </w:divBdr>
    </w:div>
    <w:div w:id="1569539978">
      <w:marLeft w:val="0"/>
      <w:marRight w:val="0"/>
      <w:marTop w:val="0"/>
      <w:marBottom w:val="0"/>
      <w:divBdr>
        <w:top w:val="none" w:sz="0" w:space="0" w:color="auto"/>
        <w:left w:val="none" w:sz="0" w:space="0" w:color="auto"/>
        <w:bottom w:val="none" w:sz="0" w:space="0" w:color="auto"/>
        <w:right w:val="none" w:sz="0" w:space="0" w:color="auto"/>
      </w:divBdr>
      <w:divsChild>
        <w:div w:id="914902387">
          <w:marLeft w:val="0"/>
          <w:marRight w:val="0"/>
          <w:marTop w:val="0"/>
          <w:marBottom w:val="0"/>
          <w:divBdr>
            <w:top w:val="none" w:sz="0" w:space="0" w:color="auto"/>
            <w:left w:val="none" w:sz="0" w:space="0" w:color="auto"/>
            <w:bottom w:val="none" w:sz="0" w:space="0" w:color="auto"/>
            <w:right w:val="none" w:sz="0" w:space="0" w:color="auto"/>
          </w:divBdr>
        </w:div>
      </w:divsChild>
    </w:div>
    <w:div w:id="1571772847">
      <w:marLeft w:val="0"/>
      <w:marRight w:val="0"/>
      <w:marTop w:val="0"/>
      <w:marBottom w:val="0"/>
      <w:divBdr>
        <w:top w:val="none" w:sz="0" w:space="0" w:color="auto"/>
        <w:left w:val="none" w:sz="0" w:space="0" w:color="auto"/>
        <w:bottom w:val="none" w:sz="0" w:space="0" w:color="auto"/>
        <w:right w:val="none" w:sz="0" w:space="0" w:color="auto"/>
      </w:divBdr>
      <w:divsChild>
        <w:div w:id="506672287">
          <w:marLeft w:val="0"/>
          <w:marRight w:val="0"/>
          <w:marTop w:val="0"/>
          <w:marBottom w:val="0"/>
          <w:divBdr>
            <w:top w:val="none" w:sz="0" w:space="0" w:color="auto"/>
            <w:left w:val="none" w:sz="0" w:space="0" w:color="auto"/>
            <w:bottom w:val="none" w:sz="0" w:space="0" w:color="auto"/>
            <w:right w:val="none" w:sz="0" w:space="0" w:color="auto"/>
          </w:divBdr>
        </w:div>
      </w:divsChild>
    </w:div>
    <w:div w:id="1577203873">
      <w:marLeft w:val="0"/>
      <w:marRight w:val="0"/>
      <w:marTop w:val="0"/>
      <w:marBottom w:val="0"/>
      <w:divBdr>
        <w:top w:val="none" w:sz="0" w:space="0" w:color="auto"/>
        <w:left w:val="none" w:sz="0" w:space="0" w:color="auto"/>
        <w:bottom w:val="none" w:sz="0" w:space="0" w:color="auto"/>
        <w:right w:val="none" w:sz="0" w:space="0" w:color="auto"/>
      </w:divBdr>
    </w:div>
    <w:div w:id="1577787619">
      <w:marLeft w:val="0"/>
      <w:marRight w:val="0"/>
      <w:marTop w:val="0"/>
      <w:marBottom w:val="0"/>
      <w:divBdr>
        <w:top w:val="none" w:sz="0" w:space="0" w:color="auto"/>
        <w:left w:val="none" w:sz="0" w:space="0" w:color="auto"/>
        <w:bottom w:val="none" w:sz="0" w:space="0" w:color="auto"/>
        <w:right w:val="none" w:sz="0" w:space="0" w:color="auto"/>
      </w:divBdr>
      <w:divsChild>
        <w:div w:id="2016960921">
          <w:marLeft w:val="0"/>
          <w:marRight w:val="0"/>
          <w:marTop w:val="0"/>
          <w:marBottom w:val="0"/>
          <w:divBdr>
            <w:top w:val="none" w:sz="0" w:space="0" w:color="auto"/>
            <w:left w:val="none" w:sz="0" w:space="0" w:color="auto"/>
            <w:bottom w:val="none" w:sz="0" w:space="0" w:color="auto"/>
            <w:right w:val="none" w:sz="0" w:space="0" w:color="auto"/>
          </w:divBdr>
        </w:div>
      </w:divsChild>
    </w:div>
    <w:div w:id="1578369249">
      <w:marLeft w:val="0"/>
      <w:marRight w:val="0"/>
      <w:marTop w:val="0"/>
      <w:marBottom w:val="0"/>
      <w:divBdr>
        <w:top w:val="none" w:sz="0" w:space="0" w:color="auto"/>
        <w:left w:val="none" w:sz="0" w:space="0" w:color="auto"/>
        <w:bottom w:val="none" w:sz="0" w:space="0" w:color="auto"/>
        <w:right w:val="none" w:sz="0" w:space="0" w:color="auto"/>
      </w:divBdr>
      <w:divsChild>
        <w:div w:id="917636659">
          <w:marLeft w:val="0"/>
          <w:marRight w:val="0"/>
          <w:marTop w:val="0"/>
          <w:marBottom w:val="0"/>
          <w:divBdr>
            <w:top w:val="none" w:sz="0" w:space="0" w:color="auto"/>
            <w:left w:val="none" w:sz="0" w:space="0" w:color="auto"/>
            <w:bottom w:val="none" w:sz="0" w:space="0" w:color="auto"/>
            <w:right w:val="none" w:sz="0" w:space="0" w:color="auto"/>
          </w:divBdr>
        </w:div>
      </w:divsChild>
    </w:div>
    <w:div w:id="1580797205">
      <w:marLeft w:val="0"/>
      <w:marRight w:val="0"/>
      <w:marTop w:val="0"/>
      <w:marBottom w:val="0"/>
      <w:divBdr>
        <w:top w:val="none" w:sz="0" w:space="0" w:color="auto"/>
        <w:left w:val="none" w:sz="0" w:space="0" w:color="auto"/>
        <w:bottom w:val="none" w:sz="0" w:space="0" w:color="auto"/>
        <w:right w:val="none" w:sz="0" w:space="0" w:color="auto"/>
      </w:divBdr>
    </w:div>
    <w:div w:id="1582568431">
      <w:marLeft w:val="0"/>
      <w:marRight w:val="0"/>
      <w:marTop w:val="0"/>
      <w:marBottom w:val="0"/>
      <w:divBdr>
        <w:top w:val="none" w:sz="0" w:space="0" w:color="auto"/>
        <w:left w:val="none" w:sz="0" w:space="0" w:color="auto"/>
        <w:bottom w:val="none" w:sz="0" w:space="0" w:color="auto"/>
        <w:right w:val="none" w:sz="0" w:space="0" w:color="auto"/>
      </w:divBdr>
    </w:div>
    <w:div w:id="1583097867">
      <w:marLeft w:val="0"/>
      <w:marRight w:val="0"/>
      <w:marTop w:val="0"/>
      <w:marBottom w:val="0"/>
      <w:divBdr>
        <w:top w:val="none" w:sz="0" w:space="0" w:color="auto"/>
        <w:left w:val="none" w:sz="0" w:space="0" w:color="auto"/>
        <w:bottom w:val="none" w:sz="0" w:space="0" w:color="auto"/>
        <w:right w:val="none" w:sz="0" w:space="0" w:color="auto"/>
      </w:divBdr>
    </w:div>
    <w:div w:id="1599942163">
      <w:marLeft w:val="0"/>
      <w:marRight w:val="0"/>
      <w:marTop w:val="0"/>
      <w:marBottom w:val="0"/>
      <w:divBdr>
        <w:top w:val="none" w:sz="0" w:space="0" w:color="auto"/>
        <w:left w:val="none" w:sz="0" w:space="0" w:color="auto"/>
        <w:bottom w:val="none" w:sz="0" w:space="0" w:color="auto"/>
        <w:right w:val="none" w:sz="0" w:space="0" w:color="auto"/>
      </w:divBdr>
    </w:div>
    <w:div w:id="1605964656">
      <w:marLeft w:val="0"/>
      <w:marRight w:val="0"/>
      <w:marTop w:val="0"/>
      <w:marBottom w:val="0"/>
      <w:divBdr>
        <w:top w:val="none" w:sz="0" w:space="0" w:color="auto"/>
        <w:left w:val="none" w:sz="0" w:space="0" w:color="auto"/>
        <w:bottom w:val="none" w:sz="0" w:space="0" w:color="auto"/>
        <w:right w:val="none" w:sz="0" w:space="0" w:color="auto"/>
      </w:divBdr>
      <w:divsChild>
        <w:div w:id="586504628">
          <w:marLeft w:val="0"/>
          <w:marRight w:val="0"/>
          <w:marTop w:val="0"/>
          <w:marBottom w:val="0"/>
          <w:divBdr>
            <w:top w:val="none" w:sz="0" w:space="0" w:color="auto"/>
            <w:left w:val="none" w:sz="0" w:space="0" w:color="auto"/>
            <w:bottom w:val="none" w:sz="0" w:space="0" w:color="auto"/>
            <w:right w:val="none" w:sz="0" w:space="0" w:color="auto"/>
          </w:divBdr>
        </w:div>
      </w:divsChild>
    </w:div>
    <w:div w:id="1612978191">
      <w:marLeft w:val="0"/>
      <w:marRight w:val="0"/>
      <w:marTop w:val="0"/>
      <w:marBottom w:val="0"/>
      <w:divBdr>
        <w:top w:val="none" w:sz="0" w:space="0" w:color="auto"/>
        <w:left w:val="none" w:sz="0" w:space="0" w:color="auto"/>
        <w:bottom w:val="none" w:sz="0" w:space="0" w:color="auto"/>
        <w:right w:val="none" w:sz="0" w:space="0" w:color="auto"/>
      </w:divBdr>
    </w:div>
    <w:div w:id="1622179284">
      <w:marLeft w:val="0"/>
      <w:marRight w:val="0"/>
      <w:marTop w:val="0"/>
      <w:marBottom w:val="0"/>
      <w:divBdr>
        <w:top w:val="none" w:sz="0" w:space="0" w:color="auto"/>
        <w:left w:val="none" w:sz="0" w:space="0" w:color="auto"/>
        <w:bottom w:val="none" w:sz="0" w:space="0" w:color="auto"/>
        <w:right w:val="none" w:sz="0" w:space="0" w:color="auto"/>
      </w:divBdr>
    </w:div>
    <w:div w:id="1629822805">
      <w:marLeft w:val="0"/>
      <w:marRight w:val="0"/>
      <w:marTop w:val="0"/>
      <w:marBottom w:val="0"/>
      <w:divBdr>
        <w:top w:val="none" w:sz="0" w:space="0" w:color="auto"/>
        <w:left w:val="none" w:sz="0" w:space="0" w:color="auto"/>
        <w:bottom w:val="none" w:sz="0" w:space="0" w:color="auto"/>
        <w:right w:val="none" w:sz="0" w:space="0" w:color="auto"/>
      </w:divBdr>
    </w:div>
    <w:div w:id="1632862159">
      <w:marLeft w:val="0"/>
      <w:marRight w:val="0"/>
      <w:marTop w:val="0"/>
      <w:marBottom w:val="0"/>
      <w:divBdr>
        <w:top w:val="none" w:sz="0" w:space="0" w:color="auto"/>
        <w:left w:val="none" w:sz="0" w:space="0" w:color="auto"/>
        <w:bottom w:val="none" w:sz="0" w:space="0" w:color="auto"/>
        <w:right w:val="none" w:sz="0" w:space="0" w:color="auto"/>
      </w:divBdr>
    </w:div>
    <w:div w:id="1638147226">
      <w:marLeft w:val="0"/>
      <w:marRight w:val="0"/>
      <w:marTop w:val="0"/>
      <w:marBottom w:val="0"/>
      <w:divBdr>
        <w:top w:val="none" w:sz="0" w:space="0" w:color="auto"/>
        <w:left w:val="none" w:sz="0" w:space="0" w:color="auto"/>
        <w:bottom w:val="none" w:sz="0" w:space="0" w:color="auto"/>
        <w:right w:val="none" w:sz="0" w:space="0" w:color="auto"/>
      </w:divBdr>
    </w:div>
    <w:div w:id="1639725086">
      <w:marLeft w:val="0"/>
      <w:marRight w:val="0"/>
      <w:marTop w:val="0"/>
      <w:marBottom w:val="0"/>
      <w:divBdr>
        <w:top w:val="none" w:sz="0" w:space="0" w:color="auto"/>
        <w:left w:val="none" w:sz="0" w:space="0" w:color="auto"/>
        <w:bottom w:val="none" w:sz="0" w:space="0" w:color="auto"/>
        <w:right w:val="none" w:sz="0" w:space="0" w:color="auto"/>
      </w:divBdr>
      <w:divsChild>
        <w:div w:id="1391028764">
          <w:marLeft w:val="0"/>
          <w:marRight w:val="0"/>
          <w:marTop w:val="0"/>
          <w:marBottom w:val="0"/>
          <w:divBdr>
            <w:top w:val="none" w:sz="0" w:space="0" w:color="auto"/>
            <w:left w:val="none" w:sz="0" w:space="0" w:color="auto"/>
            <w:bottom w:val="none" w:sz="0" w:space="0" w:color="auto"/>
            <w:right w:val="none" w:sz="0" w:space="0" w:color="auto"/>
          </w:divBdr>
        </w:div>
      </w:divsChild>
    </w:div>
    <w:div w:id="1640262403">
      <w:marLeft w:val="0"/>
      <w:marRight w:val="0"/>
      <w:marTop w:val="0"/>
      <w:marBottom w:val="0"/>
      <w:divBdr>
        <w:top w:val="none" w:sz="0" w:space="0" w:color="auto"/>
        <w:left w:val="none" w:sz="0" w:space="0" w:color="auto"/>
        <w:bottom w:val="none" w:sz="0" w:space="0" w:color="auto"/>
        <w:right w:val="none" w:sz="0" w:space="0" w:color="auto"/>
      </w:divBdr>
    </w:div>
    <w:div w:id="1649868986">
      <w:marLeft w:val="0"/>
      <w:marRight w:val="0"/>
      <w:marTop w:val="0"/>
      <w:marBottom w:val="0"/>
      <w:divBdr>
        <w:top w:val="none" w:sz="0" w:space="0" w:color="auto"/>
        <w:left w:val="none" w:sz="0" w:space="0" w:color="auto"/>
        <w:bottom w:val="none" w:sz="0" w:space="0" w:color="auto"/>
        <w:right w:val="none" w:sz="0" w:space="0" w:color="auto"/>
      </w:divBdr>
    </w:div>
    <w:div w:id="1655334496">
      <w:marLeft w:val="0"/>
      <w:marRight w:val="0"/>
      <w:marTop w:val="0"/>
      <w:marBottom w:val="0"/>
      <w:divBdr>
        <w:top w:val="none" w:sz="0" w:space="0" w:color="auto"/>
        <w:left w:val="none" w:sz="0" w:space="0" w:color="auto"/>
        <w:bottom w:val="none" w:sz="0" w:space="0" w:color="auto"/>
        <w:right w:val="none" w:sz="0" w:space="0" w:color="auto"/>
      </w:divBdr>
      <w:divsChild>
        <w:div w:id="1386559518">
          <w:marLeft w:val="0"/>
          <w:marRight w:val="0"/>
          <w:marTop w:val="0"/>
          <w:marBottom w:val="0"/>
          <w:divBdr>
            <w:top w:val="none" w:sz="0" w:space="0" w:color="auto"/>
            <w:left w:val="none" w:sz="0" w:space="0" w:color="auto"/>
            <w:bottom w:val="none" w:sz="0" w:space="0" w:color="auto"/>
            <w:right w:val="none" w:sz="0" w:space="0" w:color="auto"/>
          </w:divBdr>
        </w:div>
      </w:divsChild>
    </w:div>
    <w:div w:id="1659841922">
      <w:marLeft w:val="0"/>
      <w:marRight w:val="0"/>
      <w:marTop w:val="0"/>
      <w:marBottom w:val="0"/>
      <w:divBdr>
        <w:top w:val="none" w:sz="0" w:space="0" w:color="auto"/>
        <w:left w:val="none" w:sz="0" w:space="0" w:color="auto"/>
        <w:bottom w:val="none" w:sz="0" w:space="0" w:color="auto"/>
        <w:right w:val="none" w:sz="0" w:space="0" w:color="auto"/>
      </w:divBdr>
      <w:divsChild>
        <w:div w:id="1386221371">
          <w:marLeft w:val="0"/>
          <w:marRight w:val="0"/>
          <w:marTop w:val="0"/>
          <w:marBottom w:val="0"/>
          <w:divBdr>
            <w:top w:val="none" w:sz="0" w:space="0" w:color="auto"/>
            <w:left w:val="none" w:sz="0" w:space="0" w:color="auto"/>
            <w:bottom w:val="none" w:sz="0" w:space="0" w:color="auto"/>
            <w:right w:val="none" w:sz="0" w:space="0" w:color="auto"/>
          </w:divBdr>
        </w:div>
      </w:divsChild>
    </w:div>
    <w:div w:id="1665350458">
      <w:marLeft w:val="0"/>
      <w:marRight w:val="0"/>
      <w:marTop w:val="0"/>
      <w:marBottom w:val="0"/>
      <w:divBdr>
        <w:top w:val="none" w:sz="0" w:space="0" w:color="auto"/>
        <w:left w:val="none" w:sz="0" w:space="0" w:color="auto"/>
        <w:bottom w:val="none" w:sz="0" w:space="0" w:color="auto"/>
        <w:right w:val="none" w:sz="0" w:space="0" w:color="auto"/>
      </w:divBdr>
    </w:div>
    <w:div w:id="1667899222">
      <w:marLeft w:val="0"/>
      <w:marRight w:val="0"/>
      <w:marTop w:val="0"/>
      <w:marBottom w:val="0"/>
      <w:divBdr>
        <w:top w:val="none" w:sz="0" w:space="0" w:color="auto"/>
        <w:left w:val="none" w:sz="0" w:space="0" w:color="auto"/>
        <w:bottom w:val="none" w:sz="0" w:space="0" w:color="auto"/>
        <w:right w:val="none" w:sz="0" w:space="0" w:color="auto"/>
      </w:divBdr>
      <w:divsChild>
        <w:div w:id="1649357950">
          <w:marLeft w:val="0"/>
          <w:marRight w:val="0"/>
          <w:marTop w:val="0"/>
          <w:marBottom w:val="0"/>
          <w:divBdr>
            <w:top w:val="none" w:sz="0" w:space="0" w:color="auto"/>
            <w:left w:val="none" w:sz="0" w:space="0" w:color="auto"/>
            <w:bottom w:val="none" w:sz="0" w:space="0" w:color="auto"/>
            <w:right w:val="none" w:sz="0" w:space="0" w:color="auto"/>
          </w:divBdr>
        </w:div>
      </w:divsChild>
    </w:div>
    <w:div w:id="1667903501">
      <w:marLeft w:val="0"/>
      <w:marRight w:val="0"/>
      <w:marTop w:val="0"/>
      <w:marBottom w:val="0"/>
      <w:divBdr>
        <w:top w:val="none" w:sz="0" w:space="0" w:color="auto"/>
        <w:left w:val="none" w:sz="0" w:space="0" w:color="auto"/>
        <w:bottom w:val="none" w:sz="0" w:space="0" w:color="auto"/>
        <w:right w:val="none" w:sz="0" w:space="0" w:color="auto"/>
      </w:divBdr>
      <w:divsChild>
        <w:div w:id="1461537403">
          <w:marLeft w:val="0"/>
          <w:marRight w:val="0"/>
          <w:marTop w:val="0"/>
          <w:marBottom w:val="0"/>
          <w:divBdr>
            <w:top w:val="none" w:sz="0" w:space="0" w:color="auto"/>
            <w:left w:val="none" w:sz="0" w:space="0" w:color="auto"/>
            <w:bottom w:val="none" w:sz="0" w:space="0" w:color="auto"/>
            <w:right w:val="none" w:sz="0" w:space="0" w:color="auto"/>
          </w:divBdr>
        </w:div>
      </w:divsChild>
    </w:div>
    <w:div w:id="1668554882">
      <w:marLeft w:val="0"/>
      <w:marRight w:val="0"/>
      <w:marTop w:val="0"/>
      <w:marBottom w:val="0"/>
      <w:divBdr>
        <w:top w:val="none" w:sz="0" w:space="0" w:color="auto"/>
        <w:left w:val="none" w:sz="0" w:space="0" w:color="auto"/>
        <w:bottom w:val="none" w:sz="0" w:space="0" w:color="auto"/>
        <w:right w:val="none" w:sz="0" w:space="0" w:color="auto"/>
      </w:divBdr>
      <w:divsChild>
        <w:div w:id="103699878">
          <w:marLeft w:val="0"/>
          <w:marRight w:val="0"/>
          <w:marTop w:val="0"/>
          <w:marBottom w:val="0"/>
          <w:divBdr>
            <w:top w:val="none" w:sz="0" w:space="0" w:color="auto"/>
            <w:left w:val="none" w:sz="0" w:space="0" w:color="auto"/>
            <w:bottom w:val="none" w:sz="0" w:space="0" w:color="auto"/>
            <w:right w:val="none" w:sz="0" w:space="0" w:color="auto"/>
          </w:divBdr>
        </w:div>
      </w:divsChild>
    </w:div>
    <w:div w:id="1673214384">
      <w:marLeft w:val="0"/>
      <w:marRight w:val="0"/>
      <w:marTop w:val="0"/>
      <w:marBottom w:val="0"/>
      <w:divBdr>
        <w:top w:val="none" w:sz="0" w:space="0" w:color="auto"/>
        <w:left w:val="none" w:sz="0" w:space="0" w:color="auto"/>
        <w:bottom w:val="none" w:sz="0" w:space="0" w:color="auto"/>
        <w:right w:val="none" w:sz="0" w:space="0" w:color="auto"/>
      </w:divBdr>
    </w:div>
    <w:div w:id="1674648289">
      <w:marLeft w:val="0"/>
      <w:marRight w:val="0"/>
      <w:marTop w:val="0"/>
      <w:marBottom w:val="0"/>
      <w:divBdr>
        <w:top w:val="none" w:sz="0" w:space="0" w:color="auto"/>
        <w:left w:val="none" w:sz="0" w:space="0" w:color="auto"/>
        <w:bottom w:val="none" w:sz="0" w:space="0" w:color="auto"/>
        <w:right w:val="none" w:sz="0" w:space="0" w:color="auto"/>
      </w:divBdr>
    </w:div>
    <w:div w:id="1682077086">
      <w:marLeft w:val="0"/>
      <w:marRight w:val="0"/>
      <w:marTop w:val="0"/>
      <w:marBottom w:val="0"/>
      <w:divBdr>
        <w:top w:val="none" w:sz="0" w:space="0" w:color="auto"/>
        <w:left w:val="none" w:sz="0" w:space="0" w:color="auto"/>
        <w:bottom w:val="none" w:sz="0" w:space="0" w:color="auto"/>
        <w:right w:val="none" w:sz="0" w:space="0" w:color="auto"/>
      </w:divBdr>
    </w:div>
    <w:div w:id="1688411501">
      <w:marLeft w:val="0"/>
      <w:marRight w:val="0"/>
      <w:marTop w:val="0"/>
      <w:marBottom w:val="0"/>
      <w:divBdr>
        <w:top w:val="none" w:sz="0" w:space="0" w:color="auto"/>
        <w:left w:val="none" w:sz="0" w:space="0" w:color="auto"/>
        <w:bottom w:val="none" w:sz="0" w:space="0" w:color="auto"/>
        <w:right w:val="none" w:sz="0" w:space="0" w:color="auto"/>
      </w:divBdr>
      <w:divsChild>
        <w:div w:id="1344240494">
          <w:marLeft w:val="0"/>
          <w:marRight w:val="0"/>
          <w:marTop w:val="0"/>
          <w:marBottom w:val="0"/>
          <w:divBdr>
            <w:top w:val="none" w:sz="0" w:space="0" w:color="auto"/>
            <w:left w:val="none" w:sz="0" w:space="0" w:color="auto"/>
            <w:bottom w:val="none" w:sz="0" w:space="0" w:color="auto"/>
            <w:right w:val="none" w:sz="0" w:space="0" w:color="auto"/>
          </w:divBdr>
        </w:div>
      </w:divsChild>
    </w:div>
    <w:div w:id="1689982423">
      <w:marLeft w:val="0"/>
      <w:marRight w:val="0"/>
      <w:marTop w:val="0"/>
      <w:marBottom w:val="0"/>
      <w:divBdr>
        <w:top w:val="none" w:sz="0" w:space="0" w:color="auto"/>
        <w:left w:val="none" w:sz="0" w:space="0" w:color="auto"/>
        <w:bottom w:val="none" w:sz="0" w:space="0" w:color="auto"/>
        <w:right w:val="none" w:sz="0" w:space="0" w:color="auto"/>
      </w:divBdr>
      <w:divsChild>
        <w:div w:id="823862103">
          <w:marLeft w:val="0"/>
          <w:marRight w:val="0"/>
          <w:marTop w:val="0"/>
          <w:marBottom w:val="0"/>
          <w:divBdr>
            <w:top w:val="none" w:sz="0" w:space="0" w:color="auto"/>
            <w:left w:val="none" w:sz="0" w:space="0" w:color="auto"/>
            <w:bottom w:val="none" w:sz="0" w:space="0" w:color="auto"/>
            <w:right w:val="none" w:sz="0" w:space="0" w:color="auto"/>
          </w:divBdr>
        </w:div>
      </w:divsChild>
    </w:div>
    <w:div w:id="1699163803">
      <w:marLeft w:val="0"/>
      <w:marRight w:val="0"/>
      <w:marTop w:val="0"/>
      <w:marBottom w:val="0"/>
      <w:divBdr>
        <w:top w:val="none" w:sz="0" w:space="0" w:color="auto"/>
        <w:left w:val="none" w:sz="0" w:space="0" w:color="auto"/>
        <w:bottom w:val="none" w:sz="0" w:space="0" w:color="auto"/>
        <w:right w:val="none" w:sz="0" w:space="0" w:color="auto"/>
      </w:divBdr>
    </w:div>
    <w:div w:id="1710103465">
      <w:marLeft w:val="0"/>
      <w:marRight w:val="0"/>
      <w:marTop w:val="0"/>
      <w:marBottom w:val="0"/>
      <w:divBdr>
        <w:top w:val="none" w:sz="0" w:space="0" w:color="auto"/>
        <w:left w:val="none" w:sz="0" w:space="0" w:color="auto"/>
        <w:bottom w:val="none" w:sz="0" w:space="0" w:color="auto"/>
        <w:right w:val="none" w:sz="0" w:space="0" w:color="auto"/>
      </w:divBdr>
    </w:div>
    <w:div w:id="1714385322">
      <w:marLeft w:val="0"/>
      <w:marRight w:val="0"/>
      <w:marTop w:val="0"/>
      <w:marBottom w:val="0"/>
      <w:divBdr>
        <w:top w:val="none" w:sz="0" w:space="0" w:color="auto"/>
        <w:left w:val="none" w:sz="0" w:space="0" w:color="auto"/>
        <w:bottom w:val="none" w:sz="0" w:space="0" w:color="auto"/>
        <w:right w:val="none" w:sz="0" w:space="0" w:color="auto"/>
      </w:divBdr>
    </w:div>
    <w:div w:id="1716151310">
      <w:marLeft w:val="0"/>
      <w:marRight w:val="0"/>
      <w:marTop w:val="0"/>
      <w:marBottom w:val="0"/>
      <w:divBdr>
        <w:top w:val="none" w:sz="0" w:space="0" w:color="auto"/>
        <w:left w:val="none" w:sz="0" w:space="0" w:color="auto"/>
        <w:bottom w:val="none" w:sz="0" w:space="0" w:color="auto"/>
        <w:right w:val="none" w:sz="0" w:space="0" w:color="auto"/>
      </w:divBdr>
      <w:divsChild>
        <w:div w:id="805779035">
          <w:marLeft w:val="0"/>
          <w:marRight w:val="0"/>
          <w:marTop w:val="0"/>
          <w:marBottom w:val="0"/>
          <w:divBdr>
            <w:top w:val="none" w:sz="0" w:space="0" w:color="auto"/>
            <w:left w:val="none" w:sz="0" w:space="0" w:color="auto"/>
            <w:bottom w:val="none" w:sz="0" w:space="0" w:color="auto"/>
            <w:right w:val="none" w:sz="0" w:space="0" w:color="auto"/>
          </w:divBdr>
        </w:div>
      </w:divsChild>
    </w:div>
    <w:div w:id="1733045709">
      <w:marLeft w:val="0"/>
      <w:marRight w:val="0"/>
      <w:marTop w:val="0"/>
      <w:marBottom w:val="0"/>
      <w:divBdr>
        <w:top w:val="none" w:sz="0" w:space="0" w:color="auto"/>
        <w:left w:val="none" w:sz="0" w:space="0" w:color="auto"/>
        <w:bottom w:val="none" w:sz="0" w:space="0" w:color="auto"/>
        <w:right w:val="none" w:sz="0" w:space="0" w:color="auto"/>
      </w:divBdr>
      <w:divsChild>
        <w:div w:id="1775007988">
          <w:marLeft w:val="0"/>
          <w:marRight w:val="0"/>
          <w:marTop w:val="0"/>
          <w:marBottom w:val="0"/>
          <w:divBdr>
            <w:top w:val="none" w:sz="0" w:space="0" w:color="auto"/>
            <w:left w:val="none" w:sz="0" w:space="0" w:color="auto"/>
            <w:bottom w:val="none" w:sz="0" w:space="0" w:color="auto"/>
            <w:right w:val="none" w:sz="0" w:space="0" w:color="auto"/>
          </w:divBdr>
        </w:div>
      </w:divsChild>
    </w:div>
    <w:div w:id="1734351437">
      <w:marLeft w:val="0"/>
      <w:marRight w:val="0"/>
      <w:marTop w:val="0"/>
      <w:marBottom w:val="0"/>
      <w:divBdr>
        <w:top w:val="none" w:sz="0" w:space="0" w:color="auto"/>
        <w:left w:val="none" w:sz="0" w:space="0" w:color="auto"/>
        <w:bottom w:val="none" w:sz="0" w:space="0" w:color="auto"/>
        <w:right w:val="none" w:sz="0" w:space="0" w:color="auto"/>
      </w:divBdr>
    </w:div>
    <w:div w:id="1739785300">
      <w:marLeft w:val="0"/>
      <w:marRight w:val="0"/>
      <w:marTop w:val="0"/>
      <w:marBottom w:val="0"/>
      <w:divBdr>
        <w:top w:val="none" w:sz="0" w:space="0" w:color="auto"/>
        <w:left w:val="none" w:sz="0" w:space="0" w:color="auto"/>
        <w:bottom w:val="none" w:sz="0" w:space="0" w:color="auto"/>
        <w:right w:val="none" w:sz="0" w:space="0" w:color="auto"/>
      </w:divBdr>
    </w:div>
    <w:div w:id="1743873099">
      <w:marLeft w:val="0"/>
      <w:marRight w:val="0"/>
      <w:marTop w:val="0"/>
      <w:marBottom w:val="0"/>
      <w:divBdr>
        <w:top w:val="none" w:sz="0" w:space="0" w:color="auto"/>
        <w:left w:val="none" w:sz="0" w:space="0" w:color="auto"/>
        <w:bottom w:val="none" w:sz="0" w:space="0" w:color="auto"/>
        <w:right w:val="none" w:sz="0" w:space="0" w:color="auto"/>
      </w:divBdr>
    </w:div>
    <w:div w:id="1744110136">
      <w:marLeft w:val="0"/>
      <w:marRight w:val="0"/>
      <w:marTop w:val="0"/>
      <w:marBottom w:val="0"/>
      <w:divBdr>
        <w:top w:val="none" w:sz="0" w:space="0" w:color="auto"/>
        <w:left w:val="none" w:sz="0" w:space="0" w:color="auto"/>
        <w:bottom w:val="none" w:sz="0" w:space="0" w:color="auto"/>
        <w:right w:val="none" w:sz="0" w:space="0" w:color="auto"/>
      </w:divBdr>
    </w:div>
    <w:div w:id="1762337769">
      <w:marLeft w:val="0"/>
      <w:marRight w:val="0"/>
      <w:marTop w:val="0"/>
      <w:marBottom w:val="0"/>
      <w:divBdr>
        <w:top w:val="none" w:sz="0" w:space="0" w:color="auto"/>
        <w:left w:val="none" w:sz="0" w:space="0" w:color="auto"/>
        <w:bottom w:val="none" w:sz="0" w:space="0" w:color="auto"/>
        <w:right w:val="none" w:sz="0" w:space="0" w:color="auto"/>
      </w:divBdr>
      <w:divsChild>
        <w:div w:id="141430638">
          <w:marLeft w:val="0"/>
          <w:marRight w:val="0"/>
          <w:marTop w:val="0"/>
          <w:marBottom w:val="0"/>
          <w:divBdr>
            <w:top w:val="none" w:sz="0" w:space="0" w:color="auto"/>
            <w:left w:val="none" w:sz="0" w:space="0" w:color="auto"/>
            <w:bottom w:val="none" w:sz="0" w:space="0" w:color="auto"/>
            <w:right w:val="none" w:sz="0" w:space="0" w:color="auto"/>
          </w:divBdr>
        </w:div>
      </w:divsChild>
    </w:div>
    <w:div w:id="1767071434">
      <w:marLeft w:val="0"/>
      <w:marRight w:val="0"/>
      <w:marTop w:val="0"/>
      <w:marBottom w:val="0"/>
      <w:divBdr>
        <w:top w:val="none" w:sz="0" w:space="0" w:color="auto"/>
        <w:left w:val="none" w:sz="0" w:space="0" w:color="auto"/>
        <w:bottom w:val="none" w:sz="0" w:space="0" w:color="auto"/>
        <w:right w:val="none" w:sz="0" w:space="0" w:color="auto"/>
      </w:divBdr>
    </w:div>
    <w:div w:id="1770736629">
      <w:marLeft w:val="0"/>
      <w:marRight w:val="0"/>
      <w:marTop w:val="0"/>
      <w:marBottom w:val="0"/>
      <w:divBdr>
        <w:top w:val="none" w:sz="0" w:space="0" w:color="auto"/>
        <w:left w:val="none" w:sz="0" w:space="0" w:color="auto"/>
        <w:bottom w:val="none" w:sz="0" w:space="0" w:color="auto"/>
        <w:right w:val="none" w:sz="0" w:space="0" w:color="auto"/>
      </w:divBdr>
    </w:div>
    <w:div w:id="1775980391">
      <w:marLeft w:val="0"/>
      <w:marRight w:val="0"/>
      <w:marTop w:val="0"/>
      <w:marBottom w:val="0"/>
      <w:divBdr>
        <w:top w:val="none" w:sz="0" w:space="0" w:color="auto"/>
        <w:left w:val="none" w:sz="0" w:space="0" w:color="auto"/>
        <w:bottom w:val="none" w:sz="0" w:space="0" w:color="auto"/>
        <w:right w:val="none" w:sz="0" w:space="0" w:color="auto"/>
      </w:divBdr>
    </w:div>
    <w:div w:id="1780103900">
      <w:marLeft w:val="0"/>
      <w:marRight w:val="0"/>
      <w:marTop w:val="0"/>
      <w:marBottom w:val="0"/>
      <w:divBdr>
        <w:top w:val="none" w:sz="0" w:space="0" w:color="auto"/>
        <w:left w:val="none" w:sz="0" w:space="0" w:color="auto"/>
        <w:bottom w:val="none" w:sz="0" w:space="0" w:color="auto"/>
        <w:right w:val="none" w:sz="0" w:space="0" w:color="auto"/>
      </w:divBdr>
      <w:divsChild>
        <w:div w:id="1311789241">
          <w:marLeft w:val="0"/>
          <w:marRight w:val="0"/>
          <w:marTop w:val="0"/>
          <w:marBottom w:val="0"/>
          <w:divBdr>
            <w:top w:val="none" w:sz="0" w:space="0" w:color="auto"/>
            <w:left w:val="none" w:sz="0" w:space="0" w:color="auto"/>
            <w:bottom w:val="none" w:sz="0" w:space="0" w:color="auto"/>
            <w:right w:val="none" w:sz="0" w:space="0" w:color="auto"/>
          </w:divBdr>
        </w:div>
      </w:divsChild>
    </w:div>
    <w:div w:id="1785271063">
      <w:marLeft w:val="0"/>
      <w:marRight w:val="0"/>
      <w:marTop w:val="0"/>
      <w:marBottom w:val="0"/>
      <w:divBdr>
        <w:top w:val="none" w:sz="0" w:space="0" w:color="auto"/>
        <w:left w:val="none" w:sz="0" w:space="0" w:color="auto"/>
        <w:bottom w:val="none" w:sz="0" w:space="0" w:color="auto"/>
        <w:right w:val="none" w:sz="0" w:space="0" w:color="auto"/>
      </w:divBdr>
    </w:div>
    <w:div w:id="1786970144">
      <w:marLeft w:val="0"/>
      <w:marRight w:val="0"/>
      <w:marTop w:val="0"/>
      <w:marBottom w:val="0"/>
      <w:divBdr>
        <w:top w:val="none" w:sz="0" w:space="0" w:color="auto"/>
        <w:left w:val="none" w:sz="0" w:space="0" w:color="auto"/>
        <w:bottom w:val="none" w:sz="0" w:space="0" w:color="auto"/>
        <w:right w:val="none" w:sz="0" w:space="0" w:color="auto"/>
      </w:divBdr>
    </w:div>
    <w:div w:id="1789397942">
      <w:marLeft w:val="0"/>
      <w:marRight w:val="0"/>
      <w:marTop w:val="0"/>
      <w:marBottom w:val="0"/>
      <w:divBdr>
        <w:top w:val="none" w:sz="0" w:space="0" w:color="auto"/>
        <w:left w:val="none" w:sz="0" w:space="0" w:color="auto"/>
        <w:bottom w:val="none" w:sz="0" w:space="0" w:color="auto"/>
        <w:right w:val="none" w:sz="0" w:space="0" w:color="auto"/>
      </w:divBdr>
      <w:divsChild>
        <w:div w:id="1107193543">
          <w:marLeft w:val="0"/>
          <w:marRight w:val="0"/>
          <w:marTop w:val="0"/>
          <w:marBottom w:val="0"/>
          <w:divBdr>
            <w:top w:val="none" w:sz="0" w:space="0" w:color="auto"/>
            <w:left w:val="none" w:sz="0" w:space="0" w:color="auto"/>
            <w:bottom w:val="none" w:sz="0" w:space="0" w:color="auto"/>
            <w:right w:val="none" w:sz="0" w:space="0" w:color="auto"/>
          </w:divBdr>
        </w:div>
      </w:divsChild>
    </w:div>
    <w:div w:id="1804040170">
      <w:marLeft w:val="0"/>
      <w:marRight w:val="0"/>
      <w:marTop w:val="0"/>
      <w:marBottom w:val="0"/>
      <w:divBdr>
        <w:top w:val="none" w:sz="0" w:space="0" w:color="auto"/>
        <w:left w:val="none" w:sz="0" w:space="0" w:color="auto"/>
        <w:bottom w:val="none" w:sz="0" w:space="0" w:color="auto"/>
        <w:right w:val="none" w:sz="0" w:space="0" w:color="auto"/>
      </w:divBdr>
    </w:div>
    <w:div w:id="1811634811">
      <w:marLeft w:val="0"/>
      <w:marRight w:val="0"/>
      <w:marTop w:val="0"/>
      <w:marBottom w:val="0"/>
      <w:divBdr>
        <w:top w:val="none" w:sz="0" w:space="0" w:color="auto"/>
        <w:left w:val="none" w:sz="0" w:space="0" w:color="auto"/>
        <w:bottom w:val="none" w:sz="0" w:space="0" w:color="auto"/>
        <w:right w:val="none" w:sz="0" w:space="0" w:color="auto"/>
      </w:divBdr>
    </w:div>
    <w:div w:id="1814836287">
      <w:marLeft w:val="0"/>
      <w:marRight w:val="0"/>
      <w:marTop w:val="0"/>
      <w:marBottom w:val="0"/>
      <w:divBdr>
        <w:top w:val="none" w:sz="0" w:space="0" w:color="auto"/>
        <w:left w:val="none" w:sz="0" w:space="0" w:color="auto"/>
        <w:bottom w:val="none" w:sz="0" w:space="0" w:color="auto"/>
        <w:right w:val="none" w:sz="0" w:space="0" w:color="auto"/>
      </w:divBdr>
    </w:div>
    <w:div w:id="1816603752">
      <w:marLeft w:val="0"/>
      <w:marRight w:val="0"/>
      <w:marTop w:val="0"/>
      <w:marBottom w:val="0"/>
      <w:divBdr>
        <w:top w:val="none" w:sz="0" w:space="0" w:color="auto"/>
        <w:left w:val="none" w:sz="0" w:space="0" w:color="auto"/>
        <w:bottom w:val="none" w:sz="0" w:space="0" w:color="auto"/>
        <w:right w:val="none" w:sz="0" w:space="0" w:color="auto"/>
      </w:divBdr>
    </w:div>
    <w:div w:id="1816681720">
      <w:marLeft w:val="0"/>
      <w:marRight w:val="0"/>
      <w:marTop w:val="0"/>
      <w:marBottom w:val="0"/>
      <w:divBdr>
        <w:top w:val="none" w:sz="0" w:space="0" w:color="auto"/>
        <w:left w:val="none" w:sz="0" w:space="0" w:color="auto"/>
        <w:bottom w:val="none" w:sz="0" w:space="0" w:color="auto"/>
        <w:right w:val="none" w:sz="0" w:space="0" w:color="auto"/>
      </w:divBdr>
      <w:divsChild>
        <w:div w:id="2128617153">
          <w:marLeft w:val="0"/>
          <w:marRight w:val="0"/>
          <w:marTop w:val="0"/>
          <w:marBottom w:val="0"/>
          <w:divBdr>
            <w:top w:val="none" w:sz="0" w:space="0" w:color="auto"/>
            <w:left w:val="none" w:sz="0" w:space="0" w:color="auto"/>
            <w:bottom w:val="none" w:sz="0" w:space="0" w:color="auto"/>
            <w:right w:val="none" w:sz="0" w:space="0" w:color="auto"/>
          </w:divBdr>
        </w:div>
      </w:divsChild>
    </w:div>
    <w:div w:id="1819763052">
      <w:marLeft w:val="0"/>
      <w:marRight w:val="0"/>
      <w:marTop w:val="0"/>
      <w:marBottom w:val="0"/>
      <w:divBdr>
        <w:top w:val="none" w:sz="0" w:space="0" w:color="auto"/>
        <w:left w:val="none" w:sz="0" w:space="0" w:color="auto"/>
        <w:bottom w:val="none" w:sz="0" w:space="0" w:color="auto"/>
        <w:right w:val="none" w:sz="0" w:space="0" w:color="auto"/>
      </w:divBdr>
      <w:divsChild>
        <w:div w:id="1502964913">
          <w:marLeft w:val="0"/>
          <w:marRight w:val="0"/>
          <w:marTop w:val="0"/>
          <w:marBottom w:val="0"/>
          <w:divBdr>
            <w:top w:val="none" w:sz="0" w:space="0" w:color="auto"/>
            <w:left w:val="none" w:sz="0" w:space="0" w:color="auto"/>
            <w:bottom w:val="none" w:sz="0" w:space="0" w:color="auto"/>
            <w:right w:val="none" w:sz="0" w:space="0" w:color="auto"/>
          </w:divBdr>
        </w:div>
      </w:divsChild>
    </w:div>
    <w:div w:id="1820341614">
      <w:marLeft w:val="0"/>
      <w:marRight w:val="0"/>
      <w:marTop w:val="0"/>
      <w:marBottom w:val="0"/>
      <w:divBdr>
        <w:top w:val="none" w:sz="0" w:space="0" w:color="auto"/>
        <w:left w:val="none" w:sz="0" w:space="0" w:color="auto"/>
        <w:bottom w:val="none" w:sz="0" w:space="0" w:color="auto"/>
        <w:right w:val="none" w:sz="0" w:space="0" w:color="auto"/>
      </w:divBdr>
    </w:div>
    <w:div w:id="1823889409">
      <w:marLeft w:val="0"/>
      <w:marRight w:val="0"/>
      <w:marTop w:val="0"/>
      <w:marBottom w:val="0"/>
      <w:divBdr>
        <w:top w:val="none" w:sz="0" w:space="0" w:color="auto"/>
        <w:left w:val="none" w:sz="0" w:space="0" w:color="auto"/>
        <w:bottom w:val="none" w:sz="0" w:space="0" w:color="auto"/>
        <w:right w:val="none" w:sz="0" w:space="0" w:color="auto"/>
      </w:divBdr>
      <w:divsChild>
        <w:div w:id="1200968803">
          <w:marLeft w:val="0"/>
          <w:marRight w:val="0"/>
          <w:marTop w:val="0"/>
          <w:marBottom w:val="0"/>
          <w:divBdr>
            <w:top w:val="none" w:sz="0" w:space="0" w:color="auto"/>
            <w:left w:val="none" w:sz="0" w:space="0" w:color="auto"/>
            <w:bottom w:val="none" w:sz="0" w:space="0" w:color="auto"/>
            <w:right w:val="none" w:sz="0" w:space="0" w:color="auto"/>
          </w:divBdr>
        </w:div>
      </w:divsChild>
    </w:div>
    <w:div w:id="1826050732">
      <w:marLeft w:val="0"/>
      <w:marRight w:val="0"/>
      <w:marTop w:val="0"/>
      <w:marBottom w:val="0"/>
      <w:divBdr>
        <w:top w:val="none" w:sz="0" w:space="0" w:color="auto"/>
        <w:left w:val="none" w:sz="0" w:space="0" w:color="auto"/>
        <w:bottom w:val="none" w:sz="0" w:space="0" w:color="auto"/>
        <w:right w:val="none" w:sz="0" w:space="0" w:color="auto"/>
      </w:divBdr>
      <w:divsChild>
        <w:div w:id="198592867">
          <w:marLeft w:val="0"/>
          <w:marRight w:val="0"/>
          <w:marTop w:val="0"/>
          <w:marBottom w:val="0"/>
          <w:divBdr>
            <w:top w:val="none" w:sz="0" w:space="0" w:color="auto"/>
            <w:left w:val="none" w:sz="0" w:space="0" w:color="auto"/>
            <w:bottom w:val="none" w:sz="0" w:space="0" w:color="auto"/>
            <w:right w:val="none" w:sz="0" w:space="0" w:color="auto"/>
          </w:divBdr>
        </w:div>
      </w:divsChild>
    </w:div>
    <w:div w:id="1828092298">
      <w:marLeft w:val="0"/>
      <w:marRight w:val="0"/>
      <w:marTop w:val="0"/>
      <w:marBottom w:val="0"/>
      <w:divBdr>
        <w:top w:val="none" w:sz="0" w:space="0" w:color="auto"/>
        <w:left w:val="none" w:sz="0" w:space="0" w:color="auto"/>
        <w:bottom w:val="none" w:sz="0" w:space="0" w:color="auto"/>
        <w:right w:val="none" w:sz="0" w:space="0" w:color="auto"/>
      </w:divBdr>
    </w:div>
    <w:div w:id="1828547752">
      <w:marLeft w:val="0"/>
      <w:marRight w:val="0"/>
      <w:marTop w:val="0"/>
      <w:marBottom w:val="0"/>
      <w:divBdr>
        <w:top w:val="none" w:sz="0" w:space="0" w:color="auto"/>
        <w:left w:val="none" w:sz="0" w:space="0" w:color="auto"/>
        <w:bottom w:val="none" w:sz="0" w:space="0" w:color="auto"/>
        <w:right w:val="none" w:sz="0" w:space="0" w:color="auto"/>
      </w:divBdr>
      <w:divsChild>
        <w:div w:id="684552109">
          <w:marLeft w:val="0"/>
          <w:marRight w:val="0"/>
          <w:marTop w:val="0"/>
          <w:marBottom w:val="0"/>
          <w:divBdr>
            <w:top w:val="none" w:sz="0" w:space="0" w:color="auto"/>
            <w:left w:val="none" w:sz="0" w:space="0" w:color="auto"/>
            <w:bottom w:val="none" w:sz="0" w:space="0" w:color="auto"/>
            <w:right w:val="none" w:sz="0" w:space="0" w:color="auto"/>
          </w:divBdr>
        </w:div>
      </w:divsChild>
    </w:div>
    <w:div w:id="1838107087">
      <w:marLeft w:val="0"/>
      <w:marRight w:val="0"/>
      <w:marTop w:val="0"/>
      <w:marBottom w:val="0"/>
      <w:divBdr>
        <w:top w:val="none" w:sz="0" w:space="0" w:color="auto"/>
        <w:left w:val="none" w:sz="0" w:space="0" w:color="auto"/>
        <w:bottom w:val="none" w:sz="0" w:space="0" w:color="auto"/>
        <w:right w:val="none" w:sz="0" w:space="0" w:color="auto"/>
      </w:divBdr>
      <w:divsChild>
        <w:div w:id="177282049">
          <w:marLeft w:val="0"/>
          <w:marRight w:val="0"/>
          <w:marTop w:val="0"/>
          <w:marBottom w:val="0"/>
          <w:divBdr>
            <w:top w:val="none" w:sz="0" w:space="0" w:color="auto"/>
            <w:left w:val="none" w:sz="0" w:space="0" w:color="auto"/>
            <w:bottom w:val="none" w:sz="0" w:space="0" w:color="auto"/>
            <w:right w:val="none" w:sz="0" w:space="0" w:color="auto"/>
          </w:divBdr>
        </w:div>
      </w:divsChild>
    </w:div>
    <w:div w:id="1858234861">
      <w:marLeft w:val="0"/>
      <w:marRight w:val="0"/>
      <w:marTop w:val="0"/>
      <w:marBottom w:val="0"/>
      <w:divBdr>
        <w:top w:val="none" w:sz="0" w:space="0" w:color="auto"/>
        <w:left w:val="none" w:sz="0" w:space="0" w:color="auto"/>
        <w:bottom w:val="none" w:sz="0" w:space="0" w:color="auto"/>
        <w:right w:val="none" w:sz="0" w:space="0" w:color="auto"/>
      </w:divBdr>
    </w:div>
    <w:div w:id="1859539453">
      <w:marLeft w:val="0"/>
      <w:marRight w:val="0"/>
      <w:marTop w:val="0"/>
      <w:marBottom w:val="0"/>
      <w:divBdr>
        <w:top w:val="none" w:sz="0" w:space="0" w:color="auto"/>
        <w:left w:val="none" w:sz="0" w:space="0" w:color="auto"/>
        <w:bottom w:val="none" w:sz="0" w:space="0" w:color="auto"/>
        <w:right w:val="none" w:sz="0" w:space="0" w:color="auto"/>
      </w:divBdr>
    </w:div>
    <w:div w:id="1863013498">
      <w:marLeft w:val="0"/>
      <w:marRight w:val="0"/>
      <w:marTop w:val="0"/>
      <w:marBottom w:val="0"/>
      <w:divBdr>
        <w:top w:val="none" w:sz="0" w:space="0" w:color="auto"/>
        <w:left w:val="none" w:sz="0" w:space="0" w:color="auto"/>
        <w:bottom w:val="none" w:sz="0" w:space="0" w:color="auto"/>
        <w:right w:val="none" w:sz="0" w:space="0" w:color="auto"/>
      </w:divBdr>
    </w:div>
    <w:div w:id="1864435808">
      <w:marLeft w:val="0"/>
      <w:marRight w:val="0"/>
      <w:marTop w:val="0"/>
      <w:marBottom w:val="0"/>
      <w:divBdr>
        <w:top w:val="none" w:sz="0" w:space="0" w:color="auto"/>
        <w:left w:val="none" w:sz="0" w:space="0" w:color="auto"/>
        <w:bottom w:val="none" w:sz="0" w:space="0" w:color="auto"/>
        <w:right w:val="none" w:sz="0" w:space="0" w:color="auto"/>
      </w:divBdr>
    </w:div>
    <w:div w:id="1870875712">
      <w:marLeft w:val="0"/>
      <w:marRight w:val="0"/>
      <w:marTop w:val="0"/>
      <w:marBottom w:val="0"/>
      <w:divBdr>
        <w:top w:val="none" w:sz="0" w:space="0" w:color="auto"/>
        <w:left w:val="none" w:sz="0" w:space="0" w:color="auto"/>
        <w:bottom w:val="none" w:sz="0" w:space="0" w:color="auto"/>
        <w:right w:val="none" w:sz="0" w:space="0" w:color="auto"/>
      </w:divBdr>
      <w:divsChild>
        <w:div w:id="886987321">
          <w:marLeft w:val="0"/>
          <w:marRight w:val="0"/>
          <w:marTop w:val="0"/>
          <w:marBottom w:val="0"/>
          <w:divBdr>
            <w:top w:val="none" w:sz="0" w:space="0" w:color="auto"/>
            <w:left w:val="none" w:sz="0" w:space="0" w:color="auto"/>
            <w:bottom w:val="none" w:sz="0" w:space="0" w:color="auto"/>
            <w:right w:val="none" w:sz="0" w:space="0" w:color="auto"/>
          </w:divBdr>
        </w:div>
      </w:divsChild>
    </w:div>
    <w:div w:id="1873036682">
      <w:marLeft w:val="0"/>
      <w:marRight w:val="0"/>
      <w:marTop w:val="0"/>
      <w:marBottom w:val="0"/>
      <w:divBdr>
        <w:top w:val="none" w:sz="0" w:space="0" w:color="auto"/>
        <w:left w:val="none" w:sz="0" w:space="0" w:color="auto"/>
        <w:bottom w:val="none" w:sz="0" w:space="0" w:color="auto"/>
        <w:right w:val="none" w:sz="0" w:space="0" w:color="auto"/>
      </w:divBdr>
    </w:div>
    <w:div w:id="1882785875">
      <w:marLeft w:val="0"/>
      <w:marRight w:val="0"/>
      <w:marTop w:val="0"/>
      <w:marBottom w:val="0"/>
      <w:divBdr>
        <w:top w:val="none" w:sz="0" w:space="0" w:color="auto"/>
        <w:left w:val="none" w:sz="0" w:space="0" w:color="auto"/>
        <w:bottom w:val="none" w:sz="0" w:space="0" w:color="auto"/>
        <w:right w:val="none" w:sz="0" w:space="0" w:color="auto"/>
      </w:divBdr>
    </w:div>
    <w:div w:id="1886722003">
      <w:marLeft w:val="0"/>
      <w:marRight w:val="0"/>
      <w:marTop w:val="0"/>
      <w:marBottom w:val="0"/>
      <w:divBdr>
        <w:top w:val="none" w:sz="0" w:space="0" w:color="auto"/>
        <w:left w:val="none" w:sz="0" w:space="0" w:color="auto"/>
        <w:bottom w:val="none" w:sz="0" w:space="0" w:color="auto"/>
        <w:right w:val="none" w:sz="0" w:space="0" w:color="auto"/>
      </w:divBdr>
    </w:div>
    <w:div w:id="1893154274">
      <w:marLeft w:val="0"/>
      <w:marRight w:val="0"/>
      <w:marTop w:val="0"/>
      <w:marBottom w:val="0"/>
      <w:divBdr>
        <w:top w:val="none" w:sz="0" w:space="0" w:color="auto"/>
        <w:left w:val="none" w:sz="0" w:space="0" w:color="auto"/>
        <w:bottom w:val="none" w:sz="0" w:space="0" w:color="auto"/>
        <w:right w:val="none" w:sz="0" w:space="0" w:color="auto"/>
      </w:divBdr>
      <w:divsChild>
        <w:div w:id="979262884">
          <w:marLeft w:val="0"/>
          <w:marRight w:val="0"/>
          <w:marTop w:val="0"/>
          <w:marBottom w:val="0"/>
          <w:divBdr>
            <w:top w:val="none" w:sz="0" w:space="0" w:color="auto"/>
            <w:left w:val="none" w:sz="0" w:space="0" w:color="auto"/>
            <w:bottom w:val="none" w:sz="0" w:space="0" w:color="auto"/>
            <w:right w:val="none" w:sz="0" w:space="0" w:color="auto"/>
          </w:divBdr>
        </w:div>
      </w:divsChild>
    </w:div>
    <w:div w:id="1898317402">
      <w:marLeft w:val="0"/>
      <w:marRight w:val="0"/>
      <w:marTop w:val="0"/>
      <w:marBottom w:val="0"/>
      <w:divBdr>
        <w:top w:val="none" w:sz="0" w:space="0" w:color="auto"/>
        <w:left w:val="none" w:sz="0" w:space="0" w:color="auto"/>
        <w:bottom w:val="none" w:sz="0" w:space="0" w:color="auto"/>
        <w:right w:val="none" w:sz="0" w:space="0" w:color="auto"/>
      </w:divBdr>
    </w:div>
    <w:div w:id="1902598076">
      <w:marLeft w:val="0"/>
      <w:marRight w:val="0"/>
      <w:marTop w:val="0"/>
      <w:marBottom w:val="0"/>
      <w:divBdr>
        <w:top w:val="none" w:sz="0" w:space="0" w:color="auto"/>
        <w:left w:val="none" w:sz="0" w:space="0" w:color="auto"/>
        <w:bottom w:val="none" w:sz="0" w:space="0" w:color="auto"/>
        <w:right w:val="none" w:sz="0" w:space="0" w:color="auto"/>
      </w:divBdr>
      <w:divsChild>
        <w:div w:id="837769298">
          <w:marLeft w:val="0"/>
          <w:marRight w:val="0"/>
          <w:marTop w:val="0"/>
          <w:marBottom w:val="0"/>
          <w:divBdr>
            <w:top w:val="none" w:sz="0" w:space="0" w:color="auto"/>
            <w:left w:val="none" w:sz="0" w:space="0" w:color="auto"/>
            <w:bottom w:val="none" w:sz="0" w:space="0" w:color="auto"/>
            <w:right w:val="none" w:sz="0" w:space="0" w:color="auto"/>
          </w:divBdr>
        </w:div>
      </w:divsChild>
    </w:div>
    <w:div w:id="1902867343">
      <w:marLeft w:val="0"/>
      <w:marRight w:val="0"/>
      <w:marTop w:val="0"/>
      <w:marBottom w:val="0"/>
      <w:divBdr>
        <w:top w:val="none" w:sz="0" w:space="0" w:color="auto"/>
        <w:left w:val="none" w:sz="0" w:space="0" w:color="auto"/>
        <w:bottom w:val="none" w:sz="0" w:space="0" w:color="auto"/>
        <w:right w:val="none" w:sz="0" w:space="0" w:color="auto"/>
      </w:divBdr>
    </w:div>
    <w:div w:id="1907302933">
      <w:marLeft w:val="0"/>
      <w:marRight w:val="0"/>
      <w:marTop w:val="0"/>
      <w:marBottom w:val="0"/>
      <w:divBdr>
        <w:top w:val="none" w:sz="0" w:space="0" w:color="auto"/>
        <w:left w:val="none" w:sz="0" w:space="0" w:color="auto"/>
        <w:bottom w:val="none" w:sz="0" w:space="0" w:color="auto"/>
        <w:right w:val="none" w:sz="0" w:space="0" w:color="auto"/>
      </w:divBdr>
      <w:divsChild>
        <w:div w:id="2021353782">
          <w:marLeft w:val="0"/>
          <w:marRight w:val="0"/>
          <w:marTop w:val="0"/>
          <w:marBottom w:val="0"/>
          <w:divBdr>
            <w:top w:val="none" w:sz="0" w:space="0" w:color="auto"/>
            <w:left w:val="none" w:sz="0" w:space="0" w:color="auto"/>
            <w:bottom w:val="none" w:sz="0" w:space="0" w:color="auto"/>
            <w:right w:val="none" w:sz="0" w:space="0" w:color="auto"/>
          </w:divBdr>
        </w:div>
      </w:divsChild>
    </w:div>
    <w:div w:id="1916357578">
      <w:marLeft w:val="0"/>
      <w:marRight w:val="0"/>
      <w:marTop w:val="0"/>
      <w:marBottom w:val="0"/>
      <w:divBdr>
        <w:top w:val="none" w:sz="0" w:space="0" w:color="auto"/>
        <w:left w:val="none" w:sz="0" w:space="0" w:color="auto"/>
        <w:bottom w:val="none" w:sz="0" w:space="0" w:color="auto"/>
        <w:right w:val="none" w:sz="0" w:space="0" w:color="auto"/>
      </w:divBdr>
    </w:div>
    <w:div w:id="1922180441">
      <w:marLeft w:val="0"/>
      <w:marRight w:val="0"/>
      <w:marTop w:val="0"/>
      <w:marBottom w:val="0"/>
      <w:divBdr>
        <w:top w:val="none" w:sz="0" w:space="0" w:color="auto"/>
        <w:left w:val="none" w:sz="0" w:space="0" w:color="auto"/>
        <w:bottom w:val="none" w:sz="0" w:space="0" w:color="auto"/>
        <w:right w:val="none" w:sz="0" w:space="0" w:color="auto"/>
      </w:divBdr>
    </w:div>
    <w:div w:id="1927837584">
      <w:marLeft w:val="0"/>
      <w:marRight w:val="0"/>
      <w:marTop w:val="0"/>
      <w:marBottom w:val="0"/>
      <w:divBdr>
        <w:top w:val="none" w:sz="0" w:space="0" w:color="auto"/>
        <w:left w:val="none" w:sz="0" w:space="0" w:color="auto"/>
        <w:bottom w:val="none" w:sz="0" w:space="0" w:color="auto"/>
        <w:right w:val="none" w:sz="0" w:space="0" w:color="auto"/>
      </w:divBdr>
      <w:divsChild>
        <w:div w:id="1661228881">
          <w:marLeft w:val="0"/>
          <w:marRight w:val="0"/>
          <w:marTop w:val="0"/>
          <w:marBottom w:val="0"/>
          <w:divBdr>
            <w:top w:val="none" w:sz="0" w:space="0" w:color="auto"/>
            <w:left w:val="none" w:sz="0" w:space="0" w:color="auto"/>
            <w:bottom w:val="none" w:sz="0" w:space="0" w:color="auto"/>
            <w:right w:val="none" w:sz="0" w:space="0" w:color="auto"/>
          </w:divBdr>
        </w:div>
      </w:divsChild>
    </w:div>
    <w:div w:id="1929776182">
      <w:marLeft w:val="0"/>
      <w:marRight w:val="0"/>
      <w:marTop w:val="0"/>
      <w:marBottom w:val="0"/>
      <w:divBdr>
        <w:top w:val="none" w:sz="0" w:space="0" w:color="auto"/>
        <w:left w:val="none" w:sz="0" w:space="0" w:color="auto"/>
        <w:bottom w:val="none" w:sz="0" w:space="0" w:color="auto"/>
        <w:right w:val="none" w:sz="0" w:space="0" w:color="auto"/>
      </w:divBdr>
      <w:divsChild>
        <w:div w:id="1776443949">
          <w:marLeft w:val="0"/>
          <w:marRight w:val="0"/>
          <w:marTop w:val="0"/>
          <w:marBottom w:val="0"/>
          <w:divBdr>
            <w:top w:val="none" w:sz="0" w:space="0" w:color="auto"/>
            <w:left w:val="none" w:sz="0" w:space="0" w:color="auto"/>
            <w:bottom w:val="none" w:sz="0" w:space="0" w:color="auto"/>
            <w:right w:val="none" w:sz="0" w:space="0" w:color="auto"/>
          </w:divBdr>
        </w:div>
      </w:divsChild>
    </w:div>
    <w:div w:id="1931573301">
      <w:marLeft w:val="0"/>
      <w:marRight w:val="0"/>
      <w:marTop w:val="0"/>
      <w:marBottom w:val="0"/>
      <w:divBdr>
        <w:top w:val="none" w:sz="0" w:space="0" w:color="auto"/>
        <w:left w:val="none" w:sz="0" w:space="0" w:color="auto"/>
        <w:bottom w:val="none" w:sz="0" w:space="0" w:color="auto"/>
        <w:right w:val="none" w:sz="0" w:space="0" w:color="auto"/>
      </w:divBdr>
    </w:div>
    <w:div w:id="1933968931">
      <w:marLeft w:val="0"/>
      <w:marRight w:val="0"/>
      <w:marTop w:val="0"/>
      <w:marBottom w:val="0"/>
      <w:divBdr>
        <w:top w:val="none" w:sz="0" w:space="0" w:color="auto"/>
        <w:left w:val="none" w:sz="0" w:space="0" w:color="auto"/>
        <w:bottom w:val="none" w:sz="0" w:space="0" w:color="auto"/>
        <w:right w:val="none" w:sz="0" w:space="0" w:color="auto"/>
      </w:divBdr>
      <w:divsChild>
        <w:div w:id="1978295973">
          <w:marLeft w:val="0"/>
          <w:marRight w:val="0"/>
          <w:marTop w:val="0"/>
          <w:marBottom w:val="0"/>
          <w:divBdr>
            <w:top w:val="none" w:sz="0" w:space="0" w:color="auto"/>
            <w:left w:val="none" w:sz="0" w:space="0" w:color="auto"/>
            <w:bottom w:val="none" w:sz="0" w:space="0" w:color="auto"/>
            <w:right w:val="none" w:sz="0" w:space="0" w:color="auto"/>
          </w:divBdr>
        </w:div>
      </w:divsChild>
    </w:div>
    <w:div w:id="1934390453">
      <w:marLeft w:val="0"/>
      <w:marRight w:val="0"/>
      <w:marTop w:val="0"/>
      <w:marBottom w:val="0"/>
      <w:divBdr>
        <w:top w:val="none" w:sz="0" w:space="0" w:color="auto"/>
        <w:left w:val="none" w:sz="0" w:space="0" w:color="auto"/>
        <w:bottom w:val="none" w:sz="0" w:space="0" w:color="auto"/>
        <w:right w:val="none" w:sz="0" w:space="0" w:color="auto"/>
      </w:divBdr>
    </w:div>
    <w:div w:id="1938901552">
      <w:marLeft w:val="0"/>
      <w:marRight w:val="0"/>
      <w:marTop w:val="0"/>
      <w:marBottom w:val="0"/>
      <w:divBdr>
        <w:top w:val="none" w:sz="0" w:space="0" w:color="auto"/>
        <w:left w:val="none" w:sz="0" w:space="0" w:color="auto"/>
        <w:bottom w:val="none" w:sz="0" w:space="0" w:color="auto"/>
        <w:right w:val="none" w:sz="0" w:space="0" w:color="auto"/>
      </w:divBdr>
    </w:div>
    <w:div w:id="1944917828">
      <w:marLeft w:val="0"/>
      <w:marRight w:val="0"/>
      <w:marTop w:val="0"/>
      <w:marBottom w:val="0"/>
      <w:divBdr>
        <w:top w:val="none" w:sz="0" w:space="0" w:color="auto"/>
        <w:left w:val="none" w:sz="0" w:space="0" w:color="auto"/>
        <w:bottom w:val="none" w:sz="0" w:space="0" w:color="auto"/>
        <w:right w:val="none" w:sz="0" w:space="0" w:color="auto"/>
      </w:divBdr>
    </w:div>
    <w:div w:id="1960647426">
      <w:marLeft w:val="0"/>
      <w:marRight w:val="0"/>
      <w:marTop w:val="0"/>
      <w:marBottom w:val="0"/>
      <w:divBdr>
        <w:top w:val="none" w:sz="0" w:space="0" w:color="auto"/>
        <w:left w:val="none" w:sz="0" w:space="0" w:color="auto"/>
        <w:bottom w:val="none" w:sz="0" w:space="0" w:color="auto"/>
        <w:right w:val="none" w:sz="0" w:space="0" w:color="auto"/>
      </w:divBdr>
    </w:div>
    <w:div w:id="1962613757">
      <w:marLeft w:val="0"/>
      <w:marRight w:val="0"/>
      <w:marTop w:val="0"/>
      <w:marBottom w:val="0"/>
      <w:divBdr>
        <w:top w:val="none" w:sz="0" w:space="0" w:color="auto"/>
        <w:left w:val="none" w:sz="0" w:space="0" w:color="auto"/>
        <w:bottom w:val="none" w:sz="0" w:space="0" w:color="auto"/>
        <w:right w:val="none" w:sz="0" w:space="0" w:color="auto"/>
      </w:divBdr>
    </w:div>
    <w:div w:id="1972398327">
      <w:marLeft w:val="0"/>
      <w:marRight w:val="0"/>
      <w:marTop w:val="0"/>
      <w:marBottom w:val="0"/>
      <w:divBdr>
        <w:top w:val="none" w:sz="0" w:space="0" w:color="auto"/>
        <w:left w:val="none" w:sz="0" w:space="0" w:color="auto"/>
        <w:bottom w:val="none" w:sz="0" w:space="0" w:color="auto"/>
        <w:right w:val="none" w:sz="0" w:space="0" w:color="auto"/>
      </w:divBdr>
    </w:div>
    <w:div w:id="1976174296">
      <w:marLeft w:val="0"/>
      <w:marRight w:val="0"/>
      <w:marTop w:val="0"/>
      <w:marBottom w:val="0"/>
      <w:divBdr>
        <w:top w:val="none" w:sz="0" w:space="0" w:color="auto"/>
        <w:left w:val="none" w:sz="0" w:space="0" w:color="auto"/>
        <w:bottom w:val="none" w:sz="0" w:space="0" w:color="auto"/>
        <w:right w:val="none" w:sz="0" w:space="0" w:color="auto"/>
      </w:divBdr>
    </w:div>
    <w:div w:id="1987928188">
      <w:marLeft w:val="0"/>
      <w:marRight w:val="0"/>
      <w:marTop w:val="0"/>
      <w:marBottom w:val="0"/>
      <w:divBdr>
        <w:top w:val="none" w:sz="0" w:space="0" w:color="auto"/>
        <w:left w:val="none" w:sz="0" w:space="0" w:color="auto"/>
        <w:bottom w:val="none" w:sz="0" w:space="0" w:color="auto"/>
        <w:right w:val="none" w:sz="0" w:space="0" w:color="auto"/>
      </w:divBdr>
      <w:divsChild>
        <w:div w:id="1224606273">
          <w:marLeft w:val="0"/>
          <w:marRight w:val="0"/>
          <w:marTop w:val="0"/>
          <w:marBottom w:val="0"/>
          <w:divBdr>
            <w:top w:val="none" w:sz="0" w:space="0" w:color="auto"/>
            <w:left w:val="none" w:sz="0" w:space="0" w:color="auto"/>
            <w:bottom w:val="none" w:sz="0" w:space="0" w:color="auto"/>
            <w:right w:val="none" w:sz="0" w:space="0" w:color="auto"/>
          </w:divBdr>
        </w:div>
      </w:divsChild>
    </w:div>
    <w:div w:id="1993368041">
      <w:marLeft w:val="0"/>
      <w:marRight w:val="0"/>
      <w:marTop w:val="0"/>
      <w:marBottom w:val="0"/>
      <w:divBdr>
        <w:top w:val="none" w:sz="0" w:space="0" w:color="auto"/>
        <w:left w:val="none" w:sz="0" w:space="0" w:color="auto"/>
        <w:bottom w:val="none" w:sz="0" w:space="0" w:color="auto"/>
        <w:right w:val="none" w:sz="0" w:space="0" w:color="auto"/>
      </w:divBdr>
      <w:divsChild>
        <w:div w:id="1913079913">
          <w:marLeft w:val="0"/>
          <w:marRight w:val="0"/>
          <w:marTop w:val="0"/>
          <w:marBottom w:val="0"/>
          <w:divBdr>
            <w:top w:val="none" w:sz="0" w:space="0" w:color="auto"/>
            <w:left w:val="none" w:sz="0" w:space="0" w:color="auto"/>
            <w:bottom w:val="none" w:sz="0" w:space="0" w:color="auto"/>
            <w:right w:val="none" w:sz="0" w:space="0" w:color="auto"/>
          </w:divBdr>
        </w:div>
      </w:divsChild>
    </w:div>
    <w:div w:id="1994598295">
      <w:marLeft w:val="0"/>
      <w:marRight w:val="0"/>
      <w:marTop w:val="0"/>
      <w:marBottom w:val="0"/>
      <w:divBdr>
        <w:top w:val="none" w:sz="0" w:space="0" w:color="auto"/>
        <w:left w:val="none" w:sz="0" w:space="0" w:color="auto"/>
        <w:bottom w:val="none" w:sz="0" w:space="0" w:color="auto"/>
        <w:right w:val="none" w:sz="0" w:space="0" w:color="auto"/>
      </w:divBdr>
    </w:div>
    <w:div w:id="1994600195">
      <w:marLeft w:val="0"/>
      <w:marRight w:val="0"/>
      <w:marTop w:val="0"/>
      <w:marBottom w:val="0"/>
      <w:divBdr>
        <w:top w:val="none" w:sz="0" w:space="0" w:color="auto"/>
        <w:left w:val="none" w:sz="0" w:space="0" w:color="auto"/>
        <w:bottom w:val="none" w:sz="0" w:space="0" w:color="auto"/>
        <w:right w:val="none" w:sz="0" w:space="0" w:color="auto"/>
      </w:divBdr>
      <w:divsChild>
        <w:div w:id="737674870">
          <w:marLeft w:val="0"/>
          <w:marRight w:val="0"/>
          <w:marTop w:val="0"/>
          <w:marBottom w:val="0"/>
          <w:divBdr>
            <w:top w:val="none" w:sz="0" w:space="0" w:color="auto"/>
            <w:left w:val="none" w:sz="0" w:space="0" w:color="auto"/>
            <w:bottom w:val="none" w:sz="0" w:space="0" w:color="auto"/>
            <w:right w:val="none" w:sz="0" w:space="0" w:color="auto"/>
          </w:divBdr>
        </w:div>
      </w:divsChild>
    </w:div>
    <w:div w:id="1994947478">
      <w:marLeft w:val="0"/>
      <w:marRight w:val="0"/>
      <w:marTop w:val="0"/>
      <w:marBottom w:val="0"/>
      <w:divBdr>
        <w:top w:val="none" w:sz="0" w:space="0" w:color="auto"/>
        <w:left w:val="none" w:sz="0" w:space="0" w:color="auto"/>
        <w:bottom w:val="none" w:sz="0" w:space="0" w:color="auto"/>
        <w:right w:val="none" w:sz="0" w:space="0" w:color="auto"/>
      </w:divBdr>
    </w:div>
    <w:div w:id="2002075699">
      <w:marLeft w:val="0"/>
      <w:marRight w:val="0"/>
      <w:marTop w:val="0"/>
      <w:marBottom w:val="0"/>
      <w:divBdr>
        <w:top w:val="none" w:sz="0" w:space="0" w:color="auto"/>
        <w:left w:val="none" w:sz="0" w:space="0" w:color="auto"/>
        <w:bottom w:val="none" w:sz="0" w:space="0" w:color="auto"/>
        <w:right w:val="none" w:sz="0" w:space="0" w:color="auto"/>
      </w:divBdr>
    </w:div>
    <w:div w:id="2008508377">
      <w:marLeft w:val="0"/>
      <w:marRight w:val="0"/>
      <w:marTop w:val="0"/>
      <w:marBottom w:val="0"/>
      <w:divBdr>
        <w:top w:val="none" w:sz="0" w:space="0" w:color="auto"/>
        <w:left w:val="none" w:sz="0" w:space="0" w:color="auto"/>
        <w:bottom w:val="none" w:sz="0" w:space="0" w:color="auto"/>
        <w:right w:val="none" w:sz="0" w:space="0" w:color="auto"/>
      </w:divBdr>
    </w:div>
    <w:div w:id="2014870201">
      <w:marLeft w:val="0"/>
      <w:marRight w:val="0"/>
      <w:marTop w:val="0"/>
      <w:marBottom w:val="0"/>
      <w:divBdr>
        <w:top w:val="none" w:sz="0" w:space="0" w:color="auto"/>
        <w:left w:val="none" w:sz="0" w:space="0" w:color="auto"/>
        <w:bottom w:val="none" w:sz="0" w:space="0" w:color="auto"/>
        <w:right w:val="none" w:sz="0" w:space="0" w:color="auto"/>
      </w:divBdr>
    </w:div>
    <w:div w:id="2020614909">
      <w:marLeft w:val="0"/>
      <w:marRight w:val="0"/>
      <w:marTop w:val="0"/>
      <w:marBottom w:val="0"/>
      <w:divBdr>
        <w:top w:val="none" w:sz="0" w:space="0" w:color="auto"/>
        <w:left w:val="none" w:sz="0" w:space="0" w:color="auto"/>
        <w:bottom w:val="none" w:sz="0" w:space="0" w:color="auto"/>
        <w:right w:val="none" w:sz="0" w:space="0" w:color="auto"/>
      </w:divBdr>
    </w:div>
    <w:div w:id="2023627836">
      <w:marLeft w:val="0"/>
      <w:marRight w:val="0"/>
      <w:marTop w:val="0"/>
      <w:marBottom w:val="0"/>
      <w:divBdr>
        <w:top w:val="none" w:sz="0" w:space="0" w:color="auto"/>
        <w:left w:val="none" w:sz="0" w:space="0" w:color="auto"/>
        <w:bottom w:val="none" w:sz="0" w:space="0" w:color="auto"/>
        <w:right w:val="none" w:sz="0" w:space="0" w:color="auto"/>
      </w:divBdr>
      <w:divsChild>
        <w:div w:id="1201741068">
          <w:marLeft w:val="0"/>
          <w:marRight w:val="0"/>
          <w:marTop w:val="0"/>
          <w:marBottom w:val="0"/>
          <w:divBdr>
            <w:top w:val="none" w:sz="0" w:space="0" w:color="auto"/>
            <w:left w:val="none" w:sz="0" w:space="0" w:color="auto"/>
            <w:bottom w:val="none" w:sz="0" w:space="0" w:color="auto"/>
            <w:right w:val="none" w:sz="0" w:space="0" w:color="auto"/>
          </w:divBdr>
        </w:div>
      </w:divsChild>
    </w:div>
    <w:div w:id="2026438984">
      <w:marLeft w:val="0"/>
      <w:marRight w:val="0"/>
      <w:marTop w:val="0"/>
      <w:marBottom w:val="0"/>
      <w:divBdr>
        <w:top w:val="none" w:sz="0" w:space="0" w:color="auto"/>
        <w:left w:val="none" w:sz="0" w:space="0" w:color="auto"/>
        <w:bottom w:val="none" w:sz="0" w:space="0" w:color="auto"/>
        <w:right w:val="none" w:sz="0" w:space="0" w:color="auto"/>
      </w:divBdr>
    </w:div>
    <w:div w:id="2028365020">
      <w:marLeft w:val="0"/>
      <w:marRight w:val="0"/>
      <w:marTop w:val="0"/>
      <w:marBottom w:val="0"/>
      <w:divBdr>
        <w:top w:val="none" w:sz="0" w:space="0" w:color="auto"/>
        <w:left w:val="none" w:sz="0" w:space="0" w:color="auto"/>
        <w:bottom w:val="none" w:sz="0" w:space="0" w:color="auto"/>
        <w:right w:val="none" w:sz="0" w:space="0" w:color="auto"/>
      </w:divBdr>
      <w:divsChild>
        <w:div w:id="2100247625">
          <w:marLeft w:val="0"/>
          <w:marRight w:val="0"/>
          <w:marTop w:val="0"/>
          <w:marBottom w:val="15"/>
          <w:divBdr>
            <w:top w:val="none" w:sz="0" w:space="0" w:color="auto"/>
            <w:left w:val="none" w:sz="0" w:space="0" w:color="auto"/>
            <w:bottom w:val="none" w:sz="0" w:space="0" w:color="auto"/>
            <w:right w:val="none" w:sz="0" w:space="0" w:color="auto"/>
          </w:divBdr>
        </w:div>
      </w:divsChild>
    </w:div>
    <w:div w:id="2030452762">
      <w:marLeft w:val="0"/>
      <w:marRight w:val="0"/>
      <w:marTop w:val="0"/>
      <w:marBottom w:val="0"/>
      <w:divBdr>
        <w:top w:val="none" w:sz="0" w:space="0" w:color="auto"/>
        <w:left w:val="none" w:sz="0" w:space="0" w:color="auto"/>
        <w:bottom w:val="none" w:sz="0" w:space="0" w:color="auto"/>
        <w:right w:val="none" w:sz="0" w:space="0" w:color="auto"/>
      </w:divBdr>
      <w:divsChild>
        <w:div w:id="1266958023">
          <w:marLeft w:val="0"/>
          <w:marRight w:val="0"/>
          <w:marTop w:val="0"/>
          <w:marBottom w:val="0"/>
          <w:divBdr>
            <w:top w:val="none" w:sz="0" w:space="0" w:color="auto"/>
            <w:left w:val="none" w:sz="0" w:space="0" w:color="auto"/>
            <w:bottom w:val="none" w:sz="0" w:space="0" w:color="auto"/>
            <w:right w:val="none" w:sz="0" w:space="0" w:color="auto"/>
          </w:divBdr>
        </w:div>
      </w:divsChild>
    </w:div>
    <w:div w:id="2032604676">
      <w:marLeft w:val="0"/>
      <w:marRight w:val="0"/>
      <w:marTop w:val="0"/>
      <w:marBottom w:val="0"/>
      <w:divBdr>
        <w:top w:val="none" w:sz="0" w:space="0" w:color="auto"/>
        <w:left w:val="none" w:sz="0" w:space="0" w:color="auto"/>
        <w:bottom w:val="none" w:sz="0" w:space="0" w:color="auto"/>
        <w:right w:val="none" w:sz="0" w:space="0" w:color="auto"/>
      </w:divBdr>
    </w:div>
    <w:div w:id="2033264047">
      <w:marLeft w:val="0"/>
      <w:marRight w:val="0"/>
      <w:marTop w:val="0"/>
      <w:marBottom w:val="0"/>
      <w:divBdr>
        <w:top w:val="none" w:sz="0" w:space="0" w:color="auto"/>
        <w:left w:val="none" w:sz="0" w:space="0" w:color="auto"/>
        <w:bottom w:val="none" w:sz="0" w:space="0" w:color="auto"/>
        <w:right w:val="none" w:sz="0" w:space="0" w:color="auto"/>
      </w:divBdr>
      <w:divsChild>
        <w:div w:id="794328459">
          <w:marLeft w:val="0"/>
          <w:marRight w:val="0"/>
          <w:marTop w:val="0"/>
          <w:marBottom w:val="0"/>
          <w:divBdr>
            <w:top w:val="none" w:sz="0" w:space="0" w:color="auto"/>
            <w:left w:val="none" w:sz="0" w:space="0" w:color="auto"/>
            <w:bottom w:val="none" w:sz="0" w:space="0" w:color="auto"/>
            <w:right w:val="none" w:sz="0" w:space="0" w:color="auto"/>
          </w:divBdr>
        </w:div>
      </w:divsChild>
    </w:div>
    <w:div w:id="2042051968">
      <w:marLeft w:val="0"/>
      <w:marRight w:val="0"/>
      <w:marTop w:val="0"/>
      <w:marBottom w:val="0"/>
      <w:divBdr>
        <w:top w:val="none" w:sz="0" w:space="0" w:color="auto"/>
        <w:left w:val="none" w:sz="0" w:space="0" w:color="auto"/>
        <w:bottom w:val="none" w:sz="0" w:space="0" w:color="auto"/>
        <w:right w:val="none" w:sz="0" w:space="0" w:color="auto"/>
      </w:divBdr>
      <w:divsChild>
        <w:div w:id="2014216051">
          <w:marLeft w:val="0"/>
          <w:marRight w:val="0"/>
          <w:marTop w:val="0"/>
          <w:marBottom w:val="0"/>
          <w:divBdr>
            <w:top w:val="none" w:sz="0" w:space="0" w:color="auto"/>
            <w:left w:val="none" w:sz="0" w:space="0" w:color="auto"/>
            <w:bottom w:val="none" w:sz="0" w:space="0" w:color="auto"/>
            <w:right w:val="none" w:sz="0" w:space="0" w:color="auto"/>
          </w:divBdr>
        </w:div>
      </w:divsChild>
    </w:div>
    <w:div w:id="2052798387">
      <w:marLeft w:val="0"/>
      <w:marRight w:val="0"/>
      <w:marTop w:val="0"/>
      <w:marBottom w:val="0"/>
      <w:divBdr>
        <w:top w:val="none" w:sz="0" w:space="0" w:color="auto"/>
        <w:left w:val="none" w:sz="0" w:space="0" w:color="auto"/>
        <w:bottom w:val="none" w:sz="0" w:space="0" w:color="auto"/>
        <w:right w:val="none" w:sz="0" w:space="0" w:color="auto"/>
      </w:divBdr>
    </w:div>
    <w:div w:id="2055621223">
      <w:marLeft w:val="0"/>
      <w:marRight w:val="0"/>
      <w:marTop w:val="0"/>
      <w:marBottom w:val="0"/>
      <w:divBdr>
        <w:top w:val="none" w:sz="0" w:space="0" w:color="auto"/>
        <w:left w:val="none" w:sz="0" w:space="0" w:color="auto"/>
        <w:bottom w:val="none" w:sz="0" w:space="0" w:color="auto"/>
        <w:right w:val="none" w:sz="0" w:space="0" w:color="auto"/>
      </w:divBdr>
      <w:divsChild>
        <w:div w:id="982541946">
          <w:marLeft w:val="0"/>
          <w:marRight w:val="0"/>
          <w:marTop w:val="0"/>
          <w:marBottom w:val="0"/>
          <w:divBdr>
            <w:top w:val="none" w:sz="0" w:space="0" w:color="auto"/>
            <w:left w:val="none" w:sz="0" w:space="0" w:color="auto"/>
            <w:bottom w:val="none" w:sz="0" w:space="0" w:color="auto"/>
            <w:right w:val="none" w:sz="0" w:space="0" w:color="auto"/>
          </w:divBdr>
        </w:div>
      </w:divsChild>
    </w:div>
    <w:div w:id="2077163664">
      <w:marLeft w:val="0"/>
      <w:marRight w:val="0"/>
      <w:marTop w:val="0"/>
      <w:marBottom w:val="0"/>
      <w:divBdr>
        <w:top w:val="none" w:sz="0" w:space="0" w:color="auto"/>
        <w:left w:val="none" w:sz="0" w:space="0" w:color="auto"/>
        <w:bottom w:val="none" w:sz="0" w:space="0" w:color="auto"/>
        <w:right w:val="none" w:sz="0" w:space="0" w:color="auto"/>
      </w:divBdr>
    </w:div>
    <w:div w:id="2078893694">
      <w:marLeft w:val="0"/>
      <w:marRight w:val="0"/>
      <w:marTop w:val="0"/>
      <w:marBottom w:val="0"/>
      <w:divBdr>
        <w:top w:val="none" w:sz="0" w:space="0" w:color="auto"/>
        <w:left w:val="none" w:sz="0" w:space="0" w:color="auto"/>
        <w:bottom w:val="none" w:sz="0" w:space="0" w:color="auto"/>
        <w:right w:val="none" w:sz="0" w:space="0" w:color="auto"/>
      </w:divBdr>
    </w:div>
    <w:div w:id="2083143000">
      <w:marLeft w:val="0"/>
      <w:marRight w:val="0"/>
      <w:marTop w:val="0"/>
      <w:marBottom w:val="0"/>
      <w:divBdr>
        <w:top w:val="none" w:sz="0" w:space="0" w:color="auto"/>
        <w:left w:val="none" w:sz="0" w:space="0" w:color="auto"/>
        <w:bottom w:val="none" w:sz="0" w:space="0" w:color="auto"/>
        <w:right w:val="none" w:sz="0" w:space="0" w:color="auto"/>
      </w:divBdr>
      <w:divsChild>
        <w:div w:id="1605654494">
          <w:marLeft w:val="0"/>
          <w:marRight w:val="0"/>
          <w:marTop w:val="0"/>
          <w:marBottom w:val="0"/>
          <w:divBdr>
            <w:top w:val="none" w:sz="0" w:space="0" w:color="auto"/>
            <w:left w:val="none" w:sz="0" w:space="0" w:color="auto"/>
            <w:bottom w:val="none" w:sz="0" w:space="0" w:color="auto"/>
            <w:right w:val="none" w:sz="0" w:space="0" w:color="auto"/>
          </w:divBdr>
        </w:div>
      </w:divsChild>
    </w:div>
    <w:div w:id="2105149425">
      <w:marLeft w:val="0"/>
      <w:marRight w:val="0"/>
      <w:marTop w:val="0"/>
      <w:marBottom w:val="0"/>
      <w:divBdr>
        <w:top w:val="none" w:sz="0" w:space="0" w:color="auto"/>
        <w:left w:val="none" w:sz="0" w:space="0" w:color="auto"/>
        <w:bottom w:val="none" w:sz="0" w:space="0" w:color="auto"/>
        <w:right w:val="none" w:sz="0" w:space="0" w:color="auto"/>
      </w:divBdr>
    </w:div>
    <w:div w:id="2106227381">
      <w:marLeft w:val="0"/>
      <w:marRight w:val="0"/>
      <w:marTop w:val="0"/>
      <w:marBottom w:val="0"/>
      <w:divBdr>
        <w:top w:val="none" w:sz="0" w:space="0" w:color="auto"/>
        <w:left w:val="none" w:sz="0" w:space="0" w:color="auto"/>
        <w:bottom w:val="none" w:sz="0" w:space="0" w:color="auto"/>
        <w:right w:val="none" w:sz="0" w:space="0" w:color="auto"/>
      </w:divBdr>
      <w:divsChild>
        <w:div w:id="1302036092">
          <w:marLeft w:val="0"/>
          <w:marRight w:val="0"/>
          <w:marTop w:val="0"/>
          <w:marBottom w:val="0"/>
          <w:divBdr>
            <w:top w:val="none" w:sz="0" w:space="0" w:color="auto"/>
            <w:left w:val="none" w:sz="0" w:space="0" w:color="auto"/>
            <w:bottom w:val="none" w:sz="0" w:space="0" w:color="auto"/>
            <w:right w:val="none" w:sz="0" w:space="0" w:color="auto"/>
          </w:divBdr>
        </w:div>
      </w:divsChild>
    </w:div>
    <w:div w:id="2120054506">
      <w:marLeft w:val="0"/>
      <w:marRight w:val="0"/>
      <w:marTop w:val="0"/>
      <w:marBottom w:val="0"/>
      <w:divBdr>
        <w:top w:val="none" w:sz="0" w:space="0" w:color="auto"/>
        <w:left w:val="none" w:sz="0" w:space="0" w:color="auto"/>
        <w:bottom w:val="none" w:sz="0" w:space="0" w:color="auto"/>
        <w:right w:val="none" w:sz="0" w:space="0" w:color="auto"/>
      </w:divBdr>
    </w:div>
    <w:div w:id="2124617081">
      <w:marLeft w:val="0"/>
      <w:marRight w:val="0"/>
      <w:marTop w:val="0"/>
      <w:marBottom w:val="0"/>
      <w:divBdr>
        <w:top w:val="none" w:sz="0" w:space="0" w:color="auto"/>
        <w:left w:val="none" w:sz="0" w:space="0" w:color="auto"/>
        <w:bottom w:val="none" w:sz="0" w:space="0" w:color="auto"/>
        <w:right w:val="none" w:sz="0" w:space="0" w:color="auto"/>
      </w:divBdr>
    </w:div>
    <w:div w:id="2126538927">
      <w:marLeft w:val="0"/>
      <w:marRight w:val="0"/>
      <w:marTop w:val="0"/>
      <w:marBottom w:val="0"/>
      <w:divBdr>
        <w:top w:val="none" w:sz="0" w:space="0" w:color="auto"/>
        <w:left w:val="none" w:sz="0" w:space="0" w:color="auto"/>
        <w:bottom w:val="none" w:sz="0" w:space="0" w:color="auto"/>
        <w:right w:val="none" w:sz="0" w:space="0" w:color="auto"/>
      </w:divBdr>
    </w:div>
    <w:div w:id="2139294462">
      <w:marLeft w:val="0"/>
      <w:marRight w:val="0"/>
      <w:marTop w:val="0"/>
      <w:marBottom w:val="0"/>
      <w:divBdr>
        <w:top w:val="none" w:sz="0" w:space="0" w:color="auto"/>
        <w:left w:val="none" w:sz="0" w:space="0" w:color="auto"/>
        <w:bottom w:val="none" w:sz="0" w:space="0" w:color="auto"/>
        <w:right w:val="none" w:sz="0" w:space="0" w:color="auto"/>
      </w:divBdr>
      <w:divsChild>
        <w:div w:id="1657029430">
          <w:marLeft w:val="0"/>
          <w:marRight w:val="0"/>
          <w:marTop w:val="0"/>
          <w:marBottom w:val="0"/>
          <w:divBdr>
            <w:top w:val="none" w:sz="0" w:space="0" w:color="auto"/>
            <w:left w:val="none" w:sz="0" w:space="0" w:color="auto"/>
            <w:bottom w:val="none" w:sz="0" w:space="0" w:color="auto"/>
            <w:right w:val="none" w:sz="0" w:space="0" w:color="auto"/>
          </w:divBdr>
        </w:div>
      </w:divsChild>
    </w:div>
    <w:div w:id="2141148801">
      <w:marLeft w:val="0"/>
      <w:marRight w:val="0"/>
      <w:marTop w:val="0"/>
      <w:marBottom w:val="0"/>
      <w:divBdr>
        <w:top w:val="none" w:sz="0" w:space="0" w:color="auto"/>
        <w:left w:val="none" w:sz="0" w:space="0" w:color="auto"/>
        <w:bottom w:val="none" w:sz="0" w:space="0" w:color="auto"/>
        <w:right w:val="none" w:sz="0" w:space="0" w:color="auto"/>
      </w:divBdr>
    </w:div>
    <w:div w:id="2145272222">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c.gov/Archives/edgar/data/916365/000118811207000534/ex10-38.txt" TargetMode="External"/><Relationship Id="rId117" Type="http://schemas.openxmlformats.org/officeDocument/2006/relationships/hyperlink" Target="ex1064-performanceshareuni.htm" TargetMode="External"/><Relationship Id="rId21" Type="http://schemas.openxmlformats.org/officeDocument/2006/relationships/hyperlink" Target="http://www.sec.gov/Archives/edgar/data/916365/0000950123-97-007736.txt" TargetMode="External"/><Relationship Id="rId42" Type="http://schemas.openxmlformats.org/officeDocument/2006/relationships/hyperlink" Target="http://www.sec.gov/Archives/edgar/data/916365/000091636518000093/q2201810qex103formofrestri.htm" TargetMode="External"/><Relationship Id="rId47" Type="http://schemas.openxmlformats.org/officeDocument/2006/relationships/hyperlink" Target="https://www.sec.gov/Archives/edgar/data/916365/000091636519000035/a201810-kex1041formofrestr.htm" TargetMode="External"/><Relationship Id="rId63" Type="http://schemas.openxmlformats.org/officeDocument/2006/relationships/hyperlink" Target="https://www.sec.gov/Archives/edgar/data/916365/000091636522000049/ex1045-restrictedshareunit.htm" TargetMode="External"/><Relationship Id="rId68" Type="http://schemas.openxmlformats.org/officeDocument/2006/relationships/hyperlink" Target="https://www.sec.gov/Archives/edgar/data/916365/000091636522000049/ex1045-restrictedshareunit.htm" TargetMode="External"/><Relationship Id="rId84" Type="http://schemas.openxmlformats.org/officeDocument/2006/relationships/hyperlink" Target="https://www.sec.gov/Archives/edgar/data/916365/000091636522000049/ex1048-nonqualifiedstockop.htm" TargetMode="External"/><Relationship Id="rId89" Type="http://schemas.openxmlformats.org/officeDocument/2006/relationships/hyperlink" Target="https://www.sec.gov/Archives/edgar/data/916365/000091636522000049/ex1049-restrictedshareunit.htm" TargetMode="External"/><Relationship Id="rId112" Type="http://schemas.openxmlformats.org/officeDocument/2006/relationships/hyperlink" Target="https://www.sec.gov/Archives/edgar/data/916365/000091636523000037/exhibit105psuawardagreemen.htm" TargetMode="External"/><Relationship Id="rId16" Type="http://schemas.openxmlformats.org/officeDocument/2006/relationships/hyperlink" Target="ex46-descriptionofsecuriti.htm" TargetMode="External"/><Relationship Id="rId107" Type="http://schemas.openxmlformats.org/officeDocument/2006/relationships/hyperlink" Target="https://www.sec.gov/Archives/edgar/data/916365/000091636523000037/exhibit102archangeincontro.htm" TargetMode="External"/><Relationship Id="rId11" Type="http://schemas.openxmlformats.org/officeDocument/2006/relationships/hyperlink" Target="https://www.sec.gov/Archives/edgar/data/916365/000091636522000112/ex31sixthamendedandrestate.htm" TargetMode="External"/><Relationship Id="rId32" Type="http://schemas.openxmlformats.org/officeDocument/2006/relationships/hyperlink" Target="http://www.sec.gov/Archives/edgar/data/916365/000095012309056222/c91703exv10w48.htm" TargetMode="External"/><Relationship Id="rId37" Type="http://schemas.openxmlformats.org/officeDocument/2006/relationships/hyperlink" Target="http://www.sec.gov/Archives/edgar/data/916365/000091636517000094/exhibit101notepurchaseandp.htm" TargetMode="External"/><Relationship Id="rId53" Type="http://schemas.openxmlformats.org/officeDocument/2006/relationships/hyperlink" Target="http://www.sec.gov/Archives/edgar/data/916365/000091636520000050/a201910-kex1049.htm" TargetMode="External"/><Relationship Id="rId58" Type="http://schemas.openxmlformats.org/officeDocument/2006/relationships/hyperlink" Target="http://www.sec.gov/Archives/edgar/data/916365/000091636520000200/secondamendment.htm" TargetMode="External"/><Relationship Id="rId74" Type="http://schemas.openxmlformats.org/officeDocument/2006/relationships/hyperlink" Target="https://www.sec.gov/Archives/edgar/data/916365/000091636522000049/ex1046-restrictedshareunit.htm" TargetMode="External"/><Relationship Id="rId79" Type="http://schemas.openxmlformats.org/officeDocument/2006/relationships/hyperlink" Target="https://www.sec.gov/Archives/edgar/data/916365/000091636522000049/ex1047-performanceshareuni.htm" TargetMode="External"/><Relationship Id="rId102" Type="http://schemas.openxmlformats.org/officeDocument/2006/relationships/hyperlink" Target="https://www.sec.gov/Archives/edgar/data/916365/000091636522000097/ex102amendmenttonotepurcha.htm" TargetMode="External"/><Relationship Id="rId123" Type="http://schemas.openxmlformats.org/officeDocument/2006/relationships/fontTable" Target="fontTable.xml"/><Relationship Id="rId5" Type="http://schemas.openxmlformats.org/officeDocument/2006/relationships/image" Target="file:///E:\projects\LLMs\new_data_collection\data_new\htm\TRACTOR%20SUPPLY%20CO\tsco-20221231_g2.jpg" TargetMode="External"/><Relationship Id="rId90" Type="http://schemas.openxmlformats.org/officeDocument/2006/relationships/hyperlink" Target="https://www.sec.gov/Archives/edgar/data/916365/000091636522000049/ex1049-restrictedshareunit.htm" TargetMode="External"/><Relationship Id="rId95" Type="http://schemas.openxmlformats.org/officeDocument/2006/relationships/hyperlink" Target="https://www.sec.gov/Archives/edgar/data/916365/000091636522000049/ex1050-performanceshareuni.htm" TargetMode="External"/><Relationship Id="rId22" Type="http://schemas.openxmlformats.org/officeDocument/2006/relationships/hyperlink" Target="http://www.sec.gov/Archives/edgar/data/916365/000095014402005220/g76225ex10-58.txt" TargetMode="External"/><Relationship Id="rId27" Type="http://schemas.openxmlformats.org/officeDocument/2006/relationships/hyperlink" Target="http://www.sec.gov/Archives/edgar/data/916365/000136231009002757/c81596exv10w41.htm" TargetMode="External"/><Relationship Id="rId43" Type="http://schemas.openxmlformats.org/officeDocument/2006/relationships/hyperlink" Target="http://www.sec.gov/Archives/edgar/data/916365/000091636518000093/q2201810qex104formofperfor.htm" TargetMode="External"/><Relationship Id="rId48" Type="http://schemas.openxmlformats.org/officeDocument/2006/relationships/hyperlink" Target="https://www.sec.gov/Archives/edgar/data/916365/000091636519000035/a201810-kex1042formofnonqu.htm" TargetMode="External"/><Relationship Id="rId64" Type="http://schemas.openxmlformats.org/officeDocument/2006/relationships/hyperlink" Target="https://www.sec.gov/Archives/edgar/data/916365/000091636522000049/ex1045-restrictedshareunit.htm" TargetMode="External"/><Relationship Id="rId69" Type="http://schemas.openxmlformats.org/officeDocument/2006/relationships/hyperlink" Target="https://www.sec.gov/Archives/edgar/data/916365/000091636522000049/ex1045-restrictedshareunit.htm" TargetMode="External"/><Relationship Id="rId113" Type="http://schemas.openxmlformats.org/officeDocument/2006/relationships/hyperlink" Target="https://www.sec.gov/Archives/edgar/data/916365/000091636523000037/exhibit105psuawardagreemen.htm" TargetMode="External"/><Relationship Id="rId118" Type="http://schemas.openxmlformats.org/officeDocument/2006/relationships/hyperlink" Target="ex21-2022listofsubsidiaries.htm" TargetMode="External"/><Relationship Id="rId80" Type="http://schemas.openxmlformats.org/officeDocument/2006/relationships/hyperlink" Target="https://www.sec.gov/Archives/edgar/data/916365/000091636522000049/ex1047-performanceshareuni.htm" TargetMode="External"/><Relationship Id="rId85" Type="http://schemas.openxmlformats.org/officeDocument/2006/relationships/hyperlink" Target="https://www.sec.gov/Archives/edgar/data/916365/000091636522000049/ex1048-nonqualifiedstockop.htm" TargetMode="External"/><Relationship Id="rId12" Type="http://schemas.openxmlformats.org/officeDocument/2006/relationships/hyperlink" Target="http://www.sec.gov/Archives/edgar/data/916365/000091636520000188/ex43-formofsubordinate.htm" TargetMode="External"/><Relationship Id="rId17" Type="http://schemas.openxmlformats.org/officeDocument/2006/relationships/hyperlink" Target="http://www.sec.gov/Archives/edgar/data/916365/0000950144-96-005860.txt" TargetMode="External"/><Relationship Id="rId33" Type="http://schemas.openxmlformats.org/officeDocument/2006/relationships/hyperlink" Target="http://www.sec.gov/Archives/edgar/data/916365/000095012309056222/c91703exv10w49.htm" TargetMode="External"/><Relationship Id="rId38" Type="http://schemas.openxmlformats.org/officeDocument/2006/relationships/hyperlink" Target="http://www.sec.gov/Archives/edgar/data/916365/000091636518000031/a201710-kex1033performance.htm" TargetMode="External"/><Relationship Id="rId59" Type="http://schemas.openxmlformats.org/officeDocument/2006/relationships/hyperlink" Target="https://www.sec.gov/Archives/edgar/data/916365/000091636521000091/q1202110qex103.htm" TargetMode="External"/><Relationship Id="rId103" Type="http://schemas.openxmlformats.org/officeDocument/2006/relationships/hyperlink" Target="https://www.sec.gov/Archives/edgar/data/916365/000091636522000097/ex101creditagreementdateda.htm" TargetMode="External"/><Relationship Id="rId108" Type="http://schemas.openxmlformats.org/officeDocument/2006/relationships/hyperlink" Target="https://www.sec.gov/Archives/edgar/data/916365/000091636523000037/exhibit103archangeincontro.htm" TargetMode="External"/><Relationship Id="rId124" Type="http://schemas.openxmlformats.org/officeDocument/2006/relationships/theme" Target="theme/theme1.xml"/><Relationship Id="rId54" Type="http://schemas.openxmlformats.org/officeDocument/2006/relationships/hyperlink" Target="https://www.sec.gov/Archives/edgar/data/916365/000091636521000052/ex1059performanceshareunit.htm" TargetMode="External"/><Relationship Id="rId70" Type="http://schemas.openxmlformats.org/officeDocument/2006/relationships/hyperlink" Target="https://www.sec.gov/Archives/edgar/data/916365/000091636522000049/ex1045-restrictedshareunit.htm" TargetMode="External"/><Relationship Id="rId75" Type="http://schemas.openxmlformats.org/officeDocument/2006/relationships/hyperlink" Target="https://www.sec.gov/Archives/edgar/data/916365/000091636522000049/ex1046-restrictedshareunit.htm" TargetMode="External"/><Relationship Id="rId91" Type="http://schemas.openxmlformats.org/officeDocument/2006/relationships/hyperlink" Target="https://www.sec.gov/Archives/edgar/data/916365/000091636522000049/ex1049-restrictedshareunit.htm" TargetMode="External"/><Relationship Id="rId96" Type="http://schemas.openxmlformats.org/officeDocument/2006/relationships/hyperlink" Target="https://www.sec.gov/Archives/edgar/data/916365/000091636522000049/ex1050-performanceshareuni.htm" TargetMode="External"/><Relationship Id="rId1" Type="http://schemas.openxmlformats.org/officeDocument/2006/relationships/styles" Target="styles.xml"/><Relationship Id="rId6" Type="http://schemas.openxmlformats.org/officeDocument/2006/relationships/hyperlink" Target="http://www.sec.gov/Archives/edgar/data/916365/000091636520000184/restatedcertificateofi.htm" TargetMode="External"/><Relationship Id="rId23" Type="http://schemas.openxmlformats.org/officeDocument/2006/relationships/hyperlink" Target="http://www.sec.gov/Archives/edgar/data/916365/000118811207000534/ex10-39.txt" TargetMode="External"/><Relationship Id="rId28" Type="http://schemas.openxmlformats.org/officeDocument/2006/relationships/hyperlink" Target="http://www.sec.gov/Archives/edgar/data/916365/000095014409003170/g18571exv99w1.htm" TargetMode="External"/><Relationship Id="rId49" Type="http://schemas.openxmlformats.org/officeDocument/2006/relationships/hyperlink" Target="https://www.sec.gov/Archives/edgar/data/916365/000091636521000062/a2021formofchangeincontrol.htm" TargetMode="External"/><Relationship Id="rId114" Type="http://schemas.openxmlformats.org/officeDocument/2006/relationships/hyperlink" Target="https://www.sec.gov/Archives/edgar/data/916365/000091636523000037/exhibit105psuawardagreemen.htm" TargetMode="External"/><Relationship Id="rId119" Type="http://schemas.openxmlformats.org/officeDocument/2006/relationships/hyperlink" Target="ex23-consentofernstyoung20.htm" TargetMode="External"/><Relationship Id="rId44" Type="http://schemas.openxmlformats.org/officeDocument/2006/relationships/hyperlink" Target="http://www.sec.gov/Archives/edgar/data/916365/000091636518000119/a11142018tsco-ex101.htm" TargetMode="External"/><Relationship Id="rId60" Type="http://schemas.openxmlformats.org/officeDocument/2006/relationships/hyperlink" Target="https://www.sec.gov/Archives/edgar/data/916365/000091636522000049/ex1045-restrictedshareunit.htm" TargetMode="External"/><Relationship Id="rId65" Type="http://schemas.openxmlformats.org/officeDocument/2006/relationships/hyperlink" Target="https://www.sec.gov/Archives/edgar/data/916365/000091636522000049/ex1045-restrictedshareunit.htm" TargetMode="External"/><Relationship Id="rId81" Type="http://schemas.openxmlformats.org/officeDocument/2006/relationships/hyperlink" Target="https://www.sec.gov/Archives/edgar/data/916365/000091636522000049/ex1047-performanceshareuni.htm" TargetMode="External"/><Relationship Id="rId86" Type="http://schemas.openxmlformats.org/officeDocument/2006/relationships/hyperlink" Target="https://www.sec.gov/Archives/edgar/data/916365/000091636522000049/ex1048-nonqualifiedstockop.htm" TargetMode="External"/><Relationship Id="rId4" Type="http://schemas.openxmlformats.org/officeDocument/2006/relationships/image" Target="file:///E:\projects\LLMs\new_data_collection\data_new\htm\TRACTOR%20SUPPLY%20CO\tsco-20221231_g1.jpg" TargetMode="External"/><Relationship Id="rId9" Type="http://schemas.openxmlformats.org/officeDocument/2006/relationships/hyperlink" Target="https://www.sec.gov/Archives/edgar/data/916365/000091636522000112/ex31sixthamendedandrestate.htm" TargetMode="External"/><Relationship Id="rId13" Type="http://schemas.openxmlformats.org/officeDocument/2006/relationships/hyperlink" Target="http://www.sec.gov/Archives/edgar/data/916365/000119312520282282/d63980dex41.htm" TargetMode="External"/><Relationship Id="rId18" Type="http://schemas.openxmlformats.org/officeDocument/2006/relationships/hyperlink" Target="http://www.sec.gov/Archives/edgar/data/916365/0000950123-97-007736.txt" TargetMode="External"/><Relationship Id="rId39" Type="http://schemas.openxmlformats.org/officeDocument/2006/relationships/hyperlink" Target="http://www.sec.gov/Archives/edgar/data/916365/000091636518000031/a201710-kex1034performance.htm" TargetMode="External"/><Relationship Id="rId109" Type="http://schemas.openxmlformats.org/officeDocument/2006/relationships/hyperlink" Target="https://www.sec.gov/Archives/edgar/data/916365/000091636523000037/exhibit104psuawardagreemen.htm" TargetMode="External"/><Relationship Id="rId34" Type="http://schemas.openxmlformats.org/officeDocument/2006/relationships/hyperlink" Target="http://www.sec.gov/Archives/edgar/data/916365/000095012309056222/c91703exv10w50.htm" TargetMode="External"/><Relationship Id="rId50" Type="http://schemas.openxmlformats.org/officeDocument/2006/relationships/hyperlink" Target="http://www.sec.gov/Archives/edgar/data/916365/000091636519000164/a101-employmentagreeme.htm" TargetMode="External"/><Relationship Id="rId55" Type="http://schemas.openxmlformats.org/officeDocument/2006/relationships/hyperlink" Target="https://www.sec.gov/Archives/edgar/data/916365/000091636521000052/ex1060restrictedshareunita.htm" TargetMode="External"/><Relationship Id="rId76" Type="http://schemas.openxmlformats.org/officeDocument/2006/relationships/hyperlink" Target="https://www.sec.gov/Archives/edgar/data/916365/000091636522000049/ex1046-restrictedshareunit.htm" TargetMode="External"/><Relationship Id="rId97" Type="http://schemas.openxmlformats.org/officeDocument/2006/relationships/hyperlink" Target="https://www.sec.gov/Archives/edgar/data/916365/000091636522000049/ex1051-nonqualifiedstockop.htm" TargetMode="External"/><Relationship Id="rId104" Type="http://schemas.openxmlformats.org/officeDocument/2006/relationships/hyperlink" Target="https://www.sec.gov/Archives/edgar/data/916365/000091636522000112/ex103fourthamendmenttonote.htm" TargetMode="External"/><Relationship Id="rId120" Type="http://schemas.openxmlformats.org/officeDocument/2006/relationships/hyperlink" Target="ex311-ceocertification2022.htm" TargetMode="External"/><Relationship Id="rId7" Type="http://schemas.openxmlformats.org/officeDocument/2006/relationships/hyperlink" Target="https://www.sec.gov/Archives/edgar/data/916365/000091636522000112/ex31sixthamendedandrestate.htm" TargetMode="External"/><Relationship Id="rId71" Type="http://schemas.openxmlformats.org/officeDocument/2006/relationships/hyperlink" Target="https://www.sec.gov/Archives/edgar/data/916365/000091636522000049/ex1046-restrictedshareunit.htm" TargetMode="External"/><Relationship Id="rId92" Type="http://schemas.openxmlformats.org/officeDocument/2006/relationships/hyperlink" Target="https://www.sec.gov/Archives/edgar/data/916365/000091636522000049/ex1050-performanceshareuni.htm" TargetMode="External"/><Relationship Id="rId2" Type="http://schemas.openxmlformats.org/officeDocument/2006/relationships/settings" Target="settings.xml"/><Relationship Id="rId29" Type="http://schemas.openxmlformats.org/officeDocument/2006/relationships/hyperlink" Target="http://www.sec.gov/Archives/edgar/data/916365/000095012309029586/c88667exv10w44.htm" TargetMode="External"/><Relationship Id="rId24" Type="http://schemas.openxmlformats.org/officeDocument/2006/relationships/hyperlink" Target="http://www.sec.gov/Archives/edgar/data/916365/000136231008001146/c72557exv10w45.htm" TargetMode="External"/><Relationship Id="rId40" Type="http://schemas.openxmlformats.org/officeDocument/2006/relationships/hyperlink" Target="http://www.sec.gov/Archives/edgar/data/916365/000091636518000036/a2018proxy-def14a.htm" TargetMode="External"/><Relationship Id="rId45" Type="http://schemas.openxmlformats.org/officeDocument/2006/relationships/hyperlink" Target="https://www.sec.gov/Archives/edgar/data/916365/000091636519000035/a201810-kex1039formofperfo.htm" TargetMode="External"/><Relationship Id="rId66" Type="http://schemas.openxmlformats.org/officeDocument/2006/relationships/hyperlink" Target="https://www.sec.gov/Archives/edgar/data/916365/000091636522000049/ex1045-restrictedshareunit.htm" TargetMode="External"/><Relationship Id="rId87" Type="http://schemas.openxmlformats.org/officeDocument/2006/relationships/hyperlink" Target="https://www.sec.gov/Archives/edgar/data/916365/000091636522000049/ex1049-restrictedshareunit.htm" TargetMode="External"/><Relationship Id="rId110" Type="http://schemas.openxmlformats.org/officeDocument/2006/relationships/hyperlink" Target="https://www.sec.gov/Archives/edgar/data/916365/000091636523000037/exhibit104psuawardagreemen.htm" TargetMode="External"/><Relationship Id="rId115" Type="http://schemas.openxmlformats.org/officeDocument/2006/relationships/hyperlink" Target="ex1062-performanceshareuni.htm" TargetMode="External"/><Relationship Id="rId61" Type="http://schemas.openxmlformats.org/officeDocument/2006/relationships/hyperlink" Target="https://www.sec.gov/Archives/edgar/data/916365/000091636522000049/ex1045-restrictedshareunit.htm" TargetMode="External"/><Relationship Id="rId82" Type="http://schemas.openxmlformats.org/officeDocument/2006/relationships/hyperlink" Target="https://www.sec.gov/Archives/edgar/data/916365/000091636522000049/ex1048-nonqualifiedstockop.htm" TargetMode="External"/><Relationship Id="rId19" Type="http://schemas.openxmlformats.org/officeDocument/2006/relationships/hyperlink" Target="http://www.sec.gov/Archives/edgar/data/916365/000118811204000294/tex10_53-1784b.txt" TargetMode="External"/><Relationship Id="rId14" Type="http://schemas.openxmlformats.org/officeDocument/2006/relationships/hyperlink" Target="http://www.sec.gov/Archives/edgar/data/916365/000119312520282282/d63980dex42.htm" TargetMode="External"/><Relationship Id="rId30" Type="http://schemas.openxmlformats.org/officeDocument/2006/relationships/hyperlink" Target="http://www.sec.gov/Archives/edgar/data/916365/000095012309029586/c88667exv10w45.htm" TargetMode="External"/><Relationship Id="rId35" Type="http://schemas.openxmlformats.org/officeDocument/2006/relationships/hyperlink" Target="http://www.sec.gov/Archives/edgar/data/916365/000091636511000030/ex10_42.htm" TargetMode="External"/><Relationship Id="rId56" Type="http://schemas.openxmlformats.org/officeDocument/2006/relationships/hyperlink" Target="https://www.sec.gov/Archives/edgar/data/916365/000091636521000052/ex1061nonqualifiedstockopt.htm" TargetMode="External"/><Relationship Id="rId77" Type="http://schemas.openxmlformats.org/officeDocument/2006/relationships/hyperlink" Target="https://www.sec.gov/Archives/edgar/data/916365/000091636522000049/ex1047-performanceshareuni.htm" TargetMode="External"/><Relationship Id="rId100" Type="http://schemas.openxmlformats.org/officeDocument/2006/relationships/hyperlink" Target="https://www.sec.gov/Archives/edgar/data/916365/000091636522000049/ex1051-nonqualifiedstockop.htm" TargetMode="External"/><Relationship Id="rId105" Type="http://schemas.openxmlformats.org/officeDocument/2006/relationships/hyperlink" Target="https://www.sec.gov/Archives/edgar/data/916365/000091636522000112/ex104omnibusamendmenttonon.htm" TargetMode="External"/><Relationship Id="rId8" Type="http://schemas.openxmlformats.org/officeDocument/2006/relationships/hyperlink" Target="https://www.sec.gov/Archives/edgar/data/916365/000091636522000112/ex31sixthamendedandrestate.htm" TargetMode="External"/><Relationship Id="rId51" Type="http://schemas.openxmlformats.org/officeDocument/2006/relationships/hyperlink" Target="https://www.sec.gov/Archives/edgar/data/916365/000091636521000062/a2021ceochangeincontrolagr.htm" TargetMode="External"/><Relationship Id="rId72" Type="http://schemas.openxmlformats.org/officeDocument/2006/relationships/hyperlink" Target="https://www.sec.gov/Archives/edgar/data/916365/000091636522000049/ex1046-restrictedshareunit.htm" TargetMode="External"/><Relationship Id="rId93" Type="http://schemas.openxmlformats.org/officeDocument/2006/relationships/hyperlink" Target="https://www.sec.gov/Archives/edgar/data/916365/000091636522000049/ex1050-performanceshareuni.htm" TargetMode="External"/><Relationship Id="rId98" Type="http://schemas.openxmlformats.org/officeDocument/2006/relationships/hyperlink" Target="https://www.sec.gov/Archives/edgar/data/916365/000091636522000049/ex1051-nonqualifiedstockop.htm" TargetMode="External"/><Relationship Id="rId121" Type="http://schemas.openxmlformats.org/officeDocument/2006/relationships/hyperlink" Target="ex312-cfocertification2022.htm" TargetMode="External"/><Relationship Id="rId3" Type="http://schemas.openxmlformats.org/officeDocument/2006/relationships/webSettings" Target="webSettings.xml"/><Relationship Id="rId25" Type="http://schemas.openxmlformats.org/officeDocument/2006/relationships/hyperlink" Target="http://www.sec.gov/Archives/edgar/data/916365/000129993306002914/exhibit1.htm" TargetMode="External"/><Relationship Id="rId46" Type="http://schemas.openxmlformats.org/officeDocument/2006/relationships/hyperlink" Target="https://www.sec.gov/Archives/edgar/data/916365/000091636519000035/a201810-kex1040formofperfo.htm" TargetMode="External"/><Relationship Id="rId67" Type="http://schemas.openxmlformats.org/officeDocument/2006/relationships/hyperlink" Target="https://www.sec.gov/Archives/edgar/data/916365/000091636522000049/ex1045-restrictedshareunit.htm" TargetMode="External"/><Relationship Id="rId116" Type="http://schemas.openxmlformats.org/officeDocument/2006/relationships/hyperlink" Target="ex1063-psuawardagreementceo.htm" TargetMode="External"/><Relationship Id="rId20" Type="http://schemas.openxmlformats.org/officeDocument/2006/relationships/hyperlink" Target="http://www.sec.gov/Archives/edgar/data/916365/000095014401003865/g67748ex10-57.txt" TargetMode="External"/><Relationship Id="rId41" Type="http://schemas.openxmlformats.org/officeDocument/2006/relationships/hyperlink" Target="http://www.sec.gov/Archives/edgar/data/916365/000091636518000093/q2201810qex102formofnonqua.htm" TargetMode="External"/><Relationship Id="rId62" Type="http://schemas.openxmlformats.org/officeDocument/2006/relationships/hyperlink" Target="https://www.sec.gov/Archives/edgar/data/916365/000091636522000049/ex1045-restrictedshareunit.htm" TargetMode="External"/><Relationship Id="rId83" Type="http://schemas.openxmlformats.org/officeDocument/2006/relationships/hyperlink" Target="https://www.sec.gov/Archives/edgar/data/916365/000091636522000049/ex1048-nonqualifiedstockop.htm" TargetMode="External"/><Relationship Id="rId88" Type="http://schemas.openxmlformats.org/officeDocument/2006/relationships/hyperlink" Target="https://www.sec.gov/Archives/edgar/data/916365/000091636522000049/ex1049-restrictedshareunit.htm" TargetMode="External"/><Relationship Id="rId111" Type="http://schemas.openxmlformats.org/officeDocument/2006/relationships/hyperlink" Target="https://www.sec.gov/Archives/edgar/data/916365/000091636523000037/exhibit104psuawardagreemen.htm" TargetMode="External"/><Relationship Id="rId15" Type="http://schemas.openxmlformats.org/officeDocument/2006/relationships/hyperlink" Target="http://www.sec.gov/Archives/edgar/data/916365/000119312520282282/d63980dex42.htm" TargetMode="External"/><Relationship Id="rId36" Type="http://schemas.openxmlformats.org/officeDocument/2006/relationships/hyperlink" Target="http://www.sec.gov/Archives/edgar/data/916365/000091636515000042/a201410-kex1034.htm" TargetMode="External"/><Relationship Id="rId57" Type="http://schemas.openxmlformats.org/officeDocument/2006/relationships/hyperlink" Target="http://www.sec.gov/Archives/edgar/data/916365/000091636520000184/firstamendmenttonotepu.htm" TargetMode="External"/><Relationship Id="rId106" Type="http://schemas.openxmlformats.org/officeDocument/2006/relationships/hyperlink" Target="https://www.sec.gov/Archives/edgar/data/916365/000091636523000037/exhibit101employmentagreem.htm" TargetMode="External"/><Relationship Id="rId10" Type="http://schemas.openxmlformats.org/officeDocument/2006/relationships/hyperlink" Target="https://www.sec.gov/Archives/edgar/data/916365/000091636522000112/ex31sixthamendedandrestate.htm" TargetMode="External"/><Relationship Id="rId31" Type="http://schemas.openxmlformats.org/officeDocument/2006/relationships/hyperlink" Target="http://www.sec.gov/Archives/edgar/data/916365/000095012309029586/c88667exv10w46.htm" TargetMode="External"/><Relationship Id="rId52" Type="http://schemas.openxmlformats.org/officeDocument/2006/relationships/hyperlink" Target="http://www.sec.gov/Archives/edgar/data/916365/000091636520000050/a201910-kex1048.htm" TargetMode="External"/><Relationship Id="rId73" Type="http://schemas.openxmlformats.org/officeDocument/2006/relationships/hyperlink" Target="https://www.sec.gov/Archives/edgar/data/916365/000091636522000049/ex1046-restrictedshareunit.htm" TargetMode="External"/><Relationship Id="rId78" Type="http://schemas.openxmlformats.org/officeDocument/2006/relationships/hyperlink" Target="https://www.sec.gov/Archives/edgar/data/916365/000091636522000049/ex1047-performanceshareuni.htm" TargetMode="External"/><Relationship Id="rId94" Type="http://schemas.openxmlformats.org/officeDocument/2006/relationships/hyperlink" Target="https://www.sec.gov/Archives/edgar/data/916365/000091636522000049/ex1050-performanceshareuni.htm" TargetMode="External"/><Relationship Id="rId99" Type="http://schemas.openxmlformats.org/officeDocument/2006/relationships/hyperlink" Target="https://www.sec.gov/Archives/edgar/data/916365/000091636522000049/ex1051-nonqualifiedstockop.htm" TargetMode="External"/><Relationship Id="rId101" Type="http://schemas.openxmlformats.org/officeDocument/2006/relationships/hyperlink" Target="https://www.sec.gov/Archives/edgar/data/916365/000091636522000049/ex1051-nonqualifiedstockop.htm" TargetMode="External"/><Relationship Id="rId122" Type="http://schemas.openxmlformats.org/officeDocument/2006/relationships/hyperlink" Target="ex32-2022ceocfocertificati.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53147</Words>
  <Characters>302942</Characters>
  <Application>Microsoft Office Word</Application>
  <DocSecurity>0</DocSecurity>
  <Lines>2524</Lines>
  <Paragraphs>710</Paragraphs>
  <ScaleCrop>false</ScaleCrop>
  <Company/>
  <LinksUpToDate>false</LinksUpToDate>
  <CharactersWithSpaces>355379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tsco-20221231</dc:title>
  <dc:subject/>
  <dc:creator>Chongjian.Yue</dc:creator>
  <cp:keywords/>
  <dc:description/>
  <cp:lastModifiedBy>Yue Chongjian</cp:lastModifiedBy>
  <cp:revision>1</cp:revision>
  <dcterms:created xsi:type="dcterms:W3CDTF">2024-01-04T16:02:00Z</dcterms:created>
  <dcterms:modified xsi:type="dcterms:W3CDTF">2024-01-04T16:02:00Z</dcterms:modified>
</cp:coreProperties>
</file>