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F2D19">
      <w:pPr>
        <w:divId w:val="910694419"/>
        <w:rPr>
          <w:rFonts w:eastAsia="Times New Roman"/>
          <w:vanish/>
        </w:rPr>
      </w:pPr>
      <w:r>
        <w:rPr>
          <w:rFonts w:eastAsia="Times New Roman"/>
          <w:vanish/>
        </w:rPr>
        <w:t>false--12-31FY00018039010001803901talk:WarrantsMembertalk:SeriesDConvertiblePreferredStockMember2019-01-012019-12-310001803901us-gaap:ConvertiblePreferredStockMember2021-12-310001803901</w:t>
      </w:r>
      <w:r>
        <w:rPr>
          <w:rFonts w:eastAsia="Times New Roman"/>
          <w:vanish/>
        </w:rPr>
        <w:t>us-gaap:AdditionalPaidInCapitalMember2018-12-310001803901talk:OldTalkspaceMemberus-gaap:SeriesBPreferredStockMember2021-06-220001803901talk:LastingMember2021-01-012021-12-310001803901talk:OldTalkspaceWarrantsMember2020-12-310001803901us-gaap:ForwardContrac</w:t>
      </w:r>
      <w:r>
        <w:rPr>
          <w:rFonts w:eastAsia="Times New Roman"/>
          <w:vanish/>
        </w:rPr>
        <w:t>tsMemberus-gaap:PrivatePlacementMembertalk:HecMasterFundLpMember2021-06-222021-06-220001803901us-gaap:AdditionalPaidInCapitalMember2020-01-012020-12-310001803901us-gaap:CustomerRelationshipsMember2020-12-310001803901talk:OldTalkspaceMembertalk:SeedTwoConve</w:t>
      </w:r>
      <w:r>
        <w:rPr>
          <w:rFonts w:eastAsia="Times New Roman"/>
          <w:vanish/>
        </w:rPr>
        <w:t>rtiblePreferredStockMember2021-06-2200018039012021-06-012021-06-300001803901us-gaap:RetainedEarningsMember2019-12-310001803901us-gaap:CustomerConcentrationRiskMembertalk:CustomerTwoMemberus-gaap:AccountsReceivableMember2019-01-012019-12-310001803901us-gaap</w:t>
      </w:r>
      <w:r>
        <w:rPr>
          <w:rFonts w:eastAsia="Times New Roman"/>
          <w:vanish/>
        </w:rPr>
        <w:t>:RetainedEarningsMember2019-01-012019-12-310001803901talk:CommercialMember2021-01-012021-12-310001803901us-gaap:ConvertiblePreferredStockMember2019-12-310001803901talk:PrivatePlacementWarrantMember2021-01-012021-12-310001803901talk:SubscriptionAgreementMem</w:t>
      </w:r>
      <w:r>
        <w:rPr>
          <w:rFonts w:eastAsia="Times New Roman"/>
          <w:vanish/>
        </w:rPr>
        <w:t>bertalk:PipeInvestorsMember2021-06-220001803901us-gaap:ForwardContractsMemberus-gaap:CommonClassAMembertalk:HecMasterFundLpMember2021-06-220001803901us-gaap:SellingAndMarketingExpenseMember2020-01-012020-12-310001803901us-gaap:CommonStockMember2019-12-3100</w:t>
      </w:r>
      <w:r>
        <w:rPr>
          <w:rFonts w:eastAsia="Times New Roman"/>
          <w:vanish/>
        </w:rPr>
        <w:t>018039012019-01-012019-12-310001803901us-gaap:CommonClassAMembertalk:HecMasterFundLpMember2021-06-222021-06-220001803901talk:ElectronicEquipmentMember2021-01-012021-12-310001803901talk:MrAndMsFrankMember2021-10-012021-12-3100018039012021-12-310001803901us-</w:t>
      </w:r>
      <w:r>
        <w:rPr>
          <w:rFonts w:eastAsia="Times New Roman"/>
          <w:vanish/>
        </w:rPr>
        <w:t>gaap:ConvertiblePreferredStockMember2021-01-012021-12-310001803901us-gaap:EmployeeStockOptionMember2020-01-012020-12-3100018039012021-06-300001803901srt:MinimumMember2020-01-012020-12-310001803901us-gaap:StateAndLocalJurisdictionMember2021-12-310001803901t</w:t>
      </w:r>
      <w:r>
        <w:rPr>
          <w:rFonts w:eastAsia="Times New Roman"/>
          <w:vanish/>
        </w:rPr>
        <w:t>alk:PrivatePlacementWarrantMember2020-12-310001803901us-gaap:ResearchAndDevelopmentExpenseMember2019-01-012019-12-310001803901us-gaap:SeriesDPreferredStockMemberus-gaap:FairValueInputsLevel3Memberus-gaap:FairValueMeasurementsRecurringMember2021-12-31000180</w:t>
      </w:r>
      <w:r>
        <w:rPr>
          <w:rFonts w:eastAsia="Times New Roman"/>
          <w:vanish/>
        </w:rPr>
        <w:t>39012020-01-012020-06-300001803901us-gaap:CustomerRelationshipsMembertalk:LastingMember2020-11-012020-11-010001803901talk:OldTalkspaceMembertalk:SeedPreferredStockMember2021-06-220001803901talk:TermLoanMembertalk:CreditAndSecurityAgreementMembertalk:OldTal</w:t>
      </w:r>
      <w:r>
        <w:rPr>
          <w:rFonts w:eastAsia="Times New Roman"/>
          <w:vanish/>
        </w:rPr>
        <w:t>kspaceMember2021-03-150001803901srt:MaximumMembertalk:TwoThousandAndTwentyOneEmployeeStockPurchasePlanMemberus-gaap:CommonStockMember2021-12-310001803901srt:MaximumMembertalk:NoCustomerMemberus-gaap:CustomerConcentrationRiskMember2020-01-012020-12-31000180</w:t>
      </w:r>
      <w:r>
        <w:rPr>
          <w:rFonts w:eastAsia="Times New Roman"/>
          <w:vanish/>
        </w:rPr>
        <w:t>3901talk:TwoThousandAndTwentyOneEmployeeStockPurchasePlanMemberus-gaap:CommonStockMember2021-12-310001803901us-gaap:TechnologyBasedIntangibleAssetsMember2020-12-310001803901us-gaap:GeneralAndAdministrativeExpenseMember2019-01-012019-12-310001803901us-gaap:</w:t>
      </w:r>
      <w:r>
        <w:rPr>
          <w:rFonts w:eastAsia="Times New Roman"/>
          <w:vanish/>
        </w:rPr>
        <w:t>AdditionalPaidInCapitalMember2021-12-310001803901us-gaap:GeneralAndAdministrativeExpenseMember2021-01-012021-12-310001803901talk:PublicWarrantsMember2021-01-012021-12-3100018039012021-01-012021-12-310001803901us-gaap:SellingAndMarketingExpenseMember2019-01</w:t>
      </w:r>
      <w:r>
        <w:rPr>
          <w:rFonts w:eastAsia="Times New Roman"/>
          <w:vanish/>
        </w:rPr>
        <w:t>-012019-12-310001803901us-gaap:WarrantMember2021-01-012021-12-310001803901talk:SubscriptionAgreementMembertalk:PipeInvestorsMember2021-06-222021-06-2200018039012021-06-222021-06-220001803901srt:MinimumMemberus-gaap:CommonStockMember2020-12-310001803901us-g</w:t>
      </w:r>
      <w:r>
        <w:rPr>
          <w:rFonts w:eastAsia="Times New Roman"/>
          <w:vanish/>
        </w:rPr>
        <w:t>aap:ResearchAndDevelopmentExpenseMember2020-01-012020-12-310001803901talk:TermLoanMembertalk:JpmorganChaseBankNaMembertalk:CreditAndSecurityAgreementMembertalk:OldTalkspaceMember2021-03-152021-03-150001803901talk:OldTalkspaceMember2021-06-220001803901us-ga</w:t>
      </w:r>
      <w:r>
        <w:rPr>
          <w:rFonts w:eastAsia="Times New Roman"/>
          <w:vanish/>
        </w:rPr>
        <w:t>ap:RestrictedStockUnitsRSUMember2020-12-310001803901us-gaap:CommonStockMember2021-01-012021-12-310001803901srt:MaximumMember2019-01-012019-12-310001803901talk:OldTalkspaceMemberus-gaap:SeriesDPreferredStockMember2020-12-310001803901us-gaap:SellingAndMarket</w:t>
      </w:r>
      <w:r>
        <w:rPr>
          <w:rFonts w:eastAsia="Times New Roman"/>
          <w:vanish/>
        </w:rPr>
        <w:t>ingExpenseMember2021-01-012021-12-310001803901talk:SeedTwoConvertiblePreferredStockMembertalk:OldTalkspacesMember2020-12-3100018039012019-12-310001803901srt:MinimumMember2021-01-012021-12-310001803901us-gaap:NoncompeteAgreementsMember2020-12-310001803901ta</w:t>
      </w:r>
      <w:r>
        <w:rPr>
          <w:rFonts w:eastAsia="Times New Roman"/>
          <w:vanish/>
        </w:rPr>
        <w:t>lk:HealthPlansAndEapCustomersMember2021-12-310001803901talk:OldTalkspaceMember2021-06-222021-06-220001803901us-gaap:NoncompeteAgreementsMembertalk:LastingMember2020-11-012020-11-010001803901us-gaap:CommonStockMember2021-01-012021-12-310001803901us-gaap:Ret</w:t>
      </w:r>
      <w:r>
        <w:rPr>
          <w:rFonts w:eastAsia="Times New Roman"/>
          <w:vanish/>
        </w:rPr>
        <w:t>ainedEarningsMember2021-01-012021-12-310001803901talk:JpmorganChaseBankNaMembertalk:CreditAgreementMember2021-03-150001803901talk:LastingMember2020-11-012020-11-010001803901srt:MinimumMembercountry:US2019-01-012019-12-310001803901us-gaap:EmployeeStockOptio</w:t>
      </w:r>
      <w:r>
        <w:rPr>
          <w:rFonts w:eastAsia="Times New Roman"/>
          <w:vanish/>
        </w:rPr>
        <w:t>nMember2021-12-310001803901us-gaap:TechnologyBasedIntangibleAssetsMembertalk:LastingMember2020-11-012020-11-010001803901us-gaap:CommonStockMember2020-12-310001803901us-gaap:FairValueInputsLevel3Membertalk:PrivatePlacementWarrantMemberus-gaap:FairValueMeasu</w:t>
      </w:r>
      <w:r>
        <w:rPr>
          <w:rFonts w:eastAsia="Times New Roman"/>
          <w:vanish/>
        </w:rPr>
        <w:t>rementsRecurringMember2020-12-310001803901us-gaap:AdditionalPaidInCapitalMember2020-12-310001803901srt:MaximumMember2021-01-012021-12-310001803901talk:OldTalkspaceWarrantsMember2021-12-310001803901talk:AppBasedSubscriptionForRelationshipAndCoupleCounseling</w:t>
      </w:r>
      <w:r>
        <w:rPr>
          <w:rFonts w:eastAsia="Times New Roman"/>
          <w:vanish/>
        </w:rPr>
        <w:t>Member2020-11-010001803901srt:MaximumMemberus-gaap:CommonStockMembertalk:TwoThousandAndTwentyOneIncentiveAwardPlanMember2021-01-012021-12-310001803901talk:MrAndMsFrankMember2021-11-150001803901us-gaap:AdditionalPaidInCapitalMember2021-01-012021-12-31000180</w:t>
      </w:r>
      <w:r>
        <w:rPr>
          <w:rFonts w:eastAsia="Times New Roman"/>
          <w:vanish/>
        </w:rPr>
        <w:t>3901talk:SeriesCConvertiblePreferredStockMember2020-01-012020-12-310001803901us-gaap:CommonStockMember2021-12-310001803901talk:ClinicalOperationsMember2020-01-012020-12-310001803901srt:MinimumMembercountry:US2020-01-012020-12-310001803901talk:ClinicalOpera</w:t>
      </w:r>
      <w:r>
        <w:rPr>
          <w:rFonts w:eastAsia="Times New Roman"/>
          <w:vanish/>
        </w:rPr>
        <w:t>tionsMember2019-01-012019-12-310001803901us-gaap:EmployeeStockOptionMember2021-01-012021-12-310001803901us-gaap:FairValueInputsLevel3Membertalk:PrivatePlacementWarrantMemberus-gaap:FairValueMeasurementsRecurringMember2021-12-310001803901talk:SeriesDConvert</w:t>
      </w:r>
      <w:r>
        <w:rPr>
          <w:rFonts w:eastAsia="Times New Roman"/>
          <w:vanish/>
        </w:rPr>
        <w:t>iblePreferredStockMember2020-01-012020-12-310001803901us-gaap:ConvertiblePreferredStockMember2019-01-012019-12-310001803901talk:CreditAgreementMember2021-05-310001803901talk:OldTalkspaceWarrantsMember2021-01-012021-12-310001803901us-gaap:CommonStockMember2</w:t>
      </w:r>
      <w:r>
        <w:rPr>
          <w:rFonts w:eastAsia="Times New Roman"/>
          <w:vanish/>
        </w:rPr>
        <w:t>018-12-310001803901us-gaap:CommonStockMember2020-01-012020-12-310001803901talk:OldTalkspaceMember2021-01-012021-12-310001803901us-gaap:CommonStockMembertalk:TwoThousandAndTwentyOneIncentiveAwardPlanMember2021-12-310001803901us-gaap:FederalMinistryOfFinance</w:t>
      </w:r>
      <w:r>
        <w:rPr>
          <w:rFonts w:eastAsia="Times New Roman"/>
          <w:vanish/>
        </w:rPr>
        <w:t>GermanyMember2021-12-310001803901talk:CustomerOneMemberus-gaap:CustomerConcentrationRiskMemberus-gaap:AccountsReceivableMember2019-01-012019-12-310001803901srt:MinimumMembercountry:US2021-01-012021-12-3100018039012022-02-210001803901talk:CustomerThreeMembe</w:t>
      </w:r>
      <w:r>
        <w:rPr>
          <w:rFonts w:eastAsia="Times New Roman"/>
          <w:vanish/>
        </w:rPr>
        <w:t>rus-gaap:CustomerConcentrationRiskMemberus-gaap:AccountsReceivableMember2019-01-012019-12-310001803901us-gaap:GeneralAndAdministrativeExpenseMember2020-01-012020-12-310001803901talk:ConsumerMember2021-01-012021-12-310001803901talk:CommercialMember2020-01-0</w:t>
      </w:r>
      <w:r>
        <w:rPr>
          <w:rFonts w:eastAsia="Times New Roman"/>
          <w:vanish/>
        </w:rPr>
        <w:t>12020-12-310001803901srt:MinimumMember2019-01-012019-12-310001803901talk:CreditAndSecurityAgreementMember2021-12-310001803901talk:ConvertiblePreferredStockSeriesSeedSeedOneSeedTwoAbcAndDMember2020-12-3100018039012018-12-310001803901us-gaap:TechnologyBasedI</w:t>
      </w:r>
      <w:r>
        <w:rPr>
          <w:rFonts w:eastAsia="Times New Roman"/>
          <w:vanish/>
        </w:rPr>
        <w:t>ntangibleAssetsMember2021-12-310001803901us-gaap:NoncompeteAgreementsMember2021-12-310001803901us-gaap:ConvertiblePreferredStockMember2018-12-310001803901talk:OldTalkspaceMemberus-gaap:CommonStockMember2021-06-220001803901talk:TwoThousandAndTwentyOneIncent</w:t>
      </w:r>
      <w:r>
        <w:rPr>
          <w:rFonts w:eastAsia="Times New Roman"/>
          <w:vanish/>
        </w:rPr>
        <w:t>iveAwardPlanMember2021-12-310001803901us-gaap:ForwardContractsMemberus-gaap:CommonClassAMembertalk:HecMasterFundLpMember2021-06-222021-06-220001803901talk:SeedConvertiblePreferredStockMembertalk:OldTalkspacesMember2020-12-310001803901talk:ConsumerMember202</w:t>
      </w:r>
      <w:r>
        <w:rPr>
          <w:rFonts w:eastAsia="Times New Roman"/>
          <w:vanish/>
        </w:rPr>
        <w:t>0-01-012020-12-310001803901talk:SeedOneConvertiblePreferredStockMembertalk:OldTalkspaceMember2021-06-220001803901talk:WarrantsMemberus-gaap:CommonStockMember2019-01-012019-12-3100018039012021-06-220001803901us-gaap:EmployeeStockOptionMember2020-01-012020-1</w:t>
      </w:r>
      <w:r>
        <w:rPr>
          <w:rFonts w:eastAsia="Times New Roman"/>
          <w:vanish/>
        </w:rPr>
        <w:t>2-310001803901srt:MaximumMembertalk:TwoThousandAndTwentyOneEmployeeStockPurchasePlanMember2021-01-012021-12-3100018039012020-12-310001803901talk:ConsumerMember2019-01-012019-12-310001803901talk:MrAndMsFrankMember2021-01-012021-12-310001803901us-gaap:Restri</w:t>
      </w:r>
      <w:r>
        <w:rPr>
          <w:rFonts w:eastAsia="Times New Roman"/>
          <w:vanish/>
        </w:rPr>
        <w:t>ctedStockMember2021-01-012021-12-310001803901srt:MaximumMember2020-01-012020-12-310001803901us-gaap:RetainedEarningsMember2020-01-012020-12-3100018039012020-01-012020-12-310001803901us-gaap:RestrictedStockUnitsRSUMember2021-12-310001803901us-gaap:CommonSto</w:t>
      </w:r>
      <w:r>
        <w:rPr>
          <w:rFonts w:eastAsia="Times New Roman"/>
          <w:vanish/>
        </w:rPr>
        <w:t>ckMember2019-01-012019-12-310001803901talk:CommercialMember2019-01-012019-12-310001803901talk:SeriesCConvertiblePreferredStockMembertalk:OldTalkspacesMember2020-12-310001803901us-gaap:SeriesDPreferredStockMemberus-gaap:FairValueInputsLevel3Memberus-gaap:Fa</w:t>
      </w:r>
      <w:r>
        <w:rPr>
          <w:rFonts w:eastAsia="Times New Roman"/>
          <w:vanish/>
        </w:rPr>
        <w:t>irValueMeasurementsRecurringMember2020-12-310001803901talk:PrivatePlacementWarrantMember2021-06-220001803901us-gaap:SeriesCPreferredStockMembertalk:OldTalkspaceMember2021-06-220001803901us-gaap:RetainedEarningsMember2020-12-310001803901talk:TalkspaceIncMem</w:t>
      </w:r>
      <w:r>
        <w:rPr>
          <w:rFonts w:eastAsia="Times New Roman"/>
          <w:vanish/>
        </w:rPr>
        <w:t>berus-gaap:CommonStockMember2021-06-220001803901talk:OldTalkspaceMemberus-gaap:SeriesAPreferredStockMember2021-06-220001803901talk:SeriesAConvertiblePreferredStockMembertalk:OldTalkspacesMember2020-12-310001803901us-gaap:ConvertiblePreferredStockMember2020</w:t>
      </w:r>
      <w:r>
        <w:rPr>
          <w:rFonts w:eastAsia="Times New Roman"/>
          <w:vanish/>
        </w:rPr>
        <w:t>-12-310001803901talk:CreditAgreementMembertalk:OldTalkspaceMember2021-03-150001803901us-gaap:CustomerRelationshipsMember2021-12-310001803901talk:CustomerOneMemberus-gaap:CustomerConcentrationRiskMemberus-gaap:AccountsReceivableMember2021-01-012021-12-31000</w:t>
      </w:r>
      <w:r>
        <w:rPr>
          <w:rFonts w:eastAsia="Times New Roman"/>
          <w:vanish/>
        </w:rPr>
        <w:t>1803901talk:PublicWarrantsMember2021-06-220001803901talk:WarrantsMembertalk:SeriesDConvertiblePreferredStockMember2020-01-012020-12-310001803901us-gaap:ForwardContractsMembertalk:HecMasterFundLpMember2021-06-222021-06-220001803901talk:SeedOneConvertiblePre</w:t>
      </w:r>
      <w:r>
        <w:rPr>
          <w:rFonts w:eastAsia="Times New Roman"/>
          <w:vanish/>
        </w:rPr>
        <w:t>ferredStockMembertalk:OldTalkspacesMember2020-12-310001803901srt:MaximumMembertalk:NoCustomerMemberus-gaap:CustomerConcentrationRiskMember2019-01-012019-12-310001803901talk:SeriesDConvertiblePreferredStockMembertalk:OldTalkspacesMember2020-12-310001803901t</w:t>
      </w:r>
      <w:r>
        <w:rPr>
          <w:rFonts w:eastAsia="Times New Roman"/>
          <w:vanish/>
        </w:rPr>
        <w:t>alk:OldTalkspaceMemberus-gaap:CommonStockMember2020-12-310001803901talk:PublicWarrantsMember2021-06-222021-06-220001803901us-gaap:RestrictedStockUnitsRSUMember2021-01-012021-12-310001803901talk:SeriesBConvertiblePreferredStockMembertalk:OldTalkspacesMember</w:t>
      </w:r>
      <w:r>
        <w:rPr>
          <w:rFonts w:eastAsia="Times New Roman"/>
          <w:vanish/>
        </w:rPr>
        <w:t>2020-12-310001803901us-gaap:ConvertiblePreferredStockMembertalk:OldTalkspacesMember2020-12-310001803901us-gaap:RetainedEarningsMember2018-12-310001803901talk:OldTalkspaceMemberus-gaap:SeriesDPreferredStockMember2021-06-220001803901talk:CreditAgreementMembe</w:t>
      </w:r>
      <w:r>
        <w:rPr>
          <w:rFonts w:eastAsia="Times New Roman"/>
          <w:vanish/>
        </w:rPr>
        <w:t>r2021-06-012021-06-300001803901us-gaap:ComputerEquipmentMember2021-01-012021-12-310001803901us-gaap:ConvertiblePreferredStockMember2020-01-012020-12-310001803901talk:WarrantsMemberus-gaap:CommonStockMember2020-01-012020-12-310001803901us-gaap:ResearchAndDe</w:t>
      </w:r>
      <w:r>
        <w:rPr>
          <w:rFonts w:eastAsia="Times New Roman"/>
          <w:vanish/>
        </w:rPr>
        <w:t>velopmentExpenseMember2021-01-012021-12-310001803901us-gaap:EmployeeStockOptionMember2021-01-012021-12-310001803901talk:ClinicalOperationsMember2021-01-012021-12-310001803901talk:ConvertiblePreferredStockSeriesSeedSeedOneSeedTwoAbcAndDMember2021-12-3100018</w:t>
      </w:r>
      <w:r>
        <w:rPr>
          <w:rFonts w:eastAsia="Times New Roman"/>
          <w:vanish/>
        </w:rPr>
        <w:t>03901talk:PrivatePlacementWarrantMember2021-06-222021-06-220001803901us-gaap:AdditionalPaidInCapitalMember2019-12-310001803901us-gaap:ConvertiblePreferredStockMember2019-01-012019-12-310001803901us-gaap:RetainedEarningsMember2021-12-310001803901us-gaap:Add</w:t>
      </w:r>
      <w:r>
        <w:rPr>
          <w:rFonts w:eastAsia="Times New Roman"/>
          <w:vanish/>
        </w:rPr>
        <w:t>itionalPaidInCapitalMember2019-01-012019-12-310001803901srt:MaximumMembertalk:NoCustomerMemberus-gaap:CustomerConcentrationRiskMember2021-01-012021-12-310001803901talk:CustomerOneMemberus-gaap:CustomerConcentrationRiskMemberus-gaap:AccountsReceivableMember</w:t>
      </w:r>
      <w:r>
        <w:rPr>
          <w:rFonts w:eastAsia="Times New Roman"/>
          <w:vanish/>
        </w:rPr>
        <w:t>2020-01-012020-12-310001803901us-gaap:EmployeeStockOptionMember2019-01-012019-12-310001803901talk:CreditAndSecurityAgreementMember2021-01-012021-12-310001803901talk:PrivatePlacementWarrantMember2021-12-31talk:Unitxbrli:pureiso4217:USDxbrli:sharesxbrli:shar</w:t>
      </w:r>
      <w:r>
        <w:rPr>
          <w:rFonts w:eastAsia="Times New Roman"/>
          <w:vanish/>
        </w:rPr>
        <w:t>estalk:Segmentiso4217:USD</w: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pBdr>
          <w:top w:val="double" w:sz="6" w:space="1" w:color="auto"/>
        </w:pBdr>
        <w:spacing w:before="0" w:beforeAutospacing="0" w:after="0" w:afterAutospacing="0" w:line="120" w:lineRule="atLeast"/>
        <w:rPr>
          <w:sz w:val="20"/>
          <w:szCs w:val="20"/>
        </w:rPr>
      </w:pPr>
      <w:r>
        <w:rPr>
          <w:sz w:val="16"/>
          <w:szCs w:val="16"/>
        </w:rPr>
        <w:t> </w:t>
      </w:r>
    </w:p>
    <w:p w:rsidR="00000000" w:rsidRDefault="00AF2D19">
      <w:pPr>
        <w:pStyle w:val="a3"/>
        <w:spacing w:before="0" w:beforeAutospacing="0" w:after="0" w:afterAutospacing="0"/>
        <w:jc w:val="center"/>
        <w:rPr>
          <w:sz w:val="20"/>
          <w:szCs w:val="20"/>
        </w:rPr>
      </w:pPr>
      <w:r>
        <w:rPr>
          <w:b/>
          <w:bCs/>
          <w:sz w:val="32"/>
          <w:szCs w:val="32"/>
        </w:rPr>
        <w:t>UNITED STATE</w:t>
      </w:r>
      <w:r>
        <w:rPr>
          <w:b/>
          <w:bCs/>
          <w:sz w:val="32"/>
          <w:szCs w:val="32"/>
        </w:rPr>
        <w:t>S</w:t>
      </w:r>
    </w:p>
    <w:p w:rsidR="00000000" w:rsidRDefault="00AF2D19">
      <w:pPr>
        <w:pStyle w:val="a3"/>
        <w:spacing w:before="0" w:beforeAutospacing="0" w:after="0" w:afterAutospacing="0"/>
        <w:jc w:val="center"/>
        <w:rPr>
          <w:sz w:val="20"/>
          <w:szCs w:val="20"/>
        </w:rPr>
      </w:pPr>
      <w:r>
        <w:rPr>
          <w:b/>
          <w:bCs/>
          <w:sz w:val="32"/>
          <w:szCs w:val="32"/>
        </w:rPr>
        <w:t>SECURITIES AND EXCHANGE COMMISSIO</w:t>
      </w:r>
      <w:r>
        <w:rPr>
          <w:b/>
          <w:bCs/>
          <w:sz w:val="32"/>
          <w:szCs w:val="32"/>
        </w:rPr>
        <w:t>N</w:t>
      </w:r>
    </w:p>
    <w:p w:rsidR="00000000" w:rsidRDefault="00AF2D19">
      <w:pPr>
        <w:pStyle w:val="a3"/>
        <w:spacing w:before="0" w:beforeAutospacing="0" w:after="0" w:afterAutospacing="0"/>
        <w:jc w:val="center"/>
        <w:rPr>
          <w:sz w:val="20"/>
          <w:szCs w:val="20"/>
        </w:rPr>
      </w:pPr>
      <w:r>
        <w:rPr>
          <w:b/>
          <w:bCs/>
          <w:sz w:val="20"/>
          <w:szCs w:val="20"/>
        </w:rPr>
        <w:t>Washington, D.C. 2054</w:t>
      </w:r>
      <w:r>
        <w:rPr>
          <w:b/>
          <w:bCs/>
          <w:sz w:val="20"/>
          <w:szCs w:val="20"/>
        </w:rPr>
        <w:t>9</w:t>
      </w:r>
    </w:p>
    <w:p w:rsidR="00000000" w:rsidRDefault="00AF2D19">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AF2D19">
      <w:pPr>
        <w:pStyle w:val="a3"/>
        <w:spacing w:before="6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K</w:t>
      </w:r>
    </w:p>
    <w:p w:rsidR="00000000" w:rsidRDefault="00AF2D19">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AF2D19">
      <w:pPr>
        <w:pStyle w:val="a3"/>
        <w:spacing w:before="60" w:beforeAutospacing="0" w:after="0" w:afterAutospacing="0"/>
        <w:rPr>
          <w:sz w:val="20"/>
          <w:szCs w:val="20"/>
        </w:rPr>
      </w:pPr>
      <w:r>
        <w:rPr>
          <w:b/>
          <w:bCs/>
          <w:sz w:val="16"/>
          <w:szCs w:val="16"/>
        </w:rPr>
        <w:t>(Mark One</w:t>
      </w:r>
      <w:r>
        <w:rPr>
          <w:b/>
          <w:bCs/>
          <w:sz w:val="16"/>
          <w:szCs w:val="16"/>
        </w:rPr>
        <w:t>)</w:t>
      </w:r>
      <w:r>
        <w:rPr>
          <w:b/>
          <w:bCs/>
          <w:sz w:val="16"/>
          <w:szCs w:val="16"/>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AF2D19">
            <w:pPr>
              <w:rPr>
                <w:sz w:val="20"/>
                <w:szCs w:val="20"/>
              </w:rPr>
            </w:pPr>
          </w:p>
        </w:tc>
        <w:tc>
          <w:tcPr>
            <w:tcW w:w="4800" w:type="pct"/>
            <w:vAlign w:val="center"/>
            <w:hideMark/>
          </w:tcPr>
          <w:p w:rsidR="00000000" w:rsidRDefault="00AF2D19">
            <w:pPr>
              <w:rPr>
                <w:rFonts w:eastAsia="Times New Roman"/>
                <w:sz w:val="20"/>
                <w:szCs w:val="20"/>
              </w:rPr>
            </w:pPr>
          </w:p>
        </w:tc>
      </w:tr>
      <w:tr w:rsidR="00000000">
        <w:trPr>
          <w:trHeight w:val="180"/>
          <w:tblCellSpacing w:w="15" w:type="dxa"/>
        </w:trPr>
        <w:tc>
          <w:tcPr>
            <w:tcW w:w="0" w:type="auto"/>
            <w:tcMar>
              <w:top w:w="15" w:type="dxa"/>
              <w:left w:w="14" w:type="dxa"/>
              <w:bottom w:w="15" w:type="dxa"/>
              <w:right w:w="14" w:type="dxa"/>
            </w:tcMar>
            <w:hideMark/>
          </w:tcPr>
          <w:p w:rsidR="00000000" w:rsidRDefault="00AF2D19">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tcMar>
              <w:top w:w="15" w:type="dxa"/>
              <w:left w:w="14" w:type="dxa"/>
              <w:bottom w:w="15" w:type="dxa"/>
              <w:right w:w="14" w:type="dxa"/>
            </w:tcMar>
            <w:hideMark/>
          </w:tcPr>
          <w:p w:rsidR="00000000" w:rsidRDefault="00AF2D19">
            <w:pPr>
              <w:pStyle w:val="a3"/>
              <w:spacing w:before="0" w:beforeAutospacing="0" w:after="0" w:afterAutospacing="0"/>
              <w:rPr>
                <w:sz w:val="18"/>
                <w:szCs w:val="18"/>
              </w:rPr>
            </w:pPr>
            <w:r>
              <w:rPr>
                <w:b/>
                <w:bCs/>
                <w:sz w:val="18"/>
                <w:szCs w:val="18"/>
              </w:rPr>
              <w:t>ANNUAL REPORT PURSUANT TO SECTION 13 OR 15(d) OF THE SECURITIES EXCHANGE ACT OF 193</w:t>
            </w:r>
            <w:r>
              <w:rPr>
                <w:b/>
                <w:bCs/>
                <w:sz w:val="18"/>
                <w:szCs w:val="18"/>
              </w:rPr>
              <w:t>4</w:t>
            </w:r>
            <w:r>
              <w:rPr>
                <w:b/>
                <w:bCs/>
                <w:sz w:val="18"/>
                <w:szCs w:val="18"/>
              </w:rPr>
              <w:t xml:space="preserve"> </w:t>
            </w:r>
          </w:p>
        </w:tc>
      </w:tr>
    </w:tbl>
    <w:p w:rsidR="00000000" w:rsidRDefault="00AF2D19">
      <w:pPr>
        <w:pStyle w:val="a3"/>
        <w:spacing w:before="60" w:beforeAutospacing="0" w:after="0" w:afterAutospacing="0"/>
        <w:jc w:val="center"/>
        <w:rPr>
          <w:sz w:val="20"/>
          <w:szCs w:val="20"/>
        </w:rPr>
      </w:pPr>
      <w:r>
        <w:rPr>
          <w:b/>
          <w:bCs/>
          <w:sz w:val="18"/>
          <w:szCs w:val="18"/>
        </w:rPr>
        <w:t>For the fiscal year ended</w:t>
      </w:r>
      <w:r>
        <w:rPr>
          <w:b/>
          <w:bCs/>
          <w:sz w:val="18"/>
          <w:szCs w:val="18"/>
        </w:rPr>
        <w:t xml:space="preserve"> </w:t>
      </w:r>
      <w:r>
        <w:rPr>
          <w:b/>
          <w:bCs/>
          <w:sz w:val="18"/>
          <w:szCs w:val="18"/>
        </w:rPr>
        <w:t>December 31,</w:t>
      </w:r>
      <w:r>
        <w:rPr>
          <w:b/>
          <w:bCs/>
          <w:sz w:val="18"/>
          <w:szCs w:val="18"/>
        </w:rPr>
        <w:t xml:space="preserve"> </w:t>
      </w:r>
      <w:r>
        <w:rPr>
          <w:b/>
          <w:bCs/>
          <w:sz w:val="18"/>
          <w:szCs w:val="18"/>
        </w:rPr>
        <w:t>202</w:t>
      </w:r>
      <w:r>
        <w:rPr>
          <w:b/>
          <w:bCs/>
          <w:sz w:val="18"/>
          <w:szCs w:val="18"/>
        </w:rPr>
        <w:t>1</w:t>
      </w:r>
    </w:p>
    <w:p w:rsidR="00000000" w:rsidRDefault="00AF2D19">
      <w:pPr>
        <w:pStyle w:val="a3"/>
        <w:spacing w:before="60" w:beforeAutospacing="0" w:after="0" w:afterAutospacing="0"/>
        <w:jc w:val="center"/>
        <w:rPr>
          <w:sz w:val="20"/>
          <w:szCs w:val="20"/>
        </w:rPr>
      </w:pPr>
      <w:r>
        <w:rPr>
          <w:b/>
          <w:bCs/>
          <w:sz w:val="18"/>
          <w:szCs w:val="18"/>
        </w:rPr>
        <w:t>O</w:t>
      </w:r>
      <w:r>
        <w:rPr>
          <w:b/>
          <w:bCs/>
          <w:sz w:val="18"/>
          <w:szCs w:val="18"/>
        </w:rPr>
        <w:t>R</w:t>
      </w:r>
      <w:r>
        <w:rPr>
          <w:b/>
          <w:bCs/>
          <w:sz w:val="18"/>
          <w:szCs w:val="18"/>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AF2D19">
            <w:pPr>
              <w:rPr>
                <w:sz w:val="20"/>
                <w:szCs w:val="20"/>
              </w:rPr>
            </w:pPr>
          </w:p>
        </w:tc>
        <w:tc>
          <w:tcPr>
            <w:tcW w:w="4800" w:type="pct"/>
            <w:vAlign w:val="center"/>
            <w:hideMark/>
          </w:tcPr>
          <w:p w:rsidR="00000000" w:rsidRDefault="00AF2D19">
            <w:pPr>
              <w:rPr>
                <w:rFonts w:eastAsia="Times New Roman"/>
                <w:sz w:val="20"/>
                <w:szCs w:val="20"/>
              </w:rPr>
            </w:pPr>
          </w:p>
        </w:tc>
      </w:tr>
      <w:tr w:rsidR="00000000">
        <w:trPr>
          <w:trHeight w:val="200"/>
          <w:tblCellSpacing w:w="15" w:type="dxa"/>
        </w:trPr>
        <w:tc>
          <w:tcPr>
            <w:tcW w:w="0" w:type="auto"/>
            <w:tcMar>
              <w:top w:w="15" w:type="dxa"/>
              <w:left w:w="14" w:type="dxa"/>
              <w:bottom w:w="15" w:type="dxa"/>
              <w:right w:w="14" w:type="dxa"/>
            </w:tcMar>
            <w:hideMark/>
          </w:tcPr>
          <w:p w:rsidR="00000000" w:rsidRDefault="00AF2D19">
            <w:pPr>
              <w:pStyle w:val="a3"/>
              <w:spacing w:before="60" w:beforeAutospacing="0" w:after="0" w:afterAutospacing="0"/>
              <w:rPr>
                <w:sz w:val="20"/>
                <w:szCs w:val="20"/>
              </w:rPr>
            </w:pPr>
            <w:r>
              <w:rPr>
                <w:rFonts w:ascii="Segoe UI Symbol" w:hAnsi="Segoe UI Symbol" w:cs="Segoe UI Symbol"/>
                <w:b/>
                <w:bCs/>
                <w:sz w:val="18"/>
                <w:szCs w:val="18"/>
              </w:rPr>
              <w:t>☐</w:t>
            </w:r>
          </w:p>
        </w:tc>
        <w:tc>
          <w:tcPr>
            <w:tcW w:w="0" w:type="auto"/>
            <w:tcMar>
              <w:top w:w="15" w:type="dxa"/>
              <w:left w:w="14" w:type="dxa"/>
              <w:bottom w:w="15" w:type="dxa"/>
              <w:right w:w="14" w:type="dxa"/>
            </w:tcMar>
            <w:hideMark/>
          </w:tcPr>
          <w:p w:rsidR="00000000" w:rsidRDefault="00AF2D19">
            <w:pPr>
              <w:pStyle w:val="a3"/>
              <w:spacing w:before="60" w:beforeAutospacing="0" w:after="0" w:afterAutospacing="0"/>
              <w:rPr>
                <w:sz w:val="18"/>
                <w:szCs w:val="18"/>
              </w:rPr>
            </w:pPr>
            <w:r>
              <w:rPr>
                <w:b/>
                <w:bCs/>
                <w:sz w:val="18"/>
                <w:szCs w:val="18"/>
              </w:rPr>
              <w:t>TRANSITION REPORT PURSUANT TO SECTION 13 OR 15(d) OF THE SECURITIES EXCHANGE ACT OF 193</w:t>
            </w:r>
            <w:r>
              <w:rPr>
                <w:b/>
                <w:bCs/>
                <w:sz w:val="18"/>
                <w:szCs w:val="18"/>
              </w:rPr>
              <w:t>4</w:t>
            </w:r>
          </w:p>
          <w:p w:rsidR="00000000" w:rsidRDefault="00AF2D19">
            <w:pPr>
              <w:pStyle w:val="a3"/>
              <w:spacing w:before="60" w:beforeAutospacing="0" w:after="0" w:afterAutospacing="0"/>
              <w:jc w:val="center"/>
              <w:rPr>
                <w:sz w:val="20"/>
                <w:szCs w:val="20"/>
              </w:rPr>
            </w:pPr>
            <w:r>
              <w:rPr>
                <w:b/>
                <w:bCs/>
                <w:sz w:val="20"/>
                <w:szCs w:val="20"/>
              </w:rPr>
              <w:t>For the transition period f</w:t>
            </w:r>
            <w:r>
              <w:rPr>
                <w:b/>
                <w:bCs/>
                <w:sz w:val="20"/>
                <w:szCs w:val="20"/>
              </w:rPr>
              <w:t>rom t</w:t>
            </w:r>
            <w:r>
              <w:rPr>
                <w:b/>
                <w:bCs/>
                <w:sz w:val="20"/>
                <w:szCs w:val="20"/>
              </w:rPr>
              <w:t>o</w:t>
            </w:r>
            <w:r>
              <w:rPr>
                <w:b/>
                <w:bCs/>
                <w:sz w:val="20"/>
                <w:szCs w:val="20"/>
              </w:rPr>
              <w:t xml:space="preserve"> </w:t>
            </w:r>
          </w:p>
        </w:tc>
      </w:tr>
    </w:tbl>
    <w:p w:rsidR="00000000" w:rsidRDefault="00AF2D19">
      <w:pPr>
        <w:pStyle w:val="a3"/>
        <w:spacing w:before="6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001-3931</w:t>
      </w:r>
      <w:r>
        <w:rPr>
          <w:b/>
          <w:bCs/>
          <w:sz w:val="20"/>
          <w:szCs w:val="20"/>
        </w:rPr>
        <w:t>4</w:t>
      </w:r>
    </w:p>
    <w:p w:rsidR="00000000" w:rsidRDefault="00AF2D19">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AF2D19">
      <w:pPr>
        <w:pStyle w:val="a3"/>
        <w:spacing w:before="60" w:beforeAutospacing="0" w:after="0" w:afterAutospacing="0"/>
        <w:jc w:val="center"/>
        <w:rPr>
          <w:sz w:val="20"/>
          <w:szCs w:val="20"/>
        </w:rPr>
      </w:pPr>
      <w:r>
        <w:rPr>
          <w:b/>
          <w:bCs/>
          <w:sz w:val="40"/>
          <w:szCs w:val="40"/>
        </w:rPr>
        <w:t>TALKSPACE, INC</w:t>
      </w:r>
      <w:r>
        <w:rPr>
          <w:b/>
          <w:bCs/>
          <w:sz w:val="40"/>
          <w:szCs w:val="40"/>
        </w:rPr>
        <w:t>.</w:t>
      </w:r>
    </w:p>
    <w:p w:rsidR="00000000" w:rsidRDefault="00AF2D19">
      <w:pPr>
        <w:pStyle w:val="a3"/>
        <w:spacing w:before="0" w:beforeAutospacing="0" w:after="0" w:afterAutospacing="0"/>
        <w:jc w:val="center"/>
        <w:rPr>
          <w:sz w:val="20"/>
          <w:szCs w:val="20"/>
        </w:rPr>
      </w:pPr>
      <w:r>
        <w:rPr>
          <w:b/>
          <w:bCs/>
          <w:sz w:val="18"/>
          <w:szCs w:val="18"/>
        </w:rPr>
        <w:t>(Exact name of Registrant as specified in its Charter</w:t>
      </w:r>
      <w:r>
        <w:rPr>
          <w:b/>
          <w:bCs/>
          <w:sz w:val="18"/>
          <w:szCs w:val="18"/>
        </w:rPr>
        <w:t>)</w:t>
      </w:r>
    </w:p>
    <w:p w:rsidR="00000000" w:rsidRDefault="00AF2D19">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AF2D1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AF2D19">
            <w:pPr>
              <w:rPr>
                <w:sz w:val="20"/>
                <w:szCs w:val="20"/>
              </w:rPr>
            </w:pPr>
          </w:p>
        </w:tc>
        <w:tc>
          <w:tcPr>
            <w:tcW w:w="2500" w:type="pct"/>
            <w:vAlign w:val="center"/>
            <w:hideMark/>
          </w:tcPr>
          <w:p w:rsidR="00000000" w:rsidRDefault="00AF2D19">
            <w:pPr>
              <w:rPr>
                <w:rFonts w:eastAsia="Times New Roman"/>
                <w:sz w:val="20"/>
                <w:szCs w:val="20"/>
              </w:rPr>
            </w:pPr>
          </w:p>
        </w:tc>
      </w:tr>
      <w:tr w:rsidR="00000000">
        <w:trPr>
          <w:trHeight w:val="200"/>
          <w:tblCellSpacing w:w="15" w:type="dxa"/>
        </w:trPr>
        <w:tc>
          <w:tcPr>
            <w:tcW w:w="0" w:type="auto"/>
            <w:tcMar>
              <w:top w:w="15" w:type="dxa"/>
              <w:left w:w="15" w:type="dxa"/>
              <w:bottom w:w="15" w:type="dxa"/>
              <w:right w:w="14" w:type="dxa"/>
            </w:tcMar>
            <w:vAlign w:val="bottom"/>
            <w:hideMark/>
          </w:tcPr>
          <w:p w:rsidR="00000000" w:rsidRDefault="00AF2D19">
            <w:pPr>
              <w:pStyle w:val="a3"/>
              <w:spacing w:before="0" w:beforeAutospacing="0" w:after="0" w:afterAutospacing="0"/>
              <w:jc w:val="center"/>
              <w:rPr>
                <w:sz w:val="20"/>
                <w:szCs w:val="20"/>
              </w:rPr>
            </w:pPr>
            <w:r>
              <w:rPr>
                <w:b/>
                <w:bCs/>
                <w:sz w:val="20"/>
                <w:szCs w:val="20"/>
              </w:rPr>
              <w:t>Delawar</w:t>
            </w:r>
            <w:r>
              <w:rPr>
                <w:b/>
                <w:bCs/>
                <w:sz w:val="20"/>
                <w:szCs w:val="20"/>
              </w:rPr>
              <w:t>e</w:t>
            </w:r>
          </w:p>
        </w:tc>
        <w:tc>
          <w:tcPr>
            <w:tcW w:w="0" w:type="auto"/>
            <w:tcMar>
              <w:top w:w="15" w:type="dxa"/>
              <w:left w:w="15" w:type="dxa"/>
              <w:bottom w:w="15" w:type="dxa"/>
              <w:right w:w="14" w:type="dxa"/>
            </w:tcMar>
            <w:vAlign w:val="bottom"/>
            <w:hideMark/>
          </w:tcPr>
          <w:p w:rsidR="00000000" w:rsidRDefault="00AF2D19">
            <w:pPr>
              <w:pStyle w:val="a3"/>
              <w:spacing w:before="0" w:beforeAutospacing="0" w:after="0" w:afterAutospacing="0"/>
              <w:jc w:val="center"/>
              <w:rPr>
                <w:sz w:val="20"/>
                <w:szCs w:val="20"/>
              </w:rPr>
            </w:pPr>
            <w:r>
              <w:rPr>
                <w:b/>
                <w:bCs/>
                <w:sz w:val="20"/>
                <w:szCs w:val="20"/>
              </w:rPr>
              <w:t>84-463660</w:t>
            </w:r>
            <w:r>
              <w:rPr>
                <w:b/>
                <w:bCs/>
                <w:sz w:val="20"/>
                <w:szCs w:val="20"/>
              </w:rPr>
              <w:t>4</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AF2D19">
            <w:pPr>
              <w:pStyle w:val="a3"/>
              <w:spacing w:before="0" w:beforeAutospacing="0" w:after="0" w:afterAutospacing="0"/>
              <w:jc w:val="center"/>
              <w:rPr>
                <w:sz w:val="14"/>
                <w:szCs w:val="14"/>
              </w:rPr>
            </w:pPr>
            <w:r>
              <w:rPr>
                <w:b/>
                <w:bCs/>
                <w:sz w:val="14"/>
                <w:szCs w:val="14"/>
              </w:rPr>
              <w:t>(State or other jurisdiction o</w:t>
            </w:r>
            <w:r>
              <w:rPr>
                <w:b/>
                <w:bCs/>
                <w:sz w:val="14"/>
                <w:szCs w:val="14"/>
              </w:rPr>
              <w:t>f</w:t>
            </w:r>
          </w:p>
          <w:p w:rsidR="00000000" w:rsidRDefault="00AF2D19">
            <w:pPr>
              <w:pStyle w:val="a3"/>
              <w:spacing w:before="0" w:beforeAutospacing="0" w:after="15" w:afterAutospacing="0"/>
              <w:jc w:val="center"/>
              <w:rPr>
                <w:sz w:val="14"/>
                <w:szCs w:val="14"/>
              </w:rPr>
            </w:pPr>
            <w:r>
              <w:rPr>
                <w:b/>
                <w:bCs/>
                <w:sz w:val="14"/>
                <w:szCs w:val="14"/>
              </w:rPr>
              <w:t>incorporation or organization</w:t>
            </w:r>
            <w:r>
              <w:rPr>
                <w:b/>
                <w:bCs/>
                <w:sz w:val="14"/>
                <w:szCs w:val="14"/>
              </w:rPr>
              <w:t>)</w:t>
            </w:r>
          </w:p>
        </w:tc>
        <w:tc>
          <w:tcPr>
            <w:tcW w:w="0" w:type="auto"/>
            <w:tcMar>
              <w:top w:w="15" w:type="dxa"/>
              <w:left w:w="15" w:type="dxa"/>
              <w:bottom w:w="15" w:type="dxa"/>
              <w:right w:w="14" w:type="dxa"/>
            </w:tcMar>
            <w:vAlign w:val="bottom"/>
            <w:hideMark/>
          </w:tcPr>
          <w:p w:rsidR="00000000" w:rsidRDefault="00AF2D19">
            <w:pPr>
              <w:pStyle w:val="a3"/>
              <w:spacing w:before="0" w:beforeAutospacing="0" w:after="0" w:afterAutospacing="0"/>
              <w:jc w:val="center"/>
              <w:rPr>
                <w:sz w:val="14"/>
                <w:szCs w:val="14"/>
              </w:rPr>
            </w:pPr>
            <w:r>
              <w:rPr>
                <w:b/>
                <w:bCs/>
                <w:sz w:val="14"/>
                <w:szCs w:val="14"/>
              </w:rPr>
              <w:t>(I.R.S. Employe</w:t>
            </w:r>
            <w:r>
              <w:rPr>
                <w:b/>
                <w:bCs/>
                <w:sz w:val="14"/>
                <w:szCs w:val="14"/>
              </w:rPr>
              <w:t>r</w:t>
            </w:r>
          </w:p>
          <w:p w:rsidR="00000000" w:rsidRDefault="00AF2D19">
            <w:pPr>
              <w:pStyle w:val="a3"/>
              <w:spacing w:before="0" w:beforeAutospacing="0" w:after="0" w:afterAutospacing="0"/>
              <w:jc w:val="center"/>
              <w:rPr>
                <w:sz w:val="14"/>
                <w:szCs w:val="14"/>
              </w:rPr>
            </w:pPr>
            <w:r>
              <w:rPr>
                <w:b/>
                <w:bCs/>
                <w:sz w:val="14"/>
                <w:szCs w:val="14"/>
              </w:rPr>
              <w:t>Identification No.</w:t>
            </w:r>
            <w:r>
              <w:rPr>
                <w:b/>
                <w:bCs/>
                <w:sz w:val="14"/>
                <w:szCs w:val="14"/>
              </w:rPr>
              <w:t>)</w:t>
            </w:r>
          </w:p>
        </w:tc>
      </w:tr>
      <w:tr w:rsidR="00000000">
        <w:trPr>
          <w:trHeight w:val="200"/>
          <w:tblCellSpacing w:w="15" w:type="dxa"/>
        </w:trPr>
        <w:tc>
          <w:tcPr>
            <w:tcW w:w="0" w:type="auto"/>
            <w:tcMar>
              <w:top w:w="15" w:type="dxa"/>
              <w:left w:w="15" w:type="dxa"/>
              <w:bottom w:w="15" w:type="dxa"/>
              <w:right w:w="14" w:type="dxa"/>
            </w:tcMar>
            <w:vAlign w:val="bottom"/>
            <w:hideMark/>
          </w:tcPr>
          <w:p w:rsidR="00000000" w:rsidRDefault="00AF2D19">
            <w:pPr>
              <w:pStyle w:val="a3"/>
              <w:spacing w:before="0" w:beforeAutospacing="0" w:after="15" w:afterAutospacing="0"/>
              <w:jc w:val="center"/>
              <w:rPr>
                <w:sz w:val="20"/>
                <w:szCs w:val="20"/>
              </w:rPr>
            </w:pPr>
            <w:r>
              <w:rPr>
                <w:b/>
                <w:bCs/>
                <w:sz w:val="20"/>
                <w:szCs w:val="20"/>
              </w:rPr>
              <w:t>Not applicabl</w:t>
            </w:r>
            <w:r>
              <w:rPr>
                <w:b/>
                <w:bCs/>
                <w:sz w:val="20"/>
                <w:szCs w:val="20"/>
              </w:rPr>
              <w:t>e</w:t>
            </w:r>
          </w:p>
        </w:tc>
        <w:tc>
          <w:tcPr>
            <w:tcW w:w="0" w:type="auto"/>
            <w:tcMar>
              <w:top w:w="15" w:type="dxa"/>
              <w:left w:w="15" w:type="dxa"/>
              <w:bottom w:w="15" w:type="dxa"/>
              <w:right w:w="14" w:type="dxa"/>
            </w:tcMar>
            <w:vAlign w:val="bottom"/>
            <w:hideMark/>
          </w:tcPr>
          <w:p w:rsidR="00000000" w:rsidRDefault="00AF2D19">
            <w:pPr>
              <w:pStyle w:val="a3"/>
              <w:spacing w:before="0" w:beforeAutospacing="0" w:after="0" w:afterAutospacing="0"/>
              <w:jc w:val="center"/>
              <w:rPr>
                <w:sz w:val="20"/>
                <w:szCs w:val="20"/>
              </w:rPr>
            </w:pPr>
            <w:r>
              <w:rPr>
                <w:b/>
                <w:bCs/>
                <w:sz w:val="20"/>
                <w:szCs w:val="20"/>
              </w:rPr>
              <w:t>Not applicabl</w:t>
            </w:r>
            <w:r>
              <w:rPr>
                <w:b/>
                <w:bCs/>
                <w:sz w:val="20"/>
                <w:szCs w:val="20"/>
              </w:rPr>
              <w:t>e</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AF2D19">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tcMar>
              <w:top w:w="15" w:type="dxa"/>
              <w:left w:w="15" w:type="dxa"/>
              <w:bottom w:w="15" w:type="dxa"/>
              <w:right w:w="14" w:type="dxa"/>
            </w:tcMar>
            <w:vAlign w:val="bottom"/>
            <w:hideMark/>
          </w:tcPr>
          <w:p w:rsidR="00000000" w:rsidRDefault="00AF2D19">
            <w:pPr>
              <w:pStyle w:val="a3"/>
              <w:spacing w:before="0" w:beforeAutospacing="0" w:after="0" w:afterAutospacing="0"/>
              <w:jc w:val="center"/>
              <w:rPr>
                <w:sz w:val="14"/>
                <w:szCs w:val="14"/>
              </w:rPr>
            </w:pPr>
            <w:r>
              <w:rPr>
                <w:b/>
                <w:bCs/>
                <w:sz w:val="14"/>
                <w:szCs w:val="14"/>
              </w:rPr>
              <w:t>(Zip Code</w:t>
            </w:r>
            <w:r>
              <w:rPr>
                <w:b/>
                <w:bCs/>
                <w:sz w:val="14"/>
                <w:szCs w:val="14"/>
              </w:rPr>
              <w:t>)</w:t>
            </w:r>
          </w:p>
        </w:tc>
      </w:tr>
    </w:tbl>
    <w:p w:rsidR="00000000" w:rsidRDefault="00AF2D19">
      <w:pPr>
        <w:pStyle w:val="a3"/>
        <w:spacing w:before="60" w:beforeAutospacing="0" w:after="0" w:afterAutospacing="0"/>
        <w:jc w:val="center"/>
        <w:rPr>
          <w:sz w:val="20"/>
          <w:szCs w:val="20"/>
        </w:rPr>
      </w:pPr>
      <w:r>
        <w:rPr>
          <w:b/>
          <w:bCs/>
          <w:sz w:val="18"/>
          <w:szCs w:val="18"/>
        </w:rPr>
        <w:t xml:space="preserve">Registrant’s telephone number, including area code: </w:t>
      </w:r>
      <w:r>
        <w:rPr>
          <w:b/>
          <w:bCs/>
          <w:sz w:val="18"/>
          <w:szCs w:val="18"/>
        </w:rPr>
        <w:t>(</w:t>
      </w:r>
      <w:r>
        <w:rPr>
          <w:b/>
          <w:bCs/>
          <w:sz w:val="18"/>
          <w:szCs w:val="18"/>
        </w:rPr>
        <w:t>21</w:t>
      </w:r>
      <w:r>
        <w:rPr>
          <w:b/>
          <w:bCs/>
          <w:sz w:val="18"/>
          <w:szCs w:val="18"/>
        </w:rPr>
        <w:t>2</w:t>
      </w:r>
      <w:r>
        <w:rPr>
          <w:b/>
          <w:bCs/>
          <w:sz w:val="18"/>
          <w:szCs w:val="18"/>
        </w:rPr>
        <w:t>)</w:t>
      </w:r>
      <w:r>
        <w:rPr>
          <w:b/>
          <w:bCs/>
          <w:sz w:val="18"/>
          <w:szCs w:val="18"/>
        </w:rPr>
        <w:t xml:space="preserve"> </w:t>
      </w:r>
      <w:r>
        <w:rPr>
          <w:b/>
          <w:bCs/>
          <w:sz w:val="18"/>
          <w:szCs w:val="18"/>
        </w:rPr>
        <w:t>284-720</w:t>
      </w:r>
      <w:r>
        <w:rPr>
          <w:b/>
          <w:bCs/>
          <w:sz w:val="18"/>
          <w:szCs w:val="18"/>
        </w:rPr>
        <w:t>6</w:t>
      </w:r>
    </w:p>
    <w:p w:rsidR="00000000" w:rsidRDefault="00AF2D19">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AF2D19">
      <w:pPr>
        <w:pStyle w:val="a3"/>
        <w:spacing w:before="60" w:beforeAutospacing="0" w:after="0" w:afterAutospacing="0"/>
        <w:jc w:val="center"/>
        <w:rPr>
          <w:sz w:val="20"/>
          <w:szCs w:val="20"/>
        </w:rPr>
      </w:pPr>
      <w:r>
        <w:rPr>
          <w:sz w:val="17"/>
          <w:szCs w:val="17"/>
        </w:rPr>
        <w:t>Securities registered pursuant to Section 12(b) of the Act</w:t>
      </w:r>
      <w:r>
        <w:rPr>
          <w:sz w:val="17"/>
          <w:szCs w:val="17"/>
        </w:rPr>
        <w:t>:</w:t>
      </w:r>
    </w:p>
    <w:p w:rsidR="00000000" w:rsidRDefault="00AF2D19">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3"/>
        <w:gridCol w:w="111"/>
        <w:gridCol w:w="1249"/>
        <w:gridCol w:w="111"/>
        <w:gridCol w:w="3702"/>
      </w:tblGrid>
      <w:tr w:rsidR="00000000">
        <w:trPr>
          <w:tblCellSpacing w:w="15" w:type="dxa"/>
        </w:trPr>
        <w:tc>
          <w:tcPr>
            <w:tcW w:w="1900" w:type="pct"/>
            <w:vAlign w:val="center"/>
            <w:hideMark/>
          </w:tcPr>
          <w:p w:rsidR="00000000" w:rsidRDefault="00AF2D19">
            <w:pPr>
              <w:rPr>
                <w:sz w:val="20"/>
                <w:szCs w:val="20"/>
              </w:rPr>
            </w:pPr>
          </w:p>
        </w:tc>
        <w:tc>
          <w:tcPr>
            <w:tcW w:w="50" w:type="pct"/>
            <w:vAlign w:val="center"/>
            <w:hideMark/>
          </w:tcPr>
          <w:p w:rsidR="00000000" w:rsidRDefault="00AF2D19">
            <w:pPr>
              <w:rPr>
                <w:rFonts w:eastAsia="Times New Roman"/>
                <w:sz w:val="20"/>
                <w:szCs w:val="20"/>
              </w:rPr>
            </w:pPr>
          </w:p>
        </w:tc>
        <w:tc>
          <w:tcPr>
            <w:tcW w:w="750" w:type="pct"/>
            <w:vAlign w:val="center"/>
            <w:hideMark/>
          </w:tcPr>
          <w:p w:rsidR="00000000" w:rsidRDefault="00AF2D19">
            <w:pPr>
              <w:rPr>
                <w:rFonts w:eastAsia="Times New Roman"/>
                <w:sz w:val="20"/>
                <w:szCs w:val="20"/>
              </w:rPr>
            </w:pPr>
          </w:p>
        </w:tc>
        <w:tc>
          <w:tcPr>
            <w:tcW w:w="50" w:type="pct"/>
            <w:vAlign w:val="center"/>
            <w:hideMark/>
          </w:tcPr>
          <w:p w:rsidR="00000000" w:rsidRDefault="00AF2D19">
            <w:pPr>
              <w:rPr>
                <w:rFonts w:eastAsia="Times New Roman"/>
                <w:sz w:val="20"/>
                <w:szCs w:val="20"/>
              </w:rPr>
            </w:pPr>
          </w:p>
        </w:tc>
        <w:tc>
          <w:tcPr>
            <w:tcW w:w="2250"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tcBorders>
              <w:bottom w:val="single" w:sz="2" w:space="0" w:color="auto"/>
            </w:tcBorders>
            <w:tcMar>
              <w:top w:w="14" w:type="dxa"/>
              <w:left w:w="15" w:type="dxa"/>
              <w:bottom w:w="15" w:type="dxa"/>
              <w:right w:w="15" w:type="dxa"/>
            </w:tcMar>
            <w:hideMark/>
          </w:tcPr>
          <w:p w:rsidR="00000000" w:rsidRDefault="00AF2D19">
            <w:pPr>
              <w:pStyle w:val="a3"/>
              <w:spacing w:before="0" w:beforeAutospacing="0" w:after="0" w:afterAutospacing="0"/>
              <w:jc w:val="center"/>
              <w:rPr>
                <w:sz w:val="16"/>
                <w:szCs w:val="16"/>
              </w:rPr>
            </w:pPr>
            <w:r>
              <w:rPr>
                <w:b/>
                <w:bCs/>
                <w:sz w:val="16"/>
                <w:szCs w:val="16"/>
              </w:rPr>
              <w:br/>
            </w:r>
            <w:r>
              <w:rPr>
                <w:b/>
                <w:bCs/>
                <w:sz w:val="16"/>
                <w:szCs w:val="16"/>
              </w:rPr>
              <w:t>Title of each clas</w:t>
            </w:r>
            <w:r>
              <w:rPr>
                <w:b/>
                <w:bCs/>
                <w:sz w:val="16"/>
                <w:szCs w:val="16"/>
              </w:rPr>
              <w:t>s</w:t>
            </w:r>
          </w:p>
        </w:tc>
        <w:tc>
          <w:tcPr>
            <w:tcW w:w="0" w:type="auto"/>
            <w:tcMar>
              <w:top w:w="14" w:type="dxa"/>
              <w:left w:w="15" w:type="dxa"/>
              <w:bottom w:w="15" w:type="dxa"/>
              <w:right w:w="15"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Borders>
              <w:bottom w:val="single" w:sz="2" w:space="0" w:color="auto"/>
            </w:tcBorders>
            <w:tcMar>
              <w:top w:w="14" w:type="dxa"/>
              <w:left w:w="15" w:type="dxa"/>
              <w:bottom w:w="15" w:type="dxa"/>
              <w:right w:w="15" w:type="dxa"/>
            </w:tcMar>
            <w:hideMark/>
          </w:tcPr>
          <w:p w:rsidR="00000000" w:rsidRDefault="00AF2D19">
            <w:pPr>
              <w:pStyle w:val="a3"/>
              <w:spacing w:before="0" w:beforeAutospacing="0" w:after="0" w:afterAutospacing="0"/>
              <w:jc w:val="center"/>
              <w:rPr>
                <w:sz w:val="16"/>
                <w:szCs w:val="16"/>
              </w:rPr>
            </w:pPr>
            <w:r>
              <w:rPr>
                <w:b/>
                <w:bCs/>
                <w:sz w:val="16"/>
                <w:szCs w:val="16"/>
              </w:rPr>
              <w:t>Trading</w:t>
            </w:r>
            <w:r>
              <w:rPr>
                <w:b/>
                <w:bCs/>
                <w:sz w:val="16"/>
                <w:szCs w:val="16"/>
              </w:rPr>
              <w:br/>
              <w:t>Symbol(s</w:t>
            </w:r>
            <w:r>
              <w:rPr>
                <w:b/>
                <w:bCs/>
                <w:sz w:val="16"/>
                <w:szCs w:val="16"/>
              </w:rPr>
              <w:t>)</w:t>
            </w:r>
          </w:p>
        </w:tc>
        <w:tc>
          <w:tcPr>
            <w:tcW w:w="0" w:type="auto"/>
            <w:tcMar>
              <w:top w:w="14" w:type="dxa"/>
              <w:left w:w="15" w:type="dxa"/>
              <w:bottom w:w="15" w:type="dxa"/>
              <w:right w:w="15"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Borders>
              <w:bottom w:val="single" w:sz="2" w:space="0" w:color="auto"/>
            </w:tcBorders>
            <w:tcMar>
              <w:top w:w="14" w:type="dxa"/>
              <w:left w:w="15" w:type="dxa"/>
              <w:bottom w:w="15" w:type="dxa"/>
              <w:right w:w="15" w:type="dxa"/>
            </w:tcMar>
            <w:hideMark/>
          </w:tcPr>
          <w:p w:rsidR="00000000" w:rsidRDefault="00AF2D19">
            <w:pPr>
              <w:pStyle w:val="a3"/>
              <w:spacing w:before="0" w:beforeAutospacing="0" w:after="0" w:afterAutospacing="0"/>
              <w:jc w:val="center"/>
              <w:rPr>
                <w:sz w:val="16"/>
                <w:szCs w:val="16"/>
              </w:rPr>
            </w:pPr>
            <w:r>
              <w:rPr>
                <w:b/>
                <w:bCs/>
                <w:sz w:val="16"/>
                <w:szCs w:val="16"/>
              </w:rPr>
              <w:br/>
              <w:t>Name of each exchange on which registere</w:t>
            </w:r>
            <w:r>
              <w:rPr>
                <w:b/>
                <w:bCs/>
                <w:sz w:val="16"/>
                <w:szCs w:val="16"/>
              </w:rPr>
              <w:t>d</w:t>
            </w:r>
          </w:p>
        </w:tc>
      </w:tr>
      <w:tr w:rsidR="00000000">
        <w:trPr>
          <w:trHeight w:val="160"/>
          <w:tblCellSpacing w:w="15" w:type="dxa"/>
        </w:trPr>
        <w:tc>
          <w:tcPr>
            <w:tcW w:w="0" w:type="auto"/>
            <w:tcMar>
              <w:top w:w="14" w:type="dxa"/>
              <w:left w:w="15" w:type="dxa"/>
              <w:bottom w:w="15" w:type="dxa"/>
              <w:right w:w="15" w:type="dxa"/>
            </w:tcMar>
            <w:hideMark/>
          </w:tcPr>
          <w:p w:rsidR="00000000" w:rsidRDefault="00AF2D19">
            <w:pPr>
              <w:pStyle w:val="a3"/>
              <w:spacing w:before="0" w:beforeAutospacing="0" w:after="0" w:afterAutospacing="0"/>
              <w:jc w:val="center"/>
              <w:rPr>
                <w:sz w:val="20"/>
                <w:szCs w:val="20"/>
              </w:rPr>
            </w:pPr>
            <w:r>
              <w:rPr>
                <w:sz w:val="16"/>
                <w:szCs w:val="16"/>
              </w:rPr>
              <w:t>Common stock, par value $0.0001 per shar</w:t>
            </w:r>
            <w:r>
              <w:rPr>
                <w:sz w:val="16"/>
                <w:szCs w:val="16"/>
              </w:rPr>
              <w:t>e</w:t>
            </w:r>
          </w:p>
        </w:tc>
        <w:tc>
          <w:tcPr>
            <w:tcW w:w="0" w:type="auto"/>
            <w:tcMar>
              <w:top w:w="14" w:type="dxa"/>
              <w:left w:w="15"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5" w:type="dxa"/>
            </w:tcMar>
            <w:hideMark/>
          </w:tcPr>
          <w:p w:rsidR="00000000" w:rsidRDefault="00AF2D19">
            <w:pPr>
              <w:pStyle w:val="a3"/>
              <w:spacing w:before="0" w:beforeAutospacing="0" w:after="0" w:afterAutospacing="0"/>
              <w:jc w:val="center"/>
              <w:rPr>
                <w:sz w:val="20"/>
                <w:szCs w:val="20"/>
              </w:rPr>
            </w:pPr>
            <w:r>
              <w:rPr>
                <w:sz w:val="16"/>
                <w:szCs w:val="16"/>
              </w:rPr>
              <w:t>TAL</w:t>
            </w:r>
            <w:r>
              <w:rPr>
                <w:sz w:val="16"/>
                <w:szCs w:val="16"/>
              </w:rPr>
              <w:t>K</w:t>
            </w:r>
          </w:p>
        </w:tc>
        <w:tc>
          <w:tcPr>
            <w:tcW w:w="0" w:type="auto"/>
            <w:tcMar>
              <w:top w:w="14" w:type="dxa"/>
              <w:left w:w="15"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5" w:type="dxa"/>
            </w:tcMar>
            <w:hideMark/>
          </w:tcPr>
          <w:p w:rsidR="00000000" w:rsidRDefault="00AF2D19">
            <w:pPr>
              <w:pStyle w:val="a3"/>
              <w:spacing w:before="0" w:beforeAutospacing="0" w:after="0" w:afterAutospacing="0"/>
              <w:jc w:val="center"/>
              <w:rPr>
                <w:sz w:val="20"/>
                <w:szCs w:val="20"/>
              </w:rPr>
            </w:pPr>
            <w:r>
              <w:rPr>
                <w:sz w:val="16"/>
                <w:szCs w:val="16"/>
              </w:rPr>
              <w:t>The NASDAQ Stock Market LL</w:t>
            </w:r>
            <w:r>
              <w:rPr>
                <w:sz w:val="16"/>
                <w:szCs w:val="16"/>
              </w:rPr>
              <w:t>C</w:t>
            </w:r>
          </w:p>
        </w:tc>
      </w:tr>
      <w:tr w:rsidR="00000000">
        <w:trPr>
          <w:trHeight w:val="160"/>
          <w:tblCellSpacing w:w="15" w:type="dxa"/>
        </w:trPr>
        <w:tc>
          <w:tcPr>
            <w:tcW w:w="0" w:type="auto"/>
            <w:tcMar>
              <w:top w:w="14" w:type="dxa"/>
              <w:left w:w="15" w:type="dxa"/>
              <w:bottom w:w="15" w:type="dxa"/>
              <w:right w:w="15" w:type="dxa"/>
            </w:tcMar>
            <w:hideMark/>
          </w:tcPr>
          <w:p w:rsidR="00000000" w:rsidRDefault="00AF2D19">
            <w:pPr>
              <w:pStyle w:val="a3"/>
              <w:spacing w:before="0" w:beforeAutospacing="0" w:after="0" w:afterAutospacing="0"/>
              <w:jc w:val="center"/>
              <w:rPr>
                <w:sz w:val="20"/>
                <w:szCs w:val="20"/>
              </w:rPr>
            </w:pPr>
            <w:r>
              <w:rPr>
                <w:sz w:val="16"/>
                <w:szCs w:val="16"/>
              </w:rPr>
              <w:t>Warrants to purchase common stoc</w:t>
            </w:r>
            <w:r>
              <w:rPr>
                <w:sz w:val="16"/>
                <w:szCs w:val="16"/>
              </w:rPr>
              <w:t>k</w:t>
            </w:r>
          </w:p>
        </w:tc>
        <w:tc>
          <w:tcPr>
            <w:tcW w:w="0" w:type="auto"/>
            <w:tcMar>
              <w:top w:w="14" w:type="dxa"/>
              <w:left w:w="15"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5" w:type="dxa"/>
            </w:tcMar>
            <w:hideMark/>
          </w:tcPr>
          <w:p w:rsidR="00000000" w:rsidRDefault="00AF2D19">
            <w:pPr>
              <w:pStyle w:val="a3"/>
              <w:spacing w:before="0" w:beforeAutospacing="0" w:after="0" w:afterAutospacing="0"/>
              <w:jc w:val="center"/>
              <w:rPr>
                <w:sz w:val="20"/>
                <w:szCs w:val="20"/>
              </w:rPr>
            </w:pPr>
            <w:r>
              <w:rPr>
                <w:sz w:val="16"/>
                <w:szCs w:val="16"/>
              </w:rPr>
              <w:t>TALK</w:t>
            </w:r>
            <w:r>
              <w:rPr>
                <w:sz w:val="16"/>
                <w:szCs w:val="16"/>
              </w:rPr>
              <w:t>W</w:t>
            </w:r>
          </w:p>
        </w:tc>
        <w:tc>
          <w:tcPr>
            <w:tcW w:w="0" w:type="auto"/>
            <w:tcMar>
              <w:top w:w="14" w:type="dxa"/>
              <w:left w:w="15"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5" w:type="dxa"/>
            </w:tcMar>
            <w:hideMark/>
          </w:tcPr>
          <w:p w:rsidR="00000000" w:rsidRDefault="00AF2D19">
            <w:pPr>
              <w:pStyle w:val="a3"/>
              <w:spacing w:before="0" w:beforeAutospacing="0" w:after="0" w:afterAutospacing="0"/>
              <w:jc w:val="center"/>
              <w:rPr>
                <w:sz w:val="20"/>
                <w:szCs w:val="20"/>
              </w:rPr>
            </w:pPr>
            <w:r>
              <w:rPr>
                <w:sz w:val="16"/>
                <w:szCs w:val="16"/>
              </w:rPr>
              <w:t>The NASDAQ Stock Market LL</w:t>
            </w:r>
            <w:r>
              <w:rPr>
                <w:sz w:val="16"/>
                <w:szCs w:val="16"/>
              </w:rPr>
              <w:t>C</w:t>
            </w:r>
          </w:p>
        </w:tc>
      </w:tr>
    </w:tbl>
    <w:p w:rsidR="00000000" w:rsidRDefault="00AF2D19">
      <w:pPr>
        <w:pStyle w:val="a3"/>
        <w:spacing w:before="60" w:beforeAutospacing="0" w:after="0" w:afterAutospacing="0"/>
        <w:jc w:val="center"/>
        <w:rPr>
          <w:sz w:val="20"/>
          <w:szCs w:val="20"/>
        </w:rPr>
      </w:pPr>
      <w:r>
        <w:rPr>
          <w:sz w:val="16"/>
          <w:szCs w:val="16"/>
        </w:rPr>
        <w:t>Securities registered pursuant to Section 12(g) of the Act:</w:t>
      </w:r>
      <w:r>
        <w:rPr>
          <w:sz w:val="16"/>
          <w:szCs w:val="16"/>
        </w:rPr>
        <w:t xml:space="preserve"> </w:t>
      </w:r>
      <w:r>
        <w:rPr>
          <w:b/>
          <w:bCs/>
          <w:sz w:val="16"/>
          <w:szCs w:val="16"/>
        </w:rPr>
        <w:t>Non</w:t>
      </w:r>
      <w:r>
        <w:rPr>
          <w:b/>
          <w:bCs/>
          <w:sz w:val="16"/>
          <w:szCs w:val="16"/>
        </w:rPr>
        <w:t>e</w:t>
      </w:r>
    </w:p>
    <w:p w:rsidR="00000000" w:rsidRDefault="00AF2D19">
      <w:pPr>
        <w:pStyle w:val="a3"/>
        <w:spacing w:before="60" w:beforeAutospacing="0" w:after="0" w:afterAutospacing="0"/>
        <w:rPr>
          <w:sz w:val="20"/>
          <w:szCs w:val="20"/>
        </w:rPr>
      </w:pPr>
      <w:r>
        <w:rPr>
          <w:sz w:val="16"/>
          <w:szCs w:val="16"/>
        </w:rPr>
        <w:t xml:space="preserve">Indicate by check mark if the Registrant is a well-known seasoned issuer, as defined in Rule 405 of the Securities Act. YES </w:t>
      </w:r>
      <w:r>
        <w:rPr>
          <w:rFonts w:ascii="Segoe UI Symbol" w:hAnsi="Segoe UI Symbol" w:cs="Segoe UI Symbol"/>
          <w:sz w:val="16"/>
          <w:szCs w:val="16"/>
        </w:rPr>
        <w:t>☐</w:t>
      </w:r>
      <w:r>
        <w:rPr>
          <w:sz w:val="16"/>
          <w:szCs w:val="16"/>
        </w:rPr>
        <w:t xml:space="preserve"> </w:t>
      </w:r>
      <w:r>
        <w:rPr>
          <w:caps/>
          <w:sz w:val="16"/>
          <w:szCs w:val="16"/>
        </w:rPr>
        <w:t>N</w:t>
      </w:r>
      <w:r>
        <w:rPr>
          <w:caps/>
          <w:sz w:val="16"/>
          <w:szCs w:val="16"/>
        </w:rPr>
        <w:t>o</w:t>
      </w:r>
      <w:r>
        <w:rPr>
          <w:sz w:val="16"/>
          <w:szCs w:val="16"/>
        </w:rPr>
        <w:t xml:space="preserve"> </w:t>
      </w:r>
      <w:r>
        <w:rPr>
          <w:rFonts w:ascii="Segoe UI Symbol" w:hAnsi="Segoe UI Symbol" w:cs="Segoe UI Symbol"/>
          <w:sz w:val="16"/>
          <w:szCs w:val="16"/>
        </w:rPr>
        <w:t>☒</w:t>
      </w:r>
    </w:p>
    <w:p w:rsidR="00000000" w:rsidRDefault="00AF2D19">
      <w:pPr>
        <w:pStyle w:val="a3"/>
        <w:spacing w:before="60" w:beforeAutospacing="0" w:after="0" w:afterAutospacing="0"/>
        <w:rPr>
          <w:sz w:val="20"/>
          <w:szCs w:val="20"/>
        </w:rPr>
      </w:pPr>
      <w:r>
        <w:rPr>
          <w:sz w:val="16"/>
          <w:szCs w:val="16"/>
        </w:rPr>
        <w:t>Indicate by check mark if the R</w:t>
      </w:r>
      <w:r>
        <w:rPr>
          <w:sz w:val="16"/>
          <w:szCs w:val="16"/>
        </w:rPr>
        <w:t xml:space="preserve">egistrant is not required to file reports pursuant to Section 13 or 15(d) of the Act. YES </w:t>
      </w:r>
      <w:r>
        <w:rPr>
          <w:rFonts w:ascii="Segoe UI Symbol" w:hAnsi="Segoe UI Symbol" w:cs="Segoe UI Symbol"/>
          <w:sz w:val="16"/>
          <w:szCs w:val="16"/>
        </w:rPr>
        <w:t>☐</w:t>
      </w:r>
      <w:r>
        <w:rPr>
          <w:sz w:val="16"/>
          <w:szCs w:val="16"/>
        </w:rPr>
        <w:t xml:space="preserve"> </w:t>
      </w:r>
      <w:r>
        <w:rPr>
          <w:sz w:val="16"/>
          <w:szCs w:val="16"/>
        </w:rPr>
        <w:t>N</w:t>
      </w:r>
      <w:r>
        <w:rPr>
          <w:sz w:val="16"/>
          <w:szCs w:val="16"/>
        </w:rPr>
        <w:t>o</w:t>
      </w:r>
      <w:r>
        <w:rPr>
          <w:sz w:val="16"/>
          <w:szCs w:val="16"/>
        </w:rPr>
        <w:t xml:space="preserve"> </w:t>
      </w:r>
      <w:r>
        <w:rPr>
          <w:rFonts w:ascii="Segoe UI Symbol" w:hAnsi="Segoe UI Symbol" w:cs="Segoe UI Symbol"/>
          <w:sz w:val="16"/>
          <w:szCs w:val="16"/>
        </w:rPr>
        <w:t>☒</w:t>
      </w:r>
    </w:p>
    <w:p w:rsidR="00000000" w:rsidRDefault="00AF2D19">
      <w:pPr>
        <w:pStyle w:val="a3"/>
        <w:spacing w:before="60" w:beforeAutospacing="0" w:after="0" w:afterAutospacing="0"/>
        <w:rPr>
          <w:sz w:val="20"/>
          <w:szCs w:val="20"/>
        </w:rPr>
      </w:pPr>
      <w:r>
        <w:rPr>
          <w:sz w:val="16"/>
          <w:szCs w:val="16"/>
        </w:rPr>
        <w:t>Indicate by check mark whether the Registrant: (1) has filed all reports required to be filed by Section 13 or 15(d) of the Securities Exchange Act of 1934 dur</w:t>
      </w:r>
      <w:r>
        <w:rPr>
          <w:sz w:val="16"/>
          <w:szCs w:val="16"/>
        </w:rPr>
        <w:t>ing the preceding 12 months (or for such shorter period that the Registrant was required to file such reports), and (2) has been subject to such filing requirements for the past 90 days.</w:t>
      </w:r>
      <w:r>
        <w:rPr>
          <w:sz w:val="16"/>
          <w:szCs w:val="16"/>
        </w:rPr>
        <w:t xml:space="preserve"> </w:t>
      </w:r>
      <w:r>
        <w:rPr>
          <w:caps/>
          <w:sz w:val="16"/>
          <w:szCs w:val="16"/>
        </w:rPr>
        <w:t>Ye</w:t>
      </w:r>
      <w:r>
        <w:rPr>
          <w:caps/>
          <w:sz w:val="16"/>
          <w:szCs w:val="16"/>
        </w:rPr>
        <w:t>s</w:t>
      </w:r>
      <w:r>
        <w:rPr>
          <w:sz w:val="16"/>
          <w:szCs w:val="16"/>
        </w:rPr>
        <w:t xml:space="preserve"> </w:t>
      </w:r>
      <w:r>
        <w:rPr>
          <w:rFonts w:ascii="Segoe UI Symbol" w:hAnsi="Segoe UI Symbol" w:cs="Segoe UI Symbol"/>
          <w:sz w:val="16"/>
          <w:szCs w:val="16"/>
        </w:rPr>
        <w:t>☒</w:t>
      </w:r>
      <w:r>
        <w:rPr>
          <w:sz w:val="16"/>
          <w:szCs w:val="16"/>
        </w:rPr>
        <w:t xml:space="preserve"> NO </w:t>
      </w:r>
      <w:r>
        <w:rPr>
          <w:rFonts w:ascii="Segoe UI Symbol" w:hAnsi="Segoe UI Symbol" w:cs="Segoe UI Symbol"/>
          <w:sz w:val="16"/>
          <w:szCs w:val="16"/>
        </w:rPr>
        <w:t>☐</w:t>
      </w:r>
    </w:p>
    <w:p w:rsidR="00000000" w:rsidRDefault="00AF2D19">
      <w:pPr>
        <w:pStyle w:val="a3"/>
        <w:spacing w:before="60" w:beforeAutospacing="0" w:after="0" w:afterAutospacing="0"/>
        <w:rPr>
          <w:sz w:val="20"/>
          <w:szCs w:val="20"/>
        </w:rPr>
      </w:pPr>
      <w:r>
        <w:rPr>
          <w:sz w:val="16"/>
          <w:szCs w:val="16"/>
        </w:rPr>
        <w:t>Indicate by check mark whether the Registrant has submitte</w:t>
      </w:r>
      <w:r>
        <w:rPr>
          <w:sz w:val="16"/>
          <w:szCs w:val="16"/>
        </w:rPr>
        <w:t>d electronically every Interactive Data File required to be submitted pursuant to Rule 405 of Regulation S-T (§232.405 of this chapter) during the preceding 12 months (or for such shorter period that the Registrant was required to submit such files).</w:t>
      </w:r>
      <w:r>
        <w:rPr>
          <w:sz w:val="16"/>
          <w:szCs w:val="16"/>
        </w:rPr>
        <w:t xml:space="preserve"> </w:t>
      </w:r>
      <w:r>
        <w:rPr>
          <w:caps/>
          <w:sz w:val="16"/>
          <w:szCs w:val="16"/>
        </w:rPr>
        <w:t>Ye</w:t>
      </w:r>
      <w:r>
        <w:rPr>
          <w:caps/>
          <w:sz w:val="16"/>
          <w:szCs w:val="16"/>
        </w:rPr>
        <w:t>s</w:t>
      </w:r>
      <w:r>
        <w:rPr>
          <w:sz w:val="16"/>
          <w:szCs w:val="16"/>
        </w:rPr>
        <w:t xml:space="preserve"> </w:t>
      </w:r>
      <w:r>
        <w:rPr>
          <w:rFonts w:ascii="Segoe UI Symbol" w:hAnsi="Segoe UI Symbol" w:cs="Segoe UI Symbol"/>
          <w:sz w:val="16"/>
          <w:szCs w:val="16"/>
        </w:rPr>
        <w:t>☒</w:t>
      </w:r>
      <w:r>
        <w:rPr>
          <w:sz w:val="16"/>
          <w:szCs w:val="16"/>
        </w:rPr>
        <w:t xml:space="preserve"> NO </w:t>
      </w:r>
      <w:r>
        <w:rPr>
          <w:rFonts w:ascii="Segoe UI Symbol" w:hAnsi="Segoe UI Symbol" w:cs="Segoe UI Symbol"/>
          <w:sz w:val="16"/>
          <w:szCs w:val="16"/>
        </w:rPr>
        <w:t>☐</w:t>
      </w:r>
    </w:p>
    <w:p w:rsidR="00000000" w:rsidRDefault="00AF2D19">
      <w:pPr>
        <w:pStyle w:val="a3"/>
        <w:spacing w:before="60" w:beforeAutospacing="0" w:after="0" w:afterAutospacing="0"/>
        <w:rPr>
          <w:sz w:val="20"/>
          <w:szCs w:val="20"/>
        </w:rPr>
      </w:pPr>
      <w:r>
        <w:rPr>
          <w:sz w:val="16"/>
          <w:szCs w:val="16"/>
        </w:rPr>
        <w:t>Indicate by check mark whether the registrant is a large accelerated filer, an accelerated filer, a non-accelerated filer, a smaller reporting company, or an emerging growth company. See the definitions of “large accelerated filer,” “accelerated file</w:t>
      </w:r>
      <w:r>
        <w:rPr>
          <w:sz w:val="16"/>
          <w:szCs w:val="16"/>
        </w:rPr>
        <w:t>r,” “smaller reporting company,” and “emerging growth company” in Rule 12b-2 of the Exchange Act</w:t>
      </w:r>
      <w:r>
        <w:rPr>
          <w:sz w:val="16"/>
          <w:szCs w:val="16"/>
        </w:rPr>
        <w:t>.</w:t>
      </w:r>
    </w:p>
    <w:p w:rsidR="00000000" w:rsidRDefault="00AF2D19">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2"/>
        <w:gridCol w:w="99"/>
        <w:gridCol w:w="4531"/>
        <w:gridCol w:w="99"/>
        <w:gridCol w:w="1674"/>
        <w:gridCol w:w="99"/>
        <w:gridCol w:w="212"/>
      </w:tblGrid>
      <w:tr w:rsidR="00000000">
        <w:trPr>
          <w:tblCellSpacing w:w="15" w:type="dxa"/>
        </w:trPr>
        <w:tc>
          <w:tcPr>
            <w:tcW w:w="964" w:type="pct"/>
            <w:vAlign w:val="center"/>
            <w:hideMark/>
          </w:tcPr>
          <w:p w:rsidR="00000000" w:rsidRDefault="00AF2D19">
            <w:pPr>
              <w:rPr>
                <w:sz w:val="20"/>
                <w:szCs w:val="20"/>
              </w:rPr>
            </w:pPr>
          </w:p>
        </w:tc>
        <w:tc>
          <w:tcPr>
            <w:tcW w:w="38" w:type="pct"/>
            <w:vAlign w:val="center"/>
            <w:hideMark/>
          </w:tcPr>
          <w:p w:rsidR="00000000" w:rsidRDefault="00AF2D19">
            <w:pPr>
              <w:rPr>
                <w:rFonts w:eastAsia="Times New Roman"/>
                <w:sz w:val="20"/>
                <w:szCs w:val="20"/>
              </w:rPr>
            </w:pPr>
          </w:p>
        </w:tc>
        <w:tc>
          <w:tcPr>
            <w:tcW w:w="2794" w:type="pct"/>
            <w:vAlign w:val="center"/>
            <w:hideMark/>
          </w:tcPr>
          <w:p w:rsidR="00000000" w:rsidRDefault="00AF2D19">
            <w:pPr>
              <w:rPr>
                <w:rFonts w:eastAsia="Times New Roman"/>
                <w:sz w:val="20"/>
                <w:szCs w:val="20"/>
              </w:rPr>
            </w:pPr>
          </w:p>
        </w:tc>
        <w:tc>
          <w:tcPr>
            <w:tcW w:w="38" w:type="pct"/>
            <w:vAlign w:val="center"/>
            <w:hideMark/>
          </w:tcPr>
          <w:p w:rsidR="00000000" w:rsidRDefault="00AF2D19">
            <w:pPr>
              <w:rPr>
                <w:rFonts w:eastAsia="Times New Roman"/>
                <w:sz w:val="20"/>
                <w:szCs w:val="20"/>
              </w:rPr>
            </w:pPr>
          </w:p>
        </w:tc>
        <w:tc>
          <w:tcPr>
            <w:tcW w:w="1024" w:type="pct"/>
            <w:vAlign w:val="center"/>
            <w:hideMark/>
          </w:tcPr>
          <w:p w:rsidR="00000000" w:rsidRDefault="00AF2D19">
            <w:pPr>
              <w:rPr>
                <w:rFonts w:eastAsia="Times New Roman"/>
                <w:sz w:val="20"/>
                <w:szCs w:val="20"/>
              </w:rPr>
            </w:pPr>
          </w:p>
        </w:tc>
        <w:tc>
          <w:tcPr>
            <w:tcW w:w="38" w:type="pct"/>
            <w:vAlign w:val="center"/>
            <w:hideMark/>
          </w:tcPr>
          <w:p w:rsidR="00000000" w:rsidRDefault="00AF2D19">
            <w:pPr>
              <w:rPr>
                <w:rFonts w:eastAsia="Times New Roman"/>
                <w:sz w:val="20"/>
                <w:szCs w:val="20"/>
              </w:rPr>
            </w:pPr>
          </w:p>
        </w:tc>
        <w:tc>
          <w:tcPr>
            <w:tcW w:w="102"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16"/>
                <w:szCs w:val="16"/>
              </w:rPr>
              <w:t>Large accelerated file</w:t>
            </w:r>
            <w:r>
              <w:rPr>
                <w:sz w:val="16"/>
                <w:szCs w:val="16"/>
              </w:rPr>
              <w:t>r</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rFonts w:ascii="Segoe UI Symbol" w:hAnsi="Segoe UI Symbol" w:cs="Segoe UI Symbol"/>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Accelerated file</w:t>
            </w:r>
            <w:r>
              <w:rPr>
                <w:sz w:val="16"/>
                <w:szCs w:val="16"/>
              </w:rPr>
              <w:t>r</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rFonts w:ascii="Segoe UI Symbol" w:hAnsi="Segoe UI Symbol" w:cs="Segoe UI Symbol"/>
                <w:sz w:val="16"/>
                <w:szCs w:val="16"/>
              </w:rPr>
              <w:t>☐</w:t>
            </w:r>
          </w:p>
        </w:tc>
      </w:tr>
      <w:tr w:rsidR="00000000">
        <w:trPr>
          <w:trHeight w:val="43"/>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AF2D19">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AF2D19">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AF2D19">
            <w:pPr>
              <w:pStyle w:val="a3"/>
              <w:spacing w:before="0" w:beforeAutospacing="0" w:after="0" w:afterAutospacing="0"/>
              <w:rPr>
                <w:sz w:val="4"/>
                <w:szCs w:val="4"/>
              </w:rPr>
            </w:pPr>
            <w:r>
              <w:rPr>
                <w:sz w:val="4"/>
                <w:szCs w:val="4"/>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Non-accelerated file</w:t>
            </w:r>
            <w:r>
              <w:rPr>
                <w:sz w:val="16"/>
                <w:szCs w:val="16"/>
              </w:rPr>
              <w:t>r</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rFonts w:ascii="Segoe UI Symbol" w:hAnsi="Segoe UI Symbol" w:cs="Segoe UI Symbol"/>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Smaller reporting compan</w:t>
            </w:r>
            <w:r>
              <w:rPr>
                <w:sz w:val="16"/>
                <w:szCs w:val="16"/>
              </w:rPr>
              <w:t>y</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rFonts w:ascii="Segoe UI Symbol" w:hAnsi="Segoe UI Symbol" w:cs="Segoe UI Symbol"/>
                <w:sz w:val="16"/>
                <w:szCs w:val="16"/>
              </w:rPr>
              <w:t>☐</w:t>
            </w:r>
          </w:p>
        </w:tc>
      </w:tr>
      <w:tr w:rsidR="00000000">
        <w:trPr>
          <w:trHeight w:val="43"/>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4"/>
                <w:szCs w:val="4"/>
              </w:rPr>
            </w:pPr>
            <w:r>
              <w:rPr>
                <w:sz w:val="4"/>
                <w:szCs w:val="4"/>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Emerging growth compan</w:t>
            </w:r>
            <w:r>
              <w:rPr>
                <w:sz w:val="16"/>
                <w:szCs w:val="16"/>
              </w:rPr>
              <w:t>y</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rFonts w:ascii="Segoe UI Symbol" w:hAnsi="Segoe UI Symbol" w:cs="Segoe UI Symbol"/>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r>
    </w:tbl>
    <w:p w:rsidR="00000000" w:rsidRDefault="00AF2D19">
      <w:pPr>
        <w:pStyle w:val="a3"/>
        <w:spacing w:before="0" w:beforeAutospacing="0" w:after="0" w:afterAutospacing="0"/>
        <w:rPr>
          <w:sz w:val="20"/>
          <w:szCs w:val="20"/>
        </w:rPr>
      </w:pPr>
      <w:r>
        <w:rPr>
          <w:sz w:val="6"/>
          <w:szCs w:val="6"/>
        </w:rPr>
        <w:t> </w:t>
      </w:r>
    </w:p>
    <w:p w:rsidR="00000000" w:rsidRDefault="00AF2D19">
      <w:pPr>
        <w:pStyle w:val="a3"/>
        <w:spacing w:before="0" w:beforeAutospacing="0" w:after="0" w:afterAutospacing="0"/>
        <w:rPr>
          <w:sz w:val="20"/>
          <w:szCs w:val="20"/>
        </w:rPr>
      </w:pPr>
      <w:r>
        <w:rPr>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6"/>
          <w:szCs w:val="16"/>
        </w:rPr>
        <w:t>☐</w:t>
      </w:r>
    </w:p>
    <w:p w:rsidR="00000000" w:rsidRDefault="00AF2D19">
      <w:pPr>
        <w:pStyle w:val="a3"/>
        <w:spacing w:before="60" w:beforeAutospacing="0" w:after="0" w:afterAutospacing="0"/>
        <w:rPr>
          <w:sz w:val="20"/>
          <w:szCs w:val="20"/>
        </w:rPr>
      </w:pPr>
      <w:r>
        <w:rPr>
          <w:sz w:val="16"/>
          <w:szCs w:val="16"/>
        </w:rPr>
        <w:lastRenderedPageBreak/>
        <w:t>Ind</w:t>
      </w:r>
      <w:r>
        <w:rPr>
          <w:sz w:val="16"/>
          <w:szCs w:val="16"/>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sz w:val="16"/>
          <w:szCs w:val="16"/>
        </w:rPr>
        <w:t>registered public accounting firm that prepared or issued its audit report.</w:t>
      </w:r>
      <w:r>
        <w:rPr>
          <w:sz w:val="16"/>
          <w:szCs w:val="16"/>
        </w:rPr>
        <w:t xml:space="preserve"> </w:t>
      </w:r>
      <w:r>
        <w:rPr>
          <w:rFonts w:ascii="Segoe UI Symbol" w:hAnsi="Segoe UI Symbol" w:cs="Segoe UI Symbol"/>
          <w:sz w:val="16"/>
          <w:szCs w:val="16"/>
        </w:rPr>
        <w:t>☐</w:t>
      </w:r>
    </w:p>
    <w:p w:rsidR="00000000" w:rsidRDefault="00AF2D19">
      <w:pPr>
        <w:pStyle w:val="a3"/>
        <w:spacing w:before="60" w:beforeAutospacing="0" w:after="0" w:afterAutospacing="0"/>
        <w:rPr>
          <w:sz w:val="20"/>
          <w:szCs w:val="20"/>
        </w:rPr>
      </w:pPr>
      <w:r>
        <w:rPr>
          <w:sz w:val="16"/>
          <w:szCs w:val="16"/>
        </w:rPr>
        <w:t>Indicate by check mark whether the Registrant is a shell company (as defined in Rule 12b-2 of the Act). YES</w:t>
      </w:r>
      <w:r>
        <w:rPr>
          <w:sz w:val="16"/>
          <w:szCs w:val="16"/>
        </w:rPr>
        <w:t xml:space="preserve"> </w:t>
      </w:r>
      <w:r>
        <w:rPr>
          <w:rFonts w:ascii="Segoe UI Symbol" w:hAnsi="Segoe UI Symbol" w:cs="Segoe UI Symbol"/>
          <w:sz w:val="16"/>
          <w:szCs w:val="16"/>
        </w:rPr>
        <w:t>☐</w:t>
      </w:r>
      <w:r>
        <w:rPr>
          <w:sz w:val="16"/>
          <w:szCs w:val="16"/>
        </w:rPr>
        <w:t xml:space="preserve"> NO </w:t>
      </w:r>
      <w:r>
        <w:rPr>
          <w:rFonts w:ascii="Segoe UI Symbol" w:hAnsi="Segoe UI Symbol" w:cs="Segoe UI Symbol"/>
          <w:sz w:val="16"/>
          <w:szCs w:val="16"/>
        </w:rPr>
        <w:t>☒</w:t>
      </w:r>
    </w:p>
    <w:p w:rsidR="00000000" w:rsidRDefault="00AF2D19">
      <w:pPr>
        <w:pStyle w:val="a3"/>
        <w:spacing w:before="60" w:beforeAutospacing="0" w:after="0" w:afterAutospacing="0"/>
        <w:rPr>
          <w:sz w:val="20"/>
          <w:szCs w:val="20"/>
        </w:rPr>
      </w:pPr>
      <w:r>
        <w:rPr>
          <w:sz w:val="16"/>
          <w:szCs w:val="16"/>
        </w:rPr>
        <w:t>The aggregate market value of the voting common stock held by n</w:t>
      </w:r>
      <w:r>
        <w:rPr>
          <w:sz w:val="16"/>
          <w:szCs w:val="16"/>
        </w:rPr>
        <w:t xml:space="preserve">on-affiliates as of the last business day of the registrant’s most recently completed second fiscal quarter was </w:t>
      </w:r>
      <w:r>
        <w:rPr>
          <w:sz w:val="16"/>
          <w:szCs w:val="16"/>
        </w:rPr>
        <w:t>$</w:t>
      </w:r>
      <w:r>
        <w:rPr>
          <w:sz w:val="16"/>
          <w:szCs w:val="16"/>
        </w:rPr>
        <w:t>789.</w:t>
      </w:r>
      <w:r>
        <w:rPr>
          <w:sz w:val="16"/>
          <w:szCs w:val="16"/>
        </w:rPr>
        <w:t>8</w:t>
      </w:r>
      <w:r>
        <w:rPr>
          <w:sz w:val="16"/>
          <w:szCs w:val="16"/>
        </w:rPr>
        <w:t xml:space="preserve"> million based on the per share closing price of the registrant’s common stock on June 30, 2021 of $8.31</w:t>
      </w:r>
      <w:r>
        <w:rPr>
          <w:sz w:val="16"/>
          <w:szCs w:val="16"/>
        </w:rPr>
        <w:t>.</w:t>
      </w:r>
    </w:p>
    <w:p w:rsidR="00000000" w:rsidRDefault="00AF2D19">
      <w:pPr>
        <w:pStyle w:val="a3"/>
        <w:spacing w:before="60" w:beforeAutospacing="0" w:afterAutospacing="0"/>
        <w:rPr>
          <w:sz w:val="20"/>
          <w:szCs w:val="20"/>
        </w:rPr>
      </w:pPr>
      <w:r>
        <w:rPr>
          <w:sz w:val="16"/>
          <w:szCs w:val="16"/>
        </w:rPr>
        <w:t>The number of shares of common s</w:t>
      </w:r>
      <w:r>
        <w:rPr>
          <w:sz w:val="16"/>
          <w:szCs w:val="16"/>
        </w:rPr>
        <w:t>tock outstanding as of February 21, 2022 was</w:t>
      </w:r>
      <w:r>
        <w:rPr>
          <w:sz w:val="16"/>
          <w:szCs w:val="16"/>
        </w:rPr>
        <w:t xml:space="preserve"> </w:t>
      </w:r>
      <w:r>
        <w:rPr>
          <w:sz w:val="16"/>
          <w:szCs w:val="16"/>
        </w:rPr>
        <w:t>153,973,93</w:t>
      </w:r>
      <w:r>
        <w:rPr>
          <w:sz w:val="16"/>
          <w:szCs w:val="16"/>
        </w:rPr>
        <w:t>0</w:t>
      </w:r>
      <w:r>
        <w:rPr>
          <w:sz w:val="16"/>
          <w:szCs w:val="16"/>
        </w:rPr>
        <w:t>.</w:t>
      </w:r>
    </w:p>
    <w:p w:rsidR="00000000" w:rsidRDefault="00AF2D19">
      <w:pPr>
        <w:pStyle w:val="a3"/>
        <w:spacing w:before="60" w:beforeAutospacing="0" w:after="0" w:afterAutospacing="0"/>
        <w:jc w:val="center"/>
        <w:divId w:val="27415653"/>
        <w:rPr>
          <w:sz w:val="20"/>
          <w:szCs w:val="20"/>
        </w:rPr>
      </w:pPr>
      <w:r>
        <w:rPr>
          <w:sz w:val="16"/>
          <w:szCs w:val="16"/>
        </w:rPr>
        <w:t>DOCUMENTS INCORPORATED BY REFERENC</w:t>
      </w:r>
      <w:r>
        <w:rPr>
          <w:sz w:val="16"/>
          <w:szCs w:val="16"/>
        </w:rPr>
        <w:t>E</w:t>
      </w:r>
    </w:p>
    <w:p w:rsidR="00000000" w:rsidRDefault="00AF2D19">
      <w:pPr>
        <w:pStyle w:val="a3"/>
        <w:spacing w:before="20" w:beforeAutospacing="0" w:after="0" w:afterAutospacing="0"/>
        <w:jc w:val="center"/>
        <w:divId w:val="27415653"/>
        <w:rPr>
          <w:sz w:val="20"/>
          <w:szCs w:val="20"/>
        </w:rPr>
      </w:pPr>
      <w:r>
        <w:rPr>
          <w:sz w:val="16"/>
          <w:szCs w:val="16"/>
        </w:rPr>
        <w:t>None</w:t>
      </w:r>
      <w:r>
        <w:rPr>
          <w:sz w:val="16"/>
          <w:szCs w:val="16"/>
        </w:rPr>
        <w:t>.</w:t>
      </w:r>
    </w:p>
    <w:p w:rsidR="00000000" w:rsidRDefault="00AF2D19">
      <w:pPr>
        <w:pStyle w:val="a3"/>
        <w:spacing w:before="20" w:beforeAutospacing="0" w:after="0" w:afterAutospacing="0"/>
        <w:jc w:val="center"/>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7"/>
        <w:gridCol w:w="921"/>
        <w:gridCol w:w="921"/>
        <w:gridCol w:w="2459"/>
        <w:gridCol w:w="1082"/>
        <w:gridCol w:w="1886"/>
      </w:tblGrid>
      <w:tr w:rsidR="00000000">
        <w:trPr>
          <w:tblCellSpacing w:w="15" w:type="dxa"/>
        </w:trPr>
        <w:tc>
          <w:tcPr>
            <w:tcW w:w="612" w:type="pct"/>
            <w:vAlign w:val="center"/>
            <w:hideMark/>
          </w:tcPr>
          <w:p w:rsidR="00000000" w:rsidRDefault="00AF2D19">
            <w:pPr>
              <w:rPr>
                <w:sz w:val="20"/>
                <w:szCs w:val="20"/>
              </w:rPr>
            </w:pPr>
          </w:p>
        </w:tc>
        <w:tc>
          <w:tcPr>
            <w:tcW w:w="550" w:type="pct"/>
            <w:vAlign w:val="center"/>
            <w:hideMark/>
          </w:tcPr>
          <w:p w:rsidR="00000000" w:rsidRDefault="00AF2D19">
            <w:pPr>
              <w:rPr>
                <w:rFonts w:eastAsia="Times New Roman"/>
                <w:sz w:val="20"/>
                <w:szCs w:val="20"/>
              </w:rPr>
            </w:pPr>
          </w:p>
        </w:tc>
        <w:tc>
          <w:tcPr>
            <w:tcW w:w="550" w:type="pct"/>
            <w:vAlign w:val="center"/>
            <w:hideMark/>
          </w:tcPr>
          <w:p w:rsidR="00000000" w:rsidRDefault="00AF2D19">
            <w:pPr>
              <w:rPr>
                <w:rFonts w:eastAsia="Times New Roman"/>
                <w:sz w:val="20"/>
                <w:szCs w:val="20"/>
              </w:rPr>
            </w:pPr>
          </w:p>
        </w:tc>
        <w:tc>
          <w:tcPr>
            <w:tcW w:w="1500" w:type="pct"/>
            <w:vAlign w:val="center"/>
            <w:hideMark/>
          </w:tcPr>
          <w:p w:rsidR="00000000" w:rsidRDefault="00AF2D19">
            <w:pPr>
              <w:rPr>
                <w:rFonts w:eastAsia="Times New Roman"/>
                <w:sz w:val="20"/>
                <w:szCs w:val="20"/>
              </w:rPr>
            </w:pPr>
          </w:p>
        </w:tc>
        <w:tc>
          <w:tcPr>
            <w:tcW w:w="650" w:type="pct"/>
            <w:vAlign w:val="center"/>
            <w:hideMark/>
          </w:tcPr>
          <w:p w:rsidR="00000000" w:rsidRDefault="00AF2D19">
            <w:pPr>
              <w:rPr>
                <w:rFonts w:eastAsia="Times New Roman"/>
                <w:sz w:val="20"/>
                <w:szCs w:val="20"/>
              </w:rPr>
            </w:pPr>
          </w:p>
        </w:tc>
        <w:tc>
          <w:tcPr>
            <w:tcW w:w="1137"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b/>
                <w:bCs/>
                <w:sz w:val="16"/>
                <w:szCs w:val="16"/>
              </w:rPr>
              <w:t>Auditor Firm Id</w:t>
            </w:r>
            <w:r>
              <w:rPr>
                <w:b/>
                <w:bCs/>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16"/>
                <w:szCs w:val="16"/>
              </w:rPr>
              <w:t>128</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b/>
                <w:bCs/>
                <w:sz w:val="16"/>
                <w:szCs w:val="16"/>
              </w:rPr>
              <w:t>Auditor Name</w:t>
            </w:r>
            <w:r>
              <w:rPr>
                <w:b/>
                <w:bCs/>
                <w:sz w:val="16"/>
                <w:szCs w:val="16"/>
              </w:rPr>
              <w:t>:</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16"/>
                <w:szCs w:val="16"/>
              </w:rPr>
              <w:t>Kost Forer Gabbay &amp; Kasierer, a member of Ernst &amp; Young Globa</w:t>
            </w:r>
            <w:r>
              <w:rPr>
                <w:sz w:val="16"/>
                <w:szCs w:val="16"/>
              </w:rPr>
              <w:t>l</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b/>
                <w:bCs/>
                <w:sz w:val="16"/>
                <w:szCs w:val="16"/>
              </w:rPr>
              <w:t>Auditor Location</w:t>
            </w:r>
            <w:r>
              <w:rPr>
                <w:b/>
                <w:bCs/>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16"/>
                <w:szCs w:val="16"/>
              </w:rPr>
              <w:t>Tel-Aviv, Israe</w:t>
            </w:r>
            <w:r>
              <w:rPr>
                <w:sz w:val="16"/>
                <w:szCs w:val="16"/>
              </w:rPr>
              <w:t>l</w:t>
            </w:r>
          </w:p>
        </w:tc>
      </w:tr>
    </w:tbl>
    <w:p w:rsidR="00000000" w:rsidRDefault="00AF2D19">
      <w:pPr>
        <w:pStyle w:val="a3"/>
        <w:pBdr>
          <w:bottom w:val="double" w:sz="6" w:space="1" w:color="auto"/>
        </w:pBdr>
        <w:spacing w:before="0" w:beforeAutospacing="0" w:after="0" w:afterAutospacing="0" w:line="120" w:lineRule="atLeast"/>
        <w:rPr>
          <w:sz w:val="20"/>
          <w:szCs w:val="20"/>
        </w:rPr>
      </w:pPr>
      <w:r>
        <w:rPr>
          <w:sz w:val="16"/>
          <w:szCs w:val="16"/>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rPr>
          <w:rFonts w:eastAsia="Times New Roman"/>
        </w:rPr>
      </w:pPr>
      <w:r>
        <w:rPr>
          <w:rFonts w:eastAsia="Times New Roman"/>
        </w:rPr>
        <w:pict>
          <v:rect id="_x0000_i102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2"/>
          <w:szCs w:val="22"/>
        </w:rPr>
        <w:t xml:space="preserve">Table </w:t>
      </w:r>
      <w:r>
        <w:rPr>
          <w:b/>
          <w:bCs/>
          <w:sz w:val="22"/>
          <w:szCs w:val="22"/>
        </w:rPr>
        <w:t>o</w:t>
      </w:r>
      <w:r>
        <w:rPr>
          <w:b/>
          <w:bCs/>
          <w:sz w:val="22"/>
          <w:szCs w:val="22"/>
        </w:rPr>
        <w:t>f Content</w:t>
      </w:r>
      <w:r>
        <w:rPr>
          <w:b/>
          <w:bCs/>
          <w:sz w:val="22"/>
          <w:szCs w:val="22"/>
        </w:rPr>
        <w:t>s</w:t>
      </w:r>
    </w:p>
    <w:p w:rsidR="00000000" w:rsidRDefault="00AF2D1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13"/>
        <w:gridCol w:w="6688"/>
        <w:gridCol w:w="605"/>
      </w:tblGrid>
      <w:tr w:rsidR="00000000">
        <w:trPr>
          <w:tblCellSpacing w:w="15" w:type="dxa"/>
        </w:trPr>
        <w:tc>
          <w:tcPr>
            <w:tcW w:w="591" w:type="pct"/>
            <w:vAlign w:val="center"/>
            <w:hideMark/>
          </w:tcPr>
          <w:p w:rsidR="00000000" w:rsidRDefault="00AF2D19">
            <w:pPr>
              <w:rPr>
                <w:sz w:val="20"/>
                <w:szCs w:val="20"/>
              </w:rPr>
            </w:pPr>
          </w:p>
        </w:tc>
        <w:tc>
          <w:tcPr>
            <w:tcW w:w="4066" w:type="pct"/>
            <w:vAlign w:val="center"/>
            <w:hideMark/>
          </w:tcPr>
          <w:p w:rsidR="00000000" w:rsidRDefault="00AF2D19">
            <w:pPr>
              <w:rPr>
                <w:rFonts w:eastAsia="Times New Roman"/>
                <w:sz w:val="20"/>
                <w:szCs w:val="20"/>
              </w:rPr>
            </w:pPr>
          </w:p>
        </w:tc>
        <w:tc>
          <w:tcPr>
            <w:tcW w:w="342"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b/>
                <w:bCs/>
                <w:sz w:val="20"/>
                <w:szCs w:val="20"/>
              </w:rPr>
              <w:t xml:space="preserve">PART </w:t>
            </w:r>
            <w:r>
              <w:rPr>
                <w:b/>
                <w:bCs/>
                <w:sz w:val="20"/>
                <w:szCs w:val="20"/>
              </w:rPr>
              <w:t>I</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1</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1_business" w:history="1">
              <w:r>
                <w:rPr>
                  <w:rStyle w:val="a4"/>
                  <w:sz w:val="20"/>
                  <w:szCs w:val="20"/>
                </w:rPr>
                <w:t>Busines</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1A</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1</w:t>
            </w: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1B</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1b_unresolved_staff_comments" w:history="1">
              <w:r>
                <w:rPr>
                  <w:rStyle w:val="a4"/>
                  <w:sz w:val="20"/>
                  <w:szCs w:val="20"/>
                </w:rPr>
                <w:t>Unresolved Staff Comment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5</w:t>
            </w: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2_properties" w:history="1">
              <w:r>
                <w:rPr>
                  <w:rStyle w:val="a4"/>
                  <w:sz w:val="20"/>
                  <w:szCs w:val="20"/>
                </w:rPr>
                <w:t>Propertie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5</w:t>
            </w: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3_legal_proceedings"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5</w:t>
            </w: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5</w:t>
            </w: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b/>
                <w:bCs/>
                <w:sz w:val="20"/>
                <w:szCs w:val="20"/>
              </w:rPr>
              <w:t>PART I</w:t>
            </w:r>
            <w:r>
              <w:rPr>
                <w:b/>
                <w:bCs/>
                <w:sz w:val="20"/>
                <w:szCs w:val="20"/>
              </w:rPr>
              <w:t>I</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5</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5_market_for_registrants_common" w:history="1">
              <w:r>
                <w:rPr>
                  <w:rStyle w:val="a4"/>
                  <w:sz w:val="20"/>
                  <w:szCs w:val="20"/>
                </w:rPr>
                <w:t>Market for Registrant’s Common Equity, Related Stockholder Matters and Issuer Purchases of Equity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5</w:t>
            </w: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6</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6_selected_financial_data" w:history="1">
              <w:r>
                <w:rPr>
                  <w:rStyle w:val="a4"/>
                  <w:sz w:val="20"/>
                  <w:szCs w:val="20"/>
                </w:rPr>
                <w:t>Reserve</w:t>
              </w:r>
              <w:r>
                <w:rPr>
                  <w:rStyle w:val="a4"/>
                  <w:sz w:val="20"/>
                  <w:szCs w:val="20"/>
                </w:rPr>
                <w:t>d</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5</w:t>
            </w:r>
            <w:r>
              <w:rPr>
                <w:sz w:val="20"/>
                <w:szCs w:val="20"/>
              </w:rPr>
              <w:t>8</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7</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7_managements_discussion"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5</w:t>
            </w: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7A</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7a_quantitative_and_qualitative" w:history="1">
              <w:r>
                <w:rPr>
                  <w:rStyle w:val="a4"/>
                  <w:sz w:val="20"/>
                  <w:szCs w:val="20"/>
                </w:rPr>
                <w:t>Quantitative and Qualitative Disclosures About M</w:t>
              </w:r>
              <w:r>
                <w:rPr>
                  <w:rStyle w:val="a4"/>
                  <w:sz w:val="20"/>
                  <w:szCs w:val="20"/>
                </w:rPr>
                <w:t>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7</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8</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8_financial_statements" w:history="1">
              <w:r>
                <w:rPr>
                  <w:rStyle w:val="a4"/>
                  <w:sz w:val="20"/>
                  <w:szCs w:val="20"/>
                </w:rPr>
                <w:t>Financial Statements and Supplementary Dat</w:t>
              </w:r>
              <w:r>
                <w:rPr>
                  <w:rStyle w:val="a4"/>
                  <w:sz w:val="20"/>
                  <w:szCs w:val="20"/>
                </w:rPr>
                <w:t>a</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7</w:t>
            </w:r>
            <w:r>
              <w:rPr>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9</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9_changes_in_and_disagreements" w:history="1">
              <w:r>
                <w:rPr>
                  <w:rStyle w:val="a4"/>
                  <w:sz w:val="20"/>
                  <w:szCs w:val="20"/>
                </w:rPr>
                <w:t>Changes in and Disagreements with Accountants on Accounting and Financial Disclosur</w:t>
              </w:r>
              <w:r>
                <w:rPr>
                  <w:rStyle w:val="a4"/>
                  <w:sz w:val="20"/>
                  <w:szCs w:val="20"/>
                </w:rPr>
                <w:t>e</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9</w:t>
            </w: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9A</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9a_controls_and_procedures"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9</w:t>
            </w: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9B</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9b_othe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ind w:left="137"/>
              <w:jc w:val="right"/>
              <w:rPr>
                <w:sz w:val="20"/>
                <w:szCs w:val="20"/>
              </w:rPr>
            </w:pPr>
            <w:r>
              <w:rPr>
                <w:sz w:val="20"/>
                <w:szCs w:val="20"/>
              </w:rPr>
              <w:t>10</w:t>
            </w:r>
            <w:r>
              <w:rPr>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9C</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9c_disclosure_regarding_foreign" w:history="1">
              <w:r>
                <w:rPr>
                  <w:rStyle w:val="a4"/>
                  <w:sz w:val="20"/>
                  <w:szCs w:val="20"/>
                </w:rPr>
                <w:t>Disclosure Regarding Foreign Jurisdictions that Prevent Inspection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ind w:left="137"/>
              <w:jc w:val="right"/>
              <w:rPr>
                <w:sz w:val="20"/>
                <w:szCs w:val="20"/>
              </w:rPr>
            </w:pPr>
            <w:r>
              <w:rPr>
                <w:sz w:val="20"/>
                <w:szCs w:val="20"/>
              </w:rPr>
              <w:t>10</w:t>
            </w:r>
            <w:r>
              <w:rPr>
                <w:sz w:val="20"/>
                <w:szCs w:val="20"/>
              </w:rPr>
              <w:t>1</w:t>
            </w:r>
          </w:p>
        </w:tc>
      </w:tr>
      <w:tr w:rsidR="00000000">
        <w:trPr>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b/>
                <w:bCs/>
                <w:sz w:val="20"/>
                <w:szCs w:val="20"/>
              </w:rPr>
              <w:t>PART II</w:t>
            </w:r>
            <w:r>
              <w:rPr>
                <w:b/>
                <w:bCs/>
                <w:sz w:val="20"/>
                <w:szCs w:val="20"/>
              </w:rPr>
              <w:t>I</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10</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10_directors_executive_officers" w:history="1">
              <w:r>
                <w:rPr>
                  <w:rStyle w:val="a4"/>
                  <w:sz w:val="20"/>
                  <w:szCs w:val="20"/>
                </w:rPr>
                <w:t>Directors, Executive Officers and Corporate Governanc</w:t>
              </w:r>
              <w:r>
                <w:rPr>
                  <w:rStyle w:val="a4"/>
                  <w:sz w:val="20"/>
                  <w:szCs w:val="20"/>
                </w:rPr>
                <w:t>e</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10</w:t>
            </w:r>
            <w:r>
              <w:rPr>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11</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11_executive_compensation" w:history="1">
              <w:r>
                <w:rPr>
                  <w:rStyle w:val="a4"/>
                  <w:sz w:val="20"/>
                  <w:szCs w:val="20"/>
                </w:rPr>
                <w:t>Executive Compensatio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10</w:t>
            </w: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12</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12_security_ownership" w:history="1">
              <w:r>
                <w:rPr>
                  <w:rStyle w:val="a4"/>
                  <w:sz w:val="20"/>
                  <w:szCs w:val="20"/>
                </w:rPr>
                <w:t>Security Ownership of Certain Beneficial Owners and Management and Related Stockholder Matter</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12</w:t>
            </w:r>
            <w:r>
              <w:rPr>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13</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13_certain_relationships" w:history="1">
              <w:r>
                <w:rPr>
                  <w:rStyle w:val="a4"/>
                  <w:sz w:val="20"/>
                  <w:szCs w:val="20"/>
                </w:rPr>
                <w:t>Certain Relationships and Related Transactions, and Director Independenc</w:t>
              </w:r>
              <w:r>
                <w:rPr>
                  <w:rStyle w:val="a4"/>
                  <w:sz w:val="20"/>
                  <w:szCs w:val="20"/>
                </w:rPr>
                <w:t>e</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12</w:t>
            </w:r>
            <w:r>
              <w:rPr>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14</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14_principal_accounting_fees" w:history="1">
              <w:r>
                <w:rPr>
                  <w:rStyle w:val="a4"/>
                  <w:sz w:val="20"/>
                  <w:szCs w:val="20"/>
                </w:rPr>
                <w:t>Principal Accounting Fees and Service</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12</w:t>
            </w:r>
            <w:r>
              <w:rPr>
                <w:sz w:val="20"/>
                <w:szCs w:val="20"/>
              </w:rPr>
              <w:t>4</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b/>
                <w:bCs/>
                <w:sz w:val="20"/>
                <w:szCs w:val="20"/>
              </w:rPr>
              <w:t>PART I</w:t>
            </w:r>
            <w:r>
              <w:rPr>
                <w:b/>
                <w:bCs/>
                <w:sz w:val="20"/>
                <w:szCs w:val="20"/>
              </w:rPr>
              <w:t>V</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Item 15</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15_exhibits_financial_statement" w:history="1">
              <w:r>
                <w:rPr>
                  <w:rStyle w:val="a4"/>
                  <w:sz w:val="20"/>
                  <w:szCs w:val="20"/>
                </w:rPr>
                <w:t>Exhibits and Financial Statement Schedule</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12</w:t>
            </w: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lastRenderedPageBreak/>
              <w:t>Item 16</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item_16_form_10_k_summary" w:history="1">
              <w:r>
                <w:rPr>
                  <w:rStyle w:val="a4"/>
                  <w:sz w:val="20"/>
                  <w:szCs w:val="20"/>
                </w:rPr>
                <w:t>Form 10-K Summar</w:t>
              </w:r>
              <w:r>
                <w:rPr>
                  <w:rStyle w:val="a4"/>
                  <w:sz w:val="20"/>
                  <w:szCs w:val="20"/>
                </w:rPr>
                <w:t>y</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12</w:t>
            </w:r>
            <w:r>
              <w:rPr>
                <w:sz w:val="20"/>
                <w:szCs w:val="20"/>
              </w:rPr>
              <w:t>6</w:t>
            </w:r>
          </w:p>
        </w:tc>
      </w:tr>
      <w:tr w:rsidR="00000000">
        <w:trPr>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gridSpan w:val="2"/>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exhibit_index" w:history="1">
              <w:r>
                <w:rPr>
                  <w:rStyle w:val="a4"/>
                  <w:sz w:val="20"/>
                  <w:szCs w:val="20"/>
                </w:rPr>
                <w:t>Exhibit Inde</w:t>
              </w:r>
              <w:r>
                <w:rPr>
                  <w:rStyle w:val="a4"/>
                  <w:sz w:val="20"/>
                  <w:szCs w:val="20"/>
                </w:rPr>
                <w:t>x</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12</w:t>
            </w:r>
            <w:r>
              <w:rPr>
                <w:sz w:val="20"/>
                <w:szCs w:val="20"/>
              </w:rPr>
              <w:t>7</w:t>
            </w:r>
          </w:p>
        </w:tc>
      </w:tr>
      <w:tr w:rsidR="00000000">
        <w:trPr>
          <w:trHeight w:val="200"/>
          <w:tblCellSpacing w:w="15" w:type="dxa"/>
        </w:trPr>
        <w:tc>
          <w:tcPr>
            <w:tcW w:w="0" w:type="auto"/>
            <w:gridSpan w:val="2"/>
            <w:tcMar>
              <w:top w:w="14" w:type="dxa"/>
              <w:left w:w="15" w:type="dxa"/>
              <w:bottom w:w="15" w:type="dxa"/>
              <w:right w:w="14" w:type="dxa"/>
            </w:tcMar>
            <w:hideMark/>
          </w:tcPr>
          <w:p w:rsidR="00000000" w:rsidRDefault="00AF2D19">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12</w:t>
            </w:r>
            <w:r>
              <w:rPr>
                <w:sz w:val="20"/>
                <w:szCs w:val="20"/>
              </w:rPr>
              <w:t>9</w:t>
            </w:r>
          </w:p>
        </w:tc>
      </w:tr>
    </w:tbl>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i</w:t>
      </w:r>
    </w:p>
    <w:p w:rsidR="00000000" w:rsidRDefault="00AF2D19">
      <w:pPr>
        <w:rPr>
          <w:rFonts w:eastAsia="Times New Roman"/>
        </w:rPr>
      </w:pPr>
      <w:r>
        <w:rPr>
          <w:rFonts w:eastAsia="Times New Roman"/>
        </w:rPr>
        <w:pict>
          <v:rect id="_x0000_i1026"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sz w:val="20"/>
          <w:szCs w:val="20"/>
        </w:rPr>
        <w:t> </w:t>
      </w:r>
    </w:p>
    <w:p w:rsidR="00000000" w:rsidRDefault="00AF2D19">
      <w:pPr>
        <w:pStyle w:val="a3"/>
        <w:spacing w:before="0" w:beforeAutospacing="0" w:after="0" w:afterAutospacing="0"/>
        <w:jc w:val="center"/>
        <w:rPr>
          <w:sz w:val="20"/>
          <w:szCs w:val="20"/>
        </w:rPr>
      </w:pPr>
      <w:r>
        <w:rPr>
          <w:b/>
          <w:bCs/>
          <w:sz w:val="20"/>
          <w:szCs w:val="20"/>
        </w:rPr>
        <w:t>FORWARD-LOOKING STATEMENT</w:t>
      </w:r>
      <w:r>
        <w:rPr>
          <w:b/>
          <w:bCs/>
          <w:sz w:val="20"/>
          <w:szCs w:val="20"/>
        </w:rPr>
        <w:t>S</w:t>
      </w:r>
    </w:p>
    <w:p w:rsidR="00000000" w:rsidRDefault="00AF2D19">
      <w:pPr>
        <w:pStyle w:val="a3"/>
        <w:spacing w:before="0" w:beforeAutospacing="0" w:after="0" w:afterAutospacing="0"/>
        <w:jc w:val="center"/>
        <w:rPr>
          <w:sz w:val="20"/>
          <w:szCs w:val="20"/>
        </w:rPr>
      </w:pPr>
      <w:r>
        <w:rPr>
          <w:sz w:val="20"/>
          <w:szCs w:val="20"/>
        </w:rPr>
        <w:t> </w:t>
      </w:r>
    </w:p>
    <w:p w:rsidR="00000000" w:rsidRDefault="00AF2D19">
      <w:pPr>
        <w:pStyle w:val="a3"/>
        <w:spacing w:before="0" w:beforeAutospacing="0" w:after="0" w:afterAutospacing="0"/>
        <w:jc w:val="both"/>
        <w:rPr>
          <w:sz w:val="20"/>
          <w:szCs w:val="20"/>
        </w:rPr>
      </w:pPr>
      <w:r>
        <w:rPr>
          <w:sz w:val="20"/>
          <w:szCs w:val="20"/>
        </w:rPr>
        <w:t>This Annual Report on Form 10-K contains forward-looking statements. We intend such forward-looking statements to be covered by the safe har</w:t>
      </w:r>
      <w:r>
        <w:rPr>
          <w:sz w:val="20"/>
          <w:szCs w:val="20"/>
        </w:rPr>
        <w:t>bor provisions for forward-looking statements contained in Section 27A of the Securities Act of 1933, as amended (the “Securities Act”), and Section 21E of the Securities Exchange Act of 1934, as amended (the “Exchange Act”). All statements other than stat</w:t>
      </w:r>
      <w:r>
        <w:rPr>
          <w:sz w:val="20"/>
          <w:szCs w:val="20"/>
        </w:rPr>
        <w:t>ements of historical facts contained in this Annual Report on Form 10-K may be forward-looking statements. In some cases, you can identify forward-looking statements by terms such as “may,” “will,” “should,” “expects,” “plans,” “anticipates,” “could,” “int</w:t>
      </w:r>
      <w:r>
        <w:rPr>
          <w:sz w:val="20"/>
          <w:szCs w:val="20"/>
        </w:rPr>
        <w:t>ends,” “targets,” “projects,” “contemplates,” “believes,” “estimates,” “forecasts,” “predicts,” “potential” or “continue” or the negative of these terms or other similar expressions. Forward-looking statements contained in this Annual Report on Form 10-K i</w:t>
      </w:r>
      <w:r>
        <w:rPr>
          <w:sz w:val="20"/>
          <w:szCs w:val="20"/>
        </w:rPr>
        <w:t>nclude, but are not limited to, statements regarding our future results of operations and financial position, industry and business trends, stock-based compensation, revenue recognition, business strategy, plans and market growth</w:t>
      </w:r>
      <w:r>
        <w:rPr>
          <w:sz w:val="20"/>
          <w:szCs w:val="20"/>
        </w:rPr>
        <w:t>.</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both"/>
        <w:rPr>
          <w:sz w:val="20"/>
          <w:szCs w:val="20"/>
        </w:rPr>
      </w:pPr>
      <w:r>
        <w:rPr>
          <w:sz w:val="20"/>
          <w:szCs w:val="20"/>
        </w:rPr>
        <w:t>The forward-looking sta</w:t>
      </w:r>
      <w:r>
        <w:rPr>
          <w:sz w:val="20"/>
          <w:szCs w:val="20"/>
        </w:rPr>
        <w:t xml:space="preserve">tements in this Annual Report on Form 10-K are only predictions. We have based these forward-looking statements largely on our current expectations and projections about future events and financial trends that we believe may affect our business, financial </w:t>
      </w:r>
      <w:r>
        <w:rPr>
          <w:sz w:val="20"/>
          <w:szCs w:val="20"/>
        </w:rPr>
        <w:t>condition and results of operations. Forward-looking statements involve known and unknown risks, uncertainties and other important factors that may cause our actual results, performance or achievements to be materially different from any future results, pe</w:t>
      </w:r>
      <w:r>
        <w:rPr>
          <w:sz w:val="20"/>
          <w:szCs w:val="20"/>
        </w:rPr>
        <w:t>rformance or achievements expressed or implied by the forward-looking statements, including, but not limited to, the important factors discussed in Part I, Item 1A, “Risk Factors” in this Annual Report on Form 10-K for the fiscal year ended December 31, 20</w:t>
      </w:r>
      <w:r>
        <w:rPr>
          <w:sz w:val="20"/>
          <w:szCs w:val="20"/>
        </w:rPr>
        <w:t>21. The forward-looking statements in this Annual Report on Form 10-K are based upon information available to us as of the date of this Annual Report on Form 10-K, and while we believe such information forms a reasonable basis for such statements, such inf</w:t>
      </w:r>
      <w:r>
        <w:rPr>
          <w:sz w:val="20"/>
          <w:szCs w:val="20"/>
        </w:rPr>
        <w:t>ormation may be limited or incomplete, and our statements should not be read to indicate that we have conducted an exhaustive inquiry into, or review of, all potentially available relevant information. These statements are inherently uncertain and investor</w:t>
      </w:r>
      <w:r>
        <w:rPr>
          <w:sz w:val="20"/>
          <w:szCs w:val="20"/>
        </w:rPr>
        <w:t>s are cautioned not to unduly rely upon these statements</w:t>
      </w:r>
      <w:r>
        <w:rPr>
          <w:sz w:val="20"/>
          <w:szCs w:val="20"/>
        </w:rPr>
        <w:t>.</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both"/>
        <w:rPr>
          <w:sz w:val="20"/>
          <w:szCs w:val="20"/>
        </w:rPr>
      </w:pPr>
      <w:r>
        <w:rPr>
          <w:sz w:val="20"/>
          <w:szCs w:val="20"/>
        </w:rPr>
        <w:t>You should read this Annual Report on Form 10-K and the documents that we reference in this Annual Report on Form 10-K and have filed as exhibits to this Annual Report on Form 10-K with the unders</w:t>
      </w:r>
      <w:r>
        <w:rPr>
          <w:sz w:val="20"/>
          <w:szCs w:val="20"/>
        </w:rPr>
        <w:t>tanding that our actual future results, levels of activity, performance and achievements may be materially different from what we expect. We qualify all of our forward-looking statements by these cautionary statements. These forward-looking statements spea</w:t>
      </w:r>
      <w:r>
        <w:rPr>
          <w:sz w:val="20"/>
          <w:szCs w:val="20"/>
        </w:rPr>
        <w:t>k only as of the date of this Annual Report on Form 10-K. Except as required by applicable law, we do not plan to publicly update or revise any forward-looking statements contained in this Annual Report on Form 10-K, whether as a result of any new informat</w:t>
      </w:r>
      <w:r>
        <w:rPr>
          <w:sz w:val="20"/>
          <w:szCs w:val="20"/>
        </w:rPr>
        <w:t>ion, future events or otherwise</w:t>
      </w:r>
      <w:r>
        <w:rPr>
          <w:sz w:val="20"/>
          <w:szCs w:val="20"/>
        </w:rPr>
        <w:t>.</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2</w:t>
      </w:r>
    </w:p>
    <w:p w:rsidR="00000000" w:rsidRDefault="00AF2D19">
      <w:pPr>
        <w:rPr>
          <w:rFonts w:eastAsia="Times New Roman"/>
        </w:rPr>
      </w:pPr>
      <w:r>
        <w:rPr>
          <w:rFonts w:eastAsia="Times New Roman"/>
        </w:rPr>
        <w:pict>
          <v:rect id="_x0000_i1027"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center"/>
        <w:rPr>
          <w:sz w:val="20"/>
          <w:szCs w:val="20"/>
        </w:rPr>
      </w:pPr>
      <w:r>
        <w:rPr>
          <w:b/>
          <w:bCs/>
          <w:sz w:val="20"/>
          <w:szCs w:val="20"/>
        </w:rPr>
        <w:t>SUMMARY RISK FACTOR</w:t>
      </w:r>
      <w:r>
        <w:rPr>
          <w:b/>
          <w:bCs/>
          <w:sz w:val="20"/>
          <w:szCs w:val="20"/>
        </w:rPr>
        <w:t>S</w:t>
      </w:r>
    </w:p>
    <w:p w:rsidR="00000000" w:rsidRDefault="00AF2D19">
      <w:pPr>
        <w:pStyle w:val="a3"/>
        <w:spacing w:before="0" w:beforeAutospacing="0" w:after="0" w:afterAutospacing="0"/>
        <w:jc w:val="center"/>
        <w:rPr>
          <w:sz w:val="20"/>
          <w:szCs w:val="20"/>
        </w:rPr>
      </w:pPr>
      <w:r>
        <w:rPr>
          <w:sz w:val="20"/>
          <w:szCs w:val="20"/>
        </w:rPr>
        <w:t> </w:t>
      </w:r>
    </w:p>
    <w:p w:rsidR="00000000" w:rsidRDefault="00AF2D19">
      <w:pPr>
        <w:pStyle w:val="a3"/>
        <w:spacing w:before="0" w:beforeAutospacing="0" w:after="0" w:afterAutospacing="0"/>
        <w:jc w:val="both"/>
        <w:rPr>
          <w:sz w:val="20"/>
          <w:szCs w:val="20"/>
        </w:rPr>
      </w:pPr>
      <w:r>
        <w:rPr>
          <w:sz w:val="20"/>
          <w:szCs w:val="20"/>
        </w:rPr>
        <w:lastRenderedPageBreak/>
        <w:t>Our business is subject to numerous risks and uncertainties, including those described in Part I, It</w:t>
      </w:r>
      <w:r>
        <w:rPr>
          <w:sz w:val="20"/>
          <w:szCs w:val="20"/>
        </w:rPr>
        <w:t>em 1A. “Risk Factors” in this Annual Report on Form 10-K.</w:t>
      </w:r>
      <w:r>
        <w:rPr>
          <w:sz w:val="20"/>
          <w:szCs w:val="20"/>
        </w:rPr>
        <w:t xml:space="preserve"> </w:t>
      </w:r>
      <w:r>
        <w:rPr>
          <w:sz w:val="20"/>
          <w:szCs w:val="20"/>
        </w:rPr>
        <w:t>You should carefully consider the following risk factors together with all other information included in this Form 10-K and our other publicly filed documents when investing in our common stock.</w:t>
      </w:r>
      <w:r>
        <w:rPr>
          <w:sz w:val="20"/>
          <w:szCs w:val="20"/>
        </w:rPr>
        <w:t xml:space="preserve"> </w:t>
      </w:r>
      <w:r>
        <w:rPr>
          <w:sz w:val="20"/>
          <w:szCs w:val="20"/>
        </w:rPr>
        <w:t>The</w:t>
      </w:r>
      <w:r>
        <w:rPr>
          <w:sz w:val="20"/>
          <w:szCs w:val="20"/>
        </w:rPr>
        <w:t xml:space="preserve"> principal risks and uncertainties affecting our business include the following</w:t>
      </w:r>
      <w:r>
        <w:rPr>
          <w:sz w:val="20"/>
          <w:szCs w:val="20"/>
        </w:rPr>
        <w:t>:</w:t>
      </w:r>
    </w:p>
    <w:p w:rsidR="00000000" w:rsidRDefault="00AF2D19">
      <w:pPr>
        <w:jc w:val="both"/>
        <w:divId w:val="822427711"/>
        <w:rPr>
          <w:rFonts w:eastAsia="Times New Roman"/>
        </w:rPr>
      </w:pPr>
      <w:r>
        <w:rPr>
          <w:rFonts w:eastAsia="Times New Roman"/>
          <w:sz w:val="20"/>
          <w:szCs w:val="20"/>
        </w:rPr>
        <w:t>•</w:t>
      </w:r>
    </w:p>
    <w:p w:rsidR="00000000" w:rsidRDefault="00AF2D19">
      <w:pPr>
        <w:jc w:val="both"/>
        <w:divId w:val="1080954375"/>
        <w:rPr>
          <w:rFonts w:eastAsia="Times New Roman"/>
        </w:rPr>
      </w:pPr>
      <w:r>
        <w:rPr>
          <w:rFonts w:eastAsia="Times New Roman"/>
          <w:sz w:val="20"/>
          <w:szCs w:val="20"/>
        </w:rPr>
        <w:t>We have a history of losses, which we expect to continue, and we may never achieve or sustain profitability</w:t>
      </w:r>
      <w:r>
        <w:rPr>
          <w:rFonts w:eastAsia="Times New Roman"/>
          <w:sz w:val="20"/>
          <w:szCs w:val="20"/>
        </w:rPr>
        <w:t>.</w:t>
      </w:r>
    </w:p>
    <w:p w:rsidR="00000000" w:rsidRDefault="00AF2D19">
      <w:pPr>
        <w:jc w:val="both"/>
        <w:divId w:val="1629237916"/>
        <w:rPr>
          <w:rFonts w:eastAsia="Times New Roman"/>
        </w:rPr>
      </w:pPr>
      <w:r>
        <w:rPr>
          <w:rFonts w:eastAsia="Times New Roman"/>
          <w:sz w:val="20"/>
          <w:szCs w:val="20"/>
        </w:rPr>
        <w:t>•</w:t>
      </w:r>
    </w:p>
    <w:p w:rsidR="00000000" w:rsidRDefault="00AF2D19">
      <w:pPr>
        <w:jc w:val="both"/>
        <w:divId w:val="1270772259"/>
        <w:rPr>
          <w:rFonts w:eastAsia="Times New Roman"/>
        </w:rPr>
      </w:pPr>
      <w:r>
        <w:rPr>
          <w:rFonts w:eastAsia="Times New Roman"/>
          <w:sz w:val="20"/>
          <w:szCs w:val="20"/>
        </w:rPr>
        <w:t>Our business and the markets we operate in are new and rapidly evolving which makes it difficult to evaluate our future prospects and the risks and challenges we may encounter</w:t>
      </w:r>
      <w:r>
        <w:rPr>
          <w:rFonts w:eastAsia="Times New Roman"/>
          <w:sz w:val="20"/>
          <w:szCs w:val="20"/>
        </w:rPr>
        <w:t>.</w:t>
      </w:r>
    </w:p>
    <w:p w:rsidR="00000000" w:rsidRDefault="00AF2D19">
      <w:pPr>
        <w:jc w:val="both"/>
        <w:divId w:val="2009944126"/>
        <w:rPr>
          <w:rFonts w:eastAsia="Times New Roman"/>
        </w:rPr>
      </w:pPr>
      <w:r>
        <w:rPr>
          <w:rFonts w:eastAsia="Times New Roman"/>
          <w:sz w:val="20"/>
          <w:szCs w:val="20"/>
        </w:rPr>
        <w:t>•</w:t>
      </w:r>
    </w:p>
    <w:p w:rsidR="00000000" w:rsidRDefault="00AF2D19">
      <w:pPr>
        <w:jc w:val="both"/>
        <w:divId w:val="709648624"/>
        <w:rPr>
          <w:rFonts w:eastAsia="Times New Roman"/>
        </w:rPr>
      </w:pPr>
      <w:r>
        <w:rPr>
          <w:rFonts w:eastAsia="Times New Roman"/>
          <w:sz w:val="20"/>
          <w:szCs w:val="20"/>
        </w:rPr>
        <w:t>We may not grow at the rates we historically have achieved or at all, even if</w:t>
      </w:r>
      <w:r>
        <w:rPr>
          <w:rFonts w:eastAsia="Times New Roman"/>
          <w:sz w:val="20"/>
          <w:szCs w:val="20"/>
        </w:rPr>
        <w:t xml:space="preserve"> our key metrics may indicate growth, which could have a material adverse effect on the market price of our common stock</w:t>
      </w:r>
      <w:r>
        <w:rPr>
          <w:rFonts w:eastAsia="Times New Roman"/>
          <w:sz w:val="20"/>
          <w:szCs w:val="20"/>
        </w:rPr>
        <w:t>.</w:t>
      </w:r>
    </w:p>
    <w:p w:rsidR="00000000" w:rsidRDefault="00AF2D19">
      <w:pPr>
        <w:jc w:val="both"/>
        <w:divId w:val="1515344921"/>
        <w:rPr>
          <w:rFonts w:eastAsia="Times New Roman"/>
        </w:rPr>
      </w:pPr>
      <w:r>
        <w:rPr>
          <w:rFonts w:eastAsia="Times New Roman"/>
          <w:sz w:val="20"/>
          <w:szCs w:val="20"/>
        </w:rPr>
        <w:t>•</w:t>
      </w:r>
    </w:p>
    <w:p w:rsidR="00000000" w:rsidRDefault="00AF2D19">
      <w:pPr>
        <w:jc w:val="both"/>
        <w:divId w:val="1788348716"/>
        <w:rPr>
          <w:rFonts w:eastAsia="Times New Roman"/>
        </w:rPr>
      </w:pPr>
      <w:r>
        <w:rPr>
          <w:rFonts w:eastAsia="Times New Roman"/>
          <w:sz w:val="20"/>
          <w:szCs w:val="20"/>
        </w:rPr>
        <w:t>The virtual behavioral health market is immature and volatile, and if it does not develop, if it develops more slowly than we expect</w:t>
      </w:r>
      <w:r>
        <w:rPr>
          <w:rFonts w:eastAsia="Times New Roman"/>
          <w:sz w:val="20"/>
          <w:szCs w:val="20"/>
        </w:rPr>
        <w:t>, if it encounters negative publicity or if our services are not competitive, the growth of our business will be harmed</w:t>
      </w:r>
      <w:r>
        <w:rPr>
          <w:rFonts w:eastAsia="Times New Roman"/>
          <w:sz w:val="20"/>
          <w:szCs w:val="20"/>
        </w:rPr>
        <w:t>.</w:t>
      </w:r>
    </w:p>
    <w:p w:rsidR="00000000" w:rsidRDefault="00AF2D19">
      <w:pPr>
        <w:jc w:val="both"/>
        <w:divId w:val="2072076228"/>
        <w:rPr>
          <w:rFonts w:eastAsia="Times New Roman"/>
        </w:rPr>
      </w:pPr>
      <w:r>
        <w:rPr>
          <w:rFonts w:eastAsia="Times New Roman"/>
          <w:sz w:val="20"/>
          <w:szCs w:val="20"/>
        </w:rPr>
        <w:t>•</w:t>
      </w:r>
    </w:p>
    <w:p w:rsidR="00000000" w:rsidRDefault="00AF2D19">
      <w:pPr>
        <w:jc w:val="both"/>
        <w:divId w:val="1420442014"/>
        <w:rPr>
          <w:rFonts w:eastAsia="Times New Roman"/>
        </w:rPr>
      </w:pPr>
      <w:r>
        <w:rPr>
          <w:rFonts w:eastAsia="Times New Roman"/>
          <w:sz w:val="20"/>
          <w:szCs w:val="20"/>
        </w:rPr>
        <w:t>The outbreak of the novel coronavirus (COVID-19) and its impact on business and economic conditions could adversely affect our busine</w:t>
      </w:r>
      <w:r>
        <w:rPr>
          <w:rFonts w:eastAsia="Times New Roman"/>
          <w:sz w:val="20"/>
          <w:szCs w:val="20"/>
        </w:rPr>
        <w:t>ss, results of operations and financial condition, and the extent and duration of those effects will be uncertain</w:t>
      </w:r>
      <w:r>
        <w:rPr>
          <w:rFonts w:eastAsia="Times New Roman"/>
          <w:sz w:val="20"/>
          <w:szCs w:val="20"/>
        </w:rPr>
        <w:t>.</w:t>
      </w:r>
    </w:p>
    <w:p w:rsidR="00000000" w:rsidRDefault="00AF2D19">
      <w:pPr>
        <w:jc w:val="both"/>
        <w:divId w:val="1468624156"/>
        <w:rPr>
          <w:rFonts w:eastAsia="Times New Roman"/>
        </w:rPr>
      </w:pPr>
      <w:r>
        <w:rPr>
          <w:rFonts w:eastAsia="Times New Roman"/>
          <w:sz w:val="20"/>
          <w:szCs w:val="20"/>
        </w:rPr>
        <w:t>•</w:t>
      </w:r>
    </w:p>
    <w:p w:rsidR="00000000" w:rsidRDefault="00AF2D19">
      <w:pPr>
        <w:jc w:val="both"/>
        <w:divId w:val="2095466009"/>
        <w:rPr>
          <w:rFonts w:eastAsia="Times New Roman"/>
        </w:rPr>
      </w:pPr>
      <w:r>
        <w:rPr>
          <w:rFonts w:eastAsia="Times New Roman"/>
          <w:sz w:val="20"/>
          <w:szCs w:val="20"/>
        </w:rPr>
        <w:t>We operate in a competitive industry, and if we are not able to compete effectively, our business, financial condition and results of opera</w:t>
      </w:r>
      <w:r>
        <w:rPr>
          <w:rFonts w:eastAsia="Times New Roman"/>
          <w:sz w:val="20"/>
          <w:szCs w:val="20"/>
        </w:rPr>
        <w:t>tions will be harmed</w:t>
      </w:r>
      <w:r>
        <w:rPr>
          <w:rFonts w:eastAsia="Times New Roman"/>
          <w:sz w:val="20"/>
          <w:szCs w:val="20"/>
        </w:rPr>
        <w:t>.</w:t>
      </w:r>
    </w:p>
    <w:p w:rsidR="00000000" w:rsidRDefault="00AF2D19">
      <w:pPr>
        <w:jc w:val="both"/>
        <w:divId w:val="1325476308"/>
        <w:rPr>
          <w:rFonts w:eastAsia="Times New Roman"/>
        </w:rPr>
      </w:pPr>
      <w:r>
        <w:rPr>
          <w:rFonts w:eastAsia="Times New Roman"/>
          <w:sz w:val="20"/>
          <w:szCs w:val="20"/>
        </w:rPr>
        <w:t>•</w:t>
      </w:r>
    </w:p>
    <w:p w:rsidR="00000000" w:rsidRDefault="00AF2D19">
      <w:pPr>
        <w:jc w:val="both"/>
        <w:divId w:val="1641424053"/>
        <w:rPr>
          <w:rFonts w:eastAsia="Times New Roman"/>
        </w:rPr>
      </w:pPr>
      <w:r>
        <w:rPr>
          <w:rFonts w:eastAsia="Times New Roman"/>
          <w:sz w:val="20"/>
          <w:szCs w:val="20"/>
        </w:rPr>
        <w:t>If growth in the number of clients and members or providers on our platform decreases, or the number of products or services that we are able to sell to our clients and members decreases, due to legal, economic or business developme</w:t>
      </w:r>
      <w:r>
        <w:rPr>
          <w:rFonts w:eastAsia="Times New Roman"/>
          <w:sz w:val="20"/>
          <w:szCs w:val="20"/>
        </w:rPr>
        <w:t>nts, our business, financial condition and results of operations will be harmed</w:t>
      </w:r>
      <w:r>
        <w:rPr>
          <w:rFonts w:eastAsia="Times New Roman"/>
          <w:sz w:val="20"/>
          <w:szCs w:val="20"/>
        </w:rPr>
        <w:t>.</w:t>
      </w:r>
    </w:p>
    <w:p w:rsidR="00000000" w:rsidRDefault="00AF2D19">
      <w:pPr>
        <w:jc w:val="both"/>
        <w:divId w:val="2130004229"/>
        <w:rPr>
          <w:rFonts w:eastAsia="Times New Roman"/>
        </w:rPr>
      </w:pPr>
      <w:r>
        <w:rPr>
          <w:rFonts w:eastAsia="Times New Roman"/>
          <w:sz w:val="20"/>
          <w:szCs w:val="20"/>
        </w:rPr>
        <w:t>•</w:t>
      </w:r>
    </w:p>
    <w:p w:rsidR="00000000" w:rsidRDefault="00AF2D19">
      <w:pPr>
        <w:jc w:val="both"/>
        <w:divId w:val="1196623412"/>
        <w:rPr>
          <w:rFonts w:eastAsia="Times New Roman"/>
        </w:rPr>
      </w:pPr>
      <w:r>
        <w:rPr>
          <w:rFonts w:eastAsia="Times New Roman"/>
          <w:sz w:val="20"/>
          <w:szCs w:val="20"/>
        </w:rPr>
        <w:t>We may be unsuccessful in achieving broad market education and changing consumer purchasing habits</w:t>
      </w:r>
      <w:r>
        <w:rPr>
          <w:rFonts w:eastAsia="Times New Roman"/>
          <w:sz w:val="20"/>
          <w:szCs w:val="20"/>
        </w:rPr>
        <w:t>.</w:t>
      </w:r>
    </w:p>
    <w:p w:rsidR="00000000" w:rsidRDefault="00AF2D19">
      <w:pPr>
        <w:jc w:val="both"/>
        <w:divId w:val="776101020"/>
        <w:rPr>
          <w:rFonts w:eastAsia="Times New Roman"/>
        </w:rPr>
      </w:pPr>
      <w:r>
        <w:rPr>
          <w:rFonts w:eastAsia="Times New Roman"/>
          <w:sz w:val="20"/>
          <w:szCs w:val="20"/>
        </w:rPr>
        <w:t>•</w:t>
      </w:r>
    </w:p>
    <w:p w:rsidR="00000000" w:rsidRDefault="00AF2D19">
      <w:pPr>
        <w:jc w:val="both"/>
        <w:divId w:val="1500075152"/>
        <w:rPr>
          <w:rFonts w:eastAsia="Times New Roman"/>
        </w:rPr>
      </w:pPr>
      <w:r>
        <w:rPr>
          <w:rFonts w:eastAsia="Times New Roman"/>
          <w:sz w:val="20"/>
          <w:szCs w:val="20"/>
        </w:rPr>
        <w:t>Our growth depends in part on the success of our strategic relationship</w:t>
      </w:r>
      <w:r>
        <w:rPr>
          <w:rFonts w:eastAsia="Times New Roman"/>
          <w:sz w:val="20"/>
          <w:szCs w:val="20"/>
        </w:rPr>
        <w:t>s with third parties that we provide services to</w:t>
      </w:r>
      <w:r>
        <w:rPr>
          <w:rFonts w:eastAsia="Times New Roman"/>
          <w:sz w:val="20"/>
          <w:szCs w:val="20"/>
        </w:rPr>
        <w:t>.</w:t>
      </w:r>
    </w:p>
    <w:p w:rsidR="00000000" w:rsidRDefault="00AF2D19">
      <w:pPr>
        <w:jc w:val="both"/>
        <w:divId w:val="836073709"/>
        <w:rPr>
          <w:rFonts w:eastAsia="Times New Roman"/>
        </w:rPr>
      </w:pPr>
      <w:r>
        <w:rPr>
          <w:rFonts w:eastAsia="Times New Roman"/>
          <w:sz w:val="20"/>
          <w:szCs w:val="20"/>
        </w:rPr>
        <w:t>•</w:t>
      </w:r>
    </w:p>
    <w:p w:rsidR="00000000" w:rsidRDefault="00AF2D19">
      <w:pPr>
        <w:jc w:val="both"/>
        <w:divId w:val="2034768622"/>
        <w:rPr>
          <w:rFonts w:eastAsia="Times New Roman"/>
        </w:rPr>
      </w:pPr>
      <w:r>
        <w:rPr>
          <w:rFonts w:eastAsia="Times New Roman"/>
          <w:sz w:val="20"/>
          <w:szCs w:val="20"/>
        </w:rPr>
        <w:t>Our virtual behavioral healthcare strategies depend on our ability to maintain and expand our network of therapists, psychiatrists and other providers. If we are unable to do so, our future growth would b</w:t>
      </w:r>
      <w:r>
        <w:rPr>
          <w:rFonts w:eastAsia="Times New Roman"/>
          <w:sz w:val="20"/>
          <w:szCs w:val="20"/>
        </w:rPr>
        <w:t>e limited and our business, financial condition and results of operations would be harmed</w:t>
      </w:r>
      <w:r>
        <w:rPr>
          <w:rFonts w:eastAsia="Times New Roman"/>
          <w:sz w:val="20"/>
          <w:szCs w:val="20"/>
        </w:rPr>
        <w:t>.</w:t>
      </w:r>
    </w:p>
    <w:p w:rsidR="00000000" w:rsidRDefault="00AF2D19">
      <w:pPr>
        <w:jc w:val="both"/>
        <w:divId w:val="797072401"/>
        <w:rPr>
          <w:rFonts w:eastAsia="Times New Roman"/>
        </w:rPr>
      </w:pPr>
      <w:r>
        <w:rPr>
          <w:rFonts w:eastAsia="Times New Roman"/>
          <w:sz w:val="20"/>
          <w:szCs w:val="20"/>
        </w:rPr>
        <w:t>•</w:t>
      </w:r>
    </w:p>
    <w:p w:rsidR="00000000" w:rsidRDefault="00AF2D19">
      <w:pPr>
        <w:jc w:val="both"/>
        <w:divId w:val="1261765910"/>
        <w:rPr>
          <w:rFonts w:eastAsia="Times New Roman"/>
        </w:rPr>
      </w:pPr>
      <w:r>
        <w:rPr>
          <w:rFonts w:eastAsia="Times New Roman"/>
          <w:sz w:val="20"/>
          <w:szCs w:val="20"/>
        </w:rPr>
        <w:t>Developments affecting spending by the healthcare industry could adversely affect our business</w:t>
      </w:r>
      <w:r>
        <w:rPr>
          <w:rFonts w:eastAsia="Times New Roman"/>
          <w:sz w:val="20"/>
          <w:szCs w:val="20"/>
        </w:rPr>
        <w:t>.</w:t>
      </w:r>
    </w:p>
    <w:p w:rsidR="00000000" w:rsidRDefault="00AF2D19">
      <w:pPr>
        <w:jc w:val="both"/>
        <w:divId w:val="1970818891"/>
        <w:rPr>
          <w:rFonts w:eastAsia="Times New Roman"/>
        </w:rPr>
      </w:pPr>
      <w:r>
        <w:rPr>
          <w:rFonts w:eastAsia="Times New Roman"/>
          <w:sz w:val="20"/>
          <w:szCs w:val="20"/>
        </w:rPr>
        <w:t>•</w:t>
      </w:r>
    </w:p>
    <w:p w:rsidR="00000000" w:rsidRDefault="00AF2D19">
      <w:pPr>
        <w:jc w:val="both"/>
        <w:divId w:val="646007683"/>
        <w:rPr>
          <w:rFonts w:eastAsia="Times New Roman"/>
        </w:rPr>
      </w:pPr>
      <w:r>
        <w:rPr>
          <w:rFonts w:eastAsia="Times New Roman"/>
          <w:sz w:val="20"/>
          <w:szCs w:val="20"/>
        </w:rPr>
        <w:t>Our business could be adversely affected by legal challenges to our business model or by actions restricting our ability to provide the full range of our serv</w:t>
      </w:r>
      <w:r>
        <w:rPr>
          <w:rFonts w:eastAsia="Times New Roman"/>
          <w:sz w:val="20"/>
          <w:szCs w:val="20"/>
        </w:rPr>
        <w:t>ices in certain jurisdictions</w:t>
      </w:r>
      <w:r>
        <w:rPr>
          <w:rFonts w:eastAsia="Times New Roman"/>
          <w:sz w:val="20"/>
          <w:szCs w:val="20"/>
        </w:rPr>
        <w:t>.</w:t>
      </w:r>
    </w:p>
    <w:p w:rsidR="00000000" w:rsidRDefault="00AF2D19">
      <w:pPr>
        <w:jc w:val="both"/>
        <w:divId w:val="829518314"/>
        <w:rPr>
          <w:rFonts w:eastAsia="Times New Roman"/>
        </w:rPr>
      </w:pPr>
      <w:r>
        <w:rPr>
          <w:rFonts w:eastAsia="Times New Roman"/>
          <w:sz w:val="20"/>
          <w:szCs w:val="20"/>
        </w:rPr>
        <w:t>•</w:t>
      </w:r>
    </w:p>
    <w:p w:rsidR="00000000" w:rsidRDefault="00AF2D19">
      <w:pPr>
        <w:jc w:val="both"/>
        <w:divId w:val="547838366"/>
        <w:rPr>
          <w:rFonts w:eastAsia="Times New Roman"/>
        </w:rPr>
      </w:pPr>
      <w:r>
        <w:rPr>
          <w:rFonts w:eastAsia="Times New Roman"/>
          <w:sz w:val="20"/>
          <w:szCs w:val="20"/>
        </w:rPr>
        <w:t>We are dependent on our relationships with affiliated professional entities, which we do not own, to provide physician and other professional services, and our business, financial condition and our ability to operate in cer</w:t>
      </w:r>
      <w:r>
        <w:rPr>
          <w:rFonts w:eastAsia="Times New Roman"/>
          <w:sz w:val="20"/>
          <w:szCs w:val="20"/>
        </w:rPr>
        <w:t>tain jurisdictions would be adversely affected if those relationships were disrupted or if our arrangements with our providers or clients are found to violate state laws prohibiting the corporate practice of medicine or fee splitting</w:t>
      </w:r>
      <w:r>
        <w:rPr>
          <w:rFonts w:eastAsia="Times New Roman"/>
          <w:sz w:val="20"/>
          <w:szCs w:val="20"/>
        </w:rPr>
        <w:t>.</w:t>
      </w:r>
    </w:p>
    <w:p w:rsidR="00000000" w:rsidRDefault="00AF2D19">
      <w:pPr>
        <w:jc w:val="both"/>
        <w:divId w:val="1646544229"/>
        <w:rPr>
          <w:rFonts w:eastAsia="Times New Roman"/>
        </w:rPr>
      </w:pPr>
      <w:r>
        <w:rPr>
          <w:rFonts w:eastAsia="Times New Roman"/>
          <w:sz w:val="20"/>
          <w:szCs w:val="20"/>
        </w:rPr>
        <w:t>•</w:t>
      </w:r>
    </w:p>
    <w:p w:rsidR="00000000" w:rsidRDefault="00AF2D19">
      <w:pPr>
        <w:jc w:val="both"/>
        <w:divId w:val="1287079159"/>
        <w:rPr>
          <w:rFonts w:eastAsia="Times New Roman"/>
        </w:rPr>
      </w:pPr>
      <w:r>
        <w:rPr>
          <w:rFonts w:eastAsia="Times New Roman"/>
          <w:sz w:val="20"/>
          <w:szCs w:val="20"/>
        </w:rPr>
        <w:lastRenderedPageBreak/>
        <w:t>The impact on us of</w:t>
      </w:r>
      <w:r>
        <w:rPr>
          <w:rFonts w:eastAsia="Times New Roman"/>
          <w:sz w:val="20"/>
          <w:szCs w:val="20"/>
        </w:rPr>
        <w:t xml:space="preserve"> recent healthcare legislation and other changes in the healthcare industry and in healthcare spending is currently unknown, but may adversely affect our business, financial condition and results of operations</w:t>
      </w:r>
      <w:r>
        <w:rPr>
          <w:rFonts w:eastAsia="Times New Roman"/>
          <w:sz w:val="20"/>
          <w:szCs w:val="20"/>
        </w:rPr>
        <w:t>.</w:t>
      </w:r>
    </w:p>
    <w:p w:rsidR="00000000" w:rsidRDefault="00AF2D19">
      <w:pPr>
        <w:jc w:val="both"/>
        <w:divId w:val="1857381217"/>
        <w:rPr>
          <w:rFonts w:eastAsia="Times New Roman"/>
        </w:rPr>
      </w:pPr>
      <w:r>
        <w:rPr>
          <w:rFonts w:eastAsia="Times New Roman"/>
          <w:sz w:val="20"/>
          <w:szCs w:val="20"/>
        </w:rPr>
        <w:t>•</w:t>
      </w:r>
    </w:p>
    <w:p w:rsidR="00000000" w:rsidRDefault="00AF2D19">
      <w:pPr>
        <w:jc w:val="both"/>
        <w:divId w:val="1113668808"/>
        <w:rPr>
          <w:rFonts w:eastAsia="Times New Roman"/>
        </w:rPr>
      </w:pPr>
      <w:r>
        <w:rPr>
          <w:rFonts w:eastAsia="Times New Roman"/>
          <w:sz w:val="20"/>
          <w:szCs w:val="20"/>
        </w:rPr>
        <w:t>Changes in consumer sentiment or laws, rule</w:t>
      </w:r>
      <w:r>
        <w:rPr>
          <w:rFonts w:eastAsia="Times New Roman"/>
          <w:sz w:val="20"/>
          <w:szCs w:val="20"/>
        </w:rPr>
        <w:t>s or regulations regarding the use of cookies and other tracking technologies and other privacy matters could have a material adverse effect on our ability to generate net revenues and could adversely affect our ability to collect proprietary data on consu</w:t>
      </w:r>
      <w:r>
        <w:rPr>
          <w:rFonts w:eastAsia="Times New Roman"/>
          <w:sz w:val="20"/>
          <w:szCs w:val="20"/>
        </w:rPr>
        <w:t>mer behavior</w:t>
      </w:r>
      <w:r>
        <w:rPr>
          <w:rFonts w:eastAsia="Times New Roman"/>
          <w:sz w:val="20"/>
          <w:szCs w:val="20"/>
        </w:rPr>
        <w:t>.</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3</w:t>
      </w:r>
    </w:p>
    <w:p w:rsidR="00000000" w:rsidRDefault="00AF2D19">
      <w:pPr>
        <w:rPr>
          <w:rFonts w:eastAsia="Times New Roman"/>
        </w:rPr>
      </w:pPr>
      <w:r>
        <w:rPr>
          <w:rFonts w:eastAsia="Times New Roman"/>
        </w:rPr>
        <w:pict>
          <v:rect id="_x0000_i1028"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jc w:val="both"/>
        <w:divId w:val="656807315"/>
        <w:rPr>
          <w:rFonts w:eastAsia="Times New Roman"/>
        </w:rPr>
      </w:pPr>
      <w:r>
        <w:rPr>
          <w:rFonts w:eastAsia="Times New Roman"/>
          <w:sz w:val="20"/>
          <w:szCs w:val="20"/>
        </w:rPr>
        <w:t>•</w:t>
      </w:r>
    </w:p>
    <w:p w:rsidR="00000000" w:rsidRDefault="00AF2D19">
      <w:pPr>
        <w:jc w:val="both"/>
        <w:divId w:val="869957372"/>
        <w:rPr>
          <w:rFonts w:eastAsia="Times New Roman"/>
        </w:rPr>
      </w:pPr>
      <w:r>
        <w:rPr>
          <w:rFonts w:eastAsia="Times New Roman"/>
          <w:sz w:val="20"/>
          <w:szCs w:val="20"/>
        </w:rPr>
        <w:t>Our use and disclosure of personal information, including PHI, personal data, and other health information, is subject to state, federal or other privacy and security re</w:t>
      </w:r>
      <w:r>
        <w:rPr>
          <w:rFonts w:eastAsia="Times New Roman"/>
          <w:sz w:val="20"/>
          <w:szCs w:val="20"/>
        </w:rPr>
        <w:t>gulations, and our failure to comply with those regulations or to adequately secure the information we hold could result in significant liability or reputational harm and, in turn, a material adverse effect on our client base and member bases and revenue</w:t>
      </w:r>
      <w:r>
        <w:rPr>
          <w:rFonts w:eastAsia="Times New Roman"/>
          <w:sz w:val="20"/>
          <w:szCs w:val="20"/>
        </w:rPr>
        <w:t>.</w:t>
      </w:r>
    </w:p>
    <w:p w:rsidR="00000000" w:rsidRDefault="00AF2D19">
      <w:pPr>
        <w:jc w:val="both"/>
        <w:divId w:val="219873533"/>
        <w:rPr>
          <w:rFonts w:eastAsia="Times New Roman"/>
        </w:rPr>
      </w:pPr>
      <w:r>
        <w:rPr>
          <w:rFonts w:eastAsia="Times New Roman"/>
          <w:sz w:val="20"/>
          <w:szCs w:val="20"/>
        </w:rPr>
        <w:t>•</w:t>
      </w:r>
    </w:p>
    <w:p w:rsidR="00000000" w:rsidRDefault="00AF2D19">
      <w:pPr>
        <w:jc w:val="both"/>
        <w:divId w:val="939334905"/>
        <w:rPr>
          <w:rFonts w:eastAsia="Times New Roman"/>
        </w:rPr>
      </w:pPr>
      <w:r>
        <w:rPr>
          <w:rFonts w:eastAsia="Times New Roman"/>
          <w:sz w:val="20"/>
          <w:szCs w:val="20"/>
        </w:rPr>
        <w:t>Any failure to protect, enforce or defend our intellectual property rights could impair our ability to protect our technology and our brand</w:t>
      </w:r>
      <w:r>
        <w:rPr>
          <w:rFonts w:eastAsia="Times New Roman"/>
          <w:sz w:val="20"/>
          <w:szCs w:val="20"/>
        </w:rPr>
        <w:t>.</w:t>
      </w:r>
    </w:p>
    <w:p w:rsidR="00000000" w:rsidRDefault="00AF2D19">
      <w:pPr>
        <w:jc w:val="both"/>
        <w:divId w:val="1443377240"/>
        <w:rPr>
          <w:rFonts w:eastAsia="Times New Roman"/>
        </w:rPr>
      </w:pPr>
      <w:r>
        <w:rPr>
          <w:rFonts w:eastAsia="Times New Roman"/>
          <w:sz w:val="20"/>
          <w:szCs w:val="20"/>
        </w:rPr>
        <w:t>•</w:t>
      </w:r>
    </w:p>
    <w:p w:rsidR="00000000" w:rsidRDefault="00AF2D19">
      <w:pPr>
        <w:jc w:val="both"/>
        <w:divId w:val="2116705369"/>
        <w:rPr>
          <w:rFonts w:eastAsia="Times New Roman"/>
        </w:rPr>
      </w:pPr>
      <w:r>
        <w:rPr>
          <w:rFonts w:eastAsia="Times New Roman"/>
          <w:sz w:val="20"/>
          <w:szCs w:val="20"/>
        </w:rPr>
        <w:t>Legal proceedings could cause us to incur unforeseen expenses and could occupy a significant amount of our mana</w:t>
      </w:r>
      <w:r>
        <w:rPr>
          <w:rFonts w:eastAsia="Times New Roman"/>
          <w:sz w:val="20"/>
          <w:szCs w:val="20"/>
        </w:rPr>
        <w:t>gement’s time and attention</w:t>
      </w:r>
      <w:r>
        <w:rPr>
          <w:rFonts w:eastAsia="Times New Roman"/>
          <w:sz w:val="20"/>
          <w:szCs w:val="20"/>
        </w:rPr>
        <w:t>.</w:t>
      </w:r>
    </w:p>
    <w:p w:rsidR="00000000" w:rsidRDefault="00AF2D19">
      <w:pPr>
        <w:pStyle w:val="a3"/>
        <w:spacing w:before="0" w:beforeAutospacing="0" w:after="0" w:afterAutospacing="0"/>
        <w:rPr>
          <w:sz w:val="20"/>
          <w:szCs w:val="20"/>
        </w:rPr>
      </w:pPr>
      <w:r>
        <w:rPr>
          <w:sz w:val="16"/>
          <w:szCs w:val="16"/>
        </w:rPr>
        <w:t> </w:t>
      </w:r>
    </w:p>
    <w:p w:rsidR="00000000" w:rsidRDefault="00AF2D19">
      <w:pPr>
        <w:pStyle w:val="a3"/>
        <w:spacing w:before="0" w:beforeAutospacing="0" w:after="0" w:afterAutospacing="0"/>
        <w:jc w:val="center"/>
        <w:rPr>
          <w:sz w:val="20"/>
          <w:szCs w:val="20"/>
        </w:rPr>
      </w:pPr>
      <w:r>
        <w:rPr>
          <w:sz w:val="22"/>
          <w:szCs w:val="22"/>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4</w:t>
      </w:r>
    </w:p>
    <w:p w:rsidR="00000000" w:rsidRDefault="00AF2D19">
      <w:pPr>
        <w:rPr>
          <w:rFonts w:eastAsia="Times New Roman"/>
        </w:rPr>
      </w:pPr>
      <w:r>
        <w:rPr>
          <w:rFonts w:eastAsia="Times New Roman"/>
        </w:rPr>
        <w:pict>
          <v:rect id="_x0000_i1029"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sz w:val="22"/>
          <w:szCs w:val="22"/>
        </w:rPr>
        <w:t> </w:t>
      </w:r>
    </w:p>
    <w:p w:rsidR="00000000" w:rsidRDefault="00AF2D19">
      <w:pPr>
        <w:pStyle w:val="a3"/>
        <w:spacing w:before="0" w:beforeAutospacing="0" w:after="0" w:afterAutospacing="0"/>
        <w:jc w:val="center"/>
        <w:rPr>
          <w:sz w:val="20"/>
          <w:szCs w:val="20"/>
        </w:rPr>
      </w:pPr>
      <w:r>
        <w:rPr>
          <w:b/>
          <w:bCs/>
          <w:sz w:val="22"/>
          <w:szCs w:val="22"/>
        </w:rPr>
        <w:t xml:space="preserve">PART </w:t>
      </w:r>
      <w:r>
        <w:rPr>
          <w:b/>
          <w:bCs/>
          <w:sz w:val="22"/>
          <w:szCs w:val="22"/>
        </w:rPr>
        <w:t>I</w:t>
      </w:r>
    </w:p>
    <w:p w:rsidR="00000000" w:rsidRDefault="00AF2D19">
      <w:pPr>
        <w:pStyle w:val="a3"/>
        <w:spacing w:before="240" w:beforeAutospacing="0" w:after="0" w:afterAutospacing="0"/>
        <w:rPr>
          <w:sz w:val="20"/>
          <w:szCs w:val="20"/>
        </w:rPr>
      </w:pPr>
      <w:r>
        <w:rPr>
          <w:b/>
          <w:bCs/>
          <w:sz w:val="20"/>
          <w:szCs w:val="20"/>
        </w:rPr>
        <w:t>I</w:t>
      </w:r>
      <w:r>
        <w:rPr>
          <w:b/>
          <w:bCs/>
          <w:sz w:val="20"/>
          <w:szCs w:val="20"/>
        </w:rPr>
        <w:t>t</w:t>
      </w:r>
      <w:r>
        <w:rPr>
          <w:b/>
          <w:bCs/>
          <w:sz w:val="20"/>
          <w:szCs w:val="20"/>
        </w:rPr>
        <w:t>em 1. BUSINES</w:t>
      </w:r>
      <w:r>
        <w:rPr>
          <w:b/>
          <w:bCs/>
          <w:sz w:val="20"/>
          <w:szCs w:val="20"/>
        </w:rPr>
        <w:t>S</w:t>
      </w:r>
    </w:p>
    <w:p w:rsidR="00000000" w:rsidRDefault="00AF2D19">
      <w:pPr>
        <w:pStyle w:val="a3"/>
        <w:spacing w:before="240" w:beforeAutospacing="0" w:after="0" w:afterAutospacing="0"/>
        <w:rPr>
          <w:sz w:val="20"/>
          <w:szCs w:val="20"/>
        </w:rPr>
      </w:pPr>
      <w:r>
        <w:rPr>
          <w:b/>
          <w:bCs/>
          <w:sz w:val="20"/>
          <w:szCs w:val="20"/>
        </w:rPr>
        <w:t>Our Missio</w:t>
      </w:r>
      <w:r>
        <w:rPr>
          <w:b/>
          <w:bCs/>
          <w:sz w:val="20"/>
          <w:szCs w:val="20"/>
        </w:rPr>
        <w:t>n</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mission is to democratize access to high quality behavioral healthcare, so that those in n</w:t>
      </w:r>
      <w:r>
        <w:rPr>
          <w:sz w:val="20"/>
          <w:szCs w:val="20"/>
        </w:rPr>
        <w:t>eed live a happier and healthier life</w:t>
      </w:r>
      <w:r>
        <w:rPr>
          <w:sz w:val="20"/>
          <w:szCs w:val="20"/>
        </w:rPr>
        <w:t>.</w:t>
      </w:r>
      <w:r>
        <w:rPr>
          <w:sz w:val="20"/>
          <w:szCs w:val="20"/>
        </w:rPr>
        <w:t xml:space="preserve"> </w:t>
      </w:r>
    </w:p>
    <w:p w:rsidR="00000000" w:rsidRDefault="00AF2D19">
      <w:pPr>
        <w:pStyle w:val="a3"/>
        <w:spacing w:before="320" w:beforeAutospacing="0" w:after="0" w:afterAutospacing="0"/>
        <w:jc w:val="both"/>
        <w:rPr>
          <w:sz w:val="20"/>
          <w:szCs w:val="20"/>
        </w:rPr>
      </w:pPr>
      <w:r>
        <w:rPr>
          <w:b/>
          <w:bCs/>
          <w:sz w:val="20"/>
          <w:szCs w:val="20"/>
        </w:rPr>
        <w:t>Overvie</w:t>
      </w:r>
      <w:r>
        <w:rPr>
          <w:b/>
          <w:bCs/>
          <w:sz w:val="20"/>
          <w:szCs w:val="20"/>
        </w:rPr>
        <w:t>w</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Talkspace, Inc. (together with its consolidated subsidiaries, the “Company”, “we, “our”, “us” or “Talkspace”</w:t>
      </w:r>
      <w:r>
        <w:rPr>
          <w:sz w:val="20"/>
          <w:szCs w:val="20"/>
        </w:rPr>
        <w:t>) is a leading behavioral healthcare company enabled by a purpose-built technology platform. Talkspace provides individuals and licensed therapists, psychologists and psychiatrists with an online platform for one-on-one therapy delivered via messaging, aud</w:t>
      </w:r>
      <w:r>
        <w:rPr>
          <w:sz w:val="20"/>
          <w:szCs w:val="20"/>
        </w:rPr>
        <w:t>io and video</w:t>
      </w:r>
      <w:r>
        <w:rPr>
          <w:sz w:val="20"/>
          <w:szCs w:val="20"/>
        </w:rPr>
        <w:t>.</w:t>
      </w:r>
    </w:p>
    <w:p w:rsidR="00000000" w:rsidRDefault="00AF2D19">
      <w:pPr>
        <w:pStyle w:val="a3"/>
        <w:spacing w:before="120" w:beforeAutospacing="0" w:after="0" w:afterAutospacing="0"/>
        <w:jc w:val="both"/>
        <w:rPr>
          <w:sz w:val="20"/>
          <w:szCs w:val="20"/>
        </w:rPr>
      </w:pPr>
      <w:r>
        <w:rPr>
          <w:sz w:val="20"/>
          <w:szCs w:val="20"/>
        </w:rPr>
        <w:t>Talkspace offers convenient and affordable access to a fully-credentialed network of highly qualified providers. We are a leading virtual behavioral health company and, since Talkspace’s founding in 2012, we have connected millions of patient</w:t>
      </w:r>
      <w:r>
        <w:rPr>
          <w:sz w:val="20"/>
          <w:szCs w:val="20"/>
        </w:rPr>
        <w:t xml:space="preserve">s, who we refer to as our members, with licensed mental health providers across a wide and growing spectrum of care through virtual counseling, psychotherapy and psychiatry. We created a purpose-built platform to address the vast, unmet and growing demand </w:t>
      </w:r>
      <w:r>
        <w:rPr>
          <w:sz w:val="20"/>
          <w:szCs w:val="20"/>
        </w:rPr>
        <w:t xml:space="preserve">for mental health services of our members, serving our business-to-consumer (“B2C”) channel, comprised of individual consumers who subscribe directly to our platform, and our business-to-business (“B2B”) channel, comprised of large enterprise clients such </w:t>
      </w:r>
      <w:r>
        <w:rPr>
          <w:sz w:val="20"/>
          <w:szCs w:val="20"/>
        </w:rPr>
        <w:t xml:space="preserve">as Google and Expedia and large health plans and employee assistance programs (collectively, “health plan clients”) such as Aetna, Cigna, Premera and Optum (collectively, our “clients”), who offer their employees and insured members access to our </w:t>
      </w:r>
      <w:r>
        <w:rPr>
          <w:sz w:val="20"/>
          <w:szCs w:val="20"/>
        </w:rPr>
        <w:lastRenderedPageBreak/>
        <w:t xml:space="preserve">platform </w:t>
      </w:r>
      <w:r>
        <w:rPr>
          <w:sz w:val="20"/>
          <w:szCs w:val="20"/>
        </w:rPr>
        <w:t>while their employer is under an active contract with Talkspace, or at in-network reimbursement rates, where applicable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For the year ended December 31, 2021, approximately 280,000 members were registered on our platform, as compared to approximately 200,</w:t>
      </w:r>
      <w:r>
        <w:rPr>
          <w:sz w:val="20"/>
          <w:szCs w:val="20"/>
        </w:rPr>
        <w:t>000 members for the year ended December 31, 2020. As of December 31, 2021, we had approximately 56,000 active members receiving care through our B2C and B2B channels, including approximately 24,000 B2C active members, and approximately 69 million B2B eligi</w:t>
      </w:r>
      <w:r>
        <w:rPr>
          <w:sz w:val="20"/>
          <w:szCs w:val="20"/>
        </w:rPr>
        <w:t>ble lives. We consider members “active” (i) in the case of our B2C members, commencing on the date such member initiates contact with a provider on our platform until the term of their monthly, quarterly or bi-annual subscription plan expires, unless termi</w:t>
      </w:r>
      <w:r>
        <w:rPr>
          <w:sz w:val="20"/>
          <w:szCs w:val="20"/>
        </w:rPr>
        <w:t>nated early, and (ii) in the case of our B2B members, if such members have engaged on our platform during the preceding 25 days, such as sending a text, video or audio message to, or participating in a video call with, a provider, completing a satisfaction</w:t>
      </w:r>
      <w:r>
        <w:rPr>
          <w:sz w:val="20"/>
          <w:szCs w:val="20"/>
        </w:rPr>
        <w:t xml:space="preserve"> or progress report survey or signing up for our platform. While a growth in active members typically highlights strong engagement with our members, not all active members are associated with revenue in that particular period. We consider B2B lives “eligib</w:t>
      </w:r>
      <w:r>
        <w:rPr>
          <w:sz w:val="20"/>
          <w:szCs w:val="20"/>
        </w:rPr>
        <w:t>le” if such persons are eligible to receive treatment on the Talkspace platform, in the case of our enterprise clients, while their employer is under an active contract with Talkspace, or, in the case of health plan clients, at an agreed upon reimbursement</w:t>
      </w:r>
      <w:r>
        <w:rPr>
          <w:sz w:val="20"/>
          <w:szCs w:val="20"/>
        </w:rPr>
        <w:t xml:space="preserve"> rate through insurance under an employee assistance program or other network behavioral health paid benefit program.</w:t>
      </w:r>
      <w:r>
        <w:rPr>
          <w:sz w:val="20"/>
          <w:szCs w:val="20"/>
        </w:rPr>
        <w:t xml:space="preserve"> </w:t>
      </w:r>
      <w:r>
        <w:rPr>
          <w:sz w:val="20"/>
          <w:szCs w:val="20"/>
        </w:rPr>
        <w:t>There may be instances where a person may be covered through multiple solutions, typically through behavioral health plans and employee as</w:t>
      </w:r>
      <w:r>
        <w:rPr>
          <w:sz w:val="20"/>
          <w:szCs w:val="20"/>
        </w:rPr>
        <w:t>sistance programs. In these instances, the person is counted each time they are covered in the B2B eligible lives calculation, which may cause this amount to reflect a higher number of members than we actually serve.</w:t>
      </w:r>
      <w:r>
        <w:rPr>
          <w:sz w:val="20"/>
          <w:szCs w:val="20"/>
        </w:rPr>
        <w:t xml:space="preserve"> </w:t>
      </w:r>
      <w:r>
        <w:rPr>
          <w:sz w:val="20"/>
          <w:szCs w:val="20"/>
        </w:rPr>
        <w:t>For the year ended December 31, 2021, o</w:t>
      </w:r>
      <w:r>
        <w:rPr>
          <w:sz w:val="20"/>
          <w:szCs w:val="20"/>
        </w:rPr>
        <w:t>ur clinicians completed 273,700 B2B sessions related to members covered under our health plan clients, as compared to 114,600 completed B2B sessions for the year ended December 31, 2020</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The behavioral health market has traditionally been underserved for </w:t>
      </w:r>
      <w:r>
        <w:rPr>
          <w:sz w:val="20"/>
          <w:szCs w:val="20"/>
        </w:rPr>
        <w:t>a number of reasons, including as a result of inadequate access, a limited universe of qualified providers, high cost and social stigma. We believe virtual is the ideal modality for mental health treatment because it removes or reduces these burdens associ</w:t>
      </w:r>
      <w:r>
        <w:rPr>
          <w:sz w:val="20"/>
          <w:szCs w:val="20"/>
        </w:rPr>
        <w:t>ated with traditional face-to-face mental health services by improving convenience through 24/7 access to our platform, providing more accessible entry level price points, and reducing associated stigmas by promoting transparency, increasing ease of access</w:t>
      </w:r>
      <w:r>
        <w:rPr>
          <w:sz w:val="20"/>
          <w:szCs w:val="20"/>
        </w:rPr>
        <w:t xml:space="preserve"> and preserving privacy</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platform connects consumers in need, including many of whom have never had an opportunity to benefit from high-quality behavioral healthcare, with experienced providers across all 50 U.S. states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Through our psychotherapy off</w:t>
      </w:r>
      <w:r>
        <w:rPr>
          <w:sz w:val="20"/>
          <w:szCs w:val="20"/>
        </w:rPr>
        <w:t>erings, our licensed therapists and counselors treat mental health conditions in ove</w:t>
      </w:r>
      <w:r>
        <w:rPr>
          <w:sz w:val="20"/>
          <w:szCs w:val="20"/>
        </w:rPr>
        <w:t>r</w:t>
      </w:r>
      <w:r>
        <w:rPr>
          <w:sz w:val="20"/>
          <w:szCs w:val="20"/>
        </w:rPr>
        <w:t xml:space="preserve"> 21 specializations</w:t>
      </w:r>
      <w:r>
        <w:rPr>
          <w:sz w:val="20"/>
          <w:szCs w:val="20"/>
        </w:rPr>
        <w:t>,</w:t>
      </w:r>
      <w:r>
        <w:rPr>
          <w:sz w:val="20"/>
          <w:szCs w:val="20"/>
        </w:rPr>
        <w:t xml:space="preserve"> such as depression, anxiety, trauma and other human challenges. Through our psychiatry offerings, our board-certified psychiatrists and prescription-e</w:t>
      </w:r>
      <w:r>
        <w:rPr>
          <w:sz w:val="20"/>
          <w:szCs w:val="20"/>
        </w:rPr>
        <w:t>ligible nurse practitioners treat a higher acuity patient demographic, including those who may have pharmacological needs. Like the traditional face-to-face models, Talkspace providers are able to treat a wide range of mental health conditions, such as sch</w:t>
      </w:r>
      <w:r>
        <w:rPr>
          <w:sz w:val="20"/>
          <w:szCs w:val="20"/>
        </w:rPr>
        <w:t>izophrenia-spectrum disorders, bipolar disorders and depression, including throug</w:t>
      </w:r>
      <w:r>
        <w:rPr>
          <w:sz w:val="20"/>
          <w:szCs w:val="20"/>
        </w:rPr>
        <w:t>h</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5</w:t>
      </w:r>
    </w:p>
    <w:p w:rsidR="00000000" w:rsidRDefault="00AF2D19">
      <w:pPr>
        <w:rPr>
          <w:rFonts w:eastAsia="Times New Roman"/>
        </w:rPr>
      </w:pPr>
      <w:r>
        <w:rPr>
          <w:rFonts w:eastAsia="Times New Roman"/>
        </w:rPr>
        <w:pict>
          <v:rect id="_x0000_i103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prescription medication and management from psychiatrists, up and until the point tha</w:t>
      </w:r>
      <w:r>
        <w:rPr>
          <w:sz w:val="20"/>
          <w:szCs w:val="20"/>
        </w:rPr>
        <w:t>t the provider, in their discretion, feels it prudent to refer the member to a face-to-face psychiatrist to address potential needs for “controlled substances” under the federal Controlled Substances Act, which generally prohibits the prescribing and dispe</w:t>
      </w:r>
      <w:r>
        <w:rPr>
          <w:sz w:val="20"/>
          <w:szCs w:val="20"/>
        </w:rPr>
        <w:t>nsing of controlled substances via telehealth without performing an in-person examination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While optimizing consumers’ access to care, we believe our platform also provides benefits to providers through expanded reach, steady access to member leads, reduc</w:t>
      </w:r>
      <w:r>
        <w:rPr>
          <w:sz w:val="20"/>
          <w:szCs w:val="20"/>
        </w:rPr>
        <w:t>ed administrative burdens, more efficient time utilization and data-driven insights. These features, together with continuous training and professional growth opportunities we offer, empower providers to deliver what we believe will enable an enhanced care</w:t>
      </w:r>
      <w:r>
        <w:rPr>
          <w:sz w:val="20"/>
          <w:szCs w:val="20"/>
        </w:rPr>
        <w:t xml:space="preserve"> journey, higher member lifetime engagement, meaningful outcomes and greater margins when compared to face-to-face treatment</w:t>
      </w:r>
      <w:r>
        <w:rPr>
          <w:sz w:val="20"/>
          <w:szCs w:val="20"/>
        </w:rPr>
        <w:t>.</w:t>
      </w:r>
      <w:r>
        <w:rPr>
          <w:sz w:val="20"/>
          <w:szCs w:val="20"/>
        </w:rPr>
        <w:t xml:space="preserve"> </w:t>
      </w:r>
    </w:p>
    <w:p w:rsidR="00000000" w:rsidRDefault="00AF2D19">
      <w:pPr>
        <w:pStyle w:val="a3"/>
        <w:spacing w:before="120" w:beforeAutospacing="0" w:after="0" w:afterAutospacing="0"/>
        <w:rPr>
          <w:sz w:val="20"/>
          <w:szCs w:val="20"/>
        </w:rPr>
      </w:pPr>
      <w:r>
        <w:rPr>
          <w:sz w:val="20"/>
          <w:szCs w:val="20"/>
        </w:rPr>
        <w:t>The current state of behavioral health is characterized by the following key factors</w:t>
      </w:r>
      <w:r>
        <w:rPr>
          <w:sz w:val="20"/>
          <w:szCs w:val="20"/>
        </w:rPr>
        <w:t>:</w:t>
      </w:r>
      <w:r>
        <w:rPr>
          <w:sz w:val="20"/>
          <w:szCs w:val="20"/>
        </w:rPr>
        <w:t xml:space="preserve"> </w:t>
      </w:r>
    </w:p>
    <w:p w:rsidR="00000000" w:rsidRDefault="00AF2D19">
      <w:pPr>
        <w:jc w:val="both"/>
        <w:divId w:val="590624682"/>
        <w:rPr>
          <w:rFonts w:eastAsia="Times New Roman"/>
        </w:rPr>
      </w:pPr>
      <w:r>
        <w:rPr>
          <w:rFonts w:eastAsia="Times New Roman"/>
          <w:sz w:val="20"/>
          <w:szCs w:val="20"/>
        </w:rPr>
        <w:t>•</w:t>
      </w:r>
    </w:p>
    <w:p w:rsidR="00000000" w:rsidRDefault="00AF2D19">
      <w:pPr>
        <w:jc w:val="both"/>
        <w:divId w:val="860817810"/>
        <w:rPr>
          <w:rFonts w:eastAsia="Times New Roman"/>
        </w:rPr>
      </w:pPr>
      <w:r>
        <w:rPr>
          <w:rFonts w:eastAsia="Times New Roman"/>
          <w:i/>
          <w:iCs/>
          <w:sz w:val="20"/>
          <w:szCs w:val="20"/>
        </w:rPr>
        <w:t>Growing incidenc</w:t>
      </w:r>
      <w:r>
        <w:rPr>
          <w:rFonts w:eastAsia="Times New Roman"/>
          <w:i/>
          <w:iCs/>
          <w:sz w:val="20"/>
          <w:szCs w:val="20"/>
        </w:rPr>
        <w:t>e</w:t>
      </w:r>
      <w:r>
        <w:rPr>
          <w:rFonts w:eastAsia="Times New Roman"/>
          <w:sz w:val="20"/>
          <w:szCs w:val="20"/>
        </w:rPr>
        <w:t>:</w:t>
      </w:r>
      <w:r>
        <w:rPr>
          <w:rFonts w:eastAsia="Times New Roman"/>
          <w:i/>
          <w:iCs/>
          <w:sz w:val="20"/>
          <w:szCs w:val="20"/>
        </w:rPr>
        <w:t xml:space="preserve"> </w:t>
      </w:r>
      <w:r>
        <w:rPr>
          <w:rFonts w:eastAsia="Times New Roman"/>
          <w:sz w:val="20"/>
          <w:szCs w:val="20"/>
        </w:rPr>
        <w:t>There are rapidly rising occurrences of behavioral health conditions across the entire global population.</w:t>
      </w:r>
      <w:r>
        <w:rPr>
          <w:rFonts w:eastAsia="Times New Roman"/>
          <w:sz w:val="20"/>
          <w:szCs w:val="20"/>
        </w:rPr>
        <w:t xml:space="preserve"> </w:t>
      </w:r>
    </w:p>
    <w:p w:rsidR="00000000" w:rsidRDefault="00AF2D19">
      <w:pPr>
        <w:jc w:val="both"/>
        <w:divId w:val="1326283368"/>
        <w:rPr>
          <w:rFonts w:eastAsia="Times New Roman"/>
        </w:rPr>
      </w:pPr>
      <w:r>
        <w:rPr>
          <w:rFonts w:eastAsia="Times New Roman"/>
          <w:sz w:val="20"/>
          <w:szCs w:val="20"/>
        </w:rPr>
        <w:t>•</w:t>
      </w:r>
    </w:p>
    <w:p w:rsidR="00000000" w:rsidRDefault="00AF2D19">
      <w:pPr>
        <w:jc w:val="both"/>
        <w:divId w:val="265697983"/>
        <w:rPr>
          <w:rFonts w:eastAsia="Times New Roman"/>
        </w:rPr>
      </w:pPr>
      <w:r>
        <w:rPr>
          <w:rFonts w:eastAsia="Times New Roman"/>
          <w:i/>
          <w:iCs/>
          <w:sz w:val="20"/>
          <w:szCs w:val="20"/>
        </w:rPr>
        <w:t>Limited access due to factors such as stigma, physical hurdles and prohibitive cos</w:t>
      </w:r>
      <w:r>
        <w:rPr>
          <w:rFonts w:eastAsia="Times New Roman"/>
          <w:i/>
          <w:iCs/>
          <w:sz w:val="20"/>
          <w:szCs w:val="20"/>
        </w:rPr>
        <w:t>t</w:t>
      </w:r>
      <w:r>
        <w:rPr>
          <w:rFonts w:eastAsia="Times New Roman"/>
          <w:sz w:val="20"/>
          <w:szCs w:val="20"/>
        </w:rPr>
        <w:t>:</w:t>
      </w:r>
      <w:r>
        <w:rPr>
          <w:rFonts w:eastAsia="Times New Roman"/>
          <w:i/>
          <w:iCs/>
          <w:sz w:val="20"/>
          <w:szCs w:val="20"/>
        </w:rPr>
        <w:t xml:space="preserve"> </w:t>
      </w:r>
      <w:r>
        <w:rPr>
          <w:rFonts w:eastAsia="Times New Roman"/>
          <w:sz w:val="20"/>
          <w:szCs w:val="20"/>
        </w:rPr>
        <w:t>According to the National Alliance on Mental Illness, only app</w:t>
      </w:r>
      <w:r>
        <w:rPr>
          <w:rFonts w:eastAsia="Times New Roman"/>
          <w:sz w:val="20"/>
          <w:szCs w:val="20"/>
        </w:rPr>
        <w:t>roximately 46% of U.S. adults with a mental illness received treatment in 2020.</w:t>
      </w:r>
      <w:r>
        <w:rPr>
          <w:rFonts w:eastAsia="Times New Roman"/>
          <w:sz w:val="20"/>
          <w:szCs w:val="20"/>
        </w:rPr>
        <w:t xml:space="preserve"> </w:t>
      </w:r>
    </w:p>
    <w:p w:rsidR="00000000" w:rsidRDefault="00AF2D19">
      <w:pPr>
        <w:jc w:val="both"/>
        <w:divId w:val="1428774022"/>
        <w:rPr>
          <w:rFonts w:eastAsia="Times New Roman"/>
        </w:rPr>
      </w:pPr>
      <w:r>
        <w:rPr>
          <w:rFonts w:eastAsia="Times New Roman"/>
          <w:sz w:val="20"/>
          <w:szCs w:val="20"/>
        </w:rPr>
        <w:t>•</w:t>
      </w:r>
    </w:p>
    <w:p w:rsidR="00000000" w:rsidRDefault="00AF2D19">
      <w:pPr>
        <w:jc w:val="both"/>
        <w:divId w:val="580991703"/>
        <w:rPr>
          <w:rFonts w:eastAsia="Times New Roman"/>
        </w:rPr>
      </w:pPr>
      <w:r>
        <w:rPr>
          <w:rFonts w:eastAsia="Times New Roman"/>
          <w:i/>
          <w:iCs/>
          <w:sz w:val="20"/>
          <w:szCs w:val="20"/>
        </w:rPr>
        <w:t>Inability to match demand for mental health services with therapists’ suppl</w:t>
      </w:r>
      <w:r>
        <w:rPr>
          <w:rFonts w:eastAsia="Times New Roman"/>
          <w:i/>
          <w:iCs/>
          <w:sz w:val="20"/>
          <w:szCs w:val="20"/>
        </w:rPr>
        <w:t>y</w:t>
      </w:r>
      <w:r>
        <w:rPr>
          <w:rFonts w:eastAsia="Times New Roman"/>
          <w:sz w:val="20"/>
          <w:szCs w:val="20"/>
        </w:rPr>
        <w:t>: Patients face difficulties accessing providers, despite there being approximately 600,000 licen</w:t>
      </w:r>
      <w:r>
        <w:rPr>
          <w:rFonts w:eastAsia="Times New Roman"/>
          <w:sz w:val="20"/>
          <w:szCs w:val="20"/>
        </w:rPr>
        <w:t>sed providers in the United States.</w:t>
      </w:r>
      <w:r>
        <w:rPr>
          <w:rFonts w:eastAsia="Times New Roman"/>
          <w:sz w:val="20"/>
          <w:szCs w:val="20"/>
        </w:rPr>
        <w:t xml:space="preserve"> </w:t>
      </w:r>
    </w:p>
    <w:p w:rsidR="00000000" w:rsidRDefault="00AF2D19">
      <w:pPr>
        <w:jc w:val="both"/>
        <w:divId w:val="1291590495"/>
        <w:rPr>
          <w:rFonts w:eastAsia="Times New Roman"/>
        </w:rPr>
      </w:pPr>
      <w:r>
        <w:rPr>
          <w:rFonts w:eastAsia="Times New Roman"/>
          <w:sz w:val="20"/>
          <w:szCs w:val="20"/>
        </w:rPr>
        <w:t>•</w:t>
      </w:r>
    </w:p>
    <w:p w:rsidR="00000000" w:rsidRDefault="00AF2D19">
      <w:pPr>
        <w:jc w:val="both"/>
        <w:divId w:val="631402773"/>
        <w:rPr>
          <w:rFonts w:eastAsia="Times New Roman"/>
        </w:rPr>
      </w:pPr>
      <w:r>
        <w:rPr>
          <w:rFonts w:eastAsia="Times New Roman"/>
          <w:i/>
          <w:iCs/>
          <w:sz w:val="20"/>
          <w:szCs w:val="20"/>
        </w:rPr>
        <w:t>Poor clinical outcomes and lack of care continuity</w:t>
      </w:r>
      <w:r>
        <w:rPr>
          <w:rFonts w:eastAsia="Times New Roman"/>
          <w:i/>
          <w:iCs/>
          <w:sz w:val="20"/>
          <w:szCs w:val="20"/>
        </w:rPr>
        <w:t>.</w:t>
      </w:r>
    </w:p>
    <w:p w:rsidR="00000000" w:rsidRDefault="00AF2D19">
      <w:pPr>
        <w:jc w:val="both"/>
        <w:divId w:val="1553729314"/>
        <w:rPr>
          <w:rFonts w:eastAsia="Times New Roman"/>
        </w:rPr>
      </w:pPr>
      <w:r>
        <w:rPr>
          <w:rFonts w:eastAsia="Times New Roman"/>
          <w:sz w:val="20"/>
          <w:szCs w:val="20"/>
        </w:rPr>
        <w:t>•</w:t>
      </w:r>
    </w:p>
    <w:p w:rsidR="00000000" w:rsidRDefault="00AF2D19">
      <w:pPr>
        <w:jc w:val="both"/>
        <w:divId w:val="158235539"/>
        <w:rPr>
          <w:rFonts w:eastAsia="Times New Roman"/>
        </w:rPr>
      </w:pPr>
      <w:r>
        <w:rPr>
          <w:rFonts w:eastAsia="Times New Roman"/>
          <w:i/>
          <w:iCs/>
          <w:sz w:val="20"/>
          <w:szCs w:val="20"/>
        </w:rPr>
        <w:t>Enormous societal cost</w:t>
      </w:r>
      <w:r>
        <w:rPr>
          <w:rFonts w:eastAsia="Times New Roman"/>
          <w:i/>
          <w:iCs/>
          <w:sz w:val="20"/>
          <w:szCs w:val="20"/>
        </w:rPr>
        <w:t>.</w:t>
      </w:r>
    </w:p>
    <w:p w:rsidR="00000000" w:rsidRDefault="00AF2D19">
      <w:pPr>
        <w:jc w:val="both"/>
        <w:divId w:val="1622688002"/>
        <w:rPr>
          <w:rFonts w:eastAsia="Times New Roman"/>
        </w:rPr>
      </w:pPr>
      <w:r>
        <w:rPr>
          <w:rFonts w:eastAsia="Times New Roman"/>
          <w:sz w:val="20"/>
          <w:szCs w:val="20"/>
        </w:rPr>
        <w:t>•</w:t>
      </w:r>
    </w:p>
    <w:p w:rsidR="00000000" w:rsidRDefault="00AF2D19">
      <w:pPr>
        <w:jc w:val="both"/>
        <w:divId w:val="488405009"/>
        <w:rPr>
          <w:rFonts w:eastAsia="Times New Roman"/>
        </w:rPr>
      </w:pPr>
      <w:r>
        <w:rPr>
          <w:rFonts w:eastAsia="Times New Roman"/>
          <w:i/>
          <w:iCs/>
          <w:sz w:val="20"/>
          <w:szCs w:val="20"/>
        </w:rPr>
        <w:t>Elevated healthcare system spend</w:t>
      </w:r>
      <w:r>
        <w:rPr>
          <w:rFonts w:eastAsia="Times New Roman"/>
          <w:i/>
          <w:iCs/>
          <w:sz w:val="20"/>
          <w:szCs w:val="20"/>
        </w:rPr>
        <w:t>.</w:t>
      </w:r>
    </w:p>
    <w:p w:rsidR="00000000" w:rsidRDefault="00AF2D19">
      <w:pPr>
        <w:pStyle w:val="a3"/>
        <w:spacing w:before="120" w:beforeAutospacing="0" w:after="0" w:afterAutospacing="0"/>
        <w:jc w:val="both"/>
        <w:rPr>
          <w:sz w:val="20"/>
          <w:szCs w:val="20"/>
        </w:rPr>
      </w:pPr>
      <w:r>
        <w:rPr>
          <w:sz w:val="20"/>
          <w:szCs w:val="20"/>
        </w:rPr>
        <w:t>We believe virtual is the ideal modality for mental health treatment, and our platform is purpose-built to address the traditional constraints through a full range of virtual services exclusively focused on behavioral health. Our offering is highly differe</w:t>
      </w:r>
      <w:r>
        <w:rPr>
          <w:sz w:val="20"/>
          <w:szCs w:val="20"/>
        </w:rPr>
        <w:t>ntiated, and we believe we are well-positioned to address the unmet needs in behavioral health, delivering significantly enhanced access at attractive price points and delivering meaningful clinical outcomes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believe there is significant total global a</w:t>
      </w:r>
      <w:r>
        <w:rPr>
          <w:sz w:val="20"/>
          <w:szCs w:val="20"/>
        </w:rPr>
        <w:t>ddressable market opportunity for our services, driven in part by the access we believe our model provides to unlock unaddressed patient populations. In the United States alone, it is estimated that one in every five Americans suffer from mental illness ev</w:t>
      </w:r>
      <w:r>
        <w:rPr>
          <w:sz w:val="20"/>
          <w:szCs w:val="20"/>
        </w:rPr>
        <w:t>ery year, spread across all ethnic, socio-economic and age ranges, and that less than half of those in need receive care. This mental health pandemic has only been exacerbated by the COVID-19 pandemic, with a 2020 study finding that the prevalence of depre</w:t>
      </w:r>
      <w:r>
        <w:rPr>
          <w:sz w:val="20"/>
          <w:szCs w:val="20"/>
        </w:rPr>
        <w:t>ssion symptoms grew three-fold since the COVID-19 pandemic began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believe this market opportunity exists due in part to structural limitations in the traditional behavioral healthcare model such as slow adoption of technology to treat and monitor patie</w:t>
      </w:r>
      <w:r>
        <w:rPr>
          <w:sz w:val="20"/>
          <w:szCs w:val="20"/>
        </w:rPr>
        <w:t>nts, reactive-to-care delivery that can lead to inconsistent outcomes, difficulties quantifying outcomes, and lack of reimbursement and insurance coverage leading to misaligned incentives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To overcome these hurdles and achieve our mission of providing mor</w:t>
      </w:r>
      <w:r>
        <w:rPr>
          <w:sz w:val="20"/>
          <w:szCs w:val="20"/>
        </w:rPr>
        <w:t>e people with convenient access to quality, affordable behavioral healthcare, we built a technology platform with the belief that the right solution can make care more personalized and effective. Our position as innovators in behavioral health is demonstra</w:t>
      </w:r>
      <w:r>
        <w:rPr>
          <w:sz w:val="20"/>
          <w:szCs w:val="20"/>
        </w:rPr>
        <w:t>ted by a series of major achievements since our formation in 2012</w:t>
      </w:r>
      <w:r>
        <w:rPr>
          <w:sz w:val="20"/>
          <w:szCs w:val="20"/>
        </w:rPr>
        <w:t>:</w:t>
      </w:r>
      <w:r>
        <w:rPr>
          <w:sz w:val="20"/>
          <w:szCs w:val="20"/>
        </w:rPr>
        <w:t xml:space="preserve"> </w:t>
      </w:r>
    </w:p>
    <w:p w:rsidR="00000000" w:rsidRDefault="00AF2D19">
      <w:pPr>
        <w:jc w:val="both"/>
        <w:divId w:val="1419444793"/>
        <w:rPr>
          <w:rFonts w:eastAsia="Times New Roman"/>
        </w:rPr>
      </w:pPr>
      <w:r>
        <w:rPr>
          <w:rFonts w:eastAsia="Times New Roman"/>
          <w:sz w:val="20"/>
          <w:szCs w:val="20"/>
        </w:rPr>
        <w:t>•</w:t>
      </w:r>
    </w:p>
    <w:p w:rsidR="00000000" w:rsidRDefault="00AF2D19">
      <w:pPr>
        <w:jc w:val="both"/>
        <w:divId w:val="404693573"/>
        <w:rPr>
          <w:rFonts w:eastAsia="Times New Roman"/>
        </w:rPr>
      </w:pPr>
      <w:r>
        <w:rPr>
          <w:rFonts w:eastAsia="Times New Roman"/>
          <w:i/>
          <w:iCs/>
          <w:sz w:val="20"/>
          <w:szCs w:val="20"/>
        </w:rPr>
        <w:t>A leading consumer brand in behavioral healthcare:</w:t>
      </w:r>
      <w:r>
        <w:rPr>
          <w:rFonts w:eastAsia="Times New Roman"/>
          <w:i/>
          <w:iCs/>
          <w:sz w:val="20"/>
          <w:szCs w:val="20"/>
        </w:rPr>
        <w:t xml:space="preserve"> </w:t>
      </w:r>
      <w:r>
        <w:rPr>
          <w:rFonts w:eastAsia="Times New Roman"/>
          <w:sz w:val="20"/>
          <w:szCs w:val="20"/>
        </w:rPr>
        <w:t>Our brand awareness continues to be instrumental in driving patient penetration and engagement.</w:t>
      </w:r>
      <w:r>
        <w:rPr>
          <w:rFonts w:eastAsia="Times New Roman"/>
          <w:sz w:val="20"/>
          <w:szCs w:val="20"/>
        </w:rPr>
        <w:t xml:space="preserve"> </w:t>
      </w:r>
    </w:p>
    <w:p w:rsidR="00000000" w:rsidRDefault="00AF2D19">
      <w:pPr>
        <w:jc w:val="both"/>
        <w:divId w:val="1520698574"/>
        <w:rPr>
          <w:rFonts w:eastAsia="Times New Roman"/>
        </w:rPr>
      </w:pPr>
      <w:r>
        <w:rPr>
          <w:rFonts w:eastAsia="Times New Roman"/>
          <w:sz w:val="20"/>
          <w:szCs w:val="20"/>
        </w:rPr>
        <w:t>•</w:t>
      </w:r>
    </w:p>
    <w:p w:rsidR="00000000" w:rsidRDefault="00AF2D19">
      <w:pPr>
        <w:jc w:val="both"/>
        <w:divId w:val="1324357509"/>
        <w:rPr>
          <w:rFonts w:eastAsia="Times New Roman"/>
        </w:rPr>
      </w:pPr>
      <w:r>
        <w:rPr>
          <w:rFonts w:eastAsia="Times New Roman"/>
          <w:i/>
          <w:iCs/>
          <w:sz w:val="20"/>
          <w:szCs w:val="20"/>
        </w:rPr>
        <w:t>Addressing a wide spectrum of care:</w:t>
      </w:r>
      <w:r>
        <w:rPr>
          <w:rFonts w:eastAsia="Times New Roman"/>
          <w:i/>
          <w:iCs/>
          <w:sz w:val="20"/>
          <w:szCs w:val="20"/>
        </w:rPr>
        <w:t xml:space="preserve"> </w:t>
      </w:r>
      <w:r>
        <w:rPr>
          <w:rFonts w:eastAsia="Times New Roman"/>
          <w:sz w:val="20"/>
          <w:szCs w:val="20"/>
        </w:rPr>
        <w:t>We offer virtual psychotherapy and psychiatry services at scale across B2C and B2B channels.</w:t>
      </w:r>
      <w:r>
        <w:rPr>
          <w:rFonts w:eastAsia="Times New Roman"/>
          <w:sz w:val="20"/>
          <w:szCs w:val="20"/>
        </w:rPr>
        <w:t xml:space="preserve"> </w:t>
      </w:r>
    </w:p>
    <w:p w:rsidR="00000000" w:rsidRDefault="00AF2D19">
      <w:pPr>
        <w:jc w:val="both"/>
        <w:divId w:val="5527350"/>
        <w:rPr>
          <w:rFonts w:eastAsia="Times New Roman"/>
        </w:rPr>
      </w:pPr>
      <w:r>
        <w:rPr>
          <w:rFonts w:eastAsia="Times New Roman"/>
          <w:sz w:val="20"/>
          <w:szCs w:val="20"/>
        </w:rPr>
        <w:t>•</w:t>
      </w:r>
    </w:p>
    <w:p w:rsidR="00000000" w:rsidRDefault="00AF2D19">
      <w:pPr>
        <w:jc w:val="both"/>
        <w:divId w:val="1337532488"/>
        <w:rPr>
          <w:rFonts w:eastAsia="Times New Roman"/>
        </w:rPr>
      </w:pPr>
      <w:r>
        <w:rPr>
          <w:rFonts w:eastAsia="Times New Roman"/>
          <w:i/>
          <w:iCs/>
          <w:sz w:val="20"/>
          <w:szCs w:val="20"/>
        </w:rPr>
        <w:t>Cost-effective solution:</w:t>
      </w:r>
      <w:r>
        <w:rPr>
          <w:rFonts w:eastAsia="Times New Roman"/>
          <w:i/>
          <w:iCs/>
          <w:sz w:val="20"/>
          <w:szCs w:val="20"/>
        </w:rPr>
        <w:t xml:space="preserve"> </w:t>
      </w:r>
      <w:r>
        <w:rPr>
          <w:rFonts w:eastAsia="Times New Roman"/>
          <w:sz w:val="20"/>
          <w:szCs w:val="20"/>
        </w:rPr>
        <w:t>We offer affordable care with a transparent pricing model and a clear commitment to high-quality service, providing behavioral care acc</w:t>
      </w:r>
      <w:r>
        <w:rPr>
          <w:rFonts w:eastAsia="Times New Roman"/>
          <w:sz w:val="20"/>
          <w:szCs w:val="20"/>
        </w:rPr>
        <w:t>ess to underserved populations</w:t>
      </w:r>
      <w:r>
        <w:rPr>
          <w:rFonts w:eastAsia="Times New Roman"/>
          <w:sz w:val="20"/>
          <w:szCs w:val="20"/>
        </w:rPr>
        <w:t>.</w:t>
      </w:r>
      <w:r>
        <w:rPr>
          <w:rFonts w:eastAsia="Times New Roman"/>
          <w:i/>
          <w:iCs/>
          <w:sz w:val="20"/>
          <w:szCs w:val="20"/>
        </w:rPr>
        <w:t xml:space="preserve"> </w:t>
      </w:r>
    </w:p>
    <w:p w:rsidR="00000000" w:rsidRDefault="00AF2D19">
      <w:pPr>
        <w:jc w:val="both"/>
        <w:divId w:val="1002124149"/>
        <w:rPr>
          <w:rFonts w:eastAsia="Times New Roman"/>
        </w:rPr>
      </w:pPr>
      <w:r>
        <w:rPr>
          <w:rFonts w:eastAsia="Times New Roman"/>
          <w:sz w:val="20"/>
          <w:szCs w:val="20"/>
        </w:rPr>
        <w:t>•</w:t>
      </w:r>
    </w:p>
    <w:p w:rsidR="00000000" w:rsidRDefault="00AF2D19">
      <w:pPr>
        <w:jc w:val="both"/>
        <w:divId w:val="1101804219"/>
        <w:rPr>
          <w:rFonts w:eastAsia="Times New Roman"/>
        </w:rPr>
      </w:pPr>
      <w:r>
        <w:rPr>
          <w:rFonts w:eastAsia="Times New Roman"/>
          <w:i/>
          <w:iCs/>
          <w:sz w:val="20"/>
          <w:szCs w:val="20"/>
        </w:rPr>
        <w:t>Integrated technology platform:</w:t>
      </w:r>
      <w:r>
        <w:rPr>
          <w:rFonts w:eastAsia="Times New Roman"/>
          <w:i/>
          <w:iCs/>
          <w:sz w:val="20"/>
          <w:szCs w:val="20"/>
        </w:rPr>
        <w:t xml:space="preserve"> </w:t>
      </w:r>
      <w:r>
        <w:rPr>
          <w:rFonts w:eastAsia="Times New Roman"/>
          <w:sz w:val="20"/>
          <w:szCs w:val="20"/>
        </w:rPr>
        <w:t>Our proprietary matching algorithm and machine-learning tools provide real-time engagement insights, inform treatment and track clinical progress</w:t>
      </w:r>
      <w:r>
        <w:rPr>
          <w:rFonts w:eastAsia="Times New Roman"/>
          <w:sz w:val="20"/>
          <w:szCs w:val="20"/>
        </w:rPr>
        <w:t>.</w:t>
      </w:r>
      <w:r>
        <w:rPr>
          <w:rFonts w:eastAsia="Times New Roman"/>
          <w:i/>
          <w:iCs/>
          <w:sz w:val="20"/>
          <w:szCs w:val="20"/>
        </w:rPr>
        <w:t xml:space="preserve"> </w:t>
      </w:r>
    </w:p>
    <w:p w:rsidR="00000000" w:rsidRDefault="00AF2D19">
      <w:pPr>
        <w:jc w:val="both"/>
        <w:divId w:val="1588419845"/>
        <w:rPr>
          <w:rFonts w:eastAsia="Times New Roman"/>
        </w:rPr>
      </w:pPr>
      <w:r>
        <w:rPr>
          <w:rFonts w:eastAsia="Times New Roman"/>
          <w:sz w:val="20"/>
          <w:szCs w:val="20"/>
        </w:rPr>
        <w:t>•</w:t>
      </w:r>
    </w:p>
    <w:p w:rsidR="00000000" w:rsidRDefault="00AF2D19">
      <w:pPr>
        <w:jc w:val="both"/>
        <w:divId w:val="410587963"/>
        <w:rPr>
          <w:rFonts w:eastAsia="Times New Roman"/>
        </w:rPr>
      </w:pPr>
      <w:r>
        <w:rPr>
          <w:rFonts w:eastAsia="Times New Roman"/>
          <w:i/>
          <w:iCs/>
          <w:sz w:val="20"/>
          <w:szCs w:val="20"/>
        </w:rPr>
        <w:t>Machine-learning powered clinicians’ so</w:t>
      </w:r>
      <w:r>
        <w:rPr>
          <w:rFonts w:eastAsia="Times New Roman"/>
          <w:i/>
          <w:iCs/>
          <w:sz w:val="20"/>
          <w:szCs w:val="20"/>
        </w:rPr>
        <w:t>urcing and credentialing:</w:t>
      </w:r>
      <w:r>
        <w:rPr>
          <w:rFonts w:eastAsia="Times New Roman"/>
          <w:i/>
          <w:iCs/>
          <w:sz w:val="20"/>
          <w:szCs w:val="20"/>
        </w:rPr>
        <w:t xml:space="preserve"> </w:t>
      </w:r>
      <w:r>
        <w:rPr>
          <w:rFonts w:eastAsia="Times New Roman"/>
          <w:sz w:val="20"/>
          <w:szCs w:val="20"/>
        </w:rPr>
        <w:t>This process has allowed us to build a national network of high-quality licensed providers.</w:t>
      </w:r>
      <w:r>
        <w:rPr>
          <w:rFonts w:eastAsia="Times New Roman"/>
          <w:sz w:val="20"/>
          <w:szCs w:val="20"/>
        </w:rPr>
        <w:t xml:space="preserve"> </w:t>
      </w:r>
    </w:p>
    <w:p w:rsidR="00000000" w:rsidRDefault="00AF2D19">
      <w:pPr>
        <w:pStyle w:val="a3"/>
        <w:spacing w:before="0" w:beforeAutospacing="0" w:after="0" w:afterAutospacing="0"/>
        <w:jc w:val="center"/>
        <w:rPr>
          <w:sz w:val="20"/>
          <w:szCs w:val="20"/>
        </w:rPr>
      </w:pPr>
      <w:r>
        <w:rPr>
          <w:sz w:val="20"/>
          <w:szCs w:val="20"/>
        </w:rPr>
        <w:t>6</w:t>
      </w:r>
    </w:p>
    <w:p w:rsidR="00000000" w:rsidRDefault="00AF2D19">
      <w:pPr>
        <w:rPr>
          <w:rFonts w:eastAsia="Times New Roman"/>
        </w:rPr>
      </w:pPr>
      <w:r>
        <w:rPr>
          <w:rFonts w:eastAsia="Times New Roman"/>
        </w:rPr>
        <w:pict>
          <v:rect id="_x0000_i1031"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jc w:val="both"/>
        <w:divId w:val="1371805084"/>
        <w:rPr>
          <w:rFonts w:eastAsia="Times New Roman"/>
        </w:rPr>
      </w:pPr>
      <w:r>
        <w:rPr>
          <w:rFonts w:eastAsia="Times New Roman"/>
          <w:sz w:val="20"/>
          <w:szCs w:val="20"/>
        </w:rPr>
        <w:t>•</w:t>
      </w:r>
    </w:p>
    <w:p w:rsidR="00000000" w:rsidRDefault="00AF2D19">
      <w:pPr>
        <w:jc w:val="both"/>
        <w:divId w:val="1016813753"/>
        <w:rPr>
          <w:rFonts w:eastAsia="Times New Roman"/>
        </w:rPr>
      </w:pPr>
      <w:r>
        <w:rPr>
          <w:rFonts w:eastAsia="Times New Roman"/>
          <w:i/>
          <w:iCs/>
          <w:sz w:val="20"/>
          <w:szCs w:val="20"/>
        </w:rPr>
        <w:t>No overhead and administrative costs for clinic</w:t>
      </w:r>
      <w:r>
        <w:rPr>
          <w:rFonts w:eastAsia="Times New Roman"/>
          <w:i/>
          <w:iCs/>
          <w:sz w:val="20"/>
          <w:szCs w:val="20"/>
        </w:rPr>
        <w:t>ians:</w:t>
      </w:r>
      <w:r>
        <w:rPr>
          <w:rFonts w:eastAsia="Times New Roman"/>
          <w:i/>
          <w:iCs/>
          <w:sz w:val="20"/>
          <w:szCs w:val="20"/>
        </w:rPr>
        <w:t xml:space="preserve"> </w:t>
      </w:r>
      <w:r>
        <w:rPr>
          <w:rFonts w:eastAsia="Times New Roman"/>
          <w:sz w:val="20"/>
          <w:szCs w:val="20"/>
        </w:rPr>
        <w:t>Our platform enables providers to spend less time in administrative tasks associated with scheduling, invoicing and taking notes, vis-a-vis private practices, and spend more time treating patients.</w:t>
      </w:r>
      <w:r>
        <w:rPr>
          <w:rFonts w:eastAsia="Times New Roman"/>
          <w:sz w:val="20"/>
          <w:szCs w:val="20"/>
        </w:rPr>
        <w:t xml:space="preserve"> </w:t>
      </w:r>
    </w:p>
    <w:p w:rsidR="00000000" w:rsidRDefault="00AF2D19">
      <w:pPr>
        <w:jc w:val="both"/>
        <w:divId w:val="1327830904"/>
        <w:rPr>
          <w:rFonts w:eastAsia="Times New Roman"/>
        </w:rPr>
      </w:pPr>
      <w:r>
        <w:rPr>
          <w:rFonts w:eastAsia="Times New Roman"/>
          <w:sz w:val="20"/>
          <w:szCs w:val="20"/>
        </w:rPr>
        <w:t>•</w:t>
      </w:r>
    </w:p>
    <w:p w:rsidR="00000000" w:rsidRDefault="00AF2D19">
      <w:pPr>
        <w:jc w:val="both"/>
        <w:divId w:val="78987104"/>
        <w:rPr>
          <w:rFonts w:eastAsia="Times New Roman"/>
        </w:rPr>
      </w:pPr>
      <w:r>
        <w:rPr>
          <w:rFonts w:eastAsia="Times New Roman"/>
          <w:i/>
          <w:iCs/>
          <w:sz w:val="20"/>
          <w:szCs w:val="20"/>
        </w:rPr>
        <w:t>Privacy and stigma-free access:</w:t>
      </w:r>
      <w:r>
        <w:rPr>
          <w:rFonts w:eastAsia="Times New Roman"/>
          <w:i/>
          <w:iCs/>
          <w:sz w:val="20"/>
          <w:szCs w:val="20"/>
        </w:rPr>
        <w:t xml:space="preserve"> </w:t>
      </w:r>
      <w:r>
        <w:rPr>
          <w:rFonts w:eastAsia="Times New Roman"/>
          <w:sz w:val="20"/>
          <w:szCs w:val="20"/>
        </w:rPr>
        <w:t>Talkspace data is</w:t>
      </w:r>
      <w:r>
        <w:rPr>
          <w:rFonts w:eastAsia="Times New Roman"/>
          <w:sz w:val="20"/>
          <w:szCs w:val="20"/>
        </w:rPr>
        <w:t xml:space="preserve"> fully encrypted, consistent with HIPAA and other state regulatory requirements and assessed annually by external privacy and security advisors</w:t>
      </w:r>
      <w:r>
        <w:rPr>
          <w:rFonts w:eastAsia="Times New Roman"/>
          <w:sz w:val="20"/>
          <w:szCs w:val="20"/>
        </w:rPr>
        <w:t>.</w:t>
      </w:r>
      <w:r>
        <w:rPr>
          <w:rFonts w:eastAsia="Times New Roman"/>
          <w:i/>
          <w:iCs/>
          <w:sz w:val="20"/>
          <w:szCs w:val="20"/>
        </w:rPr>
        <w:t xml:space="preserve"> </w:t>
      </w:r>
    </w:p>
    <w:p w:rsidR="00000000" w:rsidRDefault="00AF2D19">
      <w:pPr>
        <w:jc w:val="both"/>
        <w:divId w:val="507604239"/>
        <w:rPr>
          <w:rFonts w:eastAsia="Times New Roman"/>
        </w:rPr>
      </w:pPr>
      <w:r>
        <w:rPr>
          <w:rFonts w:eastAsia="Times New Roman"/>
          <w:sz w:val="20"/>
          <w:szCs w:val="20"/>
        </w:rPr>
        <w:t>•</w:t>
      </w:r>
    </w:p>
    <w:p w:rsidR="00000000" w:rsidRDefault="00AF2D19">
      <w:pPr>
        <w:jc w:val="both"/>
        <w:divId w:val="1620335907"/>
        <w:rPr>
          <w:rFonts w:eastAsia="Times New Roman"/>
        </w:rPr>
      </w:pPr>
      <w:r>
        <w:rPr>
          <w:rFonts w:eastAsia="Times New Roman"/>
          <w:i/>
          <w:iCs/>
          <w:sz w:val="20"/>
          <w:szCs w:val="20"/>
        </w:rPr>
        <w:t>Collaborations with mental health champions:</w:t>
      </w:r>
      <w:r>
        <w:rPr>
          <w:rFonts w:eastAsia="Times New Roman"/>
          <w:i/>
          <w:iCs/>
          <w:sz w:val="20"/>
          <w:szCs w:val="20"/>
        </w:rPr>
        <w:t xml:space="preserve"> </w:t>
      </w:r>
      <w:r>
        <w:rPr>
          <w:rFonts w:eastAsia="Times New Roman"/>
          <w:sz w:val="20"/>
          <w:szCs w:val="20"/>
        </w:rPr>
        <w:t>Our collaborations with Michael Phelps draw awareness and seek to humanize the day-to-day battle with mental illness</w:t>
      </w:r>
      <w:r>
        <w:rPr>
          <w:rFonts w:eastAsia="Times New Roman"/>
          <w:sz w:val="20"/>
          <w:szCs w:val="20"/>
        </w:rPr>
        <w:t>.</w:t>
      </w:r>
      <w:r>
        <w:rPr>
          <w:rFonts w:eastAsia="Times New Roman"/>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platform is purpose-built to personalize treatment and drive outcomes with technology encompassing every step of our members’ treatment journey, which we believe is critical to drive care continuity and impact. Beginning with our secure mobile app, mem</w:t>
      </w:r>
      <w:r>
        <w:rPr>
          <w:sz w:val="20"/>
          <w:szCs w:val="20"/>
        </w:rPr>
        <w:t>bers are able to seamlessly provide information so that we can assess their condition and incorporate their preferences. We then leverage our proprietary algorithm to match members and providers, allowing for an optimized start of the relationship, which w</w:t>
      </w:r>
      <w:r>
        <w:rPr>
          <w:sz w:val="20"/>
          <w:szCs w:val="20"/>
        </w:rPr>
        <w:t>e believe is a key factor in delivering care continuity. Communication then occurs via live video and private messaging in a fully-encrypted virtual chat room. If deemed necessary, providers can decide to administer standardized tests to diagnose the disea</w:t>
      </w:r>
      <w:r>
        <w:rPr>
          <w:sz w:val="20"/>
          <w:szCs w:val="20"/>
        </w:rPr>
        <w:t>se and identify the best treatment plan. Throughout these patient interactions, our providers have access to our exclusive care delivery platform built for improving outcomes, featuring provider tools for case management, enhanced diagnosis, treatment plan</w:t>
      </w:r>
      <w:r>
        <w:rPr>
          <w:sz w:val="20"/>
          <w:szCs w:val="20"/>
        </w:rPr>
        <w:t>ning, stress and resilience programming, risk mitigation, and clinical progress tracking. Providing multilayer insights through our data dashboards, providers can make informed, outcome-driven decisions to enhance the quality of care. In addition, since in</w:t>
      </w:r>
      <w:r>
        <w:rPr>
          <w:sz w:val="20"/>
          <w:szCs w:val="20"/>
        </w:rPr>
        <w:t>ception, we have expanded to support medication management and a variety of behavioral conditions for adults, adolescents, and couples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believe that, through our platform, our providers are empowered with unique insights and capabilities that enable me</w:t>
      </w:r>
      <w:r>
        <w:rPr>
          <w:sz w:val="20"/>
          <w:szCs w:val="20"/>
        </w:rPr>
        <w:t>aningful clinical outcomes. Additionally, our technology analyzes and manages our scaled provider network through a host of outcomes and satisfaction-focused metrics, providing an opportunity to chart both the patient and provider simultaneously in order t</w:t>
      </w:r>
      <w:r>
        <w:rPr>
          <w:sz w:val="20"/>
          <w:szCs w:val="20"/>
        </w:rPr>
        <w:t>o drive meaningful outcomes. Our platform capabilities also enable and continuously enhance evidence of care, care continuity, outcomes metrics and data-based learnings, built into a robust electronic health record (“EHR”) network. The depth of capabilitie</w:t>
      </w:r>
      <w:r>
        <w:rPr>
          <w:sz w:val="20"/>
          <w:szCs w:val="20"/>
        </w:rPr>
        <w:t>s of this EHR network are only possible in part because of our virtual delivery model, whereas we believe much of this would be unachievable in traditional behavioral care settings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have a vast nationwide network of fully-credentialed providers, consis</w:t>
      </w:r>
      <w:r>
        <w:rPr>
          <w:sz w:val="20"/>
          <w:szCs w:val="20"/>
        </w:rPr>
        <w:t>ting of both psychotherapists and psychiatrists, across all 50 U.S. states. To ensure a high degree of success with our initial provider and member matching, we have built a diverse network inclusive of over 21 clinical specialties, over 30 languages spoke</w:t>
      </w:r>
      <w:r>
        <w:rPr>
          <w:sz w:val="20"/>
          <w:szCs w:val="20"/>
        </w:rPr>
        <w:t>n, approximately 30% people of color, and approximately 20% at or under the age of 35. Our network is sustained and enhanced by an attractive value proposition to our providers, including flexibility, convenience, efficiency, professional development oppor</w:t>
      </w:r>
      <w:r>
        <w:rPr>
          <w:sz w:val="20"/>
          <w:szCs w:val="20"/>
        </w:rPr>
        <w:t>tunities and income. We designed our provider network to be scalable and to leverage a hybrid model of both employee providers and independently contracted providers to support multiple growth scenarios</w:t>
      </w:r>
      <w:r>
        <w:rPr>
          <w:sz w:val="20"/>
          <w:szCs w:val="20"/>
        </w:rPr>
        <w:t>.</w:t>
      </w:r>
    </w:p>
    <w:p w:rsidR="00000000" w:rsidRDefault="00AF2D19">
      <w:pPr>
        <w:pStyle w:val="a3"/>
        <w:spacing w:before="120" w:beforeAutospacing="0" w:after="0" w:afterAutospacing="0"/>
        <w:jc w:val="both"/>
        <w:rPr>
          <w:sz w:val="20"/>
          <w:szCs w:val="20"/>
        </w:rPr>
      </w:pPr>
      <w:r>
        <w:rPr>
          <w:sz w:val="20"/>
          <w:szCs w:val="20"/>
        </w:rPr>
        <w:t>We believe another differentiating feature of our va</w:t>
      </w:r>
      <w:r>
        <w:rPr>
          <w:sz w:val="20"/>
          <w:szCs w:val="20"/>
        </w:rPr>
        <w:t>lue proposition is that it aligns the incentives of all stakeholders across members, providers, plans and employers by simultaneously delivering (1) meaningful clinical outcomes and improved access to care; (2) affordable treatment with a platform designed</w:t>
      </w:r>
      <w:r>
        <w:rPr>
          <w:sz w:val="20"/>
          <w:szCs w:val="20"/>
        </w:rPr>
        <w:t xml:space="preserve"> to elevate member experience and engagement; (3) expanded reach to patients, providing lower administrative costs and flexibility to providers and (4) lower overall public healthcare costs through improved chronic-disease and co-morbidity incidence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Our </w:t>
      </w:r>
      <w:r>
        <w:rPr>
          <w:sz w:val="20"/>
          <w:szCs w:val="20"/>
        </w:rPr>
        <w:t>revenues were $113.7 million and $76.2 million for the years ended December 31, 2021 and 2020, respectively, representing a period-over-period increase of 49.2%. In recent periods, we have seen an improvement in our utilization rates for our services and e</w:t>
      </w:r>
      <w:r>
        <w:rPr>
          <w:sz w:val="20"/>
          <w:szCs w:val="20"/>
        </w:rPr>
        <w:t>xpect this trend to continue post-COVID-19. We incurred net losses of $62.7 million and $22.4 million for the year ended December 31, 2021 and 2020, respectively, primarily due to our investments in growth initiatives</w:t>
      </w:r>
      <w:r>
        <w:rPr>
          <w:sz w:val="20"/>
          <w:szCs w:val="20"/>
        </w:rPr>
        <w:t>.</w:t>
      </w:r>
    </w:p>
    <w:p w:rsidR="00000000" w:rsidRDefault="00AF2D19">
      <w:pPr>
        <w:pStyle w:val="a3"/>
        <w:spacing w:before="240" w:beforeAutospacing="0" w:after="0" w:afterAutospacing="0"/>
        <w:rPr>
          <w:sz w:val="20"/>
          <w:szCs w:val="20"/>
        </w:rPr>
      </w:pPr>
      <w:r>
        <w:rPr>
          <w:b/>
          <w:bCs/>
          <w:sz w:val="20"/>
          <w:szCs w:val="20"/>
        </w:rPr>
        <w:t>Our Offering</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Through our platform, </w:t>
      </w:r>
      <w:r>
        <w:rPr>
          <w:sz w:val="20"/>
          <w:szCs w:val="20"/>
        </w:rPr>
        <w:t>we provide psychotherapy and psychiatry services to individuals, employers and health plans through both B2C and B2B channels. In psychotherapy, or “talk therapy”, members work with a licensed therapist or counselor to treat specific mental health conditio</w:t>
      </w:r>
      <w:r>
        <w:rPr>
          <w:sz w:val="20"/>
          <w:szCs w:val="20"/>
        </w:rPr>
        <w:t xml:space="preserve">ns like depression or anxiety, trauma and other human challenges, including by developing positive thinking and coping skills. In psychiatry, members receive personalized, expert care from a prescriber who specializes in mental healthcare and prescription </w:t>
      </w:r>
      <w:r>
        <w:rPr>
          <w:sz w:val="20"/>
          <w:szCs w:val="20"/>
        </w:rPr>
        <w:t>management</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7</w:t>
      </w:r>
    </w:p>
    <w:p w:rsidR="00000000" w:rsidRDefault="00AF2D19">
      <w:pPr>
        <w:rPr>
          <w:rFonts w:eastAsia="Times New Roman"/>
        </w:rPr>
      </w:pPr>
      <w:r>
        <w:rPr>
          <w:rFonts w:eastAsia="Times New Roman"/>
        </w:rPr>
        <w:pict>
          <v:rect id="_x0000_i103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By seeking to eliminate barriers in accessing and utilizing mental healthcare and offering providers technology-enabled tools to provide high-quality clini</w:t>
      </w:r>
      <w:r>
        <w:rPr>
          <w:sz w:val="20"/>
          <w:szCs w:val="20"/>
        </w:rPr>
        <w:t>cal care with a data-driven approach to treatment, we offer our members a robust ecosystem for end-to-end behavioral healthcare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i/>
          <w:iCs/>
          <w:sz w:val="20"/>
          <w:szCs w:val="20"/>
        </w:rPr>
        <w:t>Psychotherap</w:t>
      </w:r>
      <w:r>
        <w:rPr>
          <w:i/>
          <w:iCs/>
          <w:sz w:val="20"/>
          <w:szCs w:val="20"/>
        </w:rPr>
        <w:t>y</w:t>
      </w:r>
      <w:r>
        <w:rPr>
          <w:sz w:val="20"/>
          <w:szCs w:val="20"/>
        </w:rPr>
        <w:t>: We offer text, audio and video-based psychotherapy from licensed therapists directly to consumers in the B2C ch</w:t>
      </w:r>
      <w:r>
        <w:rPr>
          <w:sz w:val="20"/>
          <w:szCs w:val="20"/>
        </w:rPr>
        <w:t>annel. Individual subscribers sign up for individual plans (i.e., Unlimited Messaging Therapy Plus, Unlimited Messaging Therapy Premium, Unlimited Messaging Therapy Ultimate, Talkspace Couples Therapy and Talkspace Teens Therapy) inclusive of text, video a</w:t>
      </w:r>
      <w:r>
        <w:rPr>
          <w:sz w:val="20"/>
          <w:szCs w:val="20"/>
        </w:rPr>
        <w:t>nd audio messaging. In the B2B channel, psychotherapy services are offered through both employers and health plans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Through</w:t>
      </w:r>
      <w:r>
        <w:rPr>
          <w:sz w:val="20"/>
          <w:szCs w:val="20"/>
        </w:rPr>
        <w:t xml:space="preserve"> </w:t>
      </w:r>
      <w:r>
        <w:rPr>
          <w:i/>
          <w:iCs/>
          <w:sz w:val="20"/>
          <w:szCs w:val="20"/>
        </w:rPr>
        <w:t>Talkspace for Busines</w:t>
      </w:r>
      <w:r>
        <w:rPr>
          <w:i/>
          <w:iCs/>
          <w:sz w:val="20"/>
          <w:szCs w:val="20"/>
        </w:rPr>
        <w:t>s</w:t>
      </w:r>
      <w:r>
        <w:rPr>
          <w:sz w:val="20"/>
          <w:szCs w:val="20"/>
        </w:rPr>
        <w:t>, employees access our platform services on a benefit plan paid by the employer. Through</w:t>
      </w:r>
      <w:r>
        <w:rPr>
          <w:sz w:val="20"/>
          <w:szCs w:val="20"/>
        </w:rPr>
        <w:t xml:space="preserve"> </w:t>
      </w:r>
      <w:r>
        <w:rPr>
          <w:i/>
          <w:iCs/>
          <w:sz w:val="20"/>
          <w:szCs w:val="20"/>
        </w:rPr>
        <w:t>Talkspace Employee A</w:t>
      </w:r>
      <w:r>
        <w:rPr>
          <w:i/>
          <w:iCs/>
          <w:sz w:val="20"/>
          <w:szCs w:val="20"/>
        </w:rPr>
        <w:t>ssistance Program</w:t>
      </w:r>
      <w:r>
        <w:rPr>
          <w:i/>
          <w:iCs/>
          <w:sz w:val="20"/>
          <w:szCs w:val="20"/>
        </w:rPr>
        <w:t xml:space="preserve"> </w:t>
      </w:r>
      <w:r>
        <w:rPr>
          <w:sz w:val="20"/>
          <w:szCs w:val="20"/>
        </w:rPr>
        <w:t>(“EAP”) and</w:t>
      </w:r>
      <w:r>
        <w:rPr>
          <w:sz w:val="20"/>
          <w:szCs w:val="20"/>
        </w:rPr>
        <w:t xml:space="preserve"> </w:t>
      </w:r>
      <w:r>
        <w:rPr>
          <w:i/>
          <w:iCs/>
          <w:sz w:val="20"/>
          <w:szCs w:val="20"/>
        </w:rPr>
        <w:t>Talkspace Behavioral Health pla</w:t>
      </w:r>
      <w:r>
        <w:rPr>
          <w:i/>
          <w:iCs/>
          <w:sz w:val="20"/>
          <w:szCs w:val="20"/>
        </w:rPr>
        <w:t>n</w:t>
      </w:r>
      <w:r>
        <w:rPr>
          <w:sz w:val="20"/>
          <w:szCs w:val="20"/>
        </w:rPr>
        <w:t xml:space="preserve"> (“BH”), we contract with a number of U.S. health plans to provide online therapy to employees through EAP and behavioral health benefits. These programs provide support and resources to enhance</w:t>
      </w:r>
      <w:r>
        <w:rPr>
          <w:sz w:val="20"/>
          <w:szCs w:val="20"/>
        </w:rPr>
        <w:t xml:space="preserve"> employees’ well-being and productivity, such as mental health, financial planning and work/life balance. Talkspace is also an accepted provider of behavioral health services by several large healthcare payors, including Aetna, Cigna, Premera and Optum</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i/>
          <w:iCs/>
          <w:sz w:val="20"/>
          <w:szCs w:val="20"/>
        </w:rPr>
        <w:t>P</w:t>
      </w:r>
      <w:r>
        <w:rPr>
          <w:i/>
          <w:iCs/>
          <w:sz w:val="20"/>
          <w:szCs w:val="20"/>
        </w:rPr>
        <w:t>sychiatr</w:t>
      </w:r>
      <w:r>
        <w:rPr>
          <w:i/>
          <w:iCs/>
          <w:sz w:val="20"/>
          <w:szCs w:val="20"/>
        </w:rPr>
        <w:t>y</w:t>
      </w:r>
      <w:r>
        <w:rPr>
          <w:sz w:val="20"/>
          <w:szCs w:val="20"/>
        </w:rPr>
        <w:t>: Services are provided both to B2C consumers via the Talkspace platform, and through B2B health plans and employers. In both the B2C and B2B channels, typical packages include one initial video consultation, with follow-up video appointments as n</w:t>
      </w:r>
      <w:r>
        <w:rPr>
          <w:sz w:val="20"/>
          <w:szCs w:val="20"/>
        </w:rPr>
        <w:t>eeded. Like the traditional face-to-face model, Talkspace providers can prescribe medication they deem necessary up and until the point, that in the providers discretion, the member requires a face-to-face provider for potential need of those prescriptions</w:t>
      </w:r>
      <w:r>
        <w:rPr>
          <w:sz w:val="20"/>
          <w:szCs w:val="20"/>
        </w:rPr>
        <w:t xml:space="preserve"> labeled a “controlled substance” under the federal Controlled Substances Act. Our psychiatry services are comprised of board-certified psychiatrists, as well as prescription-eligible nurse practitioners who may supplement the psychiatrist in follow-up vis</w:t>
      </w:r>
      <w:r>
        <w:rPr>
          <w:sz w:val="20"/>
          <w:szCs w:val="20"/>
        </w:rPr>
        <w:t>its and act in a medication management capacity</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sz w:val="20"/>
          <w:szCs w:val="20"/>
        </w:rPr>
        <w:t>Our Customer</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pursuit of our mission to expand access to all individuals in need of behavioral services, we strive to deliver effective care to a broad range of customers through both our B2C and B2B ch</w:t>
      </w:r>
      <w:r>
        <w:rPr>
          <w:sz w:val="20"/>
          <w:szCs w:val="20"/>
        </w:rPr>
        <w:t>annels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Within our B2C channel, we serve a diverse customer base, with our members coming from all socioeconomic backgrounds, ages, genders, ethnicities, geographies and income level. Further, with both psychotherapy and psychiatry professionals, along wi</w:t>
      </w:r>
      <w:r>
        <w:rPr>
          <w:sz w:val="20"/>
          <w:szCs w:val="20"/>
        </w:rPr>
        <w:t>th a comprehensive suite of self-help tools, our platform is designed to address the needs of members across a broad range of acuities. Our provider base has a diverse range of clinical expertise, with o</w:t>
      </w:r>
      <w:r>
        <w:rPr>
          <w:sz w:val="20"/>
          <w:szCs w:val="20"/>
        </w:rPr>
        <w:t>v</w:t>
      </w:r>
      <w:r>
        <w:rPr>
          <w:sz w:val="20"/>
          <w:szCs w:val="20"/>
        </w:rPr>
        <w:t>er 21 specializations, and is able to provide high q</w:t>
      </w:r>
      <w:r>
        <w:rPr>
          <w:sz w:val="20"/>
          <w:szCs w:val="20"/>
        </w:rPr>
        <w:t>uality care to all behavioral conditions. As of December 31, 2021, we had approximately 24,000 B2C act</w:t>
      </w:r>
      <w:r>
        <w:rPr>
          <w:sz w:val="20"/>
          <w:szCs w:val="20"/>
        </w:rPr>
        <w:t>i</w:t>
      </w:r>
      <w:r>
        <w:rPr>
          <w:sz w:val="20"/>
          <w:szCs w:val="20"/>
        </w:rPr>
        <w:t>ve members located across all 50 U.S. states and select international markets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our B2B channel, we serve our health plan clients and enterprise clien</w:t>
      </w:r>
      <w:r>
        <w:rPr>
          <w:sz w:val="20"/>
          <w:szCs w:val="20"/>
        </w:rPr>
        <w:t>ts and their respective employees and members through multiple offerings</w:t>
      </w:r>
      <w:r>
        <w:rPr>
          <w:sz w:val="20"/>
          <w:szCs w:val="20"/>
        </w:rPr>
        <w:t>.</w:t>
      </w:r>
      <w:r>
        <w:rPr>
          <w:sz w:val="20"/>
          <w:szCs w:val="20"/>
        </w:rPr>
        <w:t xml:space="preserve"> </w:t>
      </w:r>
    </w:p>
    <w:p w:rsidR="00000000" w:rsidRDefault="00AF2D19">
      <w:pPr>
        <w:jc w:val="both"/>
        <w:divId w:val="2060470259"/>
        <w:rPr>
          <w:rFonts w:eastAsia="Times New Roman"/>
        </w:rPr>
      </w:pPr>
      <w:r>
        <w:rPr>
          <w:rFonts w:eastAsia="Times New Roman"/>
          <w:sz w:val="20"/>
          <w:szCs w:val="20"/>
        </w:rPr>
        <w:t>•</w:t>
      </w:r>
    </w:p>
    <w:p w:rsidR="00000000" w:rsidRDefault="00AF2D19">
      <w:pPr>
        <w:jc w:val="both"/>
        <w:divId w:val="144317555"/>
        <w:rPr>
          <w:rFonts w:eastAsia="Times New Roman"/>
        </w:rPr>
      </w:pPr>
      <w:r>
        <w:rPr>
          <w:rFonts w:eastAsia="Times New Roman"/>
          <w:i/>
          <w:iCs/>
          <w:sz w:val="20"/>
          <w:szCs w:val="20"/>
        </w:rPr>
        <w:t>Health Plan Client</w:t>
      </w:r>
      <w:r>
        <w:rPr>
          <w:rFonts w:eastAsia="Times New Roman"/>
          <w:i/>
          <w:iCs/>
          <w:sz w:val="20"/>
          <w:szCs w:val="20"/>
        </w:rPr>
        <w:t>s</w:t>
      </w:r>
      <w:r>
        <w:rPr>
          <w:rFonts w:eastAsia="Times New Roman"/>
          <w:sz w:val="20"/>
          <w:szCs w:val="20"/>
        </w:rPr>
        <w:t>: Through our EAP offering, we contract with major payor clients who are contracted with employers to deliver care. Through this solution, we are able to provid</w:t>
      </w:r>
      <w:r>
        <w:rPr>
          <w:rFonts w:eastAsia="Times New Roman"/>
          <w:sz w:val="20"/>
          <w:szCs w:val="20"/>
        </w:rPr>
        <w:t xml:space="preserve">e therapy and psychiatry services for our clients’ employees, who then pay a flat rate per session or interaction, of which we receive a portion of the fee. Through our BH offering, our members receive care directly covered through their individual health </w:t>
      </w:r>
      <w:r>
        <w:rPr>
          <w:rFonts w:eastAsia="Times New Roman"/>
          <w:sz w:val="20"/>
          <w:szCs w:val="20"/>
        </w:rPr>
        <w:t>plan where our providers are considered in-network. Our members pay a flat co-pay per session or interaction, of which we receive a portion of the fee. A representative sample of our health plan clients include Aetna, Cigna, Optum and Premera</w:t>
      </w:r>
      <w:r>
        <w:rPr>
          <w:rFonts w:eastAsia="Times New Roman"/>
          <w:sz w:val="20"/>
          <w:szCs w:val="20"/>
        </w:rPr>
        <w:t>.</w:t>
      </w:r>
    </w:p>
    <w:p w:rsidR="00000000" w:rsidRDefault="00AF2D19">
      <w:pPr>
        <w:jc w:val="both"/>
        <w:divId w:val="1101225149"/>
        <w:rPr>
          <w:rFonts w:eastAsia="Times New Roman"/>
        </w:rPr>
      </w:pPr>
      <w:r>
        <w:rPr>
          <w:rFonts w:eastAsia="Times New Roman"/>
          <w:sz w:val="20"/>
          <w:szCs w:val="20"/>
        </w:rPr>
        <w:t>•</w:t>
      </w:r>
    </w:p>
    <w:p w:rsidR="00000000" w:rsidRDefault="00AF2D19">
      <w:pPr>
        <w:jc w:val="both"/>
        <w:divId w:val="1090587677"/>
        <w:rPr>
          <w:rFonts w:eastAsia="Times New Roman"/>
        </w:rPr>
      </w:pPr>
      <w:r>
        <w:rPr>
          <w:rFonts w:eastAsia="Times New Roman"/>
          <w:i/>
          <w:iCs/>
          <w:sz w:val="20"/>
          <w:szCs w:val="20"/>
        </w:rPr>
        <w:t>Enterprise</w:t>
      </w:r>
      <w:r>
        <w:rPr>
          <w:rFonts w:eastAsia="Times New Roman"/>
          <w:i/>
          <w:iCs/>
          <w:sz w:val="20"/>
          <w:szCs w:val="20"/>
        </w:rPr>
        <w:t xml:space="preserve"> Client</w:t>
      </w:r>
      <w:r>
        <w:rPr>
          <w:rFonts w:eastAsia="Times New Roman"/>
          <w:i/>
          <w:iCs/>
          <w:sz w:val="20"/>
          <w:szCs w:val="20"/>
        </w:rPr>
        <w:t>s</w:t>
      </w:r>
      <w:r>
        <w:rPr>
          <w:rFonts w:eastAsia="Times New Roman"/>
          <w:sz w:val="20"/>
          <w:szCs w:val="20"/>
        </w:rPr>
        <w:t>: Through our direct-to-employer offering, we contract directly with employers to provide their employees unlimited asynchronous care primarily on a per-member-per-month (“PMPM”) basis. A representative sample of our enterprise clients include Acce</w:t>
      </w:r>
      <w:r>
        <w:rPr>
          <w:rFonts w:eastAsia="Times New Roman"/>
          <w:sz w:val="20"/>
          <w:szCs w:val="20"/>
        </w:rPr>
        <w:t>nture, Blackstone, Expedia and Google.</w:t>
      </w:r>
      <w:r>
        <w:rPr>
          <w:rFonts w:eastAsia="Times New Roman"/>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we are increasingly chosen as a preferred vendor for higher education and government clients. Through our contracts with colleges, universities and Greek letter organizations, we provide mental health so</w:t>
      </w:r>
      <w:r>
        <w:rPr>
          <w:sz w:val="20"/>
          <w:szCs w:val="20"/>
        </w:rPr>
        <w:t>lutions to students and student athletes across the United States. We additionally hold a number of employer benefits and EAP relationships with municipalities across the United States. As of December 31, 2021, we had approximately 69 million eligible live</w:t>
      </w:r>
      <w:r>
        <w:rPr>
          <w:sz w:val="20"/>
          <w:szCs w:val="20"/>
        </w:rPr>
        <w:t>s within our B2B channel</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sz w:val="20"/>
          <w:szCs w:val="20"/>
        </w:rPr>
        <w:t>Technology Platfor</w:t>
      </w:r>
      <w:r>
        <w:rPr>
          <w:b/>
          <w:bCs/>
          <w:sz w:val="20"/>
          <w:szCs w:val="20"/>
        </w:rPr>
        <w:t>m</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believe that virtual therapy offers an attractive opportunity to improve behavioral health through data science and machine learning. Through digital phenotyping and predictive modeling, the data imprint left by interactions on our platform opens a new</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8</w:t>
      </w:r>
    </w:p>
    <w:p w:rsidR="00000000" w:rsidRDefault="00AF2D19">
      <w:pPr>
        <w:rPr>
          <w:rFonts w:eastAsia="Times New Roman"/>
        </w:rPr>
      </w:pPr>
      <w:r>
        <w:rPr>
          <w:rFonts w:eastAsia="Times New Roman"/>
        </w:rPr>
        <w:pict>
          <v:rect id="_x0000_i1033"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quantitative viewpoint into the behavioral condition of our members. By securely leveraging our unique dataset to identify patterns, which is augmented by advanced, da</w:t>
      </w:r>
      <w:r>
        <w:rPr>
          <w:sz w:val="20"/>
          <w:szCs w:val="20"/>
        </w:rPr>
        <w:t>ta-driven tools to personalize care, we believe we are able to optimize clinical outcomes. We have designed our technology platform and information practices to achieve and maintain compliance with HIPAA and other legal requirements regarding the confident</w:t>
      </w:r>
      <w:r>
        <w:rPr>
          <w:sz w:val="20"/>
          <w:szCs w:val="20"/>
        </w:rPr>
        <w:t>iality of patient information. We maintain a written privacy and information security management program, led by designated subject matter experts, in order to (i) limit how we will use and disclose the protected health information of the members who utili</w:t>
      </w:r>
      <w:r>
        <w:rPr>
          <w:sz w:val="20"/>
          <w:szCs w:val="20"/>
        </w:rPr>
        <w:t>ze our technology platform or therapeutic services, (ii) implement reasonable administrative, physical, and technical safeguards to protect such information from misuse, and (iii) assist our customers with certain duties such as access to information under</w:t>
      </w:r>
      <w:r>
        <w:rPr>
          <w:sz w:val="20"/>
          <w:szCs w:val="20"/>
        </w:rPr>
        <w:t xml:space="preserve"> the privacy standards, among other program elements. We require our agents and subcontractors who have access to such information to enter into written agreements to meet the same standards for security and privacy. We obtain third-party examinations of o</w:t>
      </w:r>
      <w:r>
        <w:rPr>
          <w:sz w:val="20"/>
          <w:szCs w:val="20"/>
        </w:rPr>
        <w:t xml:space="preserve">ur controls relating to security and data privacy. Certain examinations are conducted under Statement on Standards for Attestation Engagements, or SSAE, No. 16 (Reporting on Controls at a Service Organization). In particular, we regularly obtain a Type II </w:t>
      </w:r>
      <w:r>
        <w:rPr>
          <w:sz w:val="20"/>
          <w:szCs w:val="20"/>
        </w:rPr>
        <w:t>Service Organization Control SOC 2 report (Reporting on Controls at a Service Organization relevant to security, availability and privacy), most recently in August 2021, which noted we had effective controls over our platform. We also retain outside consul</w:t>
      </w:r>
      <w:r>
        <w:rPr>
          <w:sz w:val="20"/>
          <w:szCs w:val="20"/>
        </w:rPr>
        <w:t>tants to regularly assess our compliance with the HIPAA Security Rule, including performing assessments of our risks and vulnerabilities</w:t>
      </w:r>
      <w:r>
        <w:rPr>
          <w:sz w:val="20"/>
          <w:szCs w:val="20"/>
        </w:rPr>
        <w:t>.</w:t>
      </w:r>
      <w:r>
        <w:rPr>
          <w:sz w:val="20"/>
          <w:szCs w:val="20"/>
        </w:rPr>
        <w:t xml:space="preserve"> </w:t>
      </w:r>
    </w:p>
    <w:p w:rsidR="00000000" w:rsidRDefault="00AF2D19">
      <w:pPr>
        <w:pStyle w:val="a3"/>
        <w:spacing w:before="120" w:beforeAutospacing="0" w:after="240" w:afterAutospacing="0"/>
        <w:jc w:val="both"/>
        <w:rPr>
          <w:sz w:val="20"/>
          <w:szCs w:val="20"/>
        </w:rPr>
      </w:pPr>
      <w:r>
        <w:rPr>
          <w:sz w:val="20"/>
          <w:szCs w:val="20"/>
        </w:rPr>
        <w:t>The following table depicts the technology-enabled process flow that supports our platform</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AF2D19">
      <w:pPr>
        <w:pStyle w:val="a3"/>
        <w:spacing w:before="120" w:beforeAutospacing="0" w:after="240" w:afterAutospacing="0"/>
        <w:jc w:val="both"/>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9</w:t>
      </w:r>
    </w:p>
    <w:p w:rsidR="00000000" w:rsidRDefault="00AF2D19">
      <w:pPr>
        <w:rPr>
          <w:rFonts w:eastAsia="Times New Roman"/>
        </w:rPr>
      </w:pPr>
      <w:r>
        <w:rPr>
          <w:rFonts w:eastAsia="Times New Roman"/>
        </w:rPr>
        <w:pict>
          <v:rect id="_x0000_i103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240" w:afterAutospacing="0"/>
        <w:jc w:val="both"/>
        <w:rPr>
          <w:sz w:val="20"/>
          <w:szCs w:val="20"/>
        </w:rPr>
      </w:pPr>
      <w:r>
        <w:rPr>
          <w:i/>
          <w:iCs/>
          <w:sz w:val="20"/>
          <w:szCs w:val="20"/>
        </w:rPr>
        <w:t>Matching algorith</w:t>
      </w:r>
      <w:r>
        <w:rPr>
          <w:i/>
          <w:iCs/>
          <w:sz w:val="20"/>
          <w:szCs w:val="20"/>
        </w:rPr>
        <w:t>m</w:t>
      </w:r>
      <w:r>
        <w:rPr>
          <w:sz w:val="20"/>
          <w:szCs w:val="20"/>
        </w:rPr>
        <w:t>: We utilize machine learning to predict a provider’s efficacy at onboarding. Our matching algorithm combines information from both structured and unstru</w:t>
      </w:r>
      <w:r>
        <w:rPr>
          <w:sz w:val="20"/>
          <w:szCs w:val="20"/>
        </w:rPr>
        <w:t>ctured sources to predict which therapists have the greatest chance of success with each patient. Our matching model concurrently gathers client and therapist data and screens the therapists’ population to match the patient’s characteristics, clinical need</w:t>
      </w:r>
      <w:r>
        <w:rPr>
          <w:sz w:val="20"/>
          <w:szCs w:val="20"/>
        </w:rPr>
        <w:t>s and preferences. Our machine learning technology also enables us to track the frequency and quality of clinical interactions, allowing us to provide a better therapist match should the patient request a new clinician</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both"/>
        <w:rPr>
          <w:sz w:val="20"/>
          <w:szCs w:val="20"/>
        </w:rPr>
      </w:pPr>
      <w:r>
        <w:rPr>
          <w:i/>
          <w:iCs/>
          <w:sz w:val="20"/>
          <w:szCs w:val="20"/>
        </w:rPr>
        <w:t>Robust data ecosyste</w:t>
      </w:r>
      <w:r>
        <w:rPr>
          <w:i/>
          <w:iCs/>
          <w:sz w:val="20"/>
          <w:szCs w:val="20"/>
        </w:rPr>
        <w:t>m</w:t>
      </w:r>
      <w:r>
        <w:rPr>
          <w:sz w:val="20"/>
          <w:szCs w:val="20"/>
        </w:rPr>
        <w:t xml:space="preserve">: We have a closed-loop data ecosystem providing a multi-dimensional view of the individuals who seek treatment on our platform. This data provides a holistic picture of </w:t>
      </w:r>
      <w:r>
        <w:rPr>
          <w:sz w:val="20"/>
          <w:szCs w:val="20"/>
        </w:rPr>
        <w:t>each user – the problems they manifest, diagnoses, treatment plans, medical history, personal history, and clinical outcomes. Our data contain over 5 billion words sent by millions of users over 100 million anonymized messages. We have over 1 millio</w:t>
      </w:r>
      <w:r>
        <w:rPr>
          <w:sz w:val="20"/>
          <w:szCs w:val="20"/>
        </w:rPr>
        <w:t>n</w:t>
      </w:r>
      <w:r>
        <w:rPr>
          <w:sz w:val="20"/>
          <w:szCs w:val="20"/>
        </w:rPr>
        <w:t xml:space="preserve"> </w:t>
      </w:r>
      <w:r>
        <w:rPr>
          <w:sz w:val="20"/>
          <w:szCs w:val="20"/>
        </w:rPr>
        <w:t>compl</w:t>
      </w:r>
      <w:r>
        <w:rPr>
          <w:sz w:val="20"/>
          <w:szCs w:val="20"/>
        </w:rPr>
        <w:t>eted psychological assessments. Our data contain information about members collected by therapists, including over 500,000 diagnoses and 800,000 progress and psychotherapy notes. Our data also contains information about therapists reported by members, incl</w:t>
      </w:r>
      <w:r>
        <w:rPr>
          <w:sz w:val="20"/>
          <w:szCs w:val="20"/>
        </w:rPr>
        <w:t>uding over 800,000 therapist ratings. We believe the size and depth of our clinical data is vast relative to the industry and is a differentiating element of our digitally-native modality</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i/>
          <w:iCs/>
          <w:sz w:val="20"/>
          <w:szCs w:val="20"/>
        </w:rPr>
        <w:t>Empowering providers to deliver enhanced car</w:t>
      </w:r>
      <w:r>
        <w:rPr>
          <w:i/>
          <w:iCs/>
          <w:sz w:val="20"/>
          <w:szCs w:val="20"/>
        </w:rPr>
        <w:t>e</w:t>
      </w:r>
      <w:r>
        <w:rPr>
          <w:sz w:val="20"/>
          <w:szCs w:val="20"/>
        </w:rPr>
        <w:t>: Our providers are e</w:t>
      </w:r>
      <w:r>
        <w:rPr>
          <w:sz w:val="20"/>
          <w:szCs w:val="20"/>
        </w:rPr>
        <w:t>quipped with tools that allow them to optimize time utilization and improve clinical efficacy. One of the leading challenges in behavioral healthcare is a patient’s premature termination of engagement with the provider and, thus, a core focus of our machin</w:t>
      </w:r>
      <w:r>
        <w:rPr>
          <w:sz w:val="20"/>
          <w:szCs w:val="20"/>
        </w:rPr>
        <w:t xml:space="preserve">e learning strategy is to drive member engagement and increase care continuity, helping members to continue treatment long enough to reap its benefits. In order to extend the lifetime duration of our member base, we provide our providers insights on their </w:t>
      </w:r>
      <w:r>
        <w:rPr>
          <w:sz w:val="20"/>
          <w:szCs w:val="20"/>
        </w:rPr>
        <w:t>patients’ needs and behaviors and offer techniques and suggestions that we believe are likely to maximize their patients’ satisfaction and engagement. These insights, delivered through our fully-integrated artificial intelligence platform, help providers t</w:t>
      </w:r>
      <w:r>
        <w:rPr>
          <w:sz w:val="20"/>
          <w:szCs w:val="20"/>
        </w:rPr>
        <w:t>o deliver effective treatments to their patients, and raise members’ awareness when tracking their own clinical progress</w:t>
      </w:r>
      <w:r>
        <w:rPr>
          <w:sz w:val="20"/>
          <w:szCs w:val="20"/>
        </w:rPr>
        <w:t>.</w:t>
      </w:r>
    </w:p>
    <w:p w:rsidR="00000000" w:rsidRDefault="00AF2D19">
      <w:pPr>
        <w:pStyle w:val="a3"/>
        <w:spacing w:before="120" w:beforeAutospacing="0" w:after="0" w:afterAutospacing="0"/>
        <w:jc w:val="both"/>
        <w:rPr>
          <w:sz w:val="20"/>
          <w:szCs w:val="20"/>
        </w:rPr>
      </w:pPr>
      <w:r>
        <w:rPr>
          <w:i/>
          <w:iCs/>
          <w:sz w:val="20"/>
          <w:szCs w:val="20"/>
        </w:rPr>
        <w:t>Performance tracking and feedbac</w:t>
      </w:r>
      <w:r>
        <w:rPr>
          <w:i/>
          <w:iCs/>
          <w:sz w:val="20"/>
          <w:szCs w:val="20"/>
        </w:rPr>
        <w:t>k</w:t>
      </w:r>
      <w:r>
        <w:rPr>
          <w:sz w:val="20"/>
          <w:szCs w:val="20"/>
        </w:rPr>
        <w:t>: Our “Intro and Expectations” system detects whether providers have followed best practices in the c</w:t>
      </w:r>
      <w:r>
        <w:rPr>
          <w:sz w:val="20"/>
          <w:szCs w:val="20"/>
        </w:rPr>
        <w:t>rucial introductory phase of the therapy relationship and reminds them to do so if they have not. Our “Crisis Risk system” monitors all incoming members’ messages for linguistic features associated with potential danger or self-harm and draws providers’ at</w:t>
      </w:r>
      <w:r>
        <w:rPr>
          <w:sz w:val="20"/>
          <w:szCs w:val="20"/>
        </w:rPr>
        <w:t xml:space="preserve">tention to these cases. Our “Session Highlights system” provides a weekly digest of patient messages and helps therapists draft notes on clinical progress. Our “Patient Engagement Monitor system” processes each new message sent on the platform and updates </w:t>
      </w:r>
      <w:r>
        <w:rPr>
          <w:sz w:val="20"/>
          <w:szCs w:val="20"/>
        </w:rPr>
        <w:t>the projected probability of patient engagement based on previous behavior and the content of each message</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sz w:val="20"/>
          <w:szCs w:val="20"/>
        </w:rPr>
        <w:t>Competitio</w:t>
      </w:r>
      <w:r>
        <w:rPr>
          <w:b/>
          <w:bCs/>
          <w:sz w:val="20"/>
          <w:szCs w:val="20"/>
        </w:rPr>
        <w:t>n</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view as competitors those companies whose primary business is developing and marketing telehealth and virtual behavioral health pla</w:t>
      </w:r>
      <w:r>
        <w:rPr>
          <w:sz w:val="20"/>
          <w:szCs w:val="20"/>
        </w:rPr>
        <w:t>tforms and services. Competition focuses on, among other factors, technology, breadth and depth of functionality, range of associated services, operational experience, customer support, extent of client and member bases, and reputation. Our ke</w:t>
      </w:r>
      <w:r>
        <w:rPr>
          <w:sz w:val="20"/>
          <w:szCs w:val="20"/>
        </w:rPr>
        <w:t>y</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w:t>
      </w:r>
      <w:r>
        <w:rPr>
          <w:sz w:val="20"/>
          <w:szCs w:val="20"/>
        </w:rPr>
        <w:t>0</w:t>
      </w:r>
    </w:p>
    <w:p w:rsidR="00000000" w:rsidRDefault="00AF2D19">
      <w:pPr>
        <w:rPr>
          <w:rFonts w:eastAsia="Times New Roman"/>
        </w:rPr>
      </w:pPr>
      <w:r>
        <w:rPr>
          <w:rFonts w:eastAsia="Times New Roman"/>
        </w:rPr>
        <w:pict>
          <v:rect id="_x0000_i1037"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competitors in the telehealth and teletherapy markets are American Well Corporation, Teladoc, Included Health, MDLive, BetterHelp, Lyra Health and Headspace, among other s</w:t>
      </w:r>
      <w:r>
        <w:rPr>
          <w:sz w:val="20"/>
          <w:szCs w:val="20"/>
        </w:rPr>
        <w:t>mall industry participants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large, well-financed health systems and health plans have in some cases developed their own virtual behavioral health tools and may provide these solutions to their consumer at discounted prices. Competition may al</w:t>
      </w:r>
      <w:r>
        <w:rPr>
          <w:sz w:val="20"/>
          <w:szCs w:val="20"/>
        </w:rPr>
        <w:t xml:space="preserve">so increase from large technology companies, such as Apple, Amazon, Meta, Verizon, or Microsoft, who may wish to develop their own virtual behavioral health solutions, as well as from large retailers like Amazon or Walmart. With the emergence of COVID-19, </w:t>
      </w:r>
      <w:r>
        <w:rPr>
          <w:sz w:val="20"/>
          <w:szCs w:val="20"/>
        </w:rPr>
        <w:t>and in particular the relaxation of privacy and security requirements under the Health Insurance Portability and Accountability Act of 1996 (“HIPAA”), we have also seen increased competition from consumer-grade video solutions, such as Zoom Video and Twili</w:t>
      </w:r>
      <w:r>
        <w:rPr>
          <w:sz w:val="20"/>
          <w:szCs w:val="20"/>
        </w:rPr>
        <w:t>o. We believe that the breadth of our existing client and member bases, the depth of our technology platform, and our business-to-business focus on promoting existing healthcare brands and integrating freely with multiple platforms increases the likelihood</w:t>
      </w:r>
      <w:r>
        <w:rPr>
          <w:sz w:val="20"/>
          <w:szCs w:val="20"/>
        </w:rPr>
        <w:t xml:space="preserve"> that stakeholders seeking to develop virtual behavioral healthcare solutions will choose instead to collaborate with Talkspace</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sz w:val="20"/>
          <w:szCs w:val="20"/>
        </w:rPr>
        <w:t>Therapists, Physicians and Healthcare Professional</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are completing the transition of our structure with respect to our rel</w:t>
      </w:r>
      <w:r>
        <w:rPr>
          <w:sz w:val="20"/>
          <w:szCs w:val="20"/>
        </w:rPr>
        <w:t>ationships with healthcare providers, transitioning to a structure where Talkspace LLC and Talkspace Network LLC have entered into various agreements with a Texas professional association entity, TPN, which in turn is contracting with our affiliated profes</w:t>
      </w:r>
      <w:r>
        <w:rPr>
          <w:sz w:val="20"/>
          <w:szCs w:val="20"/>
        </w:rPr>
        <w:t xml:space="preserve">sional entities and physicians, therapists, and other licensed professionals for clinical and professional services provided to our members. We expect to conclude the transition by the third quarter of 2022, understanding that tax and accounting functions </w:t>
      </w:r>
      <w:r>
        <w:rPr>
          <w:sz w:val="20"/>
          <w:szCs w:val="20"/>
        </w:rPr>
        <w:t>will continue to update for the rest of the fiscal year</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This transition is in response to our expansion of service offerings to include telepsychiatry services provided through licensed physicians. Our business initially began with arranging the delivery</w:t>
      </w:r>
      <w:r>
        <w:rPr>
          <w:sz w:val="20"/>
          <w:szCs w:val="20"/>
        </w:rPr>
        <w:t xml:space="preserve"> of virtual counseling and psychotherapy services, which are predominantly provided by non-physician professionals. Currently, all telepsychiatry services are being provided through independent contractor arrangements with our network licensed physicians w</w:t>
      </w:r>
      <w:r>
        <w:rPr>
          <w:sz w:val="20"/>
          <w:szCs w:val="20"/>
        </w:rPr>
        <w:t>ho maintain exclusive control and responsibility over all medical aspects of the services provided to our members during the period prior to the completion of the transition. Although we believe we were operating in compliance with applicable regulatory la</w:t>
      </w:r>
      <w:r>
        <w:rPr>
          <w:sz w:val="20"/>
          <w:szCs w:val="20"/>
        </w:rPr>
        <w:t>ws, including laws that prohibit business entities, such as us, from providing professional services, employing certain healthcare professionals and exercising control over professional judgment (such activities generally referred to as the “corporate prac</w:t>
      </w:r>
      <w:r>
        <w:rPr>
          <w:sz w:val="20"/>
          <w:szCs w:val="20"/>
        </w:rPr>
        <w:t>tice of medicine”), with the addition of telepsychiatry as a service offering, we decided to transition our provider network structure to a model that was well-understood and common in jurisdictions that prohibit the corporate practice of medicine. We beli</w:t>
      </w:r>
      <w:r>
        <w:rPr>
          <w:sz w:val="20"/>
          <w:szCs w:val="20"/>
        </w:rPr>
        <w:t>eve the transition to a structure where we would enter into various management services agreements (“MSA”) with TPN, or an entity authorized by state law to contract with our affiliated professionals to delivery teletherapy services to our members, will be</w:t>
      </w:r>
      <w:r>
        <w:rPr>
          <w:sz w:val="20"/>
          <w:szCs w:val="20"/>
        </w:rPr>
        <w:t>tter ensure we will be able to comply with additional regulatory requirements, including the corporate practice of medicine and fee-splitting laws, that are necessarily implicated by engaging in telehealth care that can only be delivered by physicians. Not</w:t>
      </w:r>
      <w:r>
        <w:rPr>
          <w:sz w:val="20"/>
          <w:szCs w:val="20"/>
        </w:rPr>
        <w:t>ably, because certain activities other than those directly related to the delivery of healthcare may be considered an element of the practice of medicine in certain states, we believe we have structured the MSA in each state so as to not violate any of the</w:t>
      </w:r>
      <w:r>
        <w:rPr>
          <w:sz w:val="20"/>
          <w:szCs w:val="20"/>
        </w:rPr>
        <w:t>se unique restrictions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will have the power to direct the activities of TPN and the other authorized entities in each state that will most significantly impact TPN’s and such other authorized entities’ economic performance as well as have the obligatio</w:t>
      </w:r>
      <w:r>
        <w:rPr>
          <w:sz w:val="20"/>
          <w:szCs w:val="20"/>
        </w:rPr>
        <w:t xml:space="preserve">n to absorb significant losses and receive the benefits of TPN and the authorized entities. TPN is wholly owned by an independent Texas-licensed physician. Due to the prevalence of the corporate practice of medicine doctrine, including in the states where </w:t>
      </w:r>
      <w:r>
        <w:rPr>
          <w:sz w:val="20"/>
          <w:szCs w:val="20"/>
        </w:rPr>
        <w:t>we predominantly conduct our business, we are finalizing certain agreements with TPN, including the MSA under which we will provide exclusive administrative, management and other business support services to TPN in exchange for a management fee. The non-me</w:t>
      </w:r>
      <w:r>
        <w:rPr>
          <w:sz w:val="20"/>
          <w:szCs w:val="20"/>
        </w:rPr>
        <w:t>dical functions and services we will provide under the MSA include billing, scheduling and other non-clinical services and staffing, the maintenance of medical, billing and accounting records, legal, human resources and the administration of quality assura</w:t>
      </w:r>
      <w:r>
        <w:rPr>
          <w:sz w:val="20"/>
          <w:szCs w:val="20"/>
        </w:rPr>
        <w:t xml:space="preserve">nce, and administration of a risk management program on behalf of TPN, as well as a license to use Talkspace technology and branding. TPN reserves exclusive control and responsibility for all aspects of the practice of medicine and the delivery of medical </w:t>
      </w:r>
      <w:r>
        <w:rPr>
          <w:sz w:val="20"/>
          <w:szCs w:val="20"/>
        </w:rPr>
        <w:t>services. TPN will also directly employ or contract other professional entities, physicians, therapists and other licensed professionals who will provide clinical and professional services to our members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These affiliated providers will also retain exclus</w:t>
      </w:r>
      <w:r>
        <w:rPr>
          <w:sz w:val="20"/>
          <w:szCs w:val="20"/>
        </w:rPr>
        <w:t>ive control and responsibility for all aspects of medical services provided to our members. Additionally, TPN is required to maintain medical malpractice insurance for covered providers as well as appropriate general liability, directors and officers, work</w:t>
      </w:r>
      <w:r>
        <w:rPr>
          <w:sz w:val="20"/>
          <w:szCs w:val="20"/>
        </w:rPr>
        <w:t>ers compensation and employment practices insurance. The MSA will have a long multi-year term unless earlier terminated upon mutual agreement of the parties or unilaterally by a party following a material default under the MSA by the non-terminating party</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w:t>
      </w:r>
      <w:r>
        <w:rPr>
          <w:sz w:val="20"/>
          <w:szCs w:val="20"/>
        </w:rPr>
        <w:t>1</w:t>
      </w:r>
    </w:p>
    <w:p w:rsidR="00000000" w:rsidRDefault="00AF2D19">
      <w:pPr>
        <w:rPr>
          <w:rFonts w:eastAsia="Times New Roman"/>
        </w:rPr>
      </w:pPr>
      <w:r>
        <w:rPr>
          <w:rFonts w:eastAsia="Times New Roman"/>
        </w:rPr>
        <w:pict>
          <v:rect id="_x0000_i1038"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We intend to sign MSAs with other TPN affiliated entities to provide similar administrative and management services for a management fee consistent with applicable corporate practice of medicine, fee-splitting and foreign entity requirements in each state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are also in the process of finalizing a stock transfer restriction agreement between TPN and its current owner, which outlines the conditions under which we can ensure a transfer of the ownership of TPN to a different licensed provider</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Once the tran</w:t>
      </w:r>
      <w:r>
        <w:rPr>
          <w:sz w:val="20"/>
          <w:szCs w:val="20"/>
        </w:rPr>
        <w:t>sition with TPN is complete, TPN and its affiliated professional entities will collect revenue from (i) patients directly, (ii) patient’s health plans or (iii) enterprise clients for each consultation performed on Talkspace telehealth and teletherapy platf</w:t>
      </w:r>
      <w:r>
        <w:rPr>
          <w:sz w:val="20"/>
          <w:szCs w:val="20"/>
        </w:rPr>
        <w:t>orms by its employed or contracted physicians, therapists and other licensed professionals. TPN in turn will pay the providers a per consult fee, or via an hourly or annual rate</w:t>
      </w:r>
      <w:r>
        <w:rPr>
          <w:sz w:val="20"/>
          <w:szCs w:val="20"/>
        </w:rPr>
        <w:t>.</w:t>
      </w:r>
    </w:p>
    <w:p w:rsidR="00000000" w:rsidRDefault="00AF2D19">
      <w:pPr>
        <w:pStyle w:val="a3"/>
        <w:spacing w:before="120" w:beforeAutospacing="0" w:after="0" w:afterAutospacing="0"/>
        <w:jc w:val="both"/>
        <w:rPr>
          <w:sz w:val="20"/>
          <w:szCs w:val="20"/>
        </w:rPr>
      </w:pPr>
      <w:r>
        <w:rPr>
          <w:sz w:val="20"/>
          <w:szCs w:val="20"/>
        </w:rPr>
        <w:t>Although the contracting party under our current agreements with clients, mem</w:t>
      </w:r>
      <w:r>
        <w:rPr>
          <w:sz w:val="20"/>
          <w:szCs w:val="20"/>
        </w:rPr>
        <w:t>bers, providers and other business partners may change from Talkspace to TPN or an affiliated professional entity as a result of this transition, we do not anticipate that this transition will have a material financial impact on our operations. Through the</w:t>
      </w:r>
      <w:r>
        <w:rPr>
          <w:sz w:val="20"/>
          <w:szCs w:val="20"/>
        </w:rPr>
        <w:t xml:space="preserve"> mechanics set out in the MSAs and the management fee for administrative and management services set forth in our agreements with TPN, we do not expect there will be a material change in the overall economics of the business relationships we previously hel</w:t>
      </w:r>
      <w:r>
        <w:rPr>
          <w:sz w:val="20"/>
          <w:szCs w:val="20"/>
        </w:rPr>
        <w:t>d with our clients, members, providers and other business partners. However, if there are regulatory challenges to our arrangements with TPN, we may have to restructure arrangements or enter into new agreements with other professional entities, which could</w:t>
      </w:r>
      <w:r>
        <w:rPr>
          <w:sz w:val="20"/>
          <w:szCs w:val="20"/>
        </w:rPr>
        <w:t xml:space="preserve"> result in changes to the economic relationships</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sz w:val="20"/>
          <w:szCs w:val="20"/>
        </w:rPr>
        <w:t>Human Capital Resource</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Talkspace provides individuals and licensed therapists, psychologists and psychiatrists with an online platform for one-on-one therapy delivered via messaging, audio and video. The</w:t>
      </w:r>
      <w:r>
        <w:rPr>
          <w:sz w:val="20"/>
          <w:szCs w:val="20"/>
        </w:rPr>
        <w:t xml:space="preserve"> Company’s workforce is critical to the creation and delivery of its services and the success of the company. Our ability to attract, develop and retain talented employees with the skills and capabilities needed by its business is a key component of our lo</w:t>
      </w:r>
      <w:r>
        <w:rPr>
          <w:sz w:val="20"/>
          <w:szCs w:val="20"/>
        </w:rPr>
        <w:t>ng-term growth and our mission of providing more people with convenient access to quality, affordable behavioral healthcare</w:t>
      </w:r>
      <w:r>
        <w:rPr>
          <w:sz w:val="20"/>
          <w:szCs w:val="20"/>
        </w:rPr>
        <w:t>.</w:t>
      </w:r>
    </w:p>
    <w:p w:rsidR="00000000" w:rsidRDefault="00AF2D19">
      <w:pPr>
        <w:pStyle w:val="a3"/>
        <w:spacing w:before="120" w:beforeAutospacing="0" w:after="0" w:afterAutospacing="0"/>
        <w:jc w:val="both"/>
        <w:rPr>
          <w:sz w:val="20"/>
          <w:szCs w:val="20"/>
        </w:rPr>
      </w:pPr>
      <w:r>
        <w:rPr>
          <w:sz w:val="20"/>
          <w:szCs w:val="20"/>
        </w:rPr>
        <w:t xml:space="preserve">As of December, 2021, we had 496 employees, of whom 480 were located in the U.S. and 16 were located abroad. None of our employees </w:t>
      </w:r>
      <w:r>
        <w:rPr>
          <w:sz w:val="20"/>
          <w:szCs w:val="20"/>
        </w:rPr>
        <w:t>are represented by a labor union or party to a collective bargaining agreement. We have never experienced any work stoppages or strikes as a result of labor disputes. During the COVID-19 pandemic, the Company transitioned over 95% of its employees to remot</w:t>
      </w:r>
      <w:r>
        <w:rPr>
          <w:sz w:val="20"/>
          <w:szCs w:val="20"/>
        </w:rPr>
        <w:t>e working while implementing additional safety measures for employees continuing on-site work</w:t>
      </w:r>
      <w:r>
        <w:rPr>
          <w:sz w:val="20"/>
          <w:szCs w:val="20"/>
        </w:rPr>
        <w:t>.</w:t>
      </w:r>
    </w:p>
    <w:p w:rsidR="00000000" w:rsidRDefault="00AF2D19">
      <w:pPr>
        <w:pStyle w:val="a3"/>
        <w:spacing w:before="120" w:beforeAutospacing="0" w:after="0" w:afterAutospacing="0"/>
        <w:jc w:val="both"/>
        <w:rPr>
          <w:sz w:val="20"/>
          <w:szCs w:val="20"/>
        </w:rPr>
      </w:pPr>
      <w:r>
        <w:rPr>
          <w:sz w:val="20"/>
          <w:szCs w:val="20"/>
        </w:rPr>
        <w:t>The capabilities of the Company’s workforce have continued to evolve along with the Company’s business and strategy. During the COVID-19 pandemic, the pace of th</w:t>
      </w:r>
      <w:r>
        <w:rPr>
          <w:sz w:val="20"/>
          <w:szCs w:val="20"/>
        </w:rPr>
        <w:t>is evolution increased, as changing consumer behavior accelerated the shift towards digital products and services. As the company has grown, we have also created new internal processes and systems, which the Company expects to increase collaboration across</w:t>
      </w:r>
      <w:r>
        <w:rPr>
          <w:sz w:val="20"/>
          <w:szCs w:val="20"/>
        </w:rPr>
        <w:t xml:space="preserve"> its employees and optimize the productivity and efficiency of its workforc</w:t>
      </w:r>
      <w:r>
        <w:rPr>
          <w:sz w:val="20"/>
          <w:szCs w:val="20"/>
        </w:rPr>
        <w:t>e</w:t>
      </w:r>
    </w:p>
    <w:p w:rsidR="00000000" w:rsidRDefault="00AF2D19">
      <w:pPr>
        <w:pStyle w:val="a3"/>
        <w:spacing w:before="240" w:beforeAutospacing="0" w:after="0" w:afterAutospacing="0"/>
        <w:rPr>
          <w:sz w:val="20"/>
          <w:szCs w:val="20"/>
        </w:rPr>
      </w:pPr>
      <w:r>
        <w:rPr>
          <w:b/>
          <w:bCs/>
          <w:i/>
          <w:iCs/>
          <w:sz w:val="20"/>
          <w:szCs w:val="20"/>
        </w:rPr>
        <w:t>Culture and Value</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We are committed to maintaining a respectful, secure and supportive workplace culture with open communication and accessible, safe channels for feedback. In add</w:t>
      </w:r>
      <w:r>
        <w:rPr>
          <w:sz w:val="20"/>
          <w:szCs w:val="20"/>
        </w:rPr>
        <w:t>ition, all employees are required to complete training and affirm compliance with the Talkspace Code of Business Conduct and Ethics (the “Code”), which confirms the Company’s policy to conduct its affairs in compliance with all applicable laws and regulati</w:t>
      </w:r>
      <w:r>
        <w:rPr>
          <w:sz w:val="20"/>
          <w:szCs w:val="20"/>
        </w:rPr>
        <w:t>ons and observe the highest standards of business ethics. The Code is reviewed regularly by the Audit Committee and approved by the Board of Directors, and is complemented by other policies and training. Any violations of our Code are encouraged to be imme</w:t>
      </w:r>
      <w:r>
        <w:rPr>
          <w:sz w:val="20"/>
          <w:szCs w:val="20"/>
        </w:rPr>
        <w:t>diately reported and are kept anonymously</w:t>
      </w:r>
      <w:r>
        <w:rPr>
          <w:sz w:val="20"/>
          <w:szCs w:val="20"/>
        </w:rPr>
        <w:t>.</w:t>
      </w:r>
    </w:p>
    <w:p w:rsidR="00000000" w:rsidRDefault="00AF2D19">
      <w:pPr>
        <w:pStyle w:val="a3"/>
        <w:spacing w:before="240" w:beforeAutospacing="0" w:after="0" w:afterAutospacing="0"/>
        <w:rPr>
          <w:sz w:val="20"/>
          <w:szCs w:val="20"/>
        </w:rPr>
      </w:pPr>
      <w:r>
        <w:rPr>
          <w:b/>
          <w:bCs/>
          <w:i/>
          <w:iCs/>
          <w:sz w:val="20"/>
          <w:szCs w:val="20"/>
        </w:rPr>
        <w:t>Diversity and Inclusio</w:t>
      </w:r>
      <w:r>
        <w:rPr>
          <w:b/>
          <w:bCs/>
          <w:i/>
          <w:iCs/>
          <w:sz w:val="20"/>
          <w:szCs w:val="20"/>
        </w:rPr>
        <w:t>n</w:t>
      </w:r>
    </w:p>
    <w:p w:rsidR="00000000" w:rsidRDefault="00AF2D19">
      <w:pPr>
        <w:pStyle w:val="a3"/>
        <w:spacing w:before="120" w:beforeAutospacing="0" w:after="0" w:afterAutospacing="0"/>
        <w:jc w:val="both"/>
        <w:rPr>
          <w:sz w:val="20"/>
          <w:szCs w:val="20"/>
        </w:rPr>
      </w:pPr>
      <w:r>
        <w:rPr>
          <w:sz w:val="20"/>
          <w:szCs w:val="20"/>
        </w:rPr>
        <w:t>Talkspace is committed to creating and maintaining a workplace in which all employees have an opportunity to participate and contribute to the success of the business. Talkspace provides equal employment opportunities to all employees and applicants for em</w:t>
      </w:r>
      <w:r>
        <w:rPr>
          <w:sz w:val="20"/>
          <w:szCs w:val="20"/>
        </w:rPr>
        <w:t>ployment without regard to race, color, ancestry, national origin, gender, sexual orientation, marital status, religion, age, disability, gender identity, results of genetic testing, or service in the military. Equal employment opportunity applies to all t</w:t>
      </w:r>
      <w:r>
        <w:rPr>
          <w:sz w:val="20"/>
          <w:szCs w:val="20"/>
        </w:rPr>
        <w:t>erms and conditions of employment, including hiring, placement, promotion, separation, transfers, compensation, and training. The Company is committed to cultivating diversity and broadening opportunities for inclusion across its business through its recru</w:t>
      </w:r>
      <w:r>
        <w:rPr>
          <w:sz w:val="20"/>
          <w:szCs w:val="20"/>
        </w:rPr>
        <w:t>itment practices, employee development and mentoring and inclusivity programs</w:t>
      </w:r>
      <w:r>
        <w:rPr>
          <w:sz w:val="20"/>
          <w:szCs w:val="20"/>
        </w:rPr>
        <w:t>.</w:t>
      </w:r>
      <w:r>
        <w:rPr>
          <w:sz w:val="20"/>
          <w:szCs w:val="20"/>
        </w:rPr>
        <w:t xml:space="preserve">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w:t>
      </w:r>
      <w:r>
        <w:rPr>
          <w:sz w:val="20"/>
          <w:szCs w:val="20"/>
        </w:rPr>
        <w:t>2</w:t>
      </w:r>
    </w:p>
    <w:p w:rsidR="00000000" w:rsidRDefault="00AF2D19">
      <w:pPr>
        <w:rPr>
          <w:rFonts w:eastAsia="Times New Roman"/>
        </w:rPr>
      </w:pPr>
      <w:r>
        <w:rPr>
          <w:rFonts w:eastAsia="Times New Roman"/>
        </w:rPr>
        <w:pict>
          <v:rect id="_x0000_i1039"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rPr>
          <w:sz w:val="20"/>
          <w:szCs w:val="20"/>
        </w:rPr>
      </w:pPr>
      <w:r>
        <w:rPr>
          <w:b/>
          <w:bCs/>
          <w:i/>
          <w:iCs/>
          <w:sz w:val="20"/>
          <w:szCs w:val="20"/>
        </w:rPr>
        <w:t>Compensation and Benefit</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The Company is committed to hiring the most qualified candi</w:t>
      </w:r>
      <w:r>
        <w:rPr>
          <w:sz w:val="20"/>
          <w:szCs w:val="20"/>
        </w:rPr>
        <w:t>dates to fill open positions. Whenever appropriate and possible, open positions are filled with internal candidates to help team members in their career development and enrich a culture of growth. Compensation and benefits programs are focused on attractin</w:t>
      </w:r>
      <w:r>
        <w:rPr>
          <w:sz w:val="20"/>
          <w:szCs w:val="20"/>
        </w:rPr>
        <w:t>g, retaining and motivating the top talent necessary to achieve the Company’s mission in ways that reflect its diverse workforce’s needs and priorities. In addition to competitive salaries, the Company and its businesses have established short and long-ter</w:t>
      </w:r>
      <w:r>
        <w:rPr>
          <w:sz w:val="20"/>
          <w:szCs w:val="20"/>
        </w:rPr>
        <w:t>m incentive programs including stock-based compensation awards and cash-based performance bonus awards, which are designed to motivate and reward performance against key business objectives and facilitate retention. Performance bonus allocations are provid</w:t>
      </w:r>
      <w:r>
        <w:rPr>
          <w:sz w:val="20"/>
          <w:szCs w:val="20"/>
        </w:rPr>
        <w:t>ed based on the organization meeting its financial goals, the employee achieving goals set by their supervisor, and per the employment agreements and/or any other written agreement. In addition, the Company provides a range of retirement benefits and other</w:t>
      </w:r>
      <w:r>
        <w:rPr>
          <w:sz w:val="20"/>
          <w:szCs w:val="20"/>
        </w:rPr>
        <w:t xml:space="preserve"> comprehensive benefit options to meet the needs of its employees, including healthcare benefits, tax advantaged savings vehicles, life and disability insurance, paid time off, flexible working arrangements, generous parental leave policies and access to w</w:t>
      </w:r>
      <w:r>
        <w:rPr>
          <w:sz w:val="20"/>
          <w:szCs w:val="20"/>
        </w:rPr>
        <w:t>ellness programs</w:t>
      </w:r>
      <w:r>
        <w:rPr>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i/>
          <w:iCs/>
          <w:sz w:val="20"/>
          <w:szCs w:val="20"/>
        </w:rPr>
        <w:t>Training and Developmen</w:t>
      </w:r>
      <w:r>
        <w:rPr>
          <w:b/>
          <w:bCs/>
          <w:i/>
          <w:iCs/>
          <w:sz w:val="20"/>
          <w:szCs w:val="20"/>
        </w:rPr>
        <w:t>t</w:t>
      </w:r>
    </w:p>
    <w:p w:rsidR="00000000" w:rsidRDefault="00AF2D19">
      <w:pPr>
        <w:pStyle w:val="a3"/>
        <w:spacing w:before="120" w:beforeAutospacing="0" w:after="0" w:afterAutospacing="0"/>
        <w:jc w:val="both"/>
        <w:rPr>
          <w:sz w:val="20"/>
          <w:szCs w:val="20"/>
        </w:rPr>
      </w:pPr>
      <w:r>
        <w:rPr>
          <w:sz w:val="20"/>
          <w:szCs w:val="20"/>
        </w:rPr>
        <w:t>Our growth mindset culture begins with valuing learning over knowing – seeking out new ideas, driving innovation, embracing challenges, learning from failure, and improving over time. The Company strives to prov</w:t>
      </w:r>
      <w:r>
        <w:rPr>
          <w:sz w:val="20"/>
          <w:szCs w:val="20"/>
        </w:rPr>
        <w:t xml:space="preserve">ide mentorship and career development to existing employees to help everyone on the team reach their full potential and employees are encouraged to reach out to their supervisors, if further development training is needed. Whenever possible, the Company’s </w:t>
      </w:r>
      <w:r>
        <w:rPr>
          <w:sz w:val="20"/>
          <w:szCs w:val="20"/>
        </w:rPr>
        <w:t>policy is to promote current employees rather than hiring external people. When position vacancies occur, the supervisor or manager will determine whether there are eligible candidates within the Company</w:t>
      </w:r>
      <w:r>
        <w:rPr>
          <w:sz w:val="20"/>
          <w:szCs w:val="20"/>
        </w:rPr>
        <w:t>.</w:t>
      </w:r>
    </w:p>
    <w:p w:rsidR="00000000" w:rsidRDefault="00AF2D19">
      <w:pPr>
        <w:pStyle w:val="a3"/>
        <w:spacing w:before="240" w:beforeAutospacing="0" w:after="0" w:afterAutospacing="0"/>
        <w:rPr>
          <w:sz w:val="20"/>
          <w:szCs w:val="20"/>
        </w:rPr>
      </w:pPr>
      <w:r>
        <w:rPr>
          <w:b/>
          <w:bCs/>
          <w:sz w:val="20"/>
          <w:szCs w:val="20"/>
        </w:rPr>
        <w:t>U.S. Government Regulatio</w:t>
      </w:r>
      <w:r>
        <w:rPr>
          <w:b/>
          <w:bCs/>
          <w:sz w:val="20"/>
          <w:szCs w:val="20"/>
        </w:rPr>
        <w:t>n</w:t>
      </w:r>
    </w:p>
    <w:p w:rsidR="00000000" w:rsidRDefault="00AF2D19">
      <w:pPr>
        <w:pStyle w:val="a3"/>
        <w:spacing w:before="120" w:beforeAutospacing="0" w:after="0" w:afterAutospacing="0"/>
        <w:jc w:val="both"/>
        <w:rPr>
          <w:sz w:val="20"/>
          <w:szCs w:val="20"/>
        </w:rPr>
      </w:pPr>
      <w:r>
        <w:rPr>
          <w:sz w:val="20"/>
          <w:szCs w:val="20"/>
        </w:rPr>
        <w:t>Our operations are subje</w:t>
      </w:r>
      <w:r>
        <w:rPr>
          <w:sz w:val="20"/>
          <w:szCs w:val="20"/>
        </w:rPr>
        <w:t xml:space="preserve">ct to comprehensive United States federal, state and local and international regulation in the jurisdictions in which we do business. Our ability to operate profitably will depend in part upon our ability, and that of our affiliated providers, to maintain </w:t>
      </w:r>
      <w:r>
        <w:rPr>
          <w:sz w:val="20"/>
          <w:szCs w:val="20"/>
        </w:rPr>
        <w:t>all necessary licenses and to operate in compliance with applicable laws and rules. Those laws and rules continue to evolve, and we therefore devote significant resources to monitoring developments in healthcare and medical practice regulation. As the appl</w:t>
      </w:r>
      <w:r>
        <w:rPr>
          <w:sz w:val="20"/>
          <w:szCs w:val="20"/>
        </w:rPr>
        <w:t>icable laws and rules change, we are likely to make conforming modifications in our business processes from time to time. In some jurisdictions where we operate, neither our current nor our anticipated business model has been the subject of formal judicial</w:t>
      </w:r>
      <w:r>
        <w:rPr>
          <w:sz w:val="20"/>
          <w:szCs w:val="20"/>
        </w:rPr>
        <w:t xml:space="preserve"> or administrative interpretation. We cannot be assured that a review of our business by courts or regulatory authorities will not result in determinations that could adversely affect our operations or that the healthcare regulatory environment will not ch</w:t>
      </w:r>
      <w:r>
        <w:rPr>
          <w:sz w:val="20"/>
          <w:szCs w:val="20"/>
        </w:rPr>
        <w:t>ange in a way that impacts our operations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response to the COVID-19 pandemic, state and federal regulatory authorities loosened or removed a number of regulatory requirements in order to increase the availability of telehealth and teletherapy services.</w:t>
      </w:r>
      <w:r>
        <w:rPr>
          <w:sz w:val="20"/>
          <w:szCs w:val="20"/>
        </w:rPr>
        <w:t xml:space="preserve"> For example, many state governors issued executive orders permitting physicians and other health care professionals to practice in their state without any additional licensure or by using a temporary, expedited or abbreviated licensure process so long as </w:t>
      </w:r>
      <w:r>
        <w:rPr>
          <w:sz w:val="20"/>
          <w:szCs w:val="20"/>
        </w:rPr>
        <w:t>they hold a valid license in another state. In addition, changes were made to the Medicare and Medicaid programs (through waivers and other regulatory authority) to increase access to telehealth and teletherapy services by, among other things, increasing r</w:t>
      </w:r>
      <w:r>
        <w:rPr>
          <w:sz w:val="20"/>
          <w:szCs w:val="20"/>
        </w:rPr>
        <w:t>eimbursement, permitting the enrollment of out of state providers and eliminating prior authorization requirements. It is uncertain how long these COVID-19 related regulatory changes will remain in effect and whether they will continue beyond this public h</w:t>
      </w:r>
      <w:r>
        <w:rPr>
          <w:sz w:val="20"/>
          <w:szCs w:val="20"/>
        </w:rPr>
        <w:t>ealth emergency period</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believe that a return to the status quo would not have a material negative impact on any commercial agreements we have entered into during 2021 and 2020. Each of these agreements has a defined term and generally do not allow for</w:t>
      </w:r>
      <w:r>
        <w:rPr>
          <w:sz w:val="20"/>
          <w:szCs w:val="20"/>
        </w:rPr>
        <w:t xml:space="preserve"> immediate termination for convenience by the client in question. For many healthcare companies engaging in telehealth and teletherapy, the most significant potential concern about returning to the status quo is the restrictions on the reimbursement of tel</w:t>
      </w:r>
      <w:r>
        <w:rPr>
          <w:sz w:val="20"/>
          <w:szCs w:val="20"/>
        </w:rPr>
        <w:t>ehealth and teletherapy visits to federal or state healthcare program beneficiaries, such as when a patient presents to a medical professional from a rural area or at a clinical site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Currently, TPN and our affiliated network providers does not perform th</w:t>
      </w:r>
      <w:r>
        <w:rPr>
          <w:sz w:val="20"/>
          <w:szCs w:val="20"/>
        </w:rPr>
        <w:t>ese kinds of consultations. All patients who experienced a first-time visit with any network provider during the pandemic would be able to continue using the platform. In light of that, we do not believe that the visit volume on our platform or visit reven</w:t>
      </w:r>
      <w:r>
        <w:rPr>
          <w:sz w:val="20"/>
          <w:szCs w:val="20"/>
        </w:rPr>
        <w:t>ue will materially decrease based on a return to the status quo from a regulatory perspective. In fact, we believe that such a return would benefit the Company as the renewed enforcement of HIPAA regulations may force many marginal telehealth platforms out</w:t>
      </w:r>
      <w:r>
        <w:rPr>
          <w:sz w:val="20"/>
          <w:szCs w:val="20"/>
        </w:rPr>
        <w:t xml:space="preserve"> of the marketplace, thereby lessening our competition</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w:t>
      </w:r>
      <w:r>
        <w:rPr>
          <w:sz w:val="20"/>
          <w:szCs w:val="20"/>
        </w:rPr>
        <w:t>3</w:t>
      </w:r>
    </w:p>
    <w:p w:rsidR="00000000" w:rsidRDefault="00AF2D19">
      <w:pPr>
        <w:rPr>
          <w:rFonts w:eastAsia="Times New Roman"/>
        </w:rPr>
      </w:pPr>
      <w:r>
        <w:rPr>
          <w:rFonts w:eastAsia="Times New Roman"/>
        </w:rPr>
        <w:pict>
          <v:rect id="_x0000_i104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i/>
          <w:iCs/>
          <w:sz w:val="20"/>
          <w:szCs w:val="20"/>
        </w:rPr>
        <w:t>Telehealth and Teletherapy Provider Licensing, Medical Practice, Certification and Related Laws and Guideline</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practice of medicine, including the provision of therapy services, is subject to various federal, state and local certification and licensing laws, regulations, approvals and standards, relating to, among other things, the adequacy of medical care, th</w:t>
      </w:r>
      <w:r>
        <w:rPr>
          <w:sz w:val="20"/>
          <w:szCs w:val="20"/>
        </w:rPr>
        <w:t>e practice of medicine and licensed professional services (including the provision of remote care), equipment, personnel, operating policies and procedures and the prerequisites for the prescription of medication and ordering of tests. The application of s</w:t>
      </w:r>
      <w:r>
        <w:rPr>
          <w:sz w:val="20"/>
          <w:szCs w:val="20"/>
        </w:rPr>
        <w:t>ome of these laws to telehealth and teletherapy is unclear and subject to differing interpretation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Physicians, therapists and other licensed professionals who provide professional medical and therapy services to a patient via telehealth and teletherapy m</w:t>
      </w:r>
      <w:r>
        <w:rPr>
          <w:sz w:val="20"/>
          <w:szCs w:val="20"/>
        </w:rPr>
        <w:t>ust, in most instances, hold a valid license to practice medicine or another licensed profession in the state in which the patient is located. We have established systems for ensuring that TPN and our affiliated professionals are appropriately licensed und</w:t>
      </w:r>
      <w:r>
        <w:rPr>
          <w:sz w:val="20"/>
          <w:szCs w:val="20"/>
        </w:rPr>
        <w:t>er applicable state law and that their provision of telehealth and teletherapy to our members occurs in each instance in compliance with applicable rules governing telehealth and teletherapy. Failure to comply with these laws and regulations could result i</w:t>
      </w:r>
      <w:r>
        <w:rPr>
          <w:sz w:val="20"/>
          <w:szCs w:val="20"/>
        </w:rPr>
        <w:t>n licensure actions against the professionals, our services being found to be non-reimbursable, or prior payments being subject to recoupments and can give rise to civil, criminal or administrative penalties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Corporate Practice of Medicine Laws in the U.S</w:t>
      </w:r>
      <w:r>
        <w:rPr>
          <w:b/>
          <w:bCs/>
          <w:i/>
          <w:iCs/>
          <w:sz w:val="20"/>
          <w:szCs w:val="20"/>
        </w:rPr>
        <w:t>.; Fee Splittin</w:t>
      </w:r>
      <w:r>
        <w:rPr>
          <w:b/>
          <w:bCs/>
          <w:i/>
          <w:iCs/>
          <w:sz w:val="20"/>
          <w:szCs w:val="20"/>
        </w:rPr>
        <w:t>g</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contract with physicians or physician owned professional associations and professional corporations and therapists to provide access to our platform to them and their patients. We are in the process of finalizing a MSA with TPN and may enter into direct</w:t>
      </w:r>
      <w:r>
        <w:rPr>
          <w:sz w:val="20"/>
          <w:szCs w:val="20"/>
        </w:rPr>
        <w:t xml:space="preserve"> management services contracts with other TPN affiliated entities pursuant to which we provide them with billing, scheduling and a wide range of other administrative and management services, and they pay us for those services via management and other servi</w:t>
      </w:r>
      <w:r>
        <w:rPr>
          <w:sz w:val="20"/>
          <w:szCs w:val="20"/>
        </w:rPr>
        <w:t>ce fees. These contractual relationships are subject to various state laws that prohibit fee splitting or the corporate practice of medicine or professional services by lay entities or persons and that are intended to prevent unlicensed persons from interf</w:t>
      </w:r>
      <w:r>
        <w:rPr>
          <w:sz w:val="20"/>
          <w:szCs w:val="20"/>
        </w:rPr>
        <w:t>ering with or influencing a physician’s or another licensed professional’s clinical judgment. Activities other than those directly related to the delivery of healthcare may be considered an element of the practice of medicine in many states. Under the corp</w:t>
      </w:r>
      <w:r>
        <w:rPr>
          <w:sz w:val="20"/>
          <w:szCs w:val="20"/>
        </w:rPr>
        <w:t>orate practice of medicine and other licensed profession restrictions of certain states, decisions and activities such as contracting, setting rates and the hiring and management of personnel may implicate the restrictions on the corporate practice of medi</w:t>
      </w:r>
      <w:r>
        <w:rPr>
          <w:sz w:val="20"/>
          <w:szCs w:val="20"/>
        </w:rPr>
        <w:t>cine or a licensed profession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State corporate practice of medicine or other licensed profession and fee splitting laws and rules vary from state to state. In addition, these requirements are subject to broad interpretation and enforcement by state regula</w:t>
      </w:r>
      <w:r>
        <w:rPr>
          <w:sz w:val="20"/>
          <w:szCs w:val="20"/>
        </w:rPr>
        <w:t>tors. Some of these requirements may apply to us even if we do not have a physical presence in the state, based solely on our engagement of a provider licensed in the state or the provision of telehealth and teletherapy to a resident of the state. Thus, re</w:t>
      </w:r>
      <w:r>
        <w:rPr>
          <w:sz w:val="20"/>
          <w:szCs w:val="20"/>
        </w:rPr>
        <w:t>gulatory authorities or other parties, including our providers, may assert that, despite these arrangements, we are engaged in the corporate practice of medicine or a licensed profession or that our contractual arrangements with affiliated providers consti</w:t>
      </w:r>
      <w:r>
        <w:rPr>
          <w:sz w:val="20"/>
          <w:szCs w:val="20"/>
        </w:rPr>
        <w:t>tute unlawful fee splitting. In such event, failure to comply could lead to adverse judicial or administrative action against us and/or our affiliated providers, civil, criminal or administrative penalties, receipt of cease and desist orders from state reg</w:t>
      </w:r>
      <w:r>
        <w:rPr>
          <w:sz w:val="20"/>
          <w:szCs w:val="20"/>
        </w:rPr>
        <w:t>ulators, loss of provider licenses, the need to make changes to the terms of engagement of our providers that interfere with our business, and other materially adverse consequences</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i/>
          <w:iCs/>
          <w:sz w:val="20"/>
          <w:szCs w:val="20"/>
        </w:rPr>
        <w:t>U.S. Federal and State Fraud and Abuse Law</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Although our services are no</w:t>
      </w:r>
      <w:r>
        <w:rPr>
          <w:sz w:val="20"/>
          <w:szCs w:val="20"/>
        </w:rPr>
        <w:t>t currently reimbursed by government healthcare programs such as Medicare or Medicaid, any future reimbursement from federal and/or state healthcare programs could expose our business to broadly applicable fraud and abuse laws and other healthcare laws and</w:t>
      </w:r>
      <w:r>
        <w:rPr>
          <w:sz w:val="20"/>
          <w:szCs w:val="20"/>
        </w:rPr>
        <w:t xml:space="preserve"> regulations that would regulate the business. Applicable and potentially applicable U.S. federal and state healthcare laws and regulations include, but are not limited, to the following</w:t>
      </w:r>
      <w:r>
        <w:rPr>
          <w:sz w:val="20"/>
          <w:szCs w:val="20"/>
        </w:rPr>
        <w:t>.</w:t>
      </w:r>
      <w:r>
        <w:rPr>
          <w:sz w:val="20"/>
          <w:szCs w:val="20"/>
        </w:rPr>
        <w:t xml:space="preserve"> </w:t>
      </w:r>
    </w:p>
    <w:p w:rsidR="00000000" w:rsidRDefault="00AF2D19">
      <w:pPr>
        <w:pStyle w:val="a3"/>
        <w:spacing w:before="240" w:beforeAutospacing="0" w:after="0" w:afterAutospacing="0"/>
        <w:ind w:left="476"/>
        <w:jc w:val="both"/>
        <w:rPr>
          <w:sz w:val="20"/>
          <w:szCs w:val="20"/>
        </w:rPr>
      </w:pPr>
      <w:r>
        <w:rPr>
          <w:i/>
          <w:iCs/>
          <w:sz w:val="20"/>
          <w:szCs w:val="20"/>
        </w:rPr>
        <w:t>Federal Stark La</w:t>
      </w:r>
      <w:r>
        <w:rPr>
          <w:i/>
          <w:iCs/>
          <w:sz w:val="20"/>
          <w:szCs w:val="20"/>
        </w:rPr>
        <w:t>w</w:t>
      </w:r>
      <w:r>
        <w:rPr>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If in the future some of our revenues come from </w:t>
      </w:r>
      <w:r>
        <w:rPr>
          <w:sz w:val="20"/>
          <w:szCs w:val="20"/>
        </w:rPr>
        <w:t>federal health care programs, we will be subject to the federal self-referral prohibitions, commonly known as the Stark Law. Where applicable, this law prohibits a physician from referring Medicare patients for “designated health services” such as laborato</w:t>
      </w:r>
      <w:r>
        <w:rPr>
          <w:sz w:val="20"/>
          <w:szCs w:val="20"/>
        </w:rPr>
        <w:t>ry and other diagnostic services and prescription drugs that are furnished at an entity if the physician or a member of such physician’s immediate family has a “financial relationship” with the entity, unless an exception applies. Sanctions for violating t</w:t>
      </w:r>
      <w:r>
        <w:rPr>
          <w:sz w:val="20"/>
          <w:szCs w:val="20"/>
        </w:rPr>
        <w:t>he Stark Law include denial of payment, civil monetary penalties of up to $26,125 per claim submitted and exclusion from the federal health care programs. Failure to refund amounts received as a result of a prohibited referral on a timely basis may constit</w:t>
      </w:r>
      <w:r>
        <w:rPr>
          <w:sz w:val="20"/>
          <w:szCs w:val="20"/>
        </w:rPr>
        <w:t>ute a false or fraudulent claim and may result in civil penalties and additional penalties under the federal False Claims Act (“FCA”). The statute also provides for a penalty of up to $174,172 for a circumvention scheme. The Stark Law is a strict liability</w:t>
      </w:r>
      <w:r>
        <w:rPr>
          <w:sz w:val="20"/>
          <w:szCs w:val="20"/>
        </w:rPr>
        <w:t xml:space="preserve"> statute, which means proof of specific intent to violate the law is not required. In addition, the government and some courts have taken the position that claims presented in violation of the variou</w:t>
      </w:r>
      <w:r>
        <w:rPr>
          <w:sz w:val="20"/>
          <w:szCs w:val="20"/>
        </w:rPr>
        <w:t>s</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w:t>
      </w:r>
      <w:r>
        <w:rPr>
          <w:sz w:val="20"/>
          <w:szCs w:val="20"/>
        </w:rPr>
        <w:t>4</w:t>
      </w:r>
    </w:p>
    <w:p w:rsidR="00000000" w:rsidRDefault="00AF2D19">
      <w:pPr>
        <w:rPr>
          <w:rFonts w:eastAsia="Times New Roman"/>
        </w:rPr>
      </w:pPr>
      <w:r>
        <w:rPr>
          <w:rFonts w:eastAsia="Times New Roman"/>
        </w:rPr>
        <w:pict>
          <v:rect id="_x0000_i1041"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statutes, including the Stark Law, can be considered a violation of the FCA (described below) based on the contention that a provider impliedly certifies compliance with all applicable laws, regulations and other rules wh</w:t>
      </w:r>
      <w:r>
        <w:rPr>
          <w:sz w:val="20"/>
          <w:szCs w:val="20"/>
        </w:rPr>
        <w:t>en submitting claims for reimbursement. A determination of liability under the Stark Law for TPN or our affiliated physicians could have a material adverse effect on our business, financial condition and results of operations</w:t>
      </w:r>
      <w:r>
        <w:rPr>
          <w:sz w:val="20"/>
          <w:szCs w:val="20"/>
        </w:rPr>
        <w:t>.</w:t>
      </w:r>
      <w:r>
        <w:rPr>
          <w:sz w:val="20"/>
          <w:szCs w:val="20"/>
        </w:rPr>
        <w:t xml:space="preserve"> </w:t>
      </w:r>
    </w:p>
    <w:p w:rsidR="00000000" w:rsidRDefault="00AF2D19">
      <w:pPr>
        <w:pStyle w:val="a3"/>
        <w:spacing w:before="240" w:beforeAutospacing="0" w:after="0" w:afterAutospacing="0"/>
        <w:ind w:left="476"/>
        <w:jc w:val="both"/>
        <w:rPr>
          <w:sz w:val="20"/>
          <w:szCs w:val="20"/>
        </w:rPr>
      </w:pPr>
      <w:r>
        <w:rPr>
          <w:i/>
          <w:iCs/>
          <w:sz w:val="20"/>
          <w:szCs w:val="20"/>
        </w:rPr>
        <w:t>Federal Anti-Kickback Statut</w:t>
      </w:r>
      <w:r>
        <w:rPr>
          <w:i/>
          <w:iCs/>
          <w:sz w:val="20"/>
          <w:szCs w:val="20"/>
        </w:rPr>
        <w:t>e</w:t>
      </w:r>
      <w:r>
        <w:rPr>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We will also be subject to the federal Anti-Kickback Statute if any of our services become reimbursable by government healthcare programs. The Anti-Kickback Statute is broadly worded and prohibits the knowing and willful offer, payment, solicitation or </w:t>
      </w:r>
      <w:r>
        <w:rPr>
          <w:sz w:val="20"/>
          <w:szCs w:val="20"/>
        </w:rPr>
        <w:t>receipt of any form of remuneration in return for, or to induce, (i) the referral of a person covered by Medicare, Medicaid or other governmental programs, (ii) the furnishing or arranging for the furnishing of items or services reimbursable under Medicare</w:t>
      </w:r>
      <w:r>
        <w:rPr>
          <w:sz w:val="20"/>
          <w:szCs w:val="20"/>
        </w:rPr>
        <w:t>, Medicaid or other governmental programs or (iii) the purchasing, leasing or ordering or arranging or recommending purchasing, leasing or ordering of any item or service reimbursable under Medicare, Medicaid or other governmental programs. Certain federal</w:t>
      </w:r>
      <w:r>
        <w:rPr>
          <w:sz w:val="20"/>
          <w:szCs w:val="20"/>
        </w:rPr>
        <w:t xml:space="preserve"> courts have held that the Anti-Kickback Statute can be violated if “one purpose” of a payment is to induce referrals. In addition, a person or entity does not need to have actual knowledge of this statute or specific intent to violate it to have committed</w:t>
      </w:r>
      <w:r>
        <w:rPr>
          <w:sz w:val="20"/>
          <w:szCs w:val="20"/>
        </w:rPr>
        <w:t xml:space="preserve"> a violation, making it easier for the government to prove that a defendant had the requisite state of mind or “scienter” required for a violation. Moreover, the government may assert that a claim including items or services resulting from a violation of t</w:t>
      </w:r>
      <w:r>
        <w:rPr>
          <w:sz w:val="20"/>
          <w:szCs w:val="20"/>
        </w:rPr>
        <w:t>he Anti-Kickback Statute constitutes a false or fraudulent claim for purposes of the FCA, as discussed below. Violations of the federal Anti-Kickback Statute may result in civil monetary penalties up to $105,563 for each violation, plus up to three times t</w:t>
      </w:r>
      <w:r>
        <w:rPr>
          <w:sz w:val="20"/>
          <w:szCs w:val="20"/>
        </w:rPr>
        <w:t>he remuneration involved. Civil penalties for such conduct can further be assessed under the FCA. Violations of the federal Anti-Kickback Statute can also result in criminal penalties, including criminal fines of more than $100,000 and imprisonment of up t</w:t>
      </w:r>
      <w:r>
        <w:rPr>
          <w:sz w:val="20"/>
          <w:szCs w:val="20"/>
        </w:rPr>
        <w:t>o 10 years. Similarly, violations can result in exclusion from participation in government healthcare programs, including Medicare and Medicaid. Imposition of any of these remedies could have a material adverse effect on our business, financial condition a</w:t>
      </w:r>
      <w:r>
        <w:rPr>
          <w:sz w:val="20"/>
          <w:szCs w:val="20"/>
        </w:rPr>
        <w:t xml:space="preserve">nd results of operations, if in the future we provide services reimbursable by government healthcare programs. In addition to a few statutory exceptions, the Office of Inspector General (“OIG”) has published safe-harbor regulations that outline categories </w:t>
      </w:r>
      <w:r>
        <w:rPr>
          <w:sz w:val="20"/>
          <w:szCs w:val="20"/>
        </w:rPr>
        <w:t>of activities that are deemed protected from prosecution under the Anti-Kickback Statute provided all applicable criteria are met. The failure of a financial relationship to meet all of the applicable safe harbor criteria does not necessarily mean that the</w:t>
      </w:r>
      <w:r>
        <w:rPr>
          <w:sz w:val="20"/>
          <w:szCs w:val="20"/>
        </w:rPr>
        <w:t xml:space="preserve"> particular arrangement violates the Anti-Kickback Statute. However, conduct and business arrangements that do not fully satisfy each applicable safe harbor may result in increased scrutiny by government enforcement authorities, such as the OIG</w:t>
      </w:r>
      <w:r>
        <w:rPr>
          <w:sz w:val="20"/>
          <w:szCs w:val="20"/>
        </w:rPr>
        <w:t>.</w:t>
      </w:r>
      <w:r>
        <w:rPr>
          <w:sz w:val="20"/>
          <w:szCs w:val="20"/>
        </w:rPr>
        <w:t xml:space="preserve"> </w:t>
      </w:r>
    </w:p>
    <w:p w:rsidR="00000000" w:rsidRDefault="00AF2D19">
      <w:pPr>
        <w:pStyle w:val="a3"/>
        <w:spacing w:before="240" w:beforeAutospacing="0" w:after="0" w:afterAutospacing="0"/>
        <w:ind w:left="476"/>
        <w:jc w:val="both"/>
        <w:rPr>
          <w:sz w:val="20"/>
          <w:szCs w:val="20"/>
        </w:rPr>
      </w:pPr>
      <w:r>
        <w:rPr>
          <w:i/>
          <w:iCs/>
          <w:sz w:val="20"/>
          <w:szCs w:val="20"/>
        </w:rPr>
        <w:t>False Cla</w:t>
      </w:r>
      <w:r>
        <w:rPr>
          <w:i/>
          <w:iCs/>
          <w:sz w:val="20"/>
          <w:szCs w:val="20"/>
        </w:rPr>
        <w:t>ims Ac</w:t>
      </w:r>
      <w:r>
        <w:rPr>
          <w:i/>
          <w:iCs/>
          <w:sz w:val="20"/>
          <w:szCs w:val="20"/>
        </w:rPr>
        <w:t>t</w:t>
      </w:r>
      <w:r>
        <w:rPr>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Both federal and state government agencies have continued civil and criminal enforcement efforts as part of numerous ongoing investigations of healthcare companies and their executives and managers. Although there are a number of civil and crimina</w:t>
      </w:r>
      <w:r>
        <w:rPr>
          <w:sz w:val="20"/>
          <w:szCs w:val="20"/>
        </w:rPr>
        <w:t>l statutes that can be applied to healthcare providers, a significant number of these investigations involve the FCA. These investigations can be initiated not only by the government but also by a private party asserting direct knowledge of fraud. These “q</w:t>
      </w:r>
      <w:r>
        <w:rPr>
          <w:sz w:val="20"/>
          <w:szCs w:val="20"/>
        </w:rPr>
        <w:t>ui tam” whistleblower lawsuits may be initiated against any person or entity alleging such person or entity has knowingly or recklessly presented, or caused to be presented, a false or fraudulent request for payment from the federal government, or has made</w:t>
      </w:r>
      <w:r>
        <w:rPr>
          <w:sz w:val="20"/>
          <w:szCs w:val="20"/>
        </w:rPr>
        <w:t xml:space="preserve"> a false statement or used a false record to get a claim approved. In addition, the improper retention of an overpayment for 60 days or more is also a basis for an FCA action, even if the claim was originally submitted appropriately. Penalties for FCA viol</w:t>
      </w:r>
      <w:r>
        <w:rPr>
          <w:sz w:val="20"/>
          <w:szCs w:val="20"/>
        </w:rPr>
        <w:t>ations include fines ranging from $11,803 to $23,607 for each false claim, plus up to three times the amount of damages sustained by the federal government. An FCA violation may provide the basis for exclusion from the federally funded healthcare programs</w:t>
      </w:r>
      <w:r>
        <w:rPr>
          <w:sz w:val="20"/>
          <w:szCs w:val="20"/>
        </w:rPr>
        <w:t>.</w:t>
      </w:r>
      <w:r>
        <w:rPr>
          <w:sz w:val="20"/>
          <w:szCs w:val="20"/>
        </w:rPr>
        <w:t xml:space="preserve"> </w:t>
      </w:r>
    </w:p>
    <w:p w:rsidR="00000000" w:rsidRDefault="00AF2D19">
      <w:pPr>
        <w:pStyle w:val="a3"/>
        <w:spacing w:before="240" w:beforeAutospacing="0" w:after="0" w:afterAutospacing="0"/>
        <w:ind w:left="476"/>
        <w:jc w:val="both"/>
        <w:rPr>
          <w:sz w:val="20"/>
          <w:szCs w:val="20"/>
        </w:rPr>
      </w:pPr>
      <w:r>
        <w:rPr>
          <w:i/>
          <w:iCs/>
          <w:sz w:val="20"/>
          <w:szCs w:val="20"/>
        </w:rPr>
        <w:t>State Fraud and Abuse Law</w:t>
      </w:r>
      <w:r>
        <w:rPr>
          <w:i/>
          <w:iCs/>
          <w:sz w:val="20"/>
          <w:szCs w:val="20"/>
        </w:rPr>
        <w:t>s</w:t>
      </w:r>
      <w:r>
        <w:rPr>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Several states in which we operate have also adopted or may adopt similar self-referral, anti-kickback, fraud, whistleblower and false claims laws as described above. The scope of these laws and the interpretations of them var</w:t>
      </w:r>
      <w:r>
        <w:rPr>
          <w:sz w:val="20"/>
          <w:szCs w:val="20"/>
        </w:rPr>
        <w:t>y by jurisdiction and are enforced by local courts and regulatory authorities, each with broad discretion. Some state fraud and abuse laws apply to items or services reimbursed by Medicaid programs and any third-party payer, including commercial insurers o</w:t>
      </w:r>
      <w:r>
        <w:rPr>
          <w:sz w:val="20"/>
          <w:szCs w:val="20"/>
        </w:rPr>
        <w:t>r to any payer, including to funds paid out of pocket by a patient. A determination of liability under such state fraud and abuse laws could result in fines and penalties and restrictions on our ability to operate in these jurisdictions</w:t>
      </w:r>
      <w:r>
        <w:rPr>
          <w:sz w:val="20"/>
          <w:szCs w:val="20"/>
        </w:rPr>
        <w:t>.</w:t>
      </w:r>
      <w:r>
        <w:rPr>
          <w:sz w:val="20"/>
          <w:szCs w:val="20"/>
        </w:rPr>
        <w:t xml:space="preserve"> </w:t>
      </w:r>
    </w:p>
    <w:p w:rsidR="00000000" w:rsidRDefault="00AF2D19">
      <w:pPr>
        <w:pStyle w:val="a3"/>
        <w:spacing w:before="240" w:beforeAutospacing="0" w:after="0" w:afterAutospacing="0"/>
        <w:ind w:left="476"/>
        <w:jc w:val="both"/>
        <w:rPr>
          <w:sz w:val="20"/>
          <w:szCs w:val="20"/>
        </w:rPr>
      </w:pPr>
      <w:r>
        <w:rPr>
          <w:i/>
          <w:iCs/>
          <w:sz w:val="20"/>
          <w:szCs w:val="20"/>
        </w:rPr>
        <w:t xml:space="preserve">Other Healthcare </w:t>
      </w:r>
      <w:r>
        <w:rPr>
          <w:i/>
          <w:iCs/>
          <w:sz w:val="20"/>
          <w:szCs w:val="20"/>
        </w:rPr>
        <w:t>Law</w:t>
      </w:r>
      <w:r>
        <w:rPr>
          <w:i/>
          <w:iCs/>
          <w:sz w:val="20"/>
          <w:szCs w:val="20"/>
        </w:rPr>
        <w:t>s</w:t>
      </w:r>
      <w:r>
        <w:rPr>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HIPAA established several separate criminal penalties for making false or fraudulent claims to insurance companies and other non-governmental payers of healthcare services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w:t>
      </w:r>
      <w:r>
        <w:rPr>
          <w:sz w:val="20"/>
          <w:szCs w:val="20"/>
        </w:rPr>
        <w:t>5</w:t>
      </w:r>
    </w:p>
    <w:p w:rsidR="00000000" w:rsidRDefault="00AF2D19">
      <w:pPr>
        <w:rPr>
          <w:rFonts w:eastAsia="Times New Roman"/>
        </w:rPr>
      </w:pPr>
      <w:r>
        <w:rPr>
          <w:rFonts w:eastAsia="Times New Roman"/>
        </w:rPr>
        <w:pict>
          <v:rect id="_x0000_i104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w:t>
        </w:r>
        <w:r>
          <w:rPr>
            <w:rStyle w:val="a4"/>
            <w:sz w:val="20"/>
            <w:szCs w:val="20"/>
          </w:rPr>
          <w:t xml:space="preserv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 xml:space="preserve">Under HIPAA, these two additional federal crimes are: “Healthcare Fraud” and “False Statements Relating to Healthcare Matters.” </w:t>
      </w:r>
      <w:r>
        <w:rPr>
          <w:sz w:val="20"/>
          <w:szCs w:val="20"/>
        </w:rPr>
        <w:t xml:space="preserve">The Healthcare Fraud statute prohibits knowingly and recklessly executing a scheme or artifice to defraud any healthcare benefit program, including private payers. A violation of this statute is a felony and may result in fines, imprisonment, or exclusion </w:t>
      </w:r>
      <w:r>
        <w:rPr>
          <w:sz w:val="20"/>
          <w:szCs w:val="20"/>
        </w:rPr>
        <w:t>from government sponsored programs. The False Statements Relating to Healthcare Matters statute prohibits knowingly and willfully falsifying, concealing, or covering up a material fact by any trick, scheme or device or making any materially false, fictitio</w:t>
      </w:r>
      <w:r>
        <w:rPr>
          <w:sz w:val="20"/>
          <w:szCs w:val="20"/>
        </w:rPr>
        <w:t>us, or fraudulent statement in connection with the delivery of or payment for healthcare benefits, items, or services. A violation of this statute is a felony and may result in fines or imprisonment. This statute could be used by the government to assert c</w:t>
      </w:r>
      <w:r>
        <w:rPr>
          <w:sz w:val="20"/>
          <w:szCs w:val="20"/>
        </w:rPr>
        <w:t>riminal liability if a healthcare provider knowingly fails to refund an overpayment. These provisions are intended to punish some of the same conduct in the submission of claims to private payers as the federal False Claims Act covers in connection with go</w:t>
      </w:r>
      <w:r>
        <w:rPr>
          <w:sz w:val="20"/>
          <w:szCs w:val="20"/>
        </w:rPr>
        <w:t>vernmental health programs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the Civil Monetary Penalties Law imposes civil administrative sanctions for, among other violations, inappropriate billing of services to federally funded healthcare programs and employing or contracting with indiv</w:t>
      </w:r>
      <w:r>
        <w:rPr>
          <w:sz w:val="20"/>
          <w:szCs w:val="20"/>
        </w:rPr>
        <w:t>iduals or entities who are excluded from participation in federally funded healthcare programs. Moreover, a person who offers or transfers to a Medicare or Medicaid beneficiary any remuneration, including waivers of copayments and deductible amounts (or an</w:t>
      </w:r>
      <w:r>
        <w:rPr>
          <w:sz w:val="20"/>
          <w:szCs w:val="20"/>
        </w:rPr>
        <w:t>y part thereof), that the person knows or should know is likely to influence the beneficiary’s selection of a particular provider, practitioner or supplier of Medicare or Medicaid payable items or services may be liable for civil monetary penalties of up t</w:t>
      </w:r>
      <w:r>
        <w:rPr>
          <w:sz w:val="20"/>
          <w:szCs w:val="20"/>
        </w:rPr>
        <w:t>o $10,000 for each wrongful act. Furthermore, in certain cases, providers who routinely waive copayments and deductibles for Medicare and Medicaid beneficiaries can also be held liable under the Anti-Kickback Statute and civil False Claims Act, which can i</w:t>
      </w:r>
      <w:r>
        <w:rPr>
          <w:sz w:val="20"/>
          <w:szCs w:val="20"/>
        </w:rPr>
        <w:t xml:space="preserve">mpose additional penalties associated with the wrongful act. One of the statutory exceptions to the prohibition is non-routine, unadvertised waivers of copayments or deductible amounts based on individualized determinations of financial need or exhaustion </w:t>
      </w:r>
      <w:r>
        <w:rPr>
          <w:sz w:val="20"/>
          <w:szCs w:val="20"/>
        </w:rPr>
        <w:t>of reasonable collection efforts. The OIG emphasizes, however, that this exception should only be used occasionally to address special financial needs of a particular patient. Although this prohibition applies only to federal healthcare program beneficiari</w:t>
      </w:r>
      <w:r>
        <w:rPr>
          <w:sz w:val="20"/>
          <w:szCs w:val="20"/>
        </w:rPr>
        <w:t xml:space="preserve">es, the routine waivers of copayments and deductibles offered to patients covered by commercial payers may implicate applicable state laws related to, among other things, unlawful schemes to defraud, excessive fees for services, tortious interference with </w:t>
      </w:r>
      <w:r>
        <w:rPr>
          <w:sz w:val="20"/>
          <w:szCs w:val="20"/>
        </w:rPr>
        <w:t>patient contracts, and statutory or common law fraud</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i/>
          <w:iCs/>
          <w:sz w:val="20"/>
          <w:szCs w:val="20"/>
        </w:rPr>
        <w:t>U.S. State and Federal Health Information Privacy and Security Law</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There are numerous U.S. federal and state laws and regulations related to the privacy and security of personal information, includin</w:t>
      </w:r>
      <w:r>
        <w:rPr>
          <w:sz w:val="20"/>
          <w:szCs w:val="20"/>
        </w:rPr>
        <w:t xml:space="preserve">g health information. In particular, HIPAA imposes a number of requirements on covered entities and their business associates relating to the use, disclosure and safeguarding of protected health information. These requirements include uniform standards of </w:t>
      </w:r>
      <w:r>
        <w:rPr>
          <w:sz w:val="20"/>
          <w:szCs w:val="20"/>
        </w:rPr>
        <w:t>common electronic healthcare transactions; privacy and security regulations; and unique identifier rules for employers, health plans and providers. In addition, the Health Information Technology for Economic and Clinical Health Act, or HITECH, provisions o</w:t>
      </w:r>
      <w:r>
        <w:rPr>
          <w:sz w:val="20"/>
          <w:szCs w:val="20"/>
        </w:rPr>
        <w:t>f the American Recovery and Reinvestment Act of 2009 and corresponding implementing regulations have imposed additional requirements on the use and disclosure of protected health information such as additional breach notification and reporting requirements</w:t>
      </w:r>
      <w:r>
        <w:rPr>
          <w:sz w:val="20"/>
          <w:szCs w:val="20"/>
        </w:rPr>
        <w:t>, contracting requirements for HIPAA business associate agreements, strengthened enforcement mechanisms and increased penalties for HIPAA violations. Federal consumer protection laws may also apply in some instances to privacy and security practices relate</w:t>
      </w:r>
      <w:r>
        <w:rPr>
          <w:sz w:val="20"/>
          <w:szCs w:val="20"/>
        </w:rPr>
        <w:t>d to personal information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Violations of HIPAA may result in civil and criminal penalties. However, a single breach incident can result in violations of multiple standards. Our management responsibilities to TPN include assisting it with its obligations u</w:t>
      </w:r>
      <w:r>
        <w:rPr>
          <w:sz w:val="20"/>
          <w:szCs w:val="20"/>
        </w:rPr>
        <w:t>nder HIPAA’s breach notification rule. Under the breach notification rule, covered entities must notify affected individuals without unreasonable delay in the case of a breach of unsecured protected health information (“PHI”), which may compromise the priv</w:t>
      </w:r>
      <w:r>
        <w:rPr>
          <w:sz w:val="20"/>
          <w:szCs w:val="20"/>
        </w:rPr>
        <w:t>acy, security or integrity of the PHI. In addition, notification must be provided to U.S. Department of Health and Human Services (“HHS”) and the local media in cases where a breach affects more than 500 individuals. Breaches affecting fewer than 500 indiv</w:t>
      </w:r>
      <w:r>
        <w:rPr>
          <w:sz w:val="20"/>
          <w:szCs w:val="20"/>
        </w:rPr>
        <w:t>iduals must be reported to HHS on an annual basis. HIPAA also requires a business associate to notify its covered entity clients of breaches by the business associate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State attorneys general also have the right to prosecute HIPAA violations committed aga</w:t>
      </w:r>
      <w:r>
        <w:rPr>
          <w:sz w:val="20"/>
          <w:szCs w:val="20"/>
        </w:rPr>
        <w:t>inst residents of their states. While HIPAA does not create a private right of action that would allow individuals to sue in civil court for a HIPAA violation, its standards have been used as the basis for the duty of care in state civil suits, such as tho</w:t>
      </w:r>
      <w:r>
        <w:rPr>
          <w:sz w:val="20"/>
          <w:szCs w:val="20"/>
        </w:rPr>
        <w:t>se for negligence or recklessness in misusing personal information. In addition, HIPAA mandates that HHS conduct periodic compliance audits of HIPAA covered entities and their business associates for compliance. It also tasks HHS with establishing a method</w:t>
      </w:r>
      <w:r>
        <w:rPr>
          <w:sz w:val="20"/>
          <w:szCs w:val="20"/>
        </w:rPr>
        <w:t xml:space="preserve">ology whereby harmed individuals who were the victims of breaches of unsecured PHI may receive a percentage of the civil monetary penalty fine paid by the violator. In light of the HIPAA Omnibus Final Rule, recent enforcement activity, and statements from </w:t>
      </w:r>
      <w:r>
        <w:rPr>
          <w:sz w:val="20"/>
          <w:szCs w:val="20"/>
        </w:rPr>
        <w:t>HHS, we expect increased federal and state HIPAA privacy and security enforcement efforts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w:t>
      </w:r>
      <w:r>
        <w:rPr>
          <w:sz w:val="20"/>
          <w:szCs w:val="20"/>
        </w:rPr>
        <w:t>6</w:t>
      </w:r>
    </w:p>
    <w:p w:rsidR="00000000" w:rsidRDefault="00AF2D19">
      <w:pPr>
        <w:rPr>
          <w:rFonts w:eastAsia="Times New Roman"/>
        </w:rPr>
      </w:pPr>
      <w:r>
        <w:rPr>
          <w:rFonts w:eastAsia="Times New Roman"/>
        </w:rPr>
        <w:pict>
          <v:rect id="_x0000_i1043"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HIPAA also required HHS to adopt national standards for electronic transactions that all healthcare providers must use when submitting or receiving certain healthcare transactions electronically. On January 16, 2009, HHS released the final rule mandating t</w:t>
      </w:r>
      <w:r>
        <w:rPr>
          <w:sz w:val="20"/>
          <w:szCs w:val="20"/>
        </w:rPr>
        <w:t>hat everyone covered by HIPAA must implement ICD 10 for medical coding on October 1, 2013, which was subsequently extended to October 1, 2015 and is now in effect</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Many states in which we operate and in which our patients reside also have laws that protec</w:t>
      </w:r>
      <w:r>
        <w:rPr>
          <w:sz w:val="20"/>
          <w:szCs w:val="20"/>
        </w:rPr>
        <w:t>t the privacy and security of sensitive and personal information, including health information. Moreover, state laws may be similar to or even more protective than HIPAA and other federal privacy laws. For example, the laws of the State of California, in w</w:t>
      </w:r>
      <w:r>
        <w:rPr>
          <w:sz w:val="20"/>
          <w:szCs w:val="20"/>
        </w:rPr>
        <w:t>hich we operate, are more restrictive than HIPAA. Where state laws are more protective than HIPAA, we must comply with the state laws we are subject to, in addition to HIPAA. In certain cases, it may be necessary to modify our planned operations and proced</w:t>
      </w:r>
      <w:r>
        <w:rPr>
          <w:sz w:val="20"/>
          <w:szCs w:val="20"/>
        </w:rPr>
        <w:t>ures to comply with these more stringent state laws. Not only may some of these state laws impose fines and penalties upon violators, but, unlike HIPAA, some may afford private rights of action to individuals who believe their personal information has been</w:t>
      </w:r>
      <w:r>
        <w:rPr>
          <w:sz w:val="20"/>
          <w:szCs w:val="20"/>
        </w:rPr>
        <w:t xml:space="preserve"> misused. In addition, state laws are changing rapidly, and there is discussion of a new federal privacy law or federal breach notification law, to which we may be subject</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In addition to HIPAA and state health information privacy laws, we may be subject </w:t>
      </w:r>
      <w:r>
        <w:rPr>
          <w:sz w:val="20"/>
          <w:szCs w:val="20"/>
        </w:rPr>
        <w:t>to other state and federal privacy laws, including laws that prohibit unfair privacy and security acts or practices and deceptive statements about privacy and security and laws that place specific requirements on certain types of activities, such as data s</w:t>
      </w:r>
      <w:r>
        <w:rPr>
          <w:sz w:val="20"/>
          <w:szCs w:val="20"/>
        </w:rPr>
        <w:t>ecurity and texting. The FTC and states’ attorneys general have brought enforcement actions and prosecuted some data breach cases as unfair and/or deceptive acts or practices under the FTC Act and similar state laws. Further, the California Consumer Protec</w:t>
      </w:r>
      <w:r>
        <w:rPr>
          <w:sz w:val="20"/>
          <w:szCs w:val="20"/>
        </w:rPr>
        <w:t xml:space="preserve">tion Act of 2018 (the “CCPA”), which took effect in 2020 and to which we are subject, imposes obligations and restrictions on businesses regarding their collection, use, and sharing of personal information and provides new and enhanced data privacy rights </w:t>
      </w:r>
      <w:r>
        <w:rPr>
          <w:sz w:val="20"/>
          <w:szCs w:val="20"/>
        </w:rPr>
        <w:t>to California residents, such as affording them the right to access and delete their personal information and to opt out of certain sharing of personal information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recent years, there have been a number of well publicized data breaches involving the i</w:t>
      </w:r>
      <w:r>
        <w:rPr>
          <w:sz w:val="20"/>
          <w:szCs w:val="20"/>
        </w:rPr>
        <w:t>mproper use and disclosure of personal information and PHI. Many states have responded to these incidents by enacting laws requiring holders of personal information to maintain safeguards and to take certain actions in response to a data breach, such as pr</w:t>
      </w:r>
      <w:r>
        <w:rPr>
          <w:sz w:val="20"/>
          <w:szCs w:val="20"/>
        </w:rPr>
        <w:t>oviding prompt notification of the breach to affected individuals and state officials and provide credit monitoring services and/or other relevant services to impacted individuals. In addition, under HIPAA and pursuant to the related contracts that we ente</w:t>
      </w:r>
      <w:r>
        <w:rPr>
          <w:sz w:val="20"/>
          <w:szCs w:val="20"/>
        </w:rPr>
        <w:t>r into with our clients who are covered entities, we must report breaches of unsecured PHI to our clients following discovery of the breach. Notification must also be made in certain circumstances to affected individuals, federal authorities and others</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sz w:val="20"/>
          <w:szCs w:val="20"/>
        </w:rPr>
        <w:t>I</w:t>
      </w:r>
      <w:r>
        <w:rPr>
          <w:b/>
          <w:bCs/>
          <w:sz w:val="20"/>
          <w:szCs w:val="20"/>
        </w:rPr>
        <w:t>nternational Regulatio</w:t>
      </w:r>
      <w:r>
        <w:rPr>
          <w:b/>
          <w:bCs/>
          <w:sz w:val="20"/>
          <w:szCs w:val="20"/>
        </w:rPr>
        <w:t>n</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expect over time to continue to expand our operations in foreign countries through both organic growth and acquisitions. In such a case, our international operations will be subject to different, and sometimes more stringent, le</w:t>
      </w:r>
      <w:r>
        <w:rPr>
          <w:sz w:val="20"/>
          <w:szCs w:val="20"/>
        </w:rPr>
        <w:t>gal and regulatory requirements, which vary widely by jurisdiction, including anti-corruption laws; economic sanctions laws; various data security insurance, tax, tariff and trade laws and regulations; corporate governance; various data security and data p</w:t>
      </w:r>
      <w:r>
        <w:rPr>
          <w:sz w:val="20"/>
          <w:szCs w:val="20"/>
        </w:rPr>
        <w:t>rotection laws (including the EU General Data Protection Regulation and UK data privacy regime); labor and employment, intellectual property, consumer protection and investment laws and regulations; discriminatory licensing procedures; required localizatio</w:t>
      </w:r>
      <w:r>
        <w:rPr>
          <w:sz w:val="20"/>
          <w:szCs w:val="20"/>
        </w:rPr>
        <w:t>n of records and funds; and limitations on dividends and repatriation of capital. In addition, the expansion of our operations into foreign countries increases our exposure to the anti-bribery, anti-corruption and anti-money laundering provisions of U.S. l</w:t>
      </w:r>
      <w:r>
        <w:rPr>
          <w:sz w:val="20"/>
          <w:szCs w:val="20"/>
        </w:rPr>
        <w:t>aw, including the FCPA, and corresponding foreign laws, including the UK Bribery Act</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The FCPA prohibits offering, promising or authorizing others to give anything of value to a foreign government official to obtain or retain business or otherwise secure </w:t>
      </w:r>
      <w:r>
        <w:rPr>
          <w:sz w:val="20"/>
          <w:szCs w:val="20"/>
        </w:rPr>
        <w:t>a business advantage. We also are subject to applicable anti-corruption laws of the jurisdictions in which we operate. Violations of the FCPA and other anti-corruption laws may result in severe criminal and civil sanctions as well as other penalties, and t</w:t>
      </w:r>
      <w:r>
        <w:rPr>
          <w:sz w:val="20"/>
          <w:szCs w:val="20"/>
        </w:rPr>
        <w:t>he SEC and the DOJ have increased their enforcement activities with respect to the FCPA. The UK Bribery Act is an anti-corruption law that is broader in scope than the FCPA and applies to all companies with a nexus to the United Kingdom. Disclosures of FCP</w:t>
      </w:r>
      <w:r>
        <w:rPr>
          <w:sz w:val="20"/>
          <w:szCs w:val="20"/>
        </w:rPr>
        <w:t>A violations may be shared with the UK authorities, thus potentially exposing companies to liability and potential penalties in multiple jurisdictions. We have internal control policies and procedures and conduct training and compliance programs for our em</w:t>
      </w:r>
      <w:r>
        <w:rPr>
          <w:sz w:val="20"/>
          <w:szCs w:val="20"/>
        </w:rPr>
        <w:t>ployees to deter prohibited practices. However, if our employees or agents fail to comply with applicable laws governing our international operations, we may face investigations, prosecutions and other legal proceedings and actions which could result in ci</w:t>
      </w:r>
      <w:r>
        <w:rPr>
          <w:sz w:val="20"/>
          <w:szCs w:val="20"/>
        </w:rPr>
        <w:t>vil penalties, administrative remedies and criminal sanctions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also are subject to regulation by OFAC. OFAC administers and enforces economic and trade sanctions based on U.S. foreign policy and national security goals against targeted foreign countrie</w:t>
      </w:r>
      <w:r>
        <w:rPr>
          <w:sz w:val="20"/>
          <w:szCs w:val="20"/>
        </w:rPr>
        <w:t>s and regimes, terrorists, international narcotics traffickers, those engaged in activities related to the proliferation of weapons of mass destruction, and other threats to the national security</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w:t>
      </w:r>
      <w:r>
        <w:rPr>
          <w:sz w:val="20"/>
          <w:szCs w:val="20"/>
        </w:rPr>
        <w:t>7</w:t>
      </w:r>
    </w:p>
    <w:p w:rsidR="00000000" w:rsidRDefault="00AF2D19">
      <w:pPr>
        <w:rPr>
          <w:rFonts w:eastAsia="Times New Roman"/>
        </w:rPr>
      </w:pPr>
      <w:r>
        <w:rPr>
          <w:rFonts w:eastAsia="Times New Roman"/>
        </w:rPr>
        <w:pict>
          <v:rect id="_x0000_i1044"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foreign policy or economy of the United States. In addition, we may be subject to similar regulations in the non-U.S. jurisdictions in which we operate</w:t>
      </w:r>
      <w:r>
        <w:rPr>
          <w:sz w:val="20"/>
          <w:szCs w:val="20"/>
        </w:rPr>
        <w:t>.</w:t>
      </w:r>
    </w:p>
    <w:p w:rsidR="00000000" w:rsidRDefault="00AF2D19">
      <w:pPr>
        <w:pStyle w:val="a3"/>
        <w:spacing w:before="240" w:beforeAutospacing="0" w:after="0" w:afterAutospacing="0"/>
        <w:rPr>
          <w:sz w:val="20"/>
          <w:szCs w:val="20"/>
        </w:rPr>
      </w:pPr>
      <w:r>
        <w:rPr>
          <w:b/>
          <w:bCs/>
          <w:sz w:val="20"/>
          <w:szCs w:val="20"/>
        </w:rPr>
        <w:t>Intellectual Propert</w:t>
      </w:r>
      <w:r>
        <w:rPr>
          <w:b/>
          <w:bCs/>
          <w:sz w:val="20"/>
          <w:szCs w:val="20"/>
        </w:rPr>
        <w:t>y</w:t>
      </w:r>
    </w:p>
    <w:p w:rsidR="00000000" w:rsidRDefault="00AF2D19">
      <w:pPr>
        <w:pStyle w:val="a3"/>
        <w:spacing w:before="120" w:beforeAutospacing="0" w:after="0" w:afterAutospacing="0"/>
        <w:jc w:val="both"/>
        <w:rPr>
          <w:sz w:val="20"/>
          <w:szCs w:val="20"/>
        </w:rPr>
      </w:pPr>
      <w:r>
        <w:rPr>
          <w:sz w:val="20"/>
          <w:szCs w:val="20"/>
        </w:rPr>
        <w:t>It is important to our business that we establish,</w:t>
      </w:r>
      <w:r>
        <w:rPr>
          <w:sz w:val="20"/>
          <w:szCs w:val="20"/>
        </w:rPr>
        <w:t xml:space="preserve"> protect and enforce our intellectual property. We rely on a combination of patent, copyright, trademark and trade secret laws as well as confidentiality procedures, contractual provisions and other legal rights to establish and enforce our brand, propriet</w:t>
      </w:r>
      <w:r>
        <w:rPr>
          <w:sz w:val="20"/>
          <w:szCs w:val="20"/>
        </w:rPr>
        <w:t>ary technology and other intellectual property rights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w:t>
      </w:r>
      <w:r>
        <w:rPr>
          <w:sz w:val="20"/>
          <w:szCs w:val="20"/>
        </w:rPr>
        <w:t>s</w:t>
      </w:r>
      <w:r>
        <w:rPr>
          <w:sz w:val="20"/>
          <w:szCs w:val="20"/>
        </w:rPr>
        <w:t xml:space="preserve"> of February 21, 2022, the Company has been approved for one patent related to</w:t>
      </w:r>
      <w:r>
        <w:rPr>
          <w:sz w:val="20"/>
          <w:szCs w:val="20"/>
        </w:rPr>
        <w:t xml:space="preserve"> </w:t>
      </w:r>
      <w:r>
        <w:rPr>
          <w:sz w:val="20"/>
          <w:szCs w:val="20"/>
        </w:rPr>
        <w:t>“</w:t>
      </w:r>
      <w:r>
        <w:rPr>
          <w:sz w:val="20"/>
          <w:szCs w:val="20"/>
        </w:rPr>
        <w:t>System and Method in Monitoring Engagemen</w:t>
      </w:r>
      <w:r>
        <w:rPr>
          <w:sz w:val="20"/>
          <w:szCs w:val="20"/>
        </w:rPr>
        <w:t>t</w:t>
      </w:r>
      <w:r>
        <w:rPr>
          <w:sz w:val="20"/>
          <w:szCs w:val="20"/>
        </w:rPr>
        <w:t>”</w:t>
      </w:r>
      <w:r>
        <w:rPr>
          <w:sz w:val="20"/>
          <w:szCs w:val="20"/>
        </w:rPr>
        <w:t xml:space="preserve"> which relates to the tracking of therapeutic progress between therapist an</w:t>
      </w:r>
      <w:r>
        <w:rPr>
          <w:sz w:val="20"/>
          <w:szCs w:val="20"/>
        </w:rPr>
        <w:t>d client. We also have one patent that is pending and several other conditional applications in the United States. We intend to continue to apply for additional patents relating to our software and technology. We cannot assure you whether any of our patent</w:t>
      </w:r>
      <w:r>
        <w:rPr>
          <w:sz w:val="20"/>
          <w:szCs w:val="20"/>
        </w:rPr>
        <w:t xml:space="preserve"> applications will result in the issuance of a patent or whether the examination process will require us to narrow our claims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own and use trademarks and service marks on or in connection with our business and services, includin</w:t>
      </w:r>
      <w:r>
        <w:rPr>
          <w:sz w:val="20"/>
          <w:szCs w:val="20"/>
        </w:rPr>
        <w:t>g</w:t>
      </w:r>
      <w:r>
        <w:rPr>
          <w:sz w:val="20"/>
          <w:szCs w:val="20"/>
        </w:rPr>
        <w:t xml:space="preserve"> both unregistered marks and registered trademarks in the United States. In addition, we rely on other forms of intellectual property protection includ</w:t>
      </w:r>
      <w:r>
        <w:rPr>
          <w:sz w:val="20"/>
          <w:szCs w:val="20"/>
        </w:rPr>
        <w:t>ing trade secrets, know-how and other unpatented proprietary processes, in each case in support of our business.</w:t>
      </w:r>
      <w:r>
        <w:rPr>
          <w:sz w:val="20"/>
          <w:szCs w:val="20"/>
        </w:rPr>
        <w:t xml:space="preserve"> </w:t>
      </w:r>
      <w:r>
        <w:rPr>
          <w:sz w:val="20"/>
          <w:szCs w:val="20"/>
        </w:rPr>
        <w:t>We make efforts to maintain and protect our intellectual property and the proprietary aspects of our products and technologies, including throu</w:t>
      </w:r>
      <w:r>
        <w:rPr>
          <w:sz w:val="20"/>
          <w:szCs w:val="20"/>
        </w:rPr>
        <w:t>gh the use of nondisclosure agreements and the monitoring of our competitors. Although we take steps to protect our trade secrets and know-how, third parties may independently develop or otherwise gain access to our trade secrets and know-how by lawful mea</w:t>
      </w:r>
      <w:r>
        <w:rPr>
          <w:sz w:val="20"/>
          <w:szCs w:val="20"/>
        </w:rPr>
        <w:t>ns. We require our employees, consultants and certain of our contractors to execute confidentiality agreements in connection with their employment or consulting relationships with us but these agreements may not provide meaningful protection, and we cannot</w:t>
      </w:r>
      <w:r>
        <w:rPr>
          <w:sz w:val="20"/>
          <w:szCs w:val="20"/>
        </w:rPr>
        <w:t xml:space="preserve"> guarantee that we have executed such agreements with all applicable counterparties. Furthermore, these agreements also may be breached, and we may not have an adequate remedy for any such breach. We also require our employees and consultants to disclose a</w:t>
      </w:r>
      <w:r>
        <w:rPr>
          <w:sz w:val="20"/>
          <w:szCs w:val="20"/>
        </w:rPr>
        <w:t>nd assign to us inventions conceived during the term of their employment or engagement while using our property or which relate to our business. We also license certain intellectual property rights that are used in our business from third parties</w:t>
      </w:r>
      <w:r>
        <w:rPr>
          <w:sz w:val="20"/>
          <w:szCs w:val="20"/>
        </w:rPr>
        <w:t>.</w:t>
      </w:r>
    </w:p>
    <w:p w:rsidR="00000000" w:rsidRDefault="00AF2D19">
      <w:pPr>
        <w:pStyle w:val="a3"/>
        <w:spacing w:before="120" w:beforeAutospacing="0" w:after="0" w:afterAutospacing="0"/>
        <w:jc w:val="both"/>
        <w:rPr>
          <w:sz w:val="20"/>
          <w:szCs w:val="20"/>
        </w:rPr>
      </w:pPr>
      <w:r>
        <w:rPr>
          <w:sz w:val="20"/>
          <w:szCs w:val="20"/>
        </w:rPr>
        <w:t>From tim</w:t>
      </w:r>
      <w:r>
        <w:rPr>
          <w:sz w:val="20"/>
          <w:szCs w:val="20"/>
        </w:rPr>
        <w:t>e to time, we may become involved in legal proceedings relating to intellectual property arising in the ordinary course of our business, including oppositions to our applications for patents, trademarks, challenges to the validity of our intellectual prope</w:t>
      </w:r>
      <w:r>
        <w:rPr>
          <w:sz w:val="20"/>
          <w:szCs w:val="20"/>
        </w:rPr>
        <w:t xml:space="preserve">rty rights, and claims of intellectual property infringement. We are not presently a party to any such legal proceedings that, in the opinion of our management, would individually or taken together have a material adverse effect on our business, financial </w:t>
      </w:r>
      <w:r>
        <w:rPr>
          <w:sz w:val="20"/>
          <w:szCs w:val="20"/>
        </w:rPr>
        <w:t>condition, results of operations or cash flows</w:t>
      </w:r>
      <w:r>
        <w:rPr>
          <w:sz w:val="20"/>
          <w:szCs w:val="20"/>
        </w:rPr>
        <w:t>.</w:t>
      </w:r>
    </w:p>
    <w:p w:rsidR="00000000" w:rsidRDefault="00AF2D19">
      <w:pPr>
        <w:pStyle w:val="a3"/>
        <w:spacing w:before="240" w:beforeAutospacing="0" w:after="0" w:afterAutospacing="0"/>
        <w:rPr>
          <w:sz w:val="20"/>
          <w:szCs w:val="20"/>
        </w:rPr>
      </w:pPr>
      <w:r>
        <w:rPr>
          <w:b/>
          <w:bCs/>
          <w:sz w:val="20"/>
          <w:szCs w:val="20"/>
        </w:rPr>
        <w:t>Additional Informatio</w:t>
      </w:r>
      <w:r>
        <w:rPr>
          <w:b/>
          <w:bCs/>
          <w:sz w:val="20"/>
          <w:szCs w:val="20"/>
        </w:rPr>
        <w:t>n</w:t>
      </w:r>
    </w:p>
    <w:p w:rsidR="00000000" w:rsidRDefault="00AF2D19">
      <w:pPr>
        <w:pStyle w:val="a3"/>
        <w:spacing w:before="120" w:beforeAutospacing="0" w:after="0" w:afterAutospacing="0"/>
        <w:jc w:val="both"/>
        <w:rPr>
          <w:sz w:val="20"/>
          <w:szCs w:val="20"/>
        </w:rPr>
      </w:pPr>
      <w:r>
        <w:rPr>
          <w:sz w:val="20"/>
          <w:szCs w:val="20"/>
        </w:rPr>
        <w:t>Talkspace was originally incorporated as Hudson Executive Investment Corp. (“HEC”), a special purpose acquisition company, in Delaware on October 30, 2019 for the purpose of entering in</w:t>
      </w:r>
      <w:r>
        <w:rPr>
          <w:sz w:val="20"/>
          <w:szCs w:val="20"/>
        </w:rPr>
        <w:t>to a merger, share exchange, asset acquisition, stock purchase, recapitalization or other similar business combination with one or more businesses or entities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On January 12, 2021, HEC, entered into an Agreement and Plan of Merger, dated as of January 12,</w:t>
      </w:r>
      <w:r>
        <w:rPr>
          <w:sz w:val="20"/>
          <w:szCs w:val="20"/>
        </w:rPr>
        <w:t xml:space="preserve"> 2021 (the “Merger Agreement”), with Groop Internet Platform, Inc. (“Old Talkspace”), Tailwind Merger Sub I, Inc., a Delaware corporation and a direct wholly owned subsidiary of HEC (“First Merger Sub”), and Tailwind Merger Sub II, LLC, a Delaware limited </w:t>
      </w:r>
      <w:r>
        <w:rPr>
          <w:sz w:val="20"/>
          <w:szCs w:val="20"/>
        </w:rPr>
        <w:t xml:space="preserve">liability company (“Second Merger Sub”). On June 22, 2021, as contemplated by the Merger Agreement, First Merger Sub merged with and into Old Talkspace (the “First Merger”) with Old Talkspace surviving the First Merger, and immediately following the First </w:t>
      </w:r>
      <w:r>
        <w:rPr>
          <w:sz w:val="20"/>
          <w:szCs w:val="20"/>
        </w:rPr>
        <w:t xml:space="preserve">Merger and as part of the same overall transaction as the First Merger, Old Talkspace merged with and into Second Merger Sub, with Second Merger Sub surviving the merger as a wholly owned subsidiary of HEC (the “Second Merger” and, together with the First </w:t>
      </w:r>
      <w:r>
        <w:rPr>
          <w:sz w:val="20"/>
          <w:szCs w:val="20"/>
        </w:rPr>
        <w:t>Merger, the “Business Combination”). In connection with the Business Combination, HEC filed the Certificate of Incorporation and changed its name to “Talkspace, Inc.”</w:t>
      </w:r>
      <w:r>
        <w:rPr>
          <w:sz w:val="20"/>
          <w:szCs w:val="20"/>
        </w:rPr>
        <w:t>.</w:t>
      </w:r>
    </w:p>
    <w:p w:rsidR="00000000" w:rsidRDefault="00AF2D19">
      <w:pPr>
        <w:pStyle w:val="a3"/>
        <w:spacing w:before="120" w:beforeAutospacing="0" w:after="0" w:afterAutospacing="0"/>
        <w:jc w:val="both"/>
        <w:rPr>
          <w:sz w:val="20"/>
          <w:szCs w:val="20"/>
        </w:rPr>
      </w:pPr>
      <w:r>
        <w:rPr>
          <w:sz w:val="20"/>
          <w:szCs w:val="20"/>
        </w:rPr>
        <w:t xml:space="preserve">Our website address is talkspace.com. We make available free of charge at the investors </w:t>
      </w:r>
      <w:r>
        <w:rPr>
          <w:sz w:val="20"/>
          <w:szCs w:val="20"/>
        </w:rPr>
        <w:t>section of this website our Annual Reports on Form 10-K, Quarterly Reports on Form 10-Q, Current Reports on Form 8-K, other SEC filings and all amendments to those reports filed or furnished to the Securities and Exchange Commission (“SEC”) pursuant to Sec</w:t>
      </w:r>
      <w:r>
        <w:rPr>
          <w:sz w:val="20"/>
          <w:szCs w:val="20"/>
        </w:rPr>
        <w:t>tion 13(a) or 15(d) of the Exchange Act, as soon as reasonably practicable after we file or furnish such materials to the SEC. The information on our website is not, and will not be deemed to be, a part of this Annual Report on Form 10-K or incorporated in</w:t>
      </w:r>
      <w:r>
        <w:rPr>
          <w:sz w:val="20"/>
          <w:szCs w:val="20"/>
        </w:rPr>
        <w:t>to any of our other filings with the SEC, except where we expressly incorporated such information</w:t>
      </w:r>
      <w:r>
        <w:rPr>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w:t>
      </w:r>
      <w:r>
        <w:rPr>
          <w:sz w:val="20"/>
          <w:szCs w:val="20"/>
        </w:rPr>
        <w:t>8</w:t>
      </w:r>
    </w:p>
    <w:p w:rsidR="00000000" w:rsidRDefault="00AF2D19">
      <w:pPr>
        <w:rPr>
          <w:rFonts w:eastAsia="Times New Roman"/>
        </w:rPr>
      </w:pPr>
      <w:r>
        <w:rPr>
          <w:rFonts w:eastAsia="Times New Roman"/>
        </w:rPr>
        <w:pict>
          <v:rect id="_x0000_i104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160" w:beforeAutospacing="0" w:after="0" w:afterAutospacing="0"/>
        <w:rPr>
          <w:sz w:val="20"/>
          <w:szCs w:val="20"/>
        </w:rPr>
      </w:pPr>
      <w:r>
        <w:rPr>
          <w:b/>
          <w:bCs/>
          <w:sz w:val="20"/>
          <w:szCs w:val="20"/>
        </w:rPr>
        <w:t>I</w:t>
      </w:r>
      <w:r>
        <w:rPr>
          <w:b/>
          <w:bCs/>
          <w:sz w:val="20"/>
          <w:szCs w:val="20"/>
        </w:rPr>
        <w:t>t</w:t>
      </w:r>
      <w:r>
        <w:rPr>
          <w:b/>
          <w:bCs/>
          <w:sz w:val="20"/>
          <w:szCs w:val="20"/>
        </w:rPr>
        <w:t>em 1A. RISK FACTOR</w:t>
      </w:r>
      <w:r>
        <w:rPr>
          <w:b/>
          <w:bCs/>
          <w:sz w:val="20"/>
          <w:szCs w:val="20"/>
        </w:rPr>
        <w:t>S</w:t>
      </w:r>
    </w:p>
    <w:p w:rsidR="00000000" w:rsidRDefault="00AF2D19">
      <w:pPr>
        <w:pStyle w:val="a3"/>
        <w:spacing w:before="120" w:beforeAutospacing="0" w:after="0" w:afterAutospacing="0"/>
        <w:jc w:val="both"/>
        <w:rPr>
          <w:sz w:val="20"/>
          <w:szCs w:val="20"/>
        </w:rPr>
      </w:pPr>
      <w:r>
        <w:rPr>
          <w:i/>
          <w:iCs/>
          <w:sz w:val="20"/>
          <w:szCs w:val="20"/>
        </w:rPr>
        <w:t>In the course of conducting our business op</w:t>
      </w:r>
      <w:r>
        <w:rPr>
          <w:i/>
          <w:iCs/>
          <w:sz w:val="20"/>
          <w:szCs w:val="20"/>
        </w:rPr>
        <w:t>erations, we are exposed to a variety of risks. These risks are generally inherent to the healthcare industry or otherwise generally impact virtual behavioral health companies like us. Any of the risk factors we describe below have affected or could materi</w:t>
      </w:r>
      <w:r>
        <w:rPr>
          <w:i/>
          <w:iCs/>
          <w:sz w:val="20"/>
          <w:szCs w:val="20"/>
        </w:rPr>
        <w:t>ally adversely affect our business, financial condition and results of operations. The market price of shares of our common stock could decline, possibly significantly or permanently, if one or more of these risks and uncertainties occurs. Certain statemen</w:t>
      </w:r>
      <w:r>
        <w:rPr>
          <w:i/>
          <w:iCs/>
          <w:sz w:val="20"/>
          <w:szCs w:val="20"/>
        </w:rPr>
        <w:t>ts in “Risk Factors” are forward-looking statements. See “Forward-Looking Statements.</w:t>
      </w:r>
      <w:r>
        <w:rPr>
          <w:i/>
          <w:iCs/>
          <w:sz w:val="20"/>
          <w:szCs w:val="20"/>
        </w:rPr>
        <w:t>”</w:t>
      </w:r>
    </w:p>
    <w:p w:rsidR="00000000" w:rsidRDefault="00AF2D19">
      <w:pPr>
        <w:pStyle w:val="a3"/>
        <w:spacing w:before="120" w:beforeAutospacing="0" w:after="0" w:afterAutospacing="0"/>
        <w:jc w:val="both"/>
        <w:rPr>
          <w:sz w:val="20"/>
          <w:szCs w:val="20"/>
        </w:rPr>
      </w:pPr>
      <w:r>
        <w:rPr>
          <w:i/>
          <w:iCs/>
          <w:sz w:val="20"/>
          <w:szCs w:val="20"/>
        </w:rPr>
        <w:t>Unless the context otherwise requires, all references in this subsection to the “Company,” “we,” “us” or “our” refer to the business of Talkspace, Inc. and its subsidiar</w:t>
      </w:r>
      <w:r>
        <w:rPr>
          <w:i/>
          <w:iCs/>
          <w:sz w:val="20"/>
          <w:szCs w:val="20"/>
        </w:rPr>
        <w:t>ies</w:t>
      </w:r>
      <w:r>
        <w:rPr>
          <w:i/>
          <w:iCs/>
          <w:sz w:val="20"/>
          <w:szCs w:val="20"/>
        </w:rPr>
        <w:t>.</w:t>
      </w:r>
    </w:p>
    <w:p w:rsidR="00000000" w:rsidRDefault="00AF2D19">
      <w:pPr>
        <w:pStyle w:val="a3"/>
        <w:spacing w:before="320" w:beforeAutospacing="0" w:after="0" w:afterAutospacing="0"/>
        <w:jc w:val="both"/>
        <w:rPr>
          <w:sz w:val="20"/>
          <w:szCs w:val="20"/>
        </w:rPr>
      </w:pPr>
      <w:r>
        <w:rPr>
          <w:b/>
          <w:bCs/>
          <w:sz w:val="20"/>
          <w:szCs w:val="20"/>
        </w:rPr>
        <w:t>RISKS RELATED TO OUR OPERATING RESULTS AND EARLY STAGE OF GROWT</w:t>
      </w:r>
      <w:r>
        <w:rPr>
          <w:b/>
          <w:bCs/>
          <w:sz w:val="20"/>
          <w:szCs w:val="20"/>
        </w:rPr>
        <w:t>H</w:t>
      </w:r>
      <w:r>
        <w:rPr>
          <w:b/>
          <w:bCs/>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have a history of losses, which we expect to continue, and we may never achieve or sustain profitability</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We have incurred significant losses in each period since our inception. We </w:t>
      </w:r>
      <w:r>
        <w:rPr>
          <w:sz w:val="20"/>
          <w:szCs w:val="20"/>
        </w:rPr>
        <w:t>incurred net losses of $62.7 million and $22.4 million for the years ended December 31, 2021 and 2020, respectively. As of December 31, 2021, we had an accumulated deficit of $171.5 million. These losses and accumulated deficit reflect the substantial inve</w:t>
      </w:r>
      <w:r>
        <w:rPr>
          <w:sz w:val="20"/>
          <w:szCs w:val="20"/>
        </w:rPr>
        <w:t>stments we made to acquire new clients and members and to develop our technology platform. To date, we have derived a substantial majority of our revenue from clients and members who pay for access to our virtual behavioral health platform, and our longer-</w:t>
      </w:r>
      <w:r>
        <w:rPr>
          <w:sz w:val="20"/>
          <w:szCs w:val="20"/>
        </w:rPr>
        <w:t>term results of operations and continued growth will depend on our ability to successfully develop and market new virtual behavioral health products and services that our clients and members want and are willing to purchase. We intend to continue scaling o</w:t>
      </w:r>
      <w:r>
        <w:rPr>
          <w:sz w:val="20"/>
          <w:szCs w:val="20"/>
        </w:rPr>
        <w:t xml:space="preserve">ur business to increase our client, member and provider bases, broaden the scope of services we offer, invest in research and development and expand the applications of our technology through which clients and members can access our services. Accordingly, </w:t>
      </w:r>
      <w:r>
        <w:rPr>
          <w:sz w:val="20"/>
          <w:szCs w:val="20"/>
        </w:rPr>
        <w:t>we anticipate that cost of revenue and operating expenses will continue to increase in the foreseeable future. These efforts may prove more expensive than we currently anticipate, and we may not succeed in increasing our revenue sufficiently to offset thes</w:t>
      </w:r>
      <w:r>
        <w:rPr>
          <w:sz w:val="20"/>
          <w:szCs w:val="20"/>
        </w:rPr>
        <w:t>e higher expenses. In addition, our results of operations would also suffer if our innovations are not responsive to the needs of our clients and members, appropriately timed with market opportunity, effectively brought to market or do not achieve market a</w:t>
      </w:r>
      <w:r>
        <w:rPr>
          <w:sz w:val="20"/>
          <w:szCs w:val="20"/>
        </w:rPr>
        <w:t>cceptance. We cannot assure you that we will achieve profitability in the future or that, if we do become profitable, we will be able to sustain or increase profitability. Our prior losses, combined with our expected future losses, have had and will contin</w:t>
      </w:r>
      <w:r>
        <w:rPr>
          <w:sz w:val="20"/>
          <w:szCs w:val="20"/>
        </w:rPr>
        <w:t xml:space="preserve">ue to have an adverse effect on our stockholders’ equity and working capital. As a result of these factors, we may need to raise additional capital through debt or equity financings in order to fund our operations, and such capital may not be available on </w:t>
      </w:r>
      <w:r>
        <w:rPr>
          <w:sz w:val="20"/>
          <w:szCs w:val="20"/>
        </w:rPr>
        <w:t>reasonable terms, if at all</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Our business and the markets we operate in are new and rapidly evolving, which makes it difficult to evaluate our future prospects and the risks and challenges we may encounter</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Our business and the markets we operate in are </w:t>
      </w:r>
      <w:r>
        <w:rPr>
          <w:sz w:val="20"/>
          <w:szCs w:val="20"/>
        </w:rPr>
        <w:t>new and rapidly evolving whic</w:t>
      </w:r>
      <w:r>
        <w:rPr>
          <w:sz w:val="20"/>
          <w:szCs w:val="20"/>
        </w:rPr>
        <w:t>h</w:t>
      </w:r>
      <w:r>
        <w:rPr>
          <w:b/>
          <w:bCs/>
          <w:i/>
          <w:iCs/>
          <w:sz w:val="20"/>
          <w:szCs w:val="20"/>
        </w:rPr>
        <w:t xml:space="preserve"> </w:t>
      </w:r>
      <w:r>
        <w:rPr>
          <w:sz w:val="20"/>
          <w:szCs w:val="20"/>
        </w:rPr>
        <w:t>make it difficult to evaluate and assess the success of our business to date, our future prospects and the risks and challenges that we may encounter. These risks and challenges include our ability to</w:t>
      </w:r>
      <w:r>
        <w:rPr>
          <w:sz w:val="20"/>
          <w:szCs w:val="20"/>
        </w:rPr>
        <w:t>:</w:t>
      </w:r>
      <w:r>
        <w:rPr>
          <w:sz w:val="20"/>
          <w:szCs w:val="20"/>
        </w:rPr>
        <w:t xml:space="preserve"> </w:t>
      </w:r>
    </w:p>
    <w:p w:rsidR="00000000" w:rsidRDefault="00AF2D19">
      <w:pPr>
        <w:spacing w:before="120"/>
        <w:ind w:left="3"/>
        <w:jc w:val="both"/>
        <w:divId w:val="1864240895"/>
        <w:rPr>
          <w:rFonts w:eastAsia="Times New Roman"/>
        </w:rPr>
      </w:pPr>
      <w:r>
        <w:rPr>
          <w:rFonts w:eastAsia="Times New Roman"/>
          <w:sz w:val="20"/>
          <w:szCs w:val="20"/>
        </w:rPr>
        <w:t>●</w:t>
      </w:r>
    </w:p>
    <w:p w:rsidR="00000000" w:rsidRDefault="00AF2D19">
      <w:pPr>
        <w:jc w:val="both"/>
        <w:divId w:val="1760101659"/>
        <w:rPr>
          <w:rFonts w:eastAsia="Times New Roman"/>
        </w:rPr>
      </w:pPr>
      <w:r>
        <w:rPr>
          <w:rFonts w:eastAsia="Times New Roman"/>
          <w:sz w:val="20"/>
          <w:szCs w:val="20"/>
        </w:rPr>
        <w:t>attract new clients and members to our platform and position our platform as a convenient and accepted way to access therapy and psychiatry;</w:t>
      </w:r>
      <w:r>
        <w:rPr>
          <w:rFonts w:eastAsia="Times New Roman"/>
          <w:sz w:val="20"/>
          <w:szCs w:val="20"/>
        </w:rPr>
        <w:t xml:space="preserve"> </w:t>
      </w:r>
    </w:p>
    <w:p w:rsidR="00000000" w:rsidRDefault="00AF2D19">
      <w:pPr>
        <w:spacing w:before="120"/>
        <w:ind w:left="3"/>
        <w:jc w:val="both"/>
        <w:divId w:val="289433160"/>
        <w:rPr>
          <w:rFonts w:eastAsia="Times New Roman"/>
        </w:rPr>
      </w:pPr>
      <w:r>
        <w:rPr>
          <w:rFonts w:eastAsia="Times New Roman"/>
          <w:sz w:val="20"/>
          <w:szCs w:val="20"/>
        </w:rPr>
        <w:t>●</w:t>
      </w:r>
    </w:p>
    <w:p w:rsidR="00000000" w:rsidRDefault="00AF2D19">
      <w:pPr>
        <w:jc w:val="both"/>
        <w:divId w:val="1809398118"/>
        <w:rPr>
          <w:rFonts w:eastAsia="Times New Roman"/>
        </w:rPr>
      </w:pPr>
      <w:r>
        <w:rPr>
          <w:rFonts w:eastAsia="Times New Roman"/>
          <w:sz w:val="20"/>
          <w:szCs w:val="20"/>
        </w:rPr>
        <w:t>retain our clients and members and encourage them to continue to utilize our platform and services;</w:t>
      </w:r>
      <w:r>
        <w:rPr>
          <w:rFonts w:eastAsia="Times New Roman"/>
          <w:sz w:val="20"/>
          <w:szCs w:val="20"/>
        </w:rPr>
        <w:t xml:space="preserve"> </w:t>
      </w:r>
    </w:p>
    <w:p w:rsidR="00000000" w:rsidRDefault="00AF2D19">
      <w:pPr>
        <w:spacing w:before="120"/>
        <w:ind w:left="3"/>
        <w:jc w:val="both"/>
        <w:divId w:val="2000424462"/>
        <w:rPr>
          <w:rFonts w:eastAsia="Times New Roman"/>
        </w:rPr>
      </w:pPr>
      <w:r>
        <w:rPr>
          <w:rFonts w:eastAsia="Times New Roman"/>
          <w:sz w:val="20"/>
          <w:szCs w:val="20"/>
        </w:rPr>
        <w:t>●</w:t>
      </w:r>
    </w:p>
    <w:p w:rsidR="00000000" w:rsidRDefault="00AF2D19">
      <w:pPr>
        <w:jc w:val="both"/>
        <w:divId w:val="284317465"/>
        <w:rPr>
          <w:rFonts w:eastAsia="Times New Roman"/>
        </w:rPr>
      </w:pPr>
      <w:r>
        <w:rPr>
          <w:rFonts w:eastAsia="Times New Roman"/>
          <w:sz w:val="20"/>
          <w:szCs w:val="20"/>
        </w:rPr>
        <w:t>attract n</w:t>
      </w:r>
      <w:r>
        <w:rPr>
          <w:rFonts w:eastAsia="Times New Roman"/>
          <w:sz w:val="20"/>
          <w:szCs w:val="20"/>
        </w:rPr>
        <w:t>ew and existing clients and members to rapidly adopt new offerings on our platform;</w:t>
      </w:r>
      <w:r>
        <w:rPr>
          <w:rFonts w:eastAsia="Times New Roman"/>
          <w:sz w:val="20"/>
          <w:szCs w:val="20"/>
        </w:rPr>
        <w:t xml:space="preserve"> </w:t>
      </w:r>
    </w:p>
    <w:p w:rsidR="00000000" w:rsidRDefault="00AF2D19">
      <w:pPr>
        <w:spacing w:before="120"/>
        <w:ind w:left="3"/>
        <w:jc w:val="both"/>
        <w:divId w:val="1540778600"/>
        <w:rPr>
          <w:rFonts w:eastAsia="Times New Roman"/>
        </w:rPr>
      </w:pPr>
      <w:r>
        <w:rPr>
          <w:rFonts w:eastAsia="Times New Roman"/>
          <w:sz w:val="20"/>
          <w:szCs w:val="20"/>
        </w:rPr>
        <w:t>●</w:t>
      </w:r>
    </w:p>
    <w:p w:rsidR="00000000" w:rsidRDefault="00AF2D19">
      <w:pPr>
        <w:jc w:val="both"/>
        <w:divId w:val="863177721"/>
        <w:rPr>
          <w:rFonts w:eastAsia="Times New Roman"/>
        </w:rPr>
      </w:pPr>
      <w:r>
        <w:rPr>
          <w:rFonts w:eastAsia="Times New Roman"/>
          <w:sz w:val="20"/>
          <w:szCs w:val="20"/>
        </w:rPr>
        <w:t>increase the number of clients and members that use our subscription offerings or the number of subscription programs that we manage;</w:t>
      </w:r>
      <w:r>
        <w:rPr>
          <w:rFonts w:eastAsia="Times New Roman"/>
          <w:sz w:val="20"/>
          <w:szCs w:val="20"/>
        </w:rPr>
        <w:t xml:space="preserve"> </w:t>
      </w:r>
    </w:p>
    <w:p w:rsidR="00000000" w:rsidRDefault="00AF2D19">
      <w:pPr>
        <w:spacing w:before="120"/>
        <w:ind w:left="3"/>
        <w:jc w:val="both"/>
        <w:divId w:val="76245563"/>
        <w:rPr>
          <w:rFonts w:eastAsia="Times New Roman"/>
        </w:rPr>
      </w:pPr>
      <w:r>
        <w:rPr>
          <w:rFonts w:eastAsia="Times New Roman"/>
          <w:sz w:val="20"/>
          <w:szCs w:val="20"/>
        </w:rPr>
        <w:t>●</w:t>
      </w:r>
    </w:p>
    <w:p w:rsidR="00000000" w:rsidRDefault="00AF2D19">
      <w:pPr>
        <w:jc w:val="both"/>
        <w:divId w:val="1241524457"/>
        <w:rPr>
          <w:rFonts w:eastAsia="Times New Roman"/>
        </w:rPr>
      </w:pPr>
      <w:r>
        <w:rPr>
          <w:rFonts w:eastAsia="Times New Roman"/>
          <w:sz w:val="20"/>
          <w:szCs w:val="20"/>
        </w:rPr>
        <w:t>retain our clients and members t</w:t>
      </w:r>
      <w:r>
        <w:rPr>
          <w:rFonts w:eastAsia="Times New Roman"/>
          <w:sz w:val="20"/>
          <w:szCs w:val="20"/>
        </w:rPr>
        <w:t>hat subscribe to our subscription offerings;</w:t>
      </w:r>
      <w:r>
        <w:rPr>
          <w:rFonts w:eastAsia="Times New Roman"/>
          <w:sz w:val="20"/>
          <w:szCs w:val="20"/>
        </w:rPr>
        <w:t xml:space="preserve"> </w:t>
      </w:r>
    </w:p>
    <w:p w:rsidR="00000000" w:rsidRDefault="00AF2D19">
      <w:pPr>
        <w:spacing w:before="120"/>
        <w:ind w:left="3"/>
        <w:jc w:val="both"/>
        <w:divId w:val="1787121923"/>
        <w:rPr>
          <w:rFonts w:eastAsia="Times New Roman"/>
        </w:rPr>
      </w:pPr>
      <w:r>
        <w:rPr>
          <w:rFonts w:eastAsia="Times New Roman"/>
          <w:sz w:val="20"/>
          <w:szCs w:val="20"/>
        </w:rPr>
        <w:t>●</w:t>
      </w:r>
    </w:p>
    <w:p w:rsidR="00000000" w:rsidRDefault="00AF2D19">
      <w:pPr>
        <w:jc w:val="both"/>
        <w:divId w:val="1998729025"/>
        <w:rPr>
          <w:rFonts w:eastAsia="Times New Roman"/>
        </w:rPr>
      </w:pPr>
      <w:r>
        <w:rPr>
          <w:rFonts w:eastAsia="Times New Roman"/>
          <w:sz w:val="20"/>
          <w:szCs w:val="20"/>
        </w:rPr>
        <w:t>gain market acceptance of our services and products with clients and members and maintain and expand such relationships;</w:t>
      </w:r>
      <w:r>
        <w:rPr>
          <w:rFonts w:eastAsia="Times New Roman"/>
          <w:sz w:val="20"/>
          <w:szCs w:val="20"/>
        </w:rPr>
        <w:t xml:space="preserve"> </w:t>
      </w:r>
    </w:p>
    <w:p w:rsidR="00000000" w:rsidRDefault="00AF2D19">
      <w:pPr>
        <w:spacing w:before="120"/>
        <w:ind w:left="3"/>
        <w:jc w:val="both"/>
        <w:divId w:val="693000817"/>
        <w:rPr>
          <w:rFonts w:eastAsia="Times New Roman"/>
        </w:rPr>
      </w:pPr>
      <w:r>
        <w:rPr>
          <w:rFonts w:eastAsia="Times New Roman"/>
          <w:sz w:val="20"/>
          <w:szCs w:val="20"/>
        </w:rPr>
        <w:t>●</w:t>
      </w:r>
    </w:p>
    <w:p w:rsidR="00000000" w:rsidRDefault="00AF2D19">
      <w:pPr>
        <w:jc w:val="both"/>
        <w:divId w:val="44716993"/>
        <w:rPr>
          <w:rFonts w:eastAsia="Times New Roman"/>
        </w:rPr>
      </w:pPr>
      <w:r>
        <w:rPr>
          <w:rFonts w:eastAsia="Times New Roman"/>
          <w:sz w:val="20"/>
          <w:szCs w:val="20"/>
        </w:rPr>
        <w:t>attract and retain providers for inclusion in our platform;</w:t>
      </w:r>
      <w:r>
        <w:rPr>
          <w:rFonts w:eastAsia="Times New Roman"/>
          <w:sz w:val="20"/>
          <w:szCs w:val="20"/>
        </w:rPr>
        <w:t xml:space="preserve"> </w:t>
      </w:r>
    </w:p>
    <w:p w:rsidR="00000000" w:rsidRDefault="00AF2D19">
      <w:pPr>
        <w:pStyle w:val="a3"/>
        <w:spacing w:before="0" w:beforeAutospacing="0" w:after="0" w:afterAutospacing="0"/>
        <w:jc w:val="center"/>
        <w:rPr>
          <w:sz w:val="20"/>
          <w:szCs w:val="20"/>
        </w:rPr>
      </w:pPr>
      <w:r>
        <w:rPr>
          <w:sz w:val="20"/>
          <w:szCs w:val="20"/>
        </w:rPr>
        <w:t>1</w:t>
      </w:r>
      <w:r>
        <w:rPr>
          <w:sz w:val="20"/>
          <w:szCs w:val="20"/>
        </w:rPr>
        <w:t>9</w:t>
      </w:r>
    </w:p>
    <w:p w:rsidR="00000000" w:rsidRDefault="00AF2D19">
      <w:pPr>
        <w:rPr>
          <w:rFonts w:eastAsia="Times New Roman"/>
        </w:rPr>
      </w:pPr>
      <w:r>
        <w:rPr>
          <w:rFonts w:eastAsia="Times New Roman"/>
        </w:rPr>
        <w:pict>
          <v:rect id="_x0000_i1046"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spacing w:before="120"/>
        <w:ind w:left="3"/>
        <w:jc w:val="both"/>
        <w:divId w:val="755707208"/>
        <w:rPr>
          <w:rFonts w:eastAsia="Times New Roman"/>
        </w:rPr>
      </w:pPr>
      <w:r>
        <w:rPr>
          <w:rFonts w:eastAsia="Times New Roman"/>
          <w:sz w:val="20"/>
          <w:szCs w:val="20"/>
        </w:rPr>
        <w:t>●</w:t>
      </w:r>
    </w:p>
    <w:p w:rsidR="00000000" w:rsidRDefault="00AF2D19">
      <w:pPr>
        <w:jc w:val="both"/>
        <w:divId w:val="1297107848"/>
        <w:rPr>
          <w:rFonts w:eastAsia="Times New Roman"/>
        </w:rPr>
      </w:pPr>
      <w:r>
        <w:rPr>
          <w:rFonts w:eastAsia="Times New Roman"/>
          <w:sz w:val="20"/>
          <w:szCs w:val="20"/>
        </w:rPr>
        <w:t>comply with existing and new laws and regulations applicable to our business and in our industry;</w:t>
      </w:r>
      <w:r>
        <w:rPr>
          <w:rFonts w:eastAsia="Times New Roman"/>
          <w:sz w:val="20"/>
          <w:szCs w:val="20"/>
        </w:rPr>
        <w:t xml:space="preserve"> </w:t>
      </w:r>
    </w:p>
    <w:p w:rsidR="00000000" w:rsidRDefault="00AF2D19">
      <w:pPr>
        <w:spacing w:before="120"/>
        <w:ind w:left="3"/>
        <w:jc w:val="both"/>
        <w:divId w:val="898901297"/>
        <w:rPr>
          <w:rFonts w:eastAsia="Times New Roman"/>
        </w:rPr>
      </w:pPr>
      <w:r>
        <w:rPr>
          <w:rFonts w:eastAsia="Times New Roman"/>
          <w:sz w:val="20"/>
          <w:szCs w:val="20"/>
        </w:rPr>
        <w:t>●</w:t>
      </w:r>
    </w:p>
    <w:p w:rsidR="00000000" w:rsidRDefault="00AF2D19">
      <w:pPr>
        <w:jc w:val="both"/>
        <w:divId w:val="911820206"/>
        <w:rPr>
          <w:rFonts w:eastAsia="Times New Roman"/>
        </w:rPr>
      </w:pPr>
      <w:r>
        <w:rPr>
          <w:rFonts w:eastAsia="Times New Roman"/>
          <w:sz w:val="20"/>
          <w:szCs w:val="20"/>
        </w:rPr>
        <w:t>anticipate and respond to macroeconomic changes, and industry pricin</w:t>
      </w:r>
      <w:r>
        <w:rPr>
          <w:rFonts w:eastAsia="Times New Roman"/>
          <w:sz w:val="20"/>
          <w:szCs w:val="20"/>
        </w:rPr>
        <w:t>g benchmarks and changes in the markets in which we operate;</w:t>
      </w:r>
      <w:r>
        <w:rPr>
          <w:rFonts w:eastAsia="Times New Roman"/>
          <w:sz w:val="20"/>
          <w:szCs w:val="20"/>
        </w:rPr>
        <w:t xml:space="preserve"> </w:t>
      </w:r>
    </w:p>
    <w:p w:rsidR="00000000" w:rsidRDefault="00AF2D19">
      <w:pPr>
        <w:spacing w:before="120"/>
        <w:ind w:left="3"/>
        <w:jc w:val="both"/>
        <w:divId w:val="580406498"/>
        <w:rPr>
          <w:rFonts w:eastAsia="Times New Roman"/>
        </w:rPr>
      </w:pPr>
      <w:r>
        <w:rPr>
          <w:rFonts w:eastAsia="Times New Roman"/>
          <w:sz w:val="20"/>
          <w:szCs w:val="20"/>
        </w:rPr>
        <w:t>●</w:t>
      </w:r>
    </w:p>
    <w:p w:rsidR="00000000" w:rsidRDefault="00AF2D19">
      <w:pPr>
        <w:jc w:val="both"/>
        <w:divId w:val="1513448829"/>
        <w:rPr>
          <w:rFonts w:eastAsia="Times New Roman"/>
        </w:rPr>
      </w:pPr>
      <w:r>
        <w:rPr>
          <w:rFonts w:eastAsia="Times New Roman"/>
          <w:sz w:val="20"/>
          <w:szCs w:val="20"/>
        </w:rPr>
        <w:t>react to challenges from existing and new competitors;</w:t>
      </w:r>
      <w:r>
        <w:rPr>
          <w:rFonts w:eastAsia="Times New Roman"/>
          <w:sz w:val="20"/>
          <w:szCs w:val="20"/>
        </w:rPr>
        <w:t xml:space="preserve"> </w:t>
      </w:r>
    </w:p>
    <w:p w:rsidR="00000000" w:rsidRDefault="00AF2D19">
      <w:pPr>
        <w:spacing w:before="120"/>
        <w:ind w:left="3"/>
        <w:jc w:val="both"/>
        <w:divId w:val="759521451"/>
        <w:rPr>
          <w:rFonts w:eastAsia="Times New Roman"/>
        </w:rPr>
      </w:pPr>
      <w:r>
        <w:rPr>
          <w:rFonts w:eastAsia="Times New Roman"/>
          <w:sz w:val="20"/>
          <w:szCs w:val="20"/>
        </w:rPr>
        <w:t>●</w:t>
      </w:r>
    </w:p>
    <w:p w:rsidR="00000000" w:rsidRDefault="00AF2D19">
      <w:pPr>
        <w:jc w:val="both"/>
        <w:divId w:val="500896974"/>
        <w:rPr>
          <w:rFonts w:eastAsia="Times New Roman"/>
        </w:rPr>
      </w:pPr>
      <w:r>
        <w:rPr>
          <w:rFonts w:eastAsia="Times New Roman"/>
          <w:sz w:val="20"/>
          <w:szCs w:val="20"/>
        </w:rPr>
        <w:t>maintain and enhance the value of our reputation and brand;</w:t>
      </w:r>
      <w:r>
        <w:rPr>
          <w:rFonts w:eastAsia="Times New Roman"/>
          <w:sz w:val="20"/>
          <w:szCs w:val="20"/>
        </w:rPr>
        <w:t xml:space="preserve"> </w:t>
      </w:r>
    </w:p>
    <w:p w:rsidR="00000000" w:rsidRDefault="00AF2D19">
      <w:pPr>
        <w:spacing w:before="120"/>
        <w:ind w:left="3"/>
        <w:jc w:val="both"/>
        <w:divId w:val="1628049955"/>
        <w:rPr>
          <w:rFonts w:eastAsia="Times New Roman"/>
        </w:rPr>
      </w:pPr>
      <w:r>
        <w:rPr>
          <w:rFonts w:eastAsia="Times New Roman"/>
          <w:sz w:val="20"/>
          <w:szCs w:val="20"/>
        </w:rPr>
        <w:t>●</w:t>
      </w:r>
    </w:p>
    <w:p w:rsidR="00000000" w:rsidRDefault="00AF2D19">
      <w:pPr>
        <w:jc w:val="both"/>
        <w:divId w:val="875657774"/>
        <w:rPr>
          <w:rFonts w:eastAsia="Times New Roman"/>
        </w:rPr>
      </w:pPr>
      <w:r>
        <w:rPr>
          <w:rFonts w:eastAsia="Times New Roman"/>
          <w:sz w:val="20"/>
          <w:szCs w:val="20"/>
        </w:rPr>
        <w:t>effectively manage our growth and business operations;</w:t>
      </w:r>
      <w:r>
        <w:rPr>
          <w:rFonts w:eastAsia="Times New Roman"/>
          <w:sz w:val="20"/>
          <w:szCs w:val="20"/>
        </w:rPr>
        <w:t xml:space="preserve"> </w:t>
      </w:r>
    </w:p>
    <w:p w:rsidR="00000000" w:rsidRDefault="00AF2D19">
      <w:pPr>
        <w:spacing w:before="120"/>
        <w:ind w:left="3"/>
        <w:jc w:val="both"/>
        <w:divId w:val="1885412028"/>
        <w:rPr>
          <w:rFonts w:eastAsia="Times New Roman"/>
        </w:rPr>
      </w:pPr>
      <w:r>
        <w:rPr>
          <w:rFonts w:eastAsia="Times New Roman"/>
          <w:sz w:val="20"/>
          <w:szCs w:val="20"/>
        </w:rPr>
        <w:t>●</w:t>
      </w:r>
    </w:p>
    <w:p w:rsidR="00000000" w:rsidRDefault="00AF2D19">
      <w:pPr>
        <w:jc w:val="both"/>
        <w:divId w:val="1507016518"/>
        <w:rPr>
          <w:rFonts w:eastAsia="Times New Roman"/>
        </w:rPr>
      </w:pPr>
      <w:r>
        <w:rPr>
          <w:rFonts w:eastAsia="Times New Roman"/>
          <w:sz w:val="20"/>
          <w:szCs w:val="20"/>
        </w:rPr>
        <w:t>forecast our revenue and budget for, and manage, our expenses and capital expenditures;</w:t>
      </w:r>
      <w:r>
        <w:rPr>
          <w:rFonts w:eastAsia="Times New Roman"/>
          <w:sz w:val="20"/>
          <w:szCs w:val="20"/>
        </w:rPr>
        <w:t xml:space="preserve"> </w:t>
      </w:r>
    </w:p>
    <w:p w:rsidR="00000000" w:rsidRDefault="00AF2D19">
      <w:pPr>
        <w:spacing w:before="120"/>
        <w:ind w:left="3"/>
        <w:jc w:val="both"/>
        <w:divId w:val="2008629668"/>
        <w:rPr>
          <w:rFonts w:eastAsia="Times New Roman"/>
        </w:rPr>
      </w:pPr>
      <w:r>
        <w:rPr>
          <w:rFonts w:eastAsia="Times New Roman"/>
          <w:sz w:val="20"/>
          <w:szCs w:val="20"/>
        </w:rPr>
        <w:t>●</w:t>
      </w:r>
    </w:p>
    <w:p w:rsidR="00000000" w:rsidRDefault="00AF2D19">
      <w:pPr>
        <w:jc w:val="both"/>
        <w:divId w:val="1024600634"/>
        <w:rPr>
          <w:rFonts w:eastAsia="Times New Roman"/>
        </w:rPr>
      </w:pPr>
      <w:r>
        <w:rPr>
          <w:rFonts w:eastAsia="Times New Roman"/>
          <w:sz w:val="20"/>
          <w:szCs w:val="20"/>
        </w:rPr>
        <w:t>hire, integrate and retain talented people at all levels of our organization;</w:t>
      </w:r>
      <w:r>
        <w:rPr>
          <w:rFonts w:eastAsia="Times New Roman"/>
          <w:sz w:val="20"/>
          <w:szCs w:val="20"/>
        </w:rPr>
        <w:t xml:space="preserve"> </w:t>
      </w:r>
    </w:p>
    <w:p w:rsidR="00000000" w:rsidRDefault="00AF2D19">
      <w:pPr>
        <w:spacing w:before="120"/>
        <w:ind w:left="3"/>
        <w:jc w:val="both"/>
        <w:divId w:val="546796153"/>
        <w:rPr>
          <w:rFonts w:eastAsia="Times New Roman"/>
        </w:rPr>
      </w:pPr>
      <w:r>
        <w:rPr>
          <w:rFonts w:eastAsia="Times New Roman"/>
          <w:sz w:val="20"/>
          <w:szCs w:val="20"/>
        </w:rPr>
        <w:t>●</w:t>
      </w:r>
    </w:p>
    <w:p w:rsidR="00000000" w:rsidRDefault="00AF2D19">
      <w:pPr>
        <w:jc w:val="both"/>
        <w:divId w:val="1238710460"/>
        <w:rPr>
          <w:rFonts w:eastAsia="Times New Roman"/>
        </w:rPr>
      </w:pPr>
      <w:r>
        <w:rPr>
          <w:rFonts w:eastAsia="Times New Roman"/>
          <w:sz w:val="20"/>
          <w:szCs w:val="20"/>
        </w:rPr>
        <w:t xml:space="preserve">maintain and improve the infrastructure underlying our platform, including our apps </w:t>
      </w:r>
      <w:r>
        <w:rPr>
          <w:rFonts w:eastAsia="Times New Roman"/>
          <w:sz w:val="20"/>
          <w:szCs w:val="20"/>
        </w:rPr>
        <w:t>and websites and with respect to data protection, intellectual property and cybersecurity; and</w:t>
      </w:r>
      <w:r>
        <w:rPr>
          <w:rFonts w:eastAsia="Times New Roman"/>
          <w:sz w:val="20"/>
          <w:szCs w:val="20"/>
        </w:rPr>
        <w:t xml:space="preserve"> </w:t>
      </w:r>
    </w:p>
    <w:p w:rsidR="00000000" w:rsidRDefault="00AF2D19">
      <w:pPr>
        <w:spacing w:before="120"/>
        <w:ind w:left="3"/>
        <w:jc w:val="both"/>
        <w:divId w:val="1415784809"/>
        <w:rPr>
          <w:rFonts w:eastAsia="Times New Roman"/>
        </w:rPr>
      </w:pPr>
      <w:r>
        <w:rPr>
          <w:rFonts w:eastAsia="Times New Roman"/>
          <w:sz w:val="20"/>
          <w:szCs w:val="20"/>
        </w:rPr>
        <w:t>●</w:t>
      </w:r>
    </w:p>
    <w:p w:rsidR="00000000" w:rsidRDefault="00AF2D19">
      <w:pPr>
        <w:jc w:val="both"/>
        <w:divId w:val="642270285"/>
        <w:rPr>
          <w:rFonts w:eastAsia="Times New Roman"/>
        </w:rPr>
      </w:pPr>
      <w:r>
        <w:rPr>
          <w:rFonts w:eastAsia="Times New Roman"/>
          <w:sz w:val="20"/>
          <w:szCs w:val="20"/>
        </w:rPr>
        <w:t>successfully update our platform, including expanding our platform and offerings into different healthcare products and services, develop and update our softw</w:t>
      </w:r>
      <w:r>
        <w:rPr>
          <w:rFonts w:eastAsia="Times New Roman"/>
          <w:sz w:val="20"/>
          <w:szCs w:val="20"/>
        </w:rPr>
        <w:t>are, apps, features, offerings and services to benefit our clients and members and enhance their experience.</w:t>
      </w:r>
      <w:r>
        <w:rPr>
          <w:rFonts w:eastAsia="Times New Roman"/>
          <w:sz w:val="20"/>
          <w:szCs w:val="20"/>
        </w:rPr>
        <w:t xml:space="preserve"> </w:t>
      </w:r>
    </w:p>
    <w:p w:rsidR="00000000" w:rsidRDefault="00AF2D19">
      <w:pPr>
        <w:pStyle w:val="a3"/>
        <w:spacing w:before="120" w:beforeAutospacing="0" w:after="0" w:afterAutospacing="0"/>
        <w:jc w:val="both"/>
        <w:rPr>
          <w:sz w:val="20"/>
          <w:szCs w:val="20"/>
        </w:rPr>
      </w:pPr>
      <w:r>
        <w:rPr>
          <w:sz w:val="20"/>
          <w:szCs w:val="20"/>
        </w:rPr>
        <w:t>If we fail to understand fully or adequately address the challenges that we are currently encountering or that we may encounter in the future, inc</w:t>
      </w:r>
      <w:r>
        <w:rPr>
          <w:sz w:val="20"/>
          <w:szCs w:val="20"/>
        </w:rPr>
        <w:t>luding those challenges described here and elsewhere in this “Risk Factors” section, our business, financial condition and results of operations could be adversely affected. If the risks and uncertainties that we plan for when operating our business are in</w:t>
      </w:r>
      <w:r>
        <w:rPr>
          <w:sz w:val="20"/>
          <w:szCs w:val="20"/>
        </w:rPr>
        <w:t>correct or change, or if we fail to manage these risks successfully, our results of operations could differ materially from our expectations and our business, financial condition and results of operations could be adversely affected</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may not grow at th</w:t>
      </w:r>
      <w:r>
        <w:rPr>
          <w:b/>
          <w:bCs/>
          <w:i/>
          <w:iCs/>
          <w:sz w:val="20"/>
          <w:szCs w:val="20"/>
        </w:rPr>
        <w:t>e rates we historically have achieved or at all, even if our key metrics may indicate growth, which could have a material adverse effect on the market price of our common stock</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have experienced significant growth in the last several years, and therefo</w:t>
      </w:r>
      <w:r>
        <w:rPr>
          <w:sz w:val="20"/>
          <w:szCs w:val="20"/>
        </w:rPr>
        <w:t>re our recent revenue growth rate and financial performance should not be considered indicative of our future performance. For the year ended December 31, 2021 and 2020, our revenue was $113.7 million and $76.2 million, respectively, representing a 49.2% g</w:t>
      </w:r>
      <w:r>
        <w:rPr>
          <w:sz w:val="20"/>
          <w:szCs w:val="20"/>
        </w:rPr>
        <w:t xml:space="preserve">rowth rate. In addition, as a result of the COVID-19 pandemic, we have experienced a significant increase in revenue. The circumstances that have accelerated the growth of our business stemming from the effects of the COVID-19 pandemic may not continue in </w:t>
      </w:r>
      <w:r>
        <w:rPr>
          <w:sz w:val="20"/>
          <w:szCs w:val="20"/>
        </w:rPr>
        <w:t>the future, and future revenues may not grow at these same rates or may decline. For example, during the quarter ended December 31, 2021, revenues from our B2C business declined compared to the previous quarter. You should not rely on our revenue or key bu</w:t>
      </w:r>
      <w:r>
        <w:rPr>
          <w:sz w:val="20"/>
          <w:szCs w:val="20"/>
        </w:rPr>
        <w:t>siness metrics for any previous quarterly or annual period as any indication of our revenue, revenue growth, key business metrics, or key business metrics growth in future periods. In particular, our revenue growth rate has fluctuated in prior periods. Our</w:t>
      </w:r>
      <w:r>
        <w:rPr>
          <w:sz w:val="20"/>
          <w:szCs w:val="20"/>
        </w:rPr>
        <w:t xml:space="preserve"> future growth will depend, in part, on our ability to grow our revenue from existing clients and members, to acquire potential future clients and members, to expand our client, member and provider bases, to develop new products and services and to expand </w:t>
      </w:r>
      <w:r>
        <w:rPr>
          <w:sz w:val="20"/>
          <w:szCs w:val="20"/>
        </w:rPr>
        <w:t>internationally. We can provide no assurances that we will be successful in executing on these growth strategies or that, even if our key metrics would indicate future growth, we will continue to grow our revenue or to generate net income. Our ability to e</w:t>
      </w:r>
      <w:r>
        <w:rPr>
          <w:sz w:val="20"/>
          <w:szCs w:val="20"/>
        </w:rPr>
        <w:t>xecute on our existing sales pipeline, create additional sales pipelines, and expand our client and member bases depends on, among other things, the attractiveness of our services relative to those offered by our competitors, our ability to demonstrate the</w:t>
      </w:r>
      <w:r>
        <w:rPr>
          <w:sz w:val="20"/>
          <w:szCs w:val="20"/>
        </w:rPr>
        <w:t xml:space="preserve"> value of our existing and future services, and our ability to attract and retain a sufficient number of qualified sales and marketing leadership and support personnel. In addition, our existing clients and members may be slower to adopt our services than </w:t>
      </w:r>
      <w:r>
        <w:rPr>
          <w:sz w:val="20"/>
          <w:szCs w:val="20"/>
        </w:rPr>
        <w:t>we currently anticipate, which could adversely affect our results of operations and growth prospects</w:t>
      </w:r>
      <w:r>
        <w:rPr>
          <w:sz w:val="20"/>
          <w:szCs w:val="20"/>
        </w:rPr>
        <w:t>.</w:t>
      </w:r>
    </w:p>
    <w:p w:rsidR="00000000" w:rsidRDefault="00AF2D19">
      <w:pPr>
        <w:pStyle w:val="a3"/>
        <w:spacing w:before="240" w:beforeAutospacing="0" w:after="0" w:afterAutospacing="0"/>
        <w:jc w:val="both"/>
        <w:rPr>
          <w:sz w:val="20"/>
          <w:szCs w:val="20"/>
        </w:rPr>
      </w:pPr>
      <w:r>
        <w:rPr>
          <w:b/>
          <w:bCs/>
          <w:i/>
          <w:iCs/>
          <w:sz w:val="20"/>
          <w:szCs w:val="20"/>
        </w:rPr>
        <w:t>We may experience difficulties in managing our growth and expanding our operations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expect to experience significant growth in the scope of our operat</w:t>
      </w:r>
      <w:r>
        <w:rPr>
          <w:sz w:val="20"/>
          <w:szCs w:val="20"/>
        </w:rPr>
        <w:t xml:space="preserve">ions. Our ability to manage our operations and future growth will require us to continue to improve our operational, financial and management controls, compliance programs and reporting systems. We may not be able to implement improvements in an efficient </w:t>
      </w:r>
      <w:r>
        <w:rPr>
          <w:sz w:val="20"/>
          <w:szCs w:val="20"/>
        </w:rPr>
        <w:t>or timely manner and may discover deficiencies in existing controls, programs, systems and procedures, which could have an adverse effect on our business, reputation and financial results. Additionally, rapid growth in our business may place a strain on ou</w:t>
      </w:r>
      <w:r>
        <w:rPr>
          <w:sz w:val="20"/>
          <w:szCs w:val="20"/>
        </w:rPr>
        <w:t>r human and capital resources</w:t>
      </w:r>
      <w:r>
        <w:rPr>
          <w:sz w:val="20"/>
          <w:szCs w:val="20"/>
        </w:rPr>
        <w:t>.</w:t>
      </w:r>
    </w:p>
    <w:p w:rsidR="00000000" w:rsidRDefault="00AF2D19">
      <w:pPr>
        <w:pStyle w:val="a3"/>
        <w:spacing w:before="0" w:beforeAutospacing="0" w:after="0" w:afterAutospacing="0"/>
        <w:jc w:val="center"/>
        <w:rPr>
          <w:sz w:val="20"/>
          <w:szCs w:val="20"/>
        </w:rPr>
      </w:pPr>
      <w:r>
        <w:rPr>
          <w:sz w:val="20"/>
          <w:szCs w:val="20"/>
        </w:rPr>
        <w:t>2</w:t>
      </w:r>
      <w:r>
        <w:rPr>
          <w:sz w:val="20"/>
          <w:szCs w:val="20"/>
        </w:rPr>
        <w:t>0</w:t>
      </w:r>
    </w:p>
    <w:p w:rsidR="00000000" w:rsidRDefault="00AF2D19">
      <w:pPr>
        <w:rPr>
          <w:rFonts w:eastAsia="Times New Roman"/>
        </w:rPr>
      </w:pPr>
      <w:r>
        <w:rPr>
          <w:rFonts w:eastAsia="Times New Roman"/>
        </w:rPr>
        <w:pict>
          <v:rect id="_x0000_i1047"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sz w:val="20"/>
          <w:szCs w:val="20"/>
        </w:rPr>
        <w:t>RISKS RELATED TO OUR BUSINESS AND INDUSTR</w:t>
      </w:r>
      <w:r>
        <w:rPr>
          <w:b/>
          <w:bCs/>
          <w:sz w:val="20"/>
          <w:szCs w:val="20"/>
        </w:rPr>
        <w:t>Y</w:t>
      </w:r>
      <w:r>
        <w:rPr>
          <w:b/>
          <w:bCs/>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The virtual behavioral health market is immature and volatile, and if it does not develop, if</w:t>
      </w:r>
      <w:r>
        <w:rPr>
          <w:b/>
          <w:bCs/>
          <w:i/>
          <w:iCs/>
          <w:sz w:val="20"/>
          <w:szCs w:val="20"/>
        </w:rPr>
        <w:t xml:space="preserve"> it develops more slowly than we expect, if we encounter negative publicity or if our services are not competitive, the growth of our business will be harmed</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virtual behavioral health market is relatively new and unproven, and it is uncertain whether</w:t>
      </w:r>
      <w:r>
        <w:rPr>
          <w:sz w:val="20"/>
          <w:szCs w:val="20"/>
        </w:rPr>
        <w:t xml:space="preserve"> it will achieve and sustain high levels of demand, consumer acceptance and market adoption. Our success will depend to a substantial extent on the willingness of our clients and members to use, and to increase the frequency and extent of their utilization</w:t>
      </w:r>
      <w:r>
        <w:rPr>
          <w:sz w:val="20"/>
          <w:szCs w:val="20"/>
        </w:rPr>
        <w:t xml:space="preserve"> of, our services and products, as well as on our ability to demonstrate the value of virtual behavioral healthcare to employers, health plans, government agencies and other purchasers of healthcare for beneficiaries. Our market may depend on our clients a</w:t>
      </w:r>
      <w:r>
        <w:rPr>
          <w:sz w:val="20"/>
          <w:szCs w:val="20"/>
        </w:rPr>
        <w:t>nd members’ ability to obtain reimbursement from third-party payors, such as health plans and government agencies, as well as our ability to expand our B2B business and contract for direct reimbursement of our services from employers and health plan client</w:t>
      </w:r>
      <w:r>
        <w:rPr>
          <w:sz w:val="20"/>
          <w:szCs w:val="20"/>
        </w:rPr>
        <w:t>s. Third-party payors in the United States may decline or reduce reimbursement for telehealth and teletherapy services, especially those provided through text messaging or other means via technology, and compliance with administrative procedures or require</w:t>
      </w:r>
      <w:r>
        <w:rPr>
          <w:sz w:val="20"/>
          <w:szCs w:val="20"/>
        </w:rPr>
        <w:t>ments of third-party payors may result in delays in processing approvals by those payors for members to obtain coverage for our services. Failure by our members to obtain or maintain coverage or our inability to secure adequate reimbursement for our servic</w:t>
      </w:r>
      <w:r>
        <w:rPr>
          <w:sz w:val="20"/>
          <w:szCs w:val="20"/>
        </w:rPr>
        <w:t>es could have an adverse effect on our business, results of operations, and financial conditions. We derive a portion of our revenues from third-party payors, and we expect that this amount will continue to increase, so any reductions in reimbursement by t</w:t>
      </w:r>
      <w:r>
        <w:rPr>
          <w:sz w:val="20"/>
          <w:szCs w:val="20"/>
        </w:rPr>
        <w:t>hird-party payors could have a material and adverse impact on our projected growth. In addition, negative publicity concerning our services or the virtual behavioral health market as a whole could limit market acceptance of our services. If our clients and</w:t>
      </w:r>
      <w:r>
        <w:rPr>
          <w:sz w:val="20"/>
          <w:szCs w:val="20"/>
        </w:rPr>
        <w:t xml:space="preserve"> members do not perceive the benefits of our services and drive member engagement, or if our services are not competitive, then our market may not develop at all, or it may develop more slowly than we expect. Similarly, individual and healthcare industry c</w:t>
      </w:r>
      <w:r>
        <w:rPr>
          <w:sz w:val="20"/>
          <w:szCs w:val="20"/>
        </w:rPr>
        <w:t>oncerns or negative publicity regarding patient confidentiality and privacy in the context of virtual behavioral healthcare could limit market acceptance of our services. If any of these events occurs, it could have a material adverse effect on our busines</w:t>
      </w:r>
      <w:r>
        <w:rPr>
          <w:sz w:val="20"/>
          <w:szCs w:val="20"/>
        </w:rPr>
        <w:t>s, financial condition or results of operations</w:t>
      </w:r>
      <w:r>
        <w:rPr>
          <w:sz w:val="20"/>
          <w:szCs w:val="20"/>
        </w:rPr>
        <w:t>.</w:t>
      </w:r>
    </w:p>
    <w:p w:rsidR="00000000" w:rsidRDefault="00AF2D19">
      <w:pPr>
        <w:pStyle w:val="a3"/>
        <w:spacing w:before="240" w:beforeAutospacing="0" w:after="0" w:afterAutospacing="0"/>
        <w:jc w:val="both"/>
        <w:rPr>
          <w:sz w:val="20"/>
          <w:szCs w:val="20"/>
        </w:rPr>
      </w:pPr>
      <w:r>
        <w:rPr>
          <w:b/>
          <w:bCs/>
          <w:i/>
          <w:iCs/>
          <w:sz w:val="20"/>
          <w:szCs w:val="20"/>
        </w:rPr>
        <w:t>The outbreak of the novel coronavirus (COVID-19) and its impact on business and economic conditions could adversely affect our business, results of operations and financial condition, and the extent and dura</w:t>
      </w:r>
      <w:r>
        <w:rPr>
          <w:b/>
          <w:bCs/>
          <w:i/>
          <w:iCs/>
          <w:sz w:val="20"/>
          <w:szCs w:val="20"/>
        </w:rPr>
        <w:t>tion of those effects will be uncertain</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March 2020, the World Health Organization declared COVID-19 a global pandemic. This contagious outbreak, which has continued to spread, and the related adverse public health developments, including orders to she</w:t>
      </w:r>
      <w:r>
        <w:rPr>
          <w:sz w:val="20"/>
          <w:szCs w:val="20"/>
        </w:rPr>
        <w:t>lter-in-place, travel restrictions and mandated business closures, have adversely affected workforces, organizations, consumers, economies and financial markets globally, leading to an economic downturn and increased market volatility. It has also disrupte</w:t>
      </w:r>
      <w:r>
        <w:rPr>
          <w:sz w:val="20"/>
          <w:szCs w:val="20"/>
        </w:rPr>
        <w:t>d the normal operations of many businesses, including ours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As a result of the COVID-19 pandemic, our personnel are working remotely, and it is possible that this could have a negative impact on the execution of our business plans and operations. If a nat</w:t>
      </w:r>
      <w:r>
        <w:rPr>
          <w:sz w:val="20"/>
          <w:szCs w:val="20"/>
        </w:rPr>
        <w:t>ural disaster, power outage, connectivity issue, or other event occurred that impacted our employees’ ability to work remotely, it may be difficult or, in certain cases, impossible, for us to continue our business for a substantial period of time. The incr</w:t>
      </w:r>
      <w:r>
        <w:rPr>
          <w:sz w:val="20"/>
          <w:szCs w:val="20"/>
        </w:rPr>
        <w:t>ease in remote working may also result in consumer privacy, IT security and fraud concerns as well as increase our exposure to potential wage and hour issues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cannot predict with any certainty whether and to what degree the impact caused by the COVID-1</w:t>
      </w:r>
      <w:r>
        <w:rPr>
          <w:sz w:val="20"/>
          <w:szCs w:val="20"/>
        </w:rPr>
        <w:t>9 pandemic and reactions thereto will continue which may contribute to difficulty accurately predicting our internal financial forecasts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outbreak also presents challenges as our workforce is working remotely in helping new and existing clients, members and other consumers, many of whom are also generally working remotely</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It is not possible for us to accurately predict the duration or </w:t>
      </w:r>
      <w:r>
        <w:rPr>
          <w:sz w:val="20"/>
          <w:szCs w:val="20"/>
        </w:rPr>
        <w:t>magnitude of the results of the COVID-19 and its effects on our business, results of operations or financial condition at this time, but such effects may be material. The COVID-19 pandemic may also have the effect of heightening many of the other risks ide</w:t>
      </w:r>
      <w:r>
        <w:rPr>
          <w:sz w:val="20"/>
          <w:szCs w:val="20"/>
        </w:rPr>
        <w:t>ntified elsewhere in this section</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Rapid technological change in our industry presents us with significant risks and challenges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virtual behavioral health market is characterized by rapid technological change, changing consumer requirements, short pr</w:t>
      </w:r>
      <w:r>
        <w:rPr>
          <w:sz w:val="20"/>
          <w:szCs w:val="20"/>
        </w:rPr>
        <w:t>oduct lifecycles and evolving industry standards. Our success will depend on our ability to enhance our solution with next-generation technologies and to develop or to acquire and market new services to access new client and member populations. There is no</w:t>
      </w:r>
      <w:r>
        <w:rPr>
          <w:sz w:val="20"/>
          <w:szCs w:val="20"/>
        </w:rPr>
        <w:t xml:space="preserve"> guarantee that we will possess the resources, either financial or personnel, for the research, design and development of new applications or services, or that we will be able to utilize these resources successfully and avoid technological or marke</w:t>
      </w:r>
      <w:r>
        <w:rPr>
          <w:sz w:val="20"/>
          <w:szCs w:val="20"/>
        </w:rPr>
        <w:t>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2</w:t>
      </w:r>
      <w:r>
        <w:rPr>
          <w:sz w:val="20"/>
          <w:szCs w:val="20"/>
        </w:rPr>
        <w:t>1</w:t>
      </w:r>
    </w:p>
    <w:p w:rsidR="00000000" w:rsidRDefault="00AF2D19">
      <w:pPr>
        <w:rPr>
          <w:rFonts w:eastAsia="Times New Roman"/>
        </w:rPr>
      </w:pPr>
      <w:r>
        <w:rPr>
          <w:rFonts w:eastAsia="Times New Roman"/>
        </w:rPr>
        <w:pict>
          <v:rect id="_x0000_i1048"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obsolescence. Further, there can be no assurance that technological advances by one or more of our competitors or future competitors will not result in our present or future software-based products and services becoming uncompetitive or obsolete</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opera</w:t>
      </w:r>
      <w:r>
        <w:rPr>
          <w:b/>
          <w:bCs/>
          <w:i/>
          <w:iCs/>
          <w:sz w:val="20"/>
          <w:szCs w:val="20"/>
        </w:rPr>
        <w:t>te in a competitive industry, and if we are not able to compete effectively, our business, financial condition and results of operations will be harmed</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While the virtual behavioral health market is in an early stage of development, it is competitive and </w:t>
      </w:r>
      <w:r>
        <w:rPr>
          <w:sz w:val="20"/>
          <w:szCs w:val="20"/>
        </w:rPr>
        <w:t>we expect it to attract increased competition, which could make it difficult for us to succeed. We currently face competition from a range of companies, including specialized software and solution providers that offer similar solutions and that are continu</w:t>
      </w:r>
      <w:r>
        <w:rPr>
          <w:sz w:val="20"/>
          <w:szCs w:val="20"/>
        </w:rPr>
        <w:t>ing to develop additional products and becoming more sophisticated and effective. These competitors include American Well Corporation, Teladoc, Included Health, MDLive, BetterHelp, Lyra Health and Headspace. In addition, large, well-financed health systems</w:t>
      </w:r>
      <w:r>
        <w:rPr>
          <w:sz w:val="20"/>
          <w:szCs w:val="20"/>
        </w:rPr>
        <w:t xml:space="preserve"> and health plans have in some cases developed their own telehealth and teletherapy tools and may provide these solutions to their consumer at discounted prices. Competition may also increase from large technology companies, such as Apple, Amazon, Meta, Go</w:t>
      </w:r>
      <w:r>
        <w:rPr>
          <w:sz w:val="20"/>
          <w:szCs w:val="20"/>
        </w:rPr>
        <w:t>ogle, Verizon, or Microsoft, who may wish to develop their own virtual behavioral health solutions, as well as from large retailers like Amazon or Walmart. The surge in interest in virtual behavioral healthcare, including as a result of the COVID-19 pandem</w:t>
      </w:r>
      <w:r>
        <w:rPr>
          <w:sz w:val="20"/>
          <w:szCs w:val="20"/>
        </w:rPr>
        <w:t>ic, and in particular the relaxation of HIPAA privacy and security requirements, has also attracted new competition from providers who utilize consumer-grade video conferencing platforms such as Zoom and Twilio. Competition from large software companies or</w:t>
      </w:r>
      <w:r>
        <w:rPr>
          <w:sz w:val="20"/>
          <w:szCs w:val="20"/>
        </w:rPr>
        <w:t xml:space="preserve"> other specialized solution providers, health systems and health plans, communication tools and other parties could result in continued pricing pressures, which is likely to lead to price declines in certain product segments, which could negatively impact </w:t>
      </w:r>
      <w:r>
        <w:rPr>
          <w:sz w:val="20"/>
          <w:szCs w:val="20"/>
        </w:rPr>
        <w:t>our sales, profitability and market share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Some of our competitors may have greater name recognition, longer operating histories and significantly greater resources than we do. Further, our current or potential competitors may be acquired by third parties</w:t>
      </w:r>
      <w:r>
        <w:rPr>
          <w:sz w:val="20"/>
          <w:szCs w:val="20"/>
        </w:rPr>
        <w:t xml:space="preserve"> with greater available resources. As a result, our competitors may be able to respond more quickly and effectively than we can to new or changing opportunities, technologies, standards or consumer requirements and may have the ability to initiate or withs</w:t>
      </w:r>
      <w:r>
        <w:rPr>
          <w:sz w:val="20"/>
          <w:szCs w:val="20"/>
        </w:rPr>
        <w:t>tand substantial price competition. In addition, current and potential competitors have established, and may in the future establish, cooperative relationships with vendors of complementary products, technologies or services to increase the availability of</w:t>
      </w:r>
      <w:r>
        <w:rPr>
          <w:sz w:val="20"/>
          <w:szCs w:val="20"/>
        </w:rPr>
        <w:t xml:space="preserve"> their solutions in the marketplace. Accordingly, new competitors or alliances may emerge that have greater market share, a larger consumer base, more widely adopted proprietary technologies, greater marketing expertise, greater financial resources and lar</w:t>
      </w:r>
      <w:r>
        <w:rPr>
          <w:sz w:val="20"/>
          <w:szCs w:val="20"/>
        </w:rPr>
        <w:t>ger sales forces than we have, which could put us at a competitive disadvantage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Our competitors could also be better positioned to serve certain segments of the virtual behavioral health market, which could create additional price pressure. In addition, </w:t>
      </w:r>
      <w:r>
        <w:rPr>
          <w:sz w:val="20"/>
          <w:szCs w:val="20"/>
        </w:rPr>
        <w:t>many healthcare provider organizations are consolidating to create integrated healthcare delivery systems with greater market power. As provider networks and managed care organizations consolidate, thus decreasing the number of market participants, competi</w:t>
      </w:r>
      <w:r>
        <w:rPr>
          <w:sz w:val="20"/>
          <w:szCs w:val="20"/>
        </w:rPr>
        <w:t>tion to provide products and services like ours could become more intense, and the importance of establishing and maintaining relationships with key industry participants could increase. These industry participants may try to use their market power to nego</w:t>
      </w:r>
      <w:r>
        <w:rPr>
          <w:sz w:val="20"/>
          <w:szCs w:val="20"/>
        </w:rPr>
        <w:t>tiate price reductions for our products and services. In light of these factors, even if our solution is more effective than those of our competitors, current or potential clients and members may accept competitive solutions in lieu of purchasing our solut</w:t>
      </w:r>
      <w:r>
        <w:rPr>
          <w:sz w:val="20"/>
          <w:szCs w:val="20"/>
        </w:rPr>
        <w:t>ion. If we are unable to successfully compete in the virtual behavioral health market, our business, financial condition and results of operations could be materially adversely affected</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If growth in the number of clients and members or providers on our p</w:t>
      </w:r>
      <w:r>
        <w:rPr>
          <w:b/>
          <w:bCs/>
          <w:i/>
          <w:iCs/>
          <w:sz w:val="20"/>
          <w:szCs w:val="20"/>
        </w:rPr>
        <w:t>latform decreases, or the number of products or services that we are able to sell to our clients and members decreases, due to legal, economic or business developments, our business, financial condition and results of operations will be harmed</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current</w:t>
      </w:r>
      <w:r>
        <w:rPr>
          <w:sz w:val="20"/>
          <w:szCs w:val="20"/>
        </w:rPr>
        <w:t>ly generate most of our revenues from members who purchase subscription access to our platform. These subscriptions generally have stated initial terms of one-to-six months. We also generate revenues from our enterprise clients, which contracts generally h</w:t>
      </w:r>
      <w:r>
        <w:rPr>
          <w:sz w:val="20"/>
          <w:szCs w:val="20"/>
        </w:rPr>
        <w:t>ave stated initial terms of one year, unless earlier terminated subject to notice and other requirements. Most of our clients and members have no obligation to renew their subscriptions for our services after the initial term expires. In addition, our clie</w:t>
      </w:r>
      <w:r>
        <w:rPr>
          <w:sz w:val="20"/>
          <w:szCs w:val="20"/>
        </w:rPr>
        <w:t>nts may negotiate terms less advantageous to us upon renewal, which may reduce our revenue from these clients. Additionally, as we grow our client and member bases, we will need to maintain and grow our network of providers. Certain of our providers are pe</w:t>
      </w:r>
      <w:r>
        <w:rPr>
          <w:sz w:val="20"/>
          <w:szCs w:val="20"/>
        </w:rPr>
        <w:t>rmitted to provide services on other platforms, and therefore, our success will be dependent on our ability to retain and recruit highly trained and licensed therapists, psychiatrists and other providers to our platform. Additionally, our future results of</w:t>
      </w:r>
      <w:r>
        <w:rPr>
          <w:sz w:val="20"/>
          <w:szCs w:val="20"/>
        </w:rPr>
        <w:t xml:space="preserve"> operations depend, in part, on our ability to expand our services and offerings, including broadening our continuum of care. If our clients and members fail to renew their contracts, renew their contracts upon less favorable terms or at lower fee levels o</w:t>
      </w:r>
      <w:r>
        <w:rPr>
          <w:sz w:val="20"/>
          <w:szCs w:val="20"/>
        </w:rPr>
        <w:t>r fail to purchase new products and services from us, our revenue may decline or our future revenue growth may be constrained</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2</w:t>
      </w:r>
      <w:r>
        <w:rPr>
          <w:sz w:val="20"/>
          <w:szCs w:val="20"/>
        </w:rPr>
        <w:t>2</w:t>
      </w:r>
    </w:p>
    <w:p w:rsidR="00000000" w:rsidRDefault="00AF2D19">
      <w:pPr>
        <w:rPr>
          <w:rFonts w:eastAsia="Times New Roman"/>
        </w:rPr>
      </w:pPr>
      <w:r>
        <w:rPr>
          <w:rFonts w:eastAsia="Times New Roman"/>
        </w:rPr>
        <w:pict>
          <v:rect id="_x0000_i1049"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Additional factors that could affect ou</w:t>
      </w:r>
      <w:r>
        <w:rPr>
          <w:sz w:val="20"/>
          <w:szCs w:val="20"/>
        </w:rPr>
        <w:t>r ability to sell products and services include, but are not limited to</w:t>
      </w:r>
      <w:r>
        <w:rPr>
          <w:sz w:val="20"/>
          <w:szCs w:val="20"/>
        </w:rPr>
        <w:t>:</w:t>
      </w:r>
      <w:r>
        <w:rPr>
          <w:sz w:val="20"/>
          <w:szCs w:val="20"/>
        </w:rPr>
        <w:t xml:space="preserve"> </w:t>
      </w:r>
    </w:p>
    <w:p w:rsidR="00000000" w:rsidRDefault="00AF2D19">
      <w:pPr>
        <w:spacing w:before="120"/>
        <w:ind w:left="3"/>
        <w:jc w:val="both"/>
        <w:divId w:val="1661346022"/>
        <w:rPr>
          <w:rFonts w:eastAsia="Times New Roman"/>
        </w:rPr>
      </w:pPr>
      <w:r>
        <w:rPr>
          <w:rFonts w:eastAsia="Times New Roman"/>
          <w:sz w:val="20"/>
          <w:szCs w:val="20"/>
        </w:rPr>
        <w:t>●</w:t>
      </w:r>
    </w:p>
    <w:p w:rsidR="00000000" w:rsidRDefault="00AF2D19">
      <w:pPr>
        <w:jc w:val="both"/>
        <w:divId w:val="1098060924"/>
        <w:rPr>
          <w:rFonts w:eastAsia="Times New Roman"/>
        </w:rPr>
      </w:pPr>
      <w:r>
        <w:rPr>
          <w:rFonts w:eastAsia="Times New Roman"/>
          <w:sz w:val="20"/>
          <w:szCs w:val="20"/>
        </w:rPr>
        <w:t>price, performance and functionality of our solution;</w:t>
      </w:r>
      <w:r>
        <w:rPr>
          <w:rFonts w:eastAsia="Times New Roman"/>
          <w:sz w:val="20"/>
          <w:szCs w:val="20"/>
        </w:rPr>
        <w:t xml:space="preserve"> </w:t>
      </w:r>
    </w:p>
    <w:p w:rsidR="00000000" w:rsidRDefault="00AF2D19">
      <w:pPr>
        <w:spacing w:before="120"/>
        <w:ind w:left="3"/>
        <w:jc w:val="both"/>
        <w:divId w:val="1779372468"/>
        <w:rPr>
          <w:rFonts w:eastAsia="Times New Roman"/>
        </w:rPr>
      </w:pPr>
      <w:r>
        <w:rPr>
          <w:rFonts w:eastAsia="Times New Roman"/>
          <w:sz w:val="20"/>
          <w:szCs w:val="20"/>
        </w:rPr>
        <w:t>●</w:t>
      </w:r>
    </w:p>
    <w:p w:rsidR="00000000" w:rsidRDefault="00AF2D19">
      <w:pPr>
        <w:jc w:val="both"/>
        <w:divId w:val="677655038"/>
        <w:rPr>
          <w:rFonts w:eastAsia="Times New Roman"/>
        </w:rPr>
      </w:pPr>
      <w:r>
        <w:rPr>
          <w:rFonts w:eastAsia="Times New Roman"/>
          <w:sz w:val="20"/>
          <w:szCs w:val="20"/>
        </w:rPr>
        <w:t>availability, price, performance and functionality of competing solutions;</w:t>
      </w:r>
      <w:r>
        <w:rPr>
          <w:rFonts w:eastAsia="Times New Roman"/>
          <w:sz w:val="20"/>
          <w:szCs w:val="20"/>
        </w:rPr>
        <w:t xml:space="preserve"> </w:t>
      </w:r>
    </w:p>
    <w:p w:rsidR="00000000" w:rsidRDefault="00AF2D19">
      <w:pPr>
        <w:spacing w:before="120"/>
        <w:ind w:left="3"/>
        <w:jc w:val="both"/>
        <w:divId w:val="409736489"/>
        <w:rPr>
          <w:rFonts w:eastAsia="Times New Roman"/>
        </w:rPr>
      </w:pPr>
      <w:r>
        <w:rPr>
          <w:rFonts w:eastAsia="Times New Roman"/>
          <w:sz w:val="20"/>
          <w:szCs w:val="20"/>
        </w:rPr>
        <w:t>●</w:t>
      </w:r>
    </w:p>
    <w:p w:rsidR="00000000" w:rsidRDefault="00AF2D19">
      <w:pPr>
        <w:jc w:val="both"/>
        <w:divId w:val="891355707"/>
        <w:rPr>
          <w:rFonts w:eastAsia="Times New Roman"/>
        </w:rPr>
      </w:pPr>
      <w:r>
        <w:rPr>
          <w:rFonts w:eastAsia="Times New Roman"/>
          <w:sz w:val="20"/>
          <w:szCs w:val="20"/>
        </w:rPr>
        <w:t>our ability to develop and sell complementary products and services;</w:t>
      </w:r>
      <w:r>
        <w:rPr>
          <w:rFonts w:eastAsia="Times New Roman"/>
          <w:sz w:val="20"/>
          <w:szCs w:val="20"/>
        </w:rPr>
        <w:t xml:space="preserve"> </w:t>
      </w:r>
    </w:p>
    <w:p w:rsidR="00000000" w:rsidRDefault="00AF2D19">
      <w:pPr>
        <w:spacing w:before="120"/>
        <w:ind w:left="3"/>
        <w:jc w:val="both"/>
        <w:divId w:val="195118713"/>
        <w:rPr>
          <w:rFonts w:eastAsia="Times New Roman"/>
        </w:rPr>
      </w:pPr>
      <w:r>
        <w:rPr>
          <w:rFonts w:eastAsia="Times New Roman"/>
          <w:sz w:val="20"/>
          <w:szCs w:val="20"/>
        </w:rPr>
        <w:t>●</w:t>
      </w:r>
    </w:p>
    <w:p w:rsidR="00000000" w:rsidRDefault="00AF2D19">
      <w:pPr>
        <w:jc w:val="both"/>
        <w:divId w:val="1691179068"/>
        <w:rPr>
          <w:rFonts w:eastAsia="Times New Roman"/>
        </w:rPr>
      </w:pPr>
      <w:r>
        <w:rPr>
          <w:rFonts w:eastAsia="Times New Roman"/>
          <w:sz w:val="20"/>
          <w:szCs w:val="20"/>
        </w:rPr>
        <w:t>stability, performance and security of our hosting infrastructure and hosting services; and</w:t>
      </w:r>
      <w:r>
        <w:rPr>
          <w:rFonts w:eastAsia="Times New Roman"/>
          <w:sz w:val="20"/>
          <w:szCs w:val="20"/>
        </w:rPr>
        <w:t xml:space="preserve"> </w:t>
      </w:r>
    </w:p>
    <w:p w:rsidR="00000000" w:rsidRDefault="00AF2D19">
      <w:pPr>
        <w:spacing w:before="120"/>
        <w:ind w:left="3"/>
        <w:jc w:val="both"/>
        <w:divId w:val="1096704537"/>
        <w:rPr>
          <w:rFonts w:eastAsia="Times New Roman"/>
        </w:rPr>
      </w:pPr>
      <w:r>
        <w:rPr>
          <w:rFonts w:eastAsia="Times New Roman"/>
          <w:sz w:val="20"/>
          <w:szCs w:val="20"/>
        </w:rPr>
        <w:t>●</w:t>
      </w:r>
    </w:p>
    <w:p w:rsidR="00000000" w:rsidRDefault="00AF2D19">
      <w:pPr>
        <w:jc w:val="both"/>
        <w:divId w:val="564336693"/>
        <w:rPr>
          <w:rFonts w:eastAsia="Times New Roman"/>
        </w:rPr>
      </w:pPr>
      <w:r>
        <w:rPr>
          <w:rFonts w:eastAsia="Times New Roman"/>
          <w:sz w:val="20"/>
          <w:szCs w:val="20"/>
        </w:rPr>
        <w:t>changes in healthcare laws, regulations or trends.</w:t>
      </w:r>
      <w:r>
        <w:rPr>
          <w:rFonts w:eastAsia="Times New Roman"/>
          <w:sz w:val="20"/>
          <w:szCs w:val="20"/>
        </w:rPr>
        <w:t xml:space="preserve"> </w:t>
      </w:r>
    </w:p>
    <w:p w:rsidR="00000000" w:rsidRDefault="00AF2D19">
      <w:pPr>
        <w:pStyle w:val="a3"/>
        <w:spacing w:before="120" w:beforeAutospacing="0" w:after="0" w:afterAutospacing="0"/>
        <w:jc w:val="both"/>
        <w:rPr>
          <w:sz w:val="20"/>
          <w:szCs w:val="20"/>
        </w:rPr>
      </w:pPr>
      <w:r>
        <w:rPr>
          <w:sz w:val="20"/>
          <w:szCs w:val="20"/>
        </w:rPr>
        <w:t>Any of these consequences could lower</w:t>
      </w:r>
      <w:r>
        <w:rPr>
          <w:sz w:val="20"/>
          <w:szCs w:val="20"/>
        </w:rPr>
        <w:t xml:space="preserve"> retention and have a material adverse effect on our business, financial condition and results of operations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Our future growth and profitability of our business will depend in large part upon the effectiveness and efficiency of our marketing efforts, and</w:t>
      </w:r>
      <w:r>
        <w:rPr>
          <w:b/>
          <w:bCs/>
          <w:i/>
          <w:iCs/>
          <w:sz w:val="20"/>
          <w:szCs w:val="20"/>
        </w:rPr>
        <w:t xml:space="preserve"> our ability to develop brand awareness cost-effectively</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business success depends on our ability to attract and retain clients and members, which significantly depends on our marketing practices. Our future growth and profitability will depend in lar</w:t>
      </w:r>
      <w:r>
        <w:rPr>
          <w:sz w:val="20"/>
          <w:szCs w:val="20"/>
        </w:rPr>
        <w:t>ge part upon the effectiveness and efficiency of our marketing efforts, including our ability to</w:t>
      </w:r>
      <w:r>
        <w:rPr>
          <w:sz w:val="20"/>
          <w:szCs w:val="20"/>
        </w:rPr>
        <w:t>:</w:t>
      </w:r>
      <w:r>
        <w:rPr>
          <w:sz w:val="20"/>
          <w:szCs w:val="20"/>
        </w:rPr>
        <w:t xml:space="preserve"> </w:t>
      </w:r>
    </w:p>
    <w:p w:rsidR="00000000" w:rsidRDefault="00AF2D19">
      <w:pPr>
        <w:spacing w:before="120"/>
        <w:ind w:left="3"/>
        <w:jc w:val="both"/>
        <w:divId w:val="1556814342"/>
        <w:rPr>
          <w:rFonts w:eastAsia="Times New Roman"/>
        </w:rPr>
      </w:pPr>
      <w:r>
        <w:rPr>
          <w:rFonts w:eastAsia="Times New Roman"/>
          <w:sz w:val="20"/>
          <w:szCs w:val="20"/>
        </w:rPr>
        <w:t>●</w:t>
      </w:r>
    </w:p>
    <w:p w:rsidR="00000000" w:rsidRDefault="00AF2D19">
      <w:pPr>
        <w:jc w:val="both"/>
        <w:divId w:val="1894345698"/>
        <w:rPr>
          <w:rFonts w:eastAsia="Times New Roman"/>
        </w:rPr>
      </w:pPr>
      <w:r>
        <w:rPr>
          <w:rFonts w:eastAsia="Times New Roman"/>
          <w:sz w:val="20"/>
          <w:szCs w:val="20"/>
        </w:rPr>
        <w:t>create greater awareness of our brand;</w:t>
      </w:r>
      <w:r>
        <w:rPr>
          <w:rFonts w:eastAsia="Times New Roman"/>
          <w:sz w:val="20"/>
          <w:szCs w:val="20"/>
        </w:rPr>
        <w:t xml:space="preserve"> </w:t>
      </w:r>
    </w:p>
    <w:p w:rsidR="00000000" w:rsidRDefault="00AF2D19">
      <w:pPr>
        <w:spacing w:before="120"/>
        <w:ind w:left="3"/>
        <w:jc w:val="both"/>
        <w:divId w:val="985352254"/>
        <w:rPr>
          <w:rFonts w:eastAsia="Times New Roman"/>
        </w:rPr>
      </w:pPr>
      <w:r>
        <w:rPr>
          <w:rFonts w:eastAsia="Times New Roman"/>
          <w:sz w:val="20"/>
          <w:szCs w:val="20"/>
        </w:rPr>
        <w:t>●</w:t>
      </w:r>
    </w:p>
    <w:p w:rsidR="00000000" w:rsidRDefault="00AF2D19">
      <w:pPr>
        <w:jc w:val="both"/>
        <w:divId w:val="1846897756"/>
        <w:rPr>
          <w:rFonts w:eastAsia="Times New Roman"/>
        </w:rPr>
      </w:pPr>
      <w:r>
        <w:rPr>
          <w:rFonts w:eastAsia="Times New Roman"/>
          <w:sz w:val="20"/>
          <w:szCs w:val="20"/>
        </w:rPr>
        <w:t>identify the most effective and efficient levels of spending in each market, media and specific media vehicle;</w:t>
      </w:r>
      <w:r>
        <w:rPr>
          <w:rFonts w:eastAsia="Times New Roman"/>
          <w:sz w:val="20"/>
          <w:szCs w:val="20"/>
        </w:rPr>
        <w:t xml:space="preserve"> </w:t>
      </w:r>
    </w:p>
    <w:p w:rsidR="00000000" w:rsidRDefault="00AF2D19">
      <w:pPr>
        <w:spacing w:before="120"/>
        <w:ind w:left="3"/>
        <w:jc w:val="both"/>
        <w:divId w:val="397750103"/>
        <w:rPr>
          <w:rFonts w:eastAsia="Times New Roman"/>
        </w:rPr>
      </w:pPr>
      <w:r>
        <w:rPr>
          <w:rFonts w:eastAsia="Times New Roman"/>
          <w:sz w:val="20"/>
          <w:szCs w:val="20"/>
        </w:rPr>
        <w:t>●</w:t>
      </w:r>
    </w:p>
    <w:p w:rsidR="00000000" w:rsidRDefault="00AF2D19">
      <w:pPr>
        <w:jc w:val="both"/>
        <w:divId w:val="77294560"/>
        <w:rPr>
          <w:rFonts w:eastAsia="Times New Roman"/>
        </w:rPr>
      </w:pPr>
      <w:r>
        <w:rPr>
          <w:rFonts w:eastAsia="Times New Roman"/>
          <w:sz w:val="20"/>
          <w:szCs w:val="20"/>
        </w:rPr>
        <w:t>determine the appropriate creative messages and media mix for advertising, marketing and promotional expenditures;</w:t>
      </w:r>
      <w:r>
        <w:rPr>
          <w:rFonts w:eastAsia="Times New Roman"/>
          <w:sz w:val="20"/>
          <w:szCs w:val="20"/>
        </w:rPr>
        <w:t xml:space="preserve"> </w:t>
      </w:r>
    </w:p>
    <w:p w:rsidR="00000000" w:rsidRDefault="00AF2D19">
      <w:pPr>
        <w:spacing w:before="120"/>
        <w:ind w:left="3"/>
        <w:jc w:val="both"/>
        <w:divId w:val="1539471451"/>
        <w:rPr>
          <w:rFonts w:eastAsia="Times New Roman"/>
        </w:rPr>
      </w:pPr>
      <w:r>
        <w:rPr>
          <w:rFonts w:eastAsia="Times New Roman"/>
          <w:sz w:val="20"/>
          <w:szCs w:val="20"/>
        </w:rPr>
        <w:t>●</w:t>
      </w:r>
    </w:p>
    <w:p w:rsidR="00000000" w:rsidRDefault="00AF2D19">
      <w:pPr>
        <w:jc w:val="both"/>
        <w:divId w:val="972559394"/>
        <w:rPr>
          <w:rFonts w:eastAsia="Times New Roman"/>
        </w:rPr>
      </w:pPr>
      <w:r>
        <w:rPr>
          <w:rFonts w:eastAsia="Times New Roman"/>
          <w:sz w:val="20"/>
          <w:szCs w:val="20"/>
        </w:rPr>
        <w:t>effectively manage marketing costs (including creative and media) to maintain acceptable consumer acquisition costs;</w:t>
      </w:r>
      <w:r>
        <w:rPr>
          <w:rFonts w:eastAsia="Times New Roman"/>
          <w:sz w:val="20"/>
          <w:szCs w:val="20"/>
        </w:rPr>
        <w:t xml:space="preserve"> </w:t>
      </w:r>
    </w:p>
    <w:p w:rsidR="00000000" w:rsidRDefault="00AF2D19">
      <w:pPr>
        <w:spacing w:before="120"/>
        <w:ind w:left="3"/>
        <w:jc w:val="both"/>
        <w:divId w:val="922762778"/>
        <w:rPr>
          <w:rFonts w:eastAsia="Times New Roman"/>
        </w:rPr>
      </w:pPr>
      <w:r>
        <w:rPr>
          <w:rFonts w:eastAsia="Times New Roman"/>
          <w:sz w:val="20"/>
          <w:szCs w:val="20"/>
        </w:rPr>
        <w:t>●</w:t>
      </w:r>
    </w:p>
    <w:p w:rsidR="00000000" w:rsidRDefault="00AF2D19">
      <w:pPr>
        <w:jc w:val="both"/>
        <w:divId w:val="1550803533"/>
        <w:rPr>
          <w:rFonts w:eastAsia="Times New Roman"/>
        </w:rPr>
      </w:pPr>
      <w:r>
        <w:rPr>
          <w:rFonts w:eastAsia="Times New Roman"/>
          <w:sz w:val="20"/>
          <w:szCs w:val="20"/>
        </w:rPr>
        <w:t>select the most e</w:t>
      </w:r>
      <w:r>
        <w:rPr>
          <w:rFonts w:eastAsia="Times New Roman"/>
          <w:sz w:val="20"/>
          <w:szCs w:val="20"/>
        </w:rPr>
        <w:t>ffective markets, media and specific media vehicles in which to advertise; and</w:t>
      </w:r>
      <w:r>
        <w:rPr>
          <w:rFonts w:eastAsia="Times New Roman"/>
          <w:sz w:val="20"/>
          <w:szCs w:val="20"/>
        </w:rPr>
        <w:t xml:space="preserve"> </w:t>
      </w:r>
    </w:p>
    <w:p w:rsidR="00000000" w:rsidRDefault="00AF2D19">
      <w:pPr>
        <w:spacing w:before="120"/>
        <w:ind w:left="3"/>
        <w:jc w:val="both"/>
        <w:divId w:val="1566068478"/>
        <w:rPr>
          <w:rFonts w:eastAsia="Times New Roman"/>
        </w:rPr>
      </w:pPr>
      <w:r>
        <w:rPr>
          <w:rFonts w:eastAsia="Times New Roman"/>
          <w:sz w:val="20"/>
          <w:szCs w:val="20"/>
        </w:rPr>
        <w:t>●</w:t>
      </w:r>
    </w:p>
    <w:p w:rsidR="00000000" w:rsidRDefault="00AF2D19">
      <w:pPr>
        <w:jc w:val="both"/>
        <w:divId w:val="2018534579"/>
        <w:rPr>
          <w:rFonts w:eastAsia="Times New Roman"/>
        </w:rPr>
      </w:pPr>
      <w:r>
        <w:rPr>
          <w:rFonts w:eastAsia="Times New Roman"/>
          <w:sz w:val="20"/>
          <w:szCs w:val="20"/>
        </w:rPr>
        <w:t>convert consumer inquiries into clients and members.</w:t>
      </w:r>
      <w:r>
        <w:rPr>
          <w:rFonts w:eastAsia="Times New Roman"/>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believe that developing and maintaining widespread awareness of our brand in a cost-effective manner is critical to a</w:t>
      </w:r>
      <w:r>
        <w:rPr>
          <w:sz w:val="20"/>
          <w:szCs w:val="20"/>
        </w:rPr>
        <w:t>chieving widespread adoption of our solution and attracting new clients and members. Our brand promotion activities may not generate consumer awareness or increase revenue, and even if they do, any increase in revenue may not offset the expenses we incur i</w:t>
      </w:r>
      <w:r>
        <w:rPr>
          <w:sz w:val="20"/>
          <w:szCs w:val="20"/>
        </w:rPr>
        <w:t>n building our brand. If we fail to successfully promote and maintain our brand, or incur substantial expenses in doing so, we may fail to attract or retain clients and members necessary to realize a sufficient return on our brand-building efforts or to ac</w:t>
      </w:r>
      <w:r>
        <w:rPr>
          <w:sz w:val="20"/>
          <w:szCs w:val="20"/>
        </w:rPr>
        <w:t>hieve the widespread brand awareness that is critical for broad adoption of our brands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may be unsuccessful in achieving broad market education and changing consumer purchasing habits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success and future growth largely depend on our ability to inc</w:t>
      </w:r>
      <w:r>
        <w:rPr>
          <w:sz w:val="20"/>
          <w:szCs w:val="20"/>
        </w:rPr>
        <w:t>rease consumer awareness of our platform and offerings, and on the willingness of current and potential clients and members to utilize our platform to access information and behavioral health services. We believe the vast majority of consumers make purchas</w:t>
      </w:r>
      <w:r>
        <w:rPr>
          <w:sz w:val="20"/>
          <w:szCs w:val="20"/>
        </w:rPr>
        <w:t xml:space="preserve">ing decisions for behavioral health services on the basis of traditional factors, such as insurance coverage. This traditional decision-making process does not always account for restrictive and complex insurance plans, high deductibles, expensive co-pays </w:t>
      </w:r>
      <w:r>
        <w:rPr>
          <w:sz w:val="20"/>
          <w:szCs w:val="20"/>
        </w:rPr>
        <w:t>and other factors, such as discounts or savings available at alternative therapists or practices. To effectively market our platform, we must educate consumers about the various purchase options and the benefits of using Talkspace for behavioral healthcare</w:t>
      </w:r>
      <w:r>
        <w:rPr>
          <w:sz w:val="20"/>
          <w:szCs w:val="20"/>
        </w:rPr>
        <w:t>, including when such services may not be covered by their health insurance benefits. We focus our marketing and education efforts on potential clients, members and other consumers, but also aim to educate and inform healthcare providers and other particip</w:t>
      </w:r>
      <w:r>
        <w:rPr>
          <w:sz w:val="20"/>
          <w:szCs w:val="20"/>
        </w:rPr>
        <w:t>ants that interact with consumers, including at the point of purchase. However, we cannot assure you that we will be successful in changing consumer purchasing habits or that we will achieve broad market education or awareness among consumers. Even if we a</w:t>
      </w:r>
      <w:r>
        <w:rPr>
          <w:sz w:val="20"/>
          <w:szCs w:val="20"/>
        </w:rPr>
        <w:t>re able to raise awareness among consumers, they may be slow in changing their habits and may be hesitant to use our platform for a variety of reasons, including</w:t>
      </w:r>
      <w:r>
        <w:rPr>
          <w:sz w:val="20"/>
          <w:szCs w:val="20"/>
        </w:rPr>
        <w:t>:</w:t>
      </w:r>
      <w:r>
        <w:rPr>
          <w:sz w:val="20"/>
          <w:szCs w:val="20"/>
        </w:rPr>
        <w:t xml:space="preserve"> </w:t>
      </w:r>
    </w:p>
    <w:p w:rsidR="00000000" w:rsidRDefault="00AF2D19">
      <w:pPr>
        <w:spacing w:before="120"/>
        <w:ind w:left="3"/>
        <w:jc w:val="both"/>
        <w:divId w:val="2064063178"/>
        <w:rPr>
          <w:rFonts w:eastAsia="Times New Roman"/>
        </w:rPr>
      </w:pPr>
      <w:r>
        <w:rPr>
          <w:rFonts w:eastAsia="Times New Roman"/>
          <w:sz w:val="20"/>
          <w:szCs w:val="20"/>
        </w:rPr>
        <w:t>●</w:t>
      </w:r>
    </w:p>
    <w:p w:rsidR="00000000" w:rsidRDefault="00AF2D19">
      <w:pPr>
        <w:jc w:val="both"/>
        <w:divId w:val="351884791"/>
        <w:rPr>
          <w:rFonts w:eastAsia="Times New Roman"/>
        </w:rPr>
      </w:pPr>
      <w:r>
        <w:rPr>
          <w:rFonts w:eastAsia="Times New Roman"/>
          <w:sz w:val="20"/>
          <w:szCs w:val="20"/>
        </w:rPr>
        <w:t xml:space="preserve">lack of experience with our company and platform, and concerns that we are relatively new </w:t>
      </w:r>
      <w:r>
        <w:rPr>
          <w:rFonts w:eastAsia="Times New Roman"/>
          <w:sz w:val="20"/>
          <w:szCs w:val="20"/>
        </w:rPr>
        <w:t>to the industry;</w:t>
      </w:r>
      <w:r>
        <w:rPr>
          <w:rFonts w:eastAsia="Times New Roman"/>
          <w:sz w:val="20"/>
          <w:szCs w:val="20"/>
        </w:rPr>
        <w:t xml:space="preserve"> </w:t>
      </w:r>
    </w:p>
    <w:p w:rsidR="00000000" w:rsidRDefault="00AF2D19">
      <w:pPr>
        <w:spacing w:before="120"/>
        <w:ind w:left="3"/>
        <w:jc w:val="both"/>
        <w:divId w:val="98528114"/>
        <w:rPr>
          <w:rFonts w:eastAsia="Times New Roman"/>
        </w:rPr>
      </w:pPr>
      <w:r>
        <w:rPr>
          <w:rFonts w:eastAsia="Times New Roman"/>
          <w:sz w:val="20"/>
          <w:szCs w:val="20"/>
        </w:rPr>
        <w:t>●</w:t>
      </w:r>
    </w:p>
    <w:p w:rsidR="00000000" w:rsidRDefault="00AF2D19">
      <w:pPr>
        <w:jc w:val="both"/>
        <w:divId w:val="1113327153"/>
        <w:rPr>
          <w:rFonts w:eastAsia="Times New Roman"/>
        </w:rPr>
      </w:pPr>
      <w:r>
        <w:rPr>
          <w:rFonts w:eastAsia="Times New Roman"/>
          <w:sz w:val="20"/>
          <w:szCs w:val="20"/>
        </w:rPr>
        <w:t>perceived health, safety or quality risks associated with the use of a new platform and applications for therapy and psychiatry;</w:t>
      </w:r>
      <w:r>
        <w:rPr>
          <w:rFonts w:eastAsia="Times New Roman"/>
          <w:sz w:val="20"/>
          <w:szCs w:val="20"/>
        </w:rPr>
        <w:t xml:space="preserve"> </w:t>
      </w:r>
    </w:p>
    <w:p w:rsidR="00000000" w:rsidRDefault="00AF2D19">
      <w:pPr>
        <w:spacing w:before="120"/>
        <w:ind w:left="3"/>
        <w:jc w:val="both"/>
        <w:divId w:val="1546722874"/>
        <w:rPr>
          <w:rFonts w:eastAsia="Times New Roman"/>
        </w:rPr>
      </w:pPr>
      <w:r>
        <w:rPr>
          <w:rFonts w:eastAsia="Times New Roman"/>
          <w:sz w:val="20"/>
          <w:szCs w:val="20"/>
        </w:rPr>
        <w:t>●</w:t>
      </w:r>
    </w:p>
    <w:p w:rsidR="00000000" w:rsidRDefault="00AF2D19">
      <w:pPr>
        <w:jc w:val="both"/>
        <w:divId w:val="192159658"/>
        <w:rPr>
          <w:rFonts w:eastAsia="Times New Roman"/>
        </w:rPr>
      </w:pPr>
      <w:r>
        <w:rPr>
          <w:rFonts w:eastAsia="Times New Roman"/>
          <w:sz w:val="20"/>
          <w:szCs w:val="20"/>
        </w:rPr>
        <w:t>traditional or existing relationships with therapists, psychiatrists or other providers;</w:t>
      </w:r>
      <w:r>
        <w:rPr>
          <w:rFonts w:eastAsia="Times New Roman"/>
          <w:sz w:val="20"/>
          <w:szCs w:val="20"/>
        </w:rPr>
        <w:t xml:space="preserve"> </w:t>
      </w:r>
    </w:p>
    <w:p w:rsidR="00000000" w:rsidRDefault="00AF2D19">
      <w:pPr>
        <w:spacing w:before="120"/>
        <w:ind w:left="3"/>
        <w:jc w:val="both"/>
        <w:divId w:val="1023215385"/>
        <w:rPr>
          <w:rFonts w:eastAsia="Times New Roman"/>
        </w:rPr>
      </w:pPr>
      <w:r>
        <w:rPr>
          <w:rFonts w:eastAsia="Times New Roman"/>
          <w:sz w:val="20"/>
          <w:szCs w:val="20"/>
        </w:rPr>
        <w:t>●</w:t>
      </w:r>
    </w:p>
    <w:p w:rsidR="00000000" w:rsidRDefault="00AF2D19">
      <w:pPr>
        <w:jc w:val="both"/>
        <w:divId w:val="724915838"/>
        <w:rPr>
          <w:rFonts w:eastAsia="Times New Roman"/>
        </w:rPr>
      </w:pPr>
      <w:r>
        <w:rPr>
          <w:rFonts w:eastAsia="Times New Roman"/>
          <w:sz w:val="20"/>
          <w:szCs w:val="20"/>
        </w:rPr>
        <w:t>concerns about the privacy and s</w:t>
      </w:r>
      <w:r>
        <w:rPr>
          <w:rFonts w:eastAsia="Times New Roman"/>
          <w:sz w:val="20"/>
          <w:szCs w:val="20"/>
        </w:rPr>
        <w:t>ecurity of the data that consumers and providers share with or through our platform</w:t>
      </w:r>
      <w:r>
        <w:rPr>
          <w:rFonts w:eastAsia="Times New Roman"/>
          <w:sz w:val="20"/>
          <w:szCs w:val="20"/>
        </w:rPr>
        <w:t>;</w:t>
      </w:r>
    </w:p>
    <w:p w:rsidR="00000000" w:rsidRDefault="00AF2D19">
      <w:pPr>
        <w:pStyle w:val="a3"/>
        <w:spacing w:before="0" w:beforeAutospacing="0" w:after="0" w:afterAutospacing="0"/>
        <w:jc w:val="center"/>
        <w:rPr>
          <w:sz w:val="20"/>
          <w:szCs w:val="20"/>
        </w:rPr>
      </w:pPr>
      <w:r>
        <w:rPr>
          <w:sz w:val="20"/>
          <w:szCs w:val="20"/>
        </w:rPr>
        <w:t>2</w:t>
      </w:r>
      <w:r>
        <w:rPr>
          <w:sz w:val="20"/>
          <w:szCs w:val="20"/>
        </w:rPr>
        <w:t>3</w:t>
      </w:r>
    </w:p>
    <w:p w:rsidR="00000000" w:rsidRDefault="00AF2D19">
      <w:pPr>
        <w:rPr>
          <w:rFonts w:eastAsia="Times New Roman"/>
        </w:rPr>
      </w:pPr>
      <w:r>
        <w:rPr>
          <w:rFonts w:eastAsia="Times New Roman"/>
        </w:rPr>
        <w:pict>
          <v:rect id="_x0000_i105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spacing w:before="120"/>
        <w:ind w:left="3"/>
        <w:jc w:val="both"/>
        <w:divId w:val="463427703"/>
        <w:rPr>
          <w:rFonts w:eastAsia="Times New Roman"/>
        </w:rPr>
      </w:pPr>
      <w:r>
        <w:rPr>
          <w:rFonts w:eastAsia="Times New Roman"/>
          <w:sz w:val="20"/>
          <w:szCs w:val="20"/>
        </w:rPr>
        <w:t>●</w:t>
      </w:r>
    </w:p>
    <w:p w:rsidR="00000000" w:rsidRDefault="00AF2D19">
      <w:pPr>
        <w:jc w:val="both"/>
        <w:divId w:val="1118062864"/>
        <w:rPr>
          <w:rFonts w:eastAsia="Times New Roman"/>
        </w:rPr>
      </w:pPr>
      <w:r>
        <w:rPr>
          <w:rFonts w:eastAsia="Times New Roman"/>
          <w:sz w:val="20"/>
          <w:szCs w:val="20"/>
        </w:rPr>
        <w:t>competition and negative selling efforts from competitors, including competing platforms and price matching programs; and</w:t>
      </w:r>
      <w:r>
        <w:rPr>
          <w:rFonts w:eastAsia="Times New Roman"/>
          <w:sz w:val="20"/>
          <w:szCs w:val="20"/>
        </w:rPr>
        <w:t xml:space="preserve"> </w:t>
      </w:r>
    </w:p>
    <w:p w:rsidR="00000000" w:rsidRDefault="00AF2D19">
      <w:pPr>
        <w:spacing w:before="120"/>
        <w:ind w:left="3"/>
        <w:jc w:val="both"/>
        <w:divId w:val="473911422"/>
        <w:rPr>
          <w:rFonts w:eastAsia="Times New Roman"/>
        </w:rPr>
      </w:pPr>
      <w:r>
        <w:rPr>
          <w:rFonts w:eastAsia="Times New Roman"/>
          <w:sz w:val="20"/>
          <w:szCs w:val="20"/>
        </w:rPr>
        <w:t>●</w:t>
      </w:r>
    </w:p>
    <w:p w:rsidR="00000000" w:rsidRDefault="00AF2D19">
      <w:pPr>
        <w:jc w:val="both"/>
        <w:divId w:val="1907032251"/>
        <w:rPr>
          <w:rFonts w:eastAsia="Times New Roman"/>
        </w:rPr>
      </w:pPr>
      <w:r>
        <w:rPr>
          <w:rFonts w:eastAsia="Times New Roman"/>
          <w:sz w:val="20"/>
          <w:szCs w:val="20"/>
        </w:rPr>
        <w:t>perception regarding the time and complexity of using our platform.</w:t>
      </w:r>
      <w:r>
        <w:rPr>
          <w:rFonts w:eastAsia="Times New Roman"/>
          <w:sz w:val="20"/>
          <w:szCs w:val="20"/>
        </w:rPr>
        <w:t xml:space="preserve"> </w:t>
      </w:r>
    </w:p>
    <w:p w:rsidR="00000000" w:rsidRDefault="00AF2D19">
      <w:pPr>
        <w:pStyle w:val="a3"/>
        <w:spacing w:before="120" w:beforeAutospacing="0" w:after="0" w:afterAutospacing="0"/>
        <w:jc w:val="both"/>
        <w:rPr>
          <w:sz w:val="20"/>
          <w:szCs w:val="20"/>
        </w:rPr>
      </w:pPr>
      <w:r>
        <w:rPr>
          <w:sz w:val="20"/>
          <w:szCs w:val="20"/>
        </w:rPr>
        <w:t>If we fail to achieve broad market education of our platform a</w:t>
      </w:r>
      <w:r>
        <w:rPr>
          <w:sz w:val="20"/>
          <w:szCs w:val="20"/>
        </w:rPr>
        <w:t>nd/or the options for purchasing healthcare products and services, or if we are unsuccessful in changing consumer purchasing habits, our business, financial condition and results of operations would be adversely affected</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Our growth depends in part on the</w:t>
      </w:r>
      <w:r>
        <w:rPr>
          <w:b/>
          <w:bCs/>
          <w:i/>
          <w:iCs/>
          <w:sz w:val="20"/>
          <w:szCs w:val="20"/>
        </w:rPr>
        <w:t xml:space="preserve"> success of our strategic relationships with third parties that we provide services to</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order to grow our business, we anticipate that we will continue to depend on our existing and future relationships with third parties, such as third-party payors, i</w:t>
      </w:r>
      <w:r>
        <w:rPr>
          <w:sz w:val="20"/>
          <w:szCs w:val="20"/>
        </w:rPr>
        <w:t>ncluding health plans and government agencies, as well as our ability to expand our B2B business with employers and health plan clients that we provide services to. Identifying potential clients, and negotiating and documenting relationships with them, req</w:t>
      </w:r>
      <w:r>
        <w:rPr>
          <w:sz w:val="20"/>
          <w:szCs w:val="20"/>
        </w:rPr>
        <w:t>uires significant time and resources. Our competitors may be effective in providing incentives to third parties to favor their products or services or to prevent or reduce subscriptions to, or utilization of, our products and services. In addition, acquisi</w:t>
      </w:r>
      <w:r>
        <w:rPr>
          <w:sz w:val="20"/>
          <w:szCs w:val="20"/>
        </w:rPr>
        <w:t>tions of our clients by our competitors could result in a decrease in the number of our current and potential clients and members, as our clients may no longer facilitate the adoption of our applications by potential members. If we are unsuccessful in esta</w:t>
      </w:r>
      <w:r>
        <w:rPr>
          <w:sz w:val="20"/>
          <w:szCs w:val="20"/>
        </w:rPr>
        <w:t>blishing or maintaining our relationships with third parties that we provide services to, our ability to compete in the marketplace or to grow our revenue could be impaired and our results of operations may suffer. Even if we are successful, we cannot assu</w:t>
      </w:r>
      <w:r>
        <w:rPr>
          <w:sz w:val="20"/>
          <w:szCs w:val="20"/>
        </w:rPr>
        <w:t>re you that these relationships will result in increased client use of our services or increased revenue</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Our virtual behavioral healthcare strategies depend on our ability to maintain and expand our network of therapists, psychiatrists and other provider</w:t>
      </w:r>
      <w:r>
        <w:rPr>
          <w:b/>
          <w:bCs/>
          <w:i/>
          <w:iCs/>
          <w:sz w:val="20"/>
          <w:szCs w:val="20"/>
        </w:rPr>
        <w:t>s. If we are unable to do so, our future growth would be limited and our business, financial condition and results of operations would be harmed</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success is dependent upon our continued ability to maintain a network of highly trained and qualified the</w:t>
      </w:r>
      <w:r>
        <w:rPr>
          <w:sz w:val="20"/>
          <w:szCs w:val="20"/>
        </w:rPr>
        <w:t>rapists, psychiatrists and other providers. If we are unable to recruit and retain licensed therapists, psychiatrists and other providers, it would have a material adverse effect on our business and ability to grow and would adversely affect our results of</w:t>
      </w:r>
      <w:r>
        <w:rPr>
          <w:sz w:val="20"/>
          <w:szCs w:val="20"/>
        </w:rPr>
        <w:t xml:space="preserve"> operations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any particular market, providers could demand higher payments or take other actions that could result in higher medical costs, less attractive service for our clients or members or difficulty meeting regulatory or accreditation requirement</w:t>
      </w:r>
      <w:r>
        <w:rPr>
          <w:sz w:val="20"/>
          <w:szCs w:val="20"/>
        </w:rPr>
        <w: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ability to develop and maintain satisfactory relationships with providers also may be negatively impacted by other factors not associated with us, such as changes in Medicare and/or Medicaid reimbursement levels, state therapist or psychiatrist lic</w:t>
      </w:r>
      <w:r>
        <w:rPr>
          <w:sz w:val="20"/>
          <w:szCs w:val="20"/>
        </w:rPr>
        <w:t>ensing laws and standard of care requirements, and other pressures on healthcare providers and consolidation activity among hospitals, physician groups and healthcare providers. Our failure to maintain or to secure new cost-effective provider contracts may</w:t>
      </w:r>
      <w:r>
        <w:rPr>
          <w:sz w:val="20"/>
          <w:szCs w:val="20"/>
        </w:rPr>
        <w:t xml:space="preserve"> result in a loss of or inability to grow our client and member bases, higher costs, less attractive services for our clients and members and/or difficulty in meeting regulatory or accreditation requirements, any of which could have a material adverse effe</w:t>
      </w:r>
      <w:r>
        <w:rPr>
          <w:sz w:val="20"/>
          <w:szCs w:val="20"/>
        </w:rPr>
        <w:t>ct on our business, financial condition and results of operations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Developments affecting spending by the healthcare industry could adversely affect our business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The U.S. healthcare industry has changed significantly in recent years, and we expect that </w:t>
      </w:r>
      <w:r>
        <w:rPr>
          <w:sz w:val="20"/>
          <w:szCs w:val="20"/>
        </w:rPr>
        <w:t>significant changes will continue to occur. General reductions in expenditures by healthcare industry participants could result from, among other things</w:t>
      </w:r>
      <w:r>
        <w:rPr>
          <w:sz w:val="20"/>
          <w:szCs w:val="20"/>
        </w:rPr>
        <w:t>:</w:t>
      </w:r>
      <w:r>
        <w:rPr>
          <w:sz w:val="20"/>
          <w:szCs w:val="20"/>
        </w:rPr>
        <w:t xml:space="preserve"> </w:t>
      </w:r>
    </w:p>
    <w:p w:rsidR="00000000" w:rsidRDefault="00AF2D19">
      <w:pPr>
        <w:spacing w:before="120"/>
        <w:ind w:left="3"/>
        <w:jc w:val="both"/>
        <w:divId w:val="144975383"/>
        <w:rPr>
          <w:rFonts w:eastAsia="Times New Roman"/>
        </w:rPr>
      </w:pPr>
      <w:r>
        <w:rPr>
          <w:rFonts w:eastAsia="Times New Roman"/>
          <w:sz w:val="20"/>
          <w:szCs w:val="20"/>
        </w:rPr>
        <w:t>●</w:t>
      </w:r>
    </w:p>
    <w:p w:rsidR="00000000" w:rsidRDefault="00AF2D19">
      <w:pPr>
        <w:jc w:val="both"/>
        <w:divId w:val="305548624"/>
        <w:rPr>
          <w:rFonts w:eastAsia="Times New Roman"/>
        </w:rPr>
      </w:pPr>
      <w:r>
        <w:rPr>
          <w:rFonts w:eastAsia="Times New Roman"/>
          <w:sz w:val="20"/>
          <w:szCs w:val="20"/>
        </w:rPr>
        <w:t xml:space="preserve">government regulations or private initiatives that affect the manner in which healthcare providers </w:t>
      </w:r>
      <w:r>
        <w:rPr>
          <w:rFonts w:eastAsia="Times New Roman"/>
          <w:sz w:val="20"/>
          <w:szCs w:val="20"/>
        </w:rPr>
        <w:t>interact with patients, payors or other healthcare industry participants, including changes in pricing or means of delivery of healthcare products and services;</w:t>
      </w:r>
      <w:r>
        <w:rPr>
          <w:rFonts w:eastAsia="Times New Roman"/>
          <w:sz w:val="20"/>
          <w:szCs w:val="20"/>
        </w:rPr>
        <w:t xml:space="preserve"> </w:t>
      </w:r>
    </w:p>
    <w:p w:rsidR="00000000" w:rsidRDefault="00AF2D19">
      <w:pPr>
        <w:spacing w:before="120"/>
        <w:ind w:left="3"/>
        <w:jc w:val="both"/>
        <w:divId w:val="1440225449"/>
        <w:rPr>
          <w:rFonts w:eastAsia="Times New Roman"/>
        </w:rPr>
      </w:pPr>
      <w:r>
        <w:rPr>
          <w:rFonts w:eastAsia="Times New Roman"/>
          <w:sz w:val="20"/>
          <w:szCs w:val="20"/>
        </w:rPr>
        <w:t>●</w:t>
      </w:r>
    </w:p>
    <w:p w:rsidR="00000000" w:rsidRDefault="00AF2D19">
      <w:pPr>
        <w:jc w:val="both"/>
        <w:divId w:val="1276793757"/>
        <w:rPr>
          <w:rFonts w:eastAsia="Times New Roman"/>
        </w:rPr>
      </w:pPr>
      <w:r>
        <w:rPr>
          <w:rFonts w:eastAsia="Times New Roman"/>
          <w:sz w:val="20"/>
          <w:szCs w:val="20"/>
        </w:rPr>
        <w:t>consolidation of healthcare industry participants;</w:t>
      </w:r>
      <w:r>
        <w:rPr>
          <w:rFonts w:eastAsia="Times New Roman"/>
          <w:sz w:val="20"/>
          <w:szCs w:val="20"/>
        </w:rPr>
        <w:t xml:space="preserve"> </w:t>
      </w:r>
    </w:p>
    <w:p w:rsidR="00000000" w:rsidRDefault="00AF2D19">
      <w:pPr>
        <w:spacing w:before="120"/>
        <w:ind w:left="3"/>
        <w:jc w:val="both"/>
        <w:divId w:val="1724252940"/>
        <w:rPr>
          <w:rFonts w:eastAsia="Times New Roman"/>
        </w:rPr>
      </w:pPr>
      <w:r>
        <w:rPr>
          <w:rFonts w:eastAsia="Times New Roman"/>
          <w:sz w:val="20"/>
          <w:szCs w:val="20"/>
        </w:rPr>
        <w:t>●</w:t>
      </w:r>
    </w:p>
    <w:p w:rsidR="00000000" w:rsidRDefault="00AF2D19">
      <w:pPr>
        <w:jc w:val="both"/>
        <w:divId w:val="140737974"/>
        <w:rPr>
          <w:rFonts w:eastAsia="Times New Roman"/>
        </w:rPr>
      </w:pPr>
      <w:r>
        <w:rPr>
          <w:rFonts w:eastAsia="Times New Roman"/>
          <w:sz w:val="20"/>
          <w:szCs w:val="20"/>
        </w:rPr>
        <w:t>federal amendments to, lack of enforcement or development of applicable regulations for, or repeal of The Patient Protection and Affordable Care Act, as amended by the Health Care and Education Reconcil</w:t>
      </w:r>
      <w:r>
        <w:rPr>
          <w:rFonts w:eastAsia="Times New Roman"/>
          <w:sz w:val="20"/>
          <w:szCs w:val="20"/>
        </w:rPr>
        <w:t>iation Act (the “Affordable Care Act” or the “ACA”);</w:t>
      </w:r>
      <w:r>
        <w:rPr>
          <w:rFonts w:eastAsia="Times New Roman"/>
          <w:sz w:val="20"/>
          <w:szCs w:val="20"/>
        </w:rPr>
        <w:t xml:space="preserve"> </w:t>
      </w:r>
    </w:p>
    <w:p w:rsidR="00000000" w:rsidRDefault="00AF2D19">
      <w:pPr>
        <w:spacing w:before="120"/>
        <w:ind w:left="3"/>
        <w:jc w:val="both"/>
        <w:divId w:val="1954289074"/>
        <w:rPr>
          <w:rFonts w:eastAsia="Times New Roman"/>
        </w:rPr>
      </w:pPr>
      <w:r>
        <w:rPr>
          <w:rFonts w:eastAsia="Times New Roman"/>
          <w:sz w:val="20"/>
          <w:szCs w:val="20"/>
        </w:rPr>
        <w:t>●</w:t>
      </w:r>
    </w:p>
    <w:p w:rsidR="00000000" w:rsidRDefault="00AF2D19">
      <w:pPr>
        <w:jc w:val="both"/>
        <w:divId w:val="1526747665"/>
        <w:rPr>
          <w:rFonts w:eastAsia="Times New Roman"/>
        </w:rPr>
      </w:pPr>
      <w:r>
        <w:rPr>
          <w:rFonts w:eastAsia="Times New Roman"/>
          <w:sz w:val="20"/>
          <w:szCs w:val="20"/>
        </w:rPr>
        <w:t>reductions in government funding for healthcare; and</w:t>
      </w:r>
      <w:r>
        <w:rPr>
          <w:rFonts w:eastAsia="Times New Roman"/>
          <w:sz w:val="20"/>
          <w:szCs w:val="20"/>
        </w:rPr>
        <w:t xml:space="preserve"> </w:t>
      </w:r>
    </w:p>
    <w:p w:rsidR="00000000" w:rsidRDefault="00AF2D19">
      <w:pPr>
        <w:spacing w:before="120"/>
        <w:ind w:left="3"/>
        <w:jc w:val="both"/>
        <w:divId w:val="193731931"/>
        <w:rPr>
          <w:rFonts w:eastAsia="Times New Roman"/>
        </w:rPr>
      </w:pPr>
      <w:r>
        <w:rPr>
          <w:rFonts w:eastAsia="Times New Roman"/>
          <w:sz w:val="20"/>
          <w:szCs w:val="20"/>
        </w:rPr>
        <w:t>●</w:t>
      </w:r>
    </w:p>
    <w:p w:rsidR="00000000" w:rsidRDefault="00AF2D19">
      <w:pPr>
        <w:jc w:val="both"/>
        <w:divId w:val="1551771668"/>
        <w:rPr>
          <w:rFonts w:eastAsia="Times New Roman"/>
        </w:rPr>
      </w:pPr>
      <w:r>
        <w:rPr>
          <w:rFonts w:eastAsia="Times New Roman"/>
          <w:sz w:val="20"/>
          <w:szCs w:val="20"/>
        </w:rPr>
        <w:t>adverse changes in business or economic conditions affecting healthcare payors or providers or other healthcare industry participants.</w:t>
      </w:r>
      <w:r>
        <w:rPr>
          <w:rFonts w:eastAsia="Times New Roman"/>
          <w:sz w:val="20"/>
          <w:szCs w:val="20"/>
        </w:rPr>
        <w:t xml:space="preserve"> </w:t>
      </w:r>
    </w:p>
    <w:p w:rsidR="00000000" w:rsidRDefault="00AF2D19">
      <w:pPr>
        <w:pStyle w:val="a3"/>
        <w:spacing w:before="0" w:beforeAutospacing="0" w:after="0" w:afterAutospacing="0"/>
        <w:jc w:val="center"/>
        <w:rPr>
          <w:sz w:val="20"/>
          <w:szCs w:val="20"/>
        </w:rPr>
      </w:pPr>
      <w:r>
        <w:rPr>
          <w:sz w:val="20"/>
          <w:szCs w:val="20"/>
        </w:rPr>
        <w:t>2</w:t>
      </w:r>
      <w:r>
        <w:rPr>
          <w:sz w:val="20"/>
          <w:szCs w:val="20"/>
        </w:rPr>
        <w:t>4</w:t>
      </w:r>
    </w:p>
    <w:p w:rsidR="00000000" w:rsidRDefault="00AF2D19">
      <w:pPr>
        <w:rPr>
          <w:rFonts w:eastAsia="Times New Roman"/>
        </w:rPr>
      </w:pPr>
      <w:r>
        <w:rPr>
          <w:rFonts w:eastAsia="Times New Roman"/>
        </w:rPr>
        <w:pict>
          <v:rect id="_x0000_i1051"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Any of these changes in healthcare spending could adversely affect our revenue. Even if general expenditures by industry participants remain the same or increase, developments</w:t>
      </w:r>
      <w:r>
        <w:rPr>
          <w:sz w:val="20"/>
          <w:szCs w:val="20"/>
        </w:rPr>
        <w:t xml:space="preserve"> in the healthcare industry may result in reduced spending in some or all of the specific market segments that we serve now or in the future. However, the timing and impact of developments in the healthcare industry are difficult to predict. We cannot assu</w:t>
      </w:r>
      <w:r>
        <w:rPr>
          <w:sz w:val="20"/>
          <w:szCs w:val="20"/>
        </w:rPr>
        <w:t>re you that the demand for our solutions and services will continue to exist at current levels or that we will have adequate technical, financial, and marketing resources to react to changes in the healthcare industry</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 xml:space="preserve">Our estimated addressable market is </w:t>
      </w:r>
      <w:r>
        <w:rPr>
          <w:b/>
          <w:bCs/>
          <w:i/>
          <w:iCs/>
          <w:sz w:val="20"/>
          <w:szCs w:val="20"/>
        </w:rPr>
        <w:t>subject to inherent challenges and uncertainties. If we have overestimated the size of our addressable market or the various markets in which we operate, our future growth opportunities may be limited</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total addressable market (“TAM”) is based on inte</w:t>
      </w:r>
      <w:r>
        <w:rPr>
          <w:sz w:val="20"/>
          <w:szCs w:val="20"/>
        </w:rPr>
        <w:t>rnal estimates and third-party estimates regarding the size of each of the U.S. and international behavioral health markets and is subject to significant uncertainty and is based on assumptions that may not prove to be accurate. These estimates, as well as</w:t>
      </w:r>
      <w:r>
        <w:rPr>
          <w:sz w:val="20"/>
          <w:szCs w:val="20"/>
        </w:rPr>
        <w:t xml:space="preserve"> the estimates and forecasts we have previously disclosed relating to the size and expected growth of the markets in which we operate, may change or prove to be inaccurate. While we believe the information on which we base our TAM is generally reliable, su</w:t>
      </w:r>
      <w:r>
        <w:rPr>
          <w:sz w:val="20"/>
          <w:szCs w:val="20"/>
        </w:rPr>
        <w:t>ch information is inherently imprecise. In addition, our expectations, assumptions and estimates of future opportunities are necessarily subject to a high degree of uncertainty and risk due to a variety of factors, including those described herein. If thir</w:t>
      </w:r>
      <w:r>
        <w:rPr>
          <w:sz w:val="20"/>
          <w:szCs w:val="20"/>
        </w:rPr>
        <w:t>d-party or internally generated data prove to be inaccurate or we make errors in our assumptions based on that data, our future growth opportunities may be affected. If our TAM, or the size of any of the various markets in which we operate, proves to be in</w:t>
      </w:r>
      <w:r>
        <w:rPr>
          <w:sz w:val="20"/>
          <w:szCs w:val="20"/>
        </w:rPr>
        <w:t>accurate, our future growth opportunities may be limited and there could be a material adverse effect on our prospects, business, financial condition and results of operations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Negative media coverage could adversely affect our business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receive a sub</w:t>
      </w:r>
      <w:r>
        <w:rPr>
          <w:sz w:val="20"/>
          <w:szCs w:val="20"/>
        </w:rPr>
        <w:t>stantial amount of media coverage in the United States. Unfavorable publicity regarding, among others, the healthcare industry, litigation or regulatory activity, the actions of the entities included or otherwise involved in our platform, virtual behaviora</w:t>
      </w:r>
      <w:r>
        <w:rPr>
          <w:sz w:val="20"/>
          <w:szCs w:val="20"/>
        </w:rPr>
        <w:t>l health services included on our platform or by other industry participants, our data privacy or data security practices, our platform or our revenue could materially adversely affect our reputation. For example, prior to the COVID-19 pandemic and the res</w:t>
      </w:r>
      <w:r>
        <w:rPr>
          <w:sz w:val="20"/>
          <w:szCs w:val="20"/>
        </w:rPr>
        <w:t xml:space="preserve">ulting shift towards the acceptance of telehealth solutions, therapists advocacy groups have lobbied the American Psychological Association to reexamine its stance on telemental health, including challenging our contracts with healthcare providers and the </w:t>
      </w:r>
      <w:r>
        <w:rPr>
          <w:sz w:val="20"/>
          <w:szCs w:val="20"/>
        </w:rPr>
        <w:t>efficacy of telemental health, including the use of text messaging. Therapy services are subject to state law requirements, and some states may prohibit the use of text messaging or other forms of technological modalities in delivering telemental health se</w:t>
      </w:r>
      <w:r>
        <w:rPr>
          <w:sz w:val="20"/>
          <w:szCs w:val="20"/>
        </w:rPr>
        <w:t>rvices. With advice of regulatory counsel, we aim to structure our contracts with healthcare providers and deliver telemental health services in compliance with applicable state laws. However, in response to the COVID-19 pandemic and the limitations it cre</w:t>
      </w:r>
      <w:r>
        <w:rPr>
          <w:sz w:val="20"/>
          <w:szCs w:val="20"/>
        </w:rPr>
        <w:t>ated in delivering behavioral health services through in-person interactions, state and federal regulatory authorities loosened or removed a number of regulatory requirements in order to increase the availability of telehealth and teletherapy services, and</w:t>
      </w:r>
      <w:r>
        <w:rPr>
          <w:sz w:val="20"/>
          <w:szCs w:val="20"/>
        </w:rPr>
        <w:t xml:space="preserve"> both providers and patients have increasingly accepted telemental health as an alternative means of delivering and receiving behavioral health services. In addition, from time to time, news media outlets have provided negative coverage regarding our platf</w:t>
      </w:r>
      <w:r>
        <w:rPr>
          <w:sz w:val="20"/>
          <w:szCs w:val="20"/>
        </w:rPr>
        <w:t>orm and privacy practices and any such negative media coverage, regardless of the accuracy of such reporting, may have an adverse impact on our business and reputation, as well as have an adverse effect on our ability to attract and retain clients, members</w:t>
      </w:r>
      <w:r>
        <w:rPr>
          <w:sz w:val="20"/>
          <w:szCs w:val="20"/>
        </w:rPr>
        <w:t>, other consumers, or employees, and result in decreased revenue, which would materially adversely affect our business, financial condition and results of operations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Use of social media may adversely impact our reputation, subject us to fines or other pe</w:t>
      </w:r>
      <w:r>
        <w:rPr>
          <w:b/>
          <w:bCs/>
          <w:i/>
          <w:iCs/>
          <w:sz w:val="20"/>
          <w:szCs w:val="20"/>
        </w:rPr>
        <w:t>nalties or be an ineffective source to market our offerings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use social media as part of our omnichannel approach to marketing and outreach to clients, members and other consumers. Changes to these social networking services’ terms of use or terms of s</w:t>
      </w:r>
      <w:r>
        <w:rPr>
          <w:sz w:val="20"/>
          <w:szCs w:val="20"/>
        </w:rPr>
        <w:t xml:space="preserve">ervice that limit promotional communications, restrictions that would limit our ability or our clients’ ability to send communications through their services, disruptions or downtime experienced by these social networking services or reductions in the use </w:t>
      </w:r>
      <w:r>
        <w:rPr>
          <w:sz w:val="20"/>
          <w:szCs w:val="20"/>
        </w:rPr>
        <w:t>of or engagement with social networking services by current and potential clients and members could also harm our business. As laws and regulations rapidly evolve to govern the use of these channels, the failure by us, our employees or third parties acting</w:t>
      </w:r>
      <w:r>
        <w:rPr>
          <w:sz w:val="20"/>
          <w:szCs w:val="20"/>
        </w:rPr>
        <w:t xml:space="preserve"> at our direction to abide by applicable laws and regulations in the use of these channels could adversely affect our reputation or subject us to fines or other penalties. In addition, our employees or third parties acting at our direction may knowingly or</w:t>
      </w:r>
      <w:r>
        <w:rPr>
          <w:sz w:val="20"/>
          <w:szCs w:val="20"/>
        </w:rPr>
        <w:t xml:space="preserve"> inadvertently make use of social media in ways that could lead to the loss or infringement of intellectual property, as well as the public disclosure of proprietary, confidential or sensitive personal information of our business, employees, clients, membe</w:t>
      </w:r>
      <w:r>
        <w:rPr>
          <w:sz w:val="20"/>
          <w:szCs w:val="20"/>
        </w:rPr>
        <w:t>rs or others. Any such inappropriate use of social media could also cause reputational damage and adversely affect our business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2</w:t>
      </w:r>
      <w:r>
        <w:rPr>
          <w:sz w:val="20"/>
          <w:szCs w:val="20"/>
        </w:rPr>
        <w:t>5</w:t>
      </w:r>
    </w:p>
    <w:p w:rsidR="00000000" w:rsidRDefault="00AF2D19">
      <w:pPr>
        <w:rPr>
          <w:rFonts w:eastAsia="Times New Roman"/>
        </w:rPr>
      </w:pPr>
      <w:r>
        <w:rPr>
          <w:rFonts w:eastAsia="Times New Roman"/>
        </w:rPr>
        <w:pict>
          <v:rect id="_x0000_i105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rPr>
          <w:sz w:val="20"/>
          <w:szCs w:val="20"/>
        </w:rPr>
      </w:pPr>
      <w:r>
        <w:rPr>
          <w:sz w:val="20"/>
          <w:szCs w:val="20"/>
        </w:rPr>
        <w:t>Our clients and members may engage wi</w:t>
      </w:r>
      <w:r>
        <w:rPr>
          <w:sz w:val="20"/>
          <w:szCs w:val="20"/>
        </w:rPr>
        <w:t>th us online through our social media pages, including, for example, our presence on Facebook, Instagram and Twitter, by providing feedback and public commentary about all aspects of our business. Information concerning us or our platform and offerings, wh</w:t>
      </w:r>
      <w:r>
        <w:rPr>
          <w:sz w:val="20"/>
          <w:szCs w:val="20"/>
        </w:rPr>
        <w:t xml:space="preserve">ether accurate or not, may be posted on social media pages at any time and may have a disproportionately adverse impact on our brand, reputation or business. The harm may be immediate without affording us an opportunity for redress or correction and could </w:t>
      </w:r>
      <w:r>
        <w:rPr>
          <w:sz w:val="20"/>
          <w:szCs w:val="20"/>
        </w:rPr>
        <w:t>have a material adverse effect on our business, financial condition, results of operations and prospects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With respect to our plans for expansion of international operations, we may face political, legal and compliance, operational, regulatory, economic and other risks that we do not face or that are more significant than in our domestic operations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With resp</w:t>
      </w:r>
      <w:r>
        <w:rPr>
          <w:sz w:val="20"/>
          <w:szCs w:val="20"/>
        </w:rPr>
        <w:t>ect to our plans for expansion of international operations, we may face political, legal and compliance, operational, regulatory, economic and other risks that we do not face or that are more significant than in our domestic operations. These risks may var</w:t>
      </w:r>
      <w:r>
        <w:rPr>
          <w:sz w:val="20"/>
          <w:szCs w:val="20"/>
        </w:rPr>
        <w:t>y widely by country and include varying regional and geopolitical business conditions and demands, government intervention and censorship, discriminatory regulation, nationalization or expropriation of assets and pricing constraints. Our future internation</w:t>
      </w:r>
      <w:r>
        <w:rPr>
          <w:sz w:val="20"/>
          <w:szCs w:val="20"/>
        </w:rPr>
        <w:t>al services and products may need to meet country-specific client and member preferences as well as country-specific legal requirements, including those related to healthcare regulatory laws governing telemedicine and teletherapy services, licensing, priva</w:t>
      </w:r>
      <w:r>
        <w:rPr>
          <w:sz w:val="20"/>
          <w:szCs w:val="20"/>
        </w:rPr>
        <w:t>cy, data storage, location, protection and security. The interpretation of these laws is evolving and varies significantly from country to county and are enforced by governmental, judicial and regulatory authorities with broad discretion. We cannot be cert</w:t>
      </w:r>
      <w:r>
        <w:rPr>
          <w:sz w:val="20"/>
          <w:szCs w:val="20"/>
        </w:rPr>
        <w:t>ain that our interpretation of such laws and regulations will be correct in how we plan to structure our international operations, and our arrangements with locally-licensed therapists, psychiatrists or other providers, as well as our international service</w:t>
      </w:r>
      <w:r>
        <w:rPr>
          <w:sz w:val="20"/>
          <w:szCs w:val="20"/>
        </w:rPr>
        <w:t>s agreements and client arrangements. Our plans to expand our international operations will require us to overcome logistical and other challenges based on differing languages, cultures, legal and regulatory schemes and time zones. Our international operat</w:t>
      </w:r>
      <w:r>
        <w:rPr>
          <w:sz w:val="20"/>
          <w:szCs w:val="20"/>
        </w:rPr>
        <w:t>ions may encounter labor laws, customs and employee relationships that can be difficult, less flexible than in our domestic operations and expensive to modify or terminate. In some countries we are required to, or choose to, operate with local business par</w:t>
      </w:r>
      <w:r>
        <w:rPr>
          <w:sz w:val="20"/>
          <w:szCs w:val="20"/>
        </w:rPr>
        <w:t>tners, which will require us to manage our partner relationships and may reduce our operational flexibility and ability to quickly respond to business challenges</w:t>
      </w:r>
      <w:r>
        <w:rPr>
          <w:sz w:val="20"/>
          <w:szCs w:val="20"/>
        </w:rPr>
        <w:t>.</w:t>
      </w:r>
      <w:r>
        <w:rPr>
          <w:sz w:val="20"/>
          <w:szCs w:val="20"/>
        </w:rPr>
        <w:t xml:space="preserve"> </w:t>
      </w:r>
    </w:p>
    <w:p w:rsidR="00000000" w:rsidRDefault="00AF2D19">
      <w:pPr>
        <w:pStyle w:val="a3"/>
        <w:spacing w:before="120" w:beforeAutospacing="0" w:after="0" w:afterAutospacing="0"/>
        <w:rPr>
          <w:sz w:val="20"/>
          <w:szCs w:val="20"/>
        </w:rPr>
      </w:pPr>
      <w:r>
        <w:rPr>
          <w:sz w:val="20"/>
          <w:szCs w:val="20"/>
        </w:rPr>
        <w:t>Our planned international operations may be subject to particular risks in addition to those</w:t>
      </w:r>
      <w:r>
        <w:rPr>
          <w:sz w:val="20"/>
          <w:szCs w:val="20"/>
        </w:rPr>
        <w:t xml:space="preserve"> faced by our domestic operations, including</w:t>
      </w:r>
      <w:r>
        <w:rPr>
          <w:sz w:val="20"/>
          <w:szCs w:val="20"/>
        </w:rPr>
        <w:t>:</w:t>
      </w:r>
      <w:r>
        <w:rPr>
          <w:sz w:val="20"/>
          <w:szCs w:val="20"/>
        </w:rPr>
        <w:t xml:space="preserve"> </w:t>
      </w:r>
    </w:p>
    <w:p w:rsidR="00000000" w:rsidRDefault="00AF2D19">
      <w:pPr>
        <w:spacing w:before="120"/>
        <w:ind w:left="3"/>
        <w:jc w:val="both"/>
        <w:divId w:val="696078789"/>
        <w:rPr>
          <w:rFonts w:eastAsia="Times New Roman"/>
        </w:rPr>
      </w:pPr>
      <w:r>
        <w:rPr>
          <w:rFonts w:eastAsia="Times New Roman"/>
          <w:sz w:val="20"/>
          <w:szCs w:val="20"/>
        </w:rPr>
        <w:t>●</w:t>
      </w:r>
    </w:p>
    <w:p w:rsidR="00000000" w:rsidRDefault="00AF2D19">
      <w:pPr>
        <w:jc w:val="both"/>
        <w:divId w:val="1070495820"/>
        <w:rPr>
          <w:rFonts w:eastAsia="Times New Roman"/>
        </w:rPr>
      </w:pPr>
      <w:r>
        <w:rPr>
          <w:rFonts w:eastAsia="Times New Roman"/>
          <w:sz w:val="20"/>
          <w:szCs w:val="20"/>
        </w:rPr>
        <w:t>the need to localize and adapt our solution for specific countries, including translation into foreign languages and associated expenses;</w:t>
      </w:r>
      <w:r>
        <w:rPr>
          <w:rFonts w:eastAsia="Times New Roman"/>
          <w:sz w:val="20"/>
          <w:szCs w:val="20"/>
        </w:rPr>
        <w:t xml:space="preserve"> </w:t>
      </w:r>
    </w:p>
    <w:p w:rsidR="00000000" w:rsidRDefault="00AF2D19">
      <w:pPr>
        <w:spacing w:before="120"/>
        <w:ind w:left="3"/>
        <w:jc w:val="both"/>
        <w:divId w:val="415975724"/>
        <w:rPr>
          <w:rFonts w:eastAsia="Times New Roman"/>
        </w:rPr>
      </w:pPr>
      <w:r>
        <w:rPr>
          <w:rFonts w:eastAsia="Times New Roman"/>
          <w:sz w:val="20"/>
          <w:szCs w:val="20"/>
        </w:rPr>
        <w:t>●</w:t>
      </w:r>
    </w:p>
    <w:p w:rsidR="00000000" w:rsidRDefault="00AF2D19">
      <w:pPr>
        <w:jc w:val="both"/>
        <w:divId w:val="590092637"/>
        <w:rPr>
          <w:rFonts w:eastAsia="Times New Roman"/>
        </w:rPr>
      </w:pPr>
      <w:r>
        <w:rPr>
          <w:rFonts w:eastAsia="Times New Roman"/>
          <w:sz w:val="20"/>
          <w:szCs w:val="20"/>
        </w:rPr>
        <w:t xml:space="preserve">potential loss of proprietary information due to misappropriation </w:t>
      </w:r>
      <w:r>
        <w:rPr>
          <w:rFonts w:eastAsia="Times New Roman"/>
          <w:sz w:val="20"/>
          <w:szCs w:val="20"/>
        </w:rPr>
        <w:t>or laws that may be less protective of our intellectual property rights than U.S. laws or that may not be adequately enforced;</w:t>
      </w:r>
      <w:r>
        <w:rPr>
          <w:rFonts w:eastAsia="Times New Roman"/>
          <w:sz w:val="20"/>
          <w:szCs w:val="20"/>
        </w:rPr>
        <w:t xml:space="preserve"> </w:t>
      </w:r>
    </w:p>
    <w:p w:rsidR="00000000" w:rsidRDefault="00AF2D19">
      <w:pPr>
        <w:spacing w:before="120"/>
        <w:ind w:left="3"/>
        <w:jc w:val="both"/>
        <w:divId w:val="271323681"/>
        <w:rPr>
          <w:rFonts w:eastAsia="Times New Roman"/>
        </w:rPr>
      </w:pPr>
      <w:r>
        <w:rPr>
          <w:rFonts w:eastAsia="Times New Roman"/>
          <w:sz w:val="20"/>
          <w:szCs w:val="20"/>
        </w:rPr>
        <w:t>●</w:t>
      </w:r>
    </w:p>
    <w:p w:rsidR="00000000" w:rsidRDefault="00AF2D19">
      <w:pPr>
        <w:jc w:val="both"/>
        <w:divId w:val="1094938772"/>
        <w:rPr>
          <w:rFonts w:eastAsia="Times New Roman"/>
        </w:rPr>
      </w:pPr>
      <w:r>
        <w:rPr>
          <w:rFonts w:eastAsia="Times New Roman"/>
          <w:sz w:val="20"/>
          <w:szCs w:val="20"/>
        </w:rPr>
        <w:t>requirements of foreign laws and other governmental controls, including cross-border compliance challenges related to the complexity of multiple, conflicting and changing governmental laws and regulations, including employment, healthcare, tax, privacy and</w:t>
      </w:r>
      <w:r>
        <w:rPr>
          <w:rFonts w:eastAsia="Times New Roman"/>
          <w:sz w:val="20"/>
          <w:szCs w:val="20"/>
        </w:rPr>
        <w:t xml:space="preserve"> data protection laws and regulations;</w:t>
      </w:r>
      <w:r>
        <w:rPr>
          <w:rFonts w:eastAsia="Times New Roman"/>
          <w:sz w:val="20"/>
          <w:szCs w:val="20"/>
        </w:rPr>
        <w:t xml:space="preserve"> </w:t>
      </w:r>
    </w:p>
    <w:p w:rsidR="00000000" w:rsidRDefault="00AF2D19">
      <w:pPr>
        <w:spacing w:before="120"/>
        <w:ind w:left="3"/>
        <w:jc w:val="both"/>
        <w:divId w:val="1507595617"/>
        <w:rPr>
          <w:rFonts w:eastAsia="Times New Roman"/>
        </w:rPr>
      </w:pPr>
      <w:r>
        <w:rPr>
          <w:rFonts w:eastAsia="Times New Roman"/>
          <w:sz w:val="20"/>
          <w:szCs w:val="20"/>
        </w:rPr>
        <w:t>●</w:t>
      </w:r>
    </w:p>
    <w:p w:rsidR="00000000" w:rsidRDefault="00AF2D19">
      <w:pPr>
        <w:jc w:val="both"/>
        <w:divId w:val="279335240"/>
        <w:rPr>
          <w:rFonts w:eastAsia="Times New Roman"/>
        </w:rPr>
      </w:pPr>
      <w:r>
        <w:rPr>
          <w:rFonts w:eastAsia="Times New Roman"/>
          <w:sz w:val="20"/>
          <w:szCs w:val="20"/>
        </w:rPr>
        <w:t>requirements of foreign laws and other governmental controls applicable to our ability to conduct telehealth and teletherapy services internationally, specifically laws governing remote care and the practice of med</w:t>
      </w:r>
      <w:r>
        <w:rPr>
          <w:rFonts w:eastAsia="Times New Roman"/>
          <w:sz w:val="20"/>
          <w:szCs w:val="20"/>
        </w:rPr>
        <w:t>icine in such locations;</w:t>
      </w:r>
      <w:r>
        <w:rPr>
          <w:rFonts w:eastAsia="Times New Roman"/>
          <w:sz w:val="20"/>
          <w:szCs w:val="20"/>
        </w:rPr>
        <w:t xml:space="preserve"> </w:t>
      </w:r>
    </w:p>
    <w:p w:rsidR="00000000" w:rsidRDefault="00AF2D19">
      <w:pPr>
        <w:spacing w:before="120"/>
        <w:ind w:left="3"/>
        <w:jc w:val="both"/>
        <w:divId w:val="1031498038"/>
        <w:rPr>
          <w:rFonts w:eastAsia="Times New Roman"/>
        </w:rPr>
      </w:pPr>
      <w:r>
        <w:rPr>
          <w:rFonts w:eastAsia="Times New Roman"/>
          <w:sz w:val="20"/>
          <w:szCs w:val="20"/>
        </w:rPr>
        <w:t>●</w:t>
      </w:r>
    </w:p>
    <w:p w:rsidR="00000000" w:rsidRDefault="00AF2D19">
      <w:pPr>
        <w:jc w:val="both"/>
        <w:divId w:val="660623070"/>
        <w:rPr>
          <w:rFonts w:eastAsia="Times New Roman"/>
        </w:rPr>
      </w:pPr>
      <w:r>
        <w:rPr>
          <w:rFonts w:eastAsia="Times New Roman"/>
          <w:sz w:val="20"/>
          <w:szCs w:val="20"/>
        </w:rPr>
        <w:t>data privacy laws that require that client data be stored and processed in a designated territory;</w:t>
      </w:r>
      <w:r>
        <w:rPr>
          <w:rFonts w:eastAsia="Times New Roman"/>
          <w:sz w:val="20"/>
          <w:szCs w:val="20"/>
        </w:rPr>
        <w:t xml:space="preserve"> </w:t>
      </w:r>
    </w:p>
    <w:p w:rsidR="00000000" w:rsidRDefault="00AF2D19">
      <w:pPr>
        <w:spacing w:before="120"/>
        <w:ind w:left="3"/>
        <w:jc w:val="both"/>
        <w:divId w:val="1392926146"/>
        <w:rPr>
          <w:rFonts w:eastAsia="Times New Roman"/>
        </w:rPr>
      </w:pPr>
      <w:r>
        <w:rPr>
          <w:rFonts w:eastAsia="Times New Roman"/>
          <w:sz w:val="20"/>
          <w:szCs w:val="20"/>
        </w:rPr>
        <w:t>●</w:t>
      </w:r>
    </w:p>
    <w:p w:rsidR="00000000" w:rsidRDefault="00AF2D19">
      <w:pPr>
        <w:jc w:val="both"/>
        <w:divId w:val="1698703165"/>
        <w:rPr>
          <w:rFonts w:eastAsia="Times New Roman"/>
        </w:rPr>
      </w:pPr>
      <w:r>
        <w:rPr>
          <w:rFonts w:eastAsia="Times New Roman"/>
          <w:sz w:val="20"/>
          <w:szCs w:val="20"/>
        </w:rPr>
        <w:t>new and different sources of competition and laws and business practices favoring local competitors;</w:t>
      </w:r>
      <w:r>
        <w:rPr>
          <w:rFonts w:eastAsia="Times New Roman"/>
          <w:sz w:val="20"/>
          <w:szCs w:val="20"/>
        </w:rPr>
        <w:t xml:space="preserve"> </w:t>
      </w:r>
    </w:p>
    <w:p w:rsidR="00000000" w:rsidRDefault="00AF2D19">
      <w:pPr>
        <w:spacing w:before="120"/>
        <w:ind w:left="3"/>
        <w:jc w:val="both"/>
        <w:divId w:val="211966001"/>
        <w:rPr>
          <w:rFonts w:eastAsia="Times New Roman"/>
        </w:rPr>
      </w:pPr>
      <w:r>
        <w:rPr>
          <w:rFonts w:eastAsia="Times New Roman"/>
          <w:sz w:val="20"/>
          <w:szCs w:val="20"/>
        </w:rPr>
        <w:t>●</w:t>
      </w:r>
    </w:p>
    <w:p w:rsidR="00000000" w:rsidRDefault="00AF2D19">
      <w:pPr>
        <w:jc w:val="both"/>
        <w:divId w:val="219363295"/>
        <w:rPr>
          <w:rFonts w:eastAsia="Times New Roman"/>
        </w:rPr>
      </w:pPr>
      <w:r>
        <w:rPr>
          <w:rFonts w:eastAsia="Times New Roman"/>
          <w:sz w:val="20"/>
          <w:szCs w:val="20"/>
        </w:rPr>
        <w:t>local business and cul</w:t>
      </w:r>
      <w:r>
        <w:rPr>
          <w:rFonts w:eastAsia="Times New Roman"/>
          <w:sz w:val="20"/>
          <w:szCs w:val="20"/>
        </w:rPr>
        <w:t>tural factors that differ from our normal standards and practices, including business practices that we are prohibited from engaging in by the U.S. Foreign Corrupt Practices Act of 1977 (“FCPA”) and other anti-corruption laws and regulations;</w:t>
      </w:r>
      <w:r>
        <w:rPr>
          <w:rFonts w:eastAsia="Times New Roman"/>
          <w:sz w:val="20"/>
          <w:szCs w:val="20"/>
        </w:rPr>
        <w:t xml:space="preserve"> </w:t>
      </w:r>
    </w:p>
    <w:p w:rsidR="00000000" w:rsidRDefault="00AF2D19">
      <w:pPr>
        <w:spacing w:before="120"/>
        <w:ind w:left="3"/>
        <w:jc w:val="both"/>
        <w:divId w:val="683477542"/>
        <w:rPr>
          <w:rFonts w:eastAsia="Times New Roman"/>
        </w:rPr>
      </w:pPr>
      <w:r>
        <w:rPr>
          <w:rFonts w:eastAsia="Times New Roman"/>
          <w:sz w:val="20"/>
          <w:szCs w:val="20"/>
        </w:rPr>
        <w:t>●</w:t>
      </w:r>
    </w:p>
    <w:p w:rsidR="00000000" w:rsidRDefault="00AF2D19">
      <w:pPr>
        <w:jc w:val="both"/>
        <w:divId w:val="2054499749"/>
        <w:rPr>
          <w:rFonts w:eastAsia="Times New Roman"/>
        </w:rPr>
      </w:pPr>
      <w:r>
        <w:rPr>
          <w:rFonts w:eastAsia="Times New Roman"/>
          <w:sz w:val="20"/>
          <w:szCs w:val="20"/>
        </w:rPr>
        <w:t>changes to</w:t>
      </w:r>
      <w:r>
        <w:rPr>
          <w:rFonts w:eastAsia="Times New Roman"/>
          <w:sz w:val="20"/>
          <w:szCs w:val="20"/>
        </w:rPr>
        <w:t xml:space="preserve"> export controls and economic sanctions laws and regulations;</w:t>
      </w:r>
      <w:r>
        <w:rPr>
          <w:rFonts w:eastAsia="Times New Roman"/>
          <w:sz w:val="20"/>
          <w:szCs w:val="20"/>
        </w:rPr>
        <w:t xml:space="preserve"> </w:t>
      </w:r>
    </w:p>
    <w:p w:rsidR="00000000" w:rsidRDefault="00AF2D19">
      <w:pPr>
        <w:spacing w:before="120"/>
        <w:ind w:left="3"/>
        <w:jc w:val="both"/>
        <w:divId w:val="1677884625"/>
        <w:rPr>
          <w:rFonts w:eastAsia="Times New Roman"/>
        </w:rPr>
      </w:pPr>
      <w:r>
        <w:rPr>
          <w:rFonts w:eastAsia="Times New Roman"/>
          <w:sz w:val="20"/>
          <w:szCs w:val="20"/>
        </w:rPr>
        <w:t>●</w:t>
      </w:r>
    </w:p>
    <w:p w:rsidR="00000000" w:rsidRDefault="00AF2D19">
      <w:pPr>
        <w:jc w:val="both"/>
        <w:divId w:val="1799957850"/>
        <w:rPr>
          <w:rFonts w:eastAsia="Times New Roman"/>
        </w:rPr>
      </w:pPr>
      <w:r>
        <w:rPr>
          <w:rFonts w:eastAsia="Times New Roman"/>
          <w:sz w:val="20"/>
          <w:szCs w:val="20"/>
        </w:rPr>
        <w:t>central bank and other restrictions on our ability to repatriate cash from international subsidiaries;</w:t>
      </w:r>
      <w:r>
        <w:rPr>
          <w:rFonts w:eastAsia="Times New Roman"/>
          <w:sz w:val="20"/>
          <w:szCs w:val="20"/>
        </w:rPr>
        <w:t xml:space="preserve"> </w:t>
      </w:r>
    </w:p>
    <w:p w:rsidR="00000000" w:rsidRDefault="00AF2D19">
      <w:pPr>
        <w:spacing w:before="120"/>
        <w:ind w:left="3"/>
        <w:jc w:val="both"/>
        <w:divId w:val="852114779"/>
        <w:rPr>
          <w:rFonts w:eastAsia="Times New Roman"/>
        </w:rPr>
      </w:pPr>
      <w:r>
        <w:rPr>
          <w:rFonts w:eastAsia="Times New Roman"/>
          <w:sz w:val="20"/>
          <w:szCs w:val="20"/>
        </w:rPr>
        <w:t>●</w:t>
      </w:r>
    </w:p>
    <w:p w:rsidR="00000000" w:rsidRDefault="00AF2D19">
      <w:pPr>
        <w:jc w:val="both"/>
        <w:divId w:val="2130926856"/>
        <w:rPr>
          <w:rFonts w:eastAsia="Times New Roman"/>
        </w:rPr>
      </w:pPr>
      <w:r>
        <w:rPr>
          <w:rFonts w:eastAsia="Times New Roman"/>
          <w:sz w:val="20"/>
          <w:szCs w:val="20"/>
        </w:rPr>
        <w:t>adverse tax consequences;</w:t>
      </w:r>
      <w:r>
        <w:rPr>
          <w:rFonts w:eastAsia="Times New Roman"/>
          <w:sz w:val="20"/>
          <w:szCs w:val="20"/>
        </w:rPr>
        <w:t xml:space="preserve"> </w:t>
      </w:r>
    </w:p>
    <w:p w:rsidR="00000000" w:rsidRDefault="00AF2D19">
      <w:pPr>
        <w:spacing w:before="120"/>
        <w:ind w:left="3"/>
        <w:jc w:val="both"/>
        <w:divId w:val="816341809"/>
        <w:rPr>
          <w:rFonts w:eastAsia="Times New Roman"/>
        </w:rPr>
      </w:pPr>
      <w:r>
        <w:rPr>
          <w:rFonts w:eastAsia="Times New Roman"/>
          <w:sz w:val="20"/>
          <w:szCs w:val="20"/>
        </w:rPr>
        <w:t>●</w:t>
      </w:r>
    </w:p>
    <w:p w:rsidR="00000000" w:rsidRDefault="00AF2D19">
      <w:pPr>
        <w:jc w:val="both"/>
        <w:divId w:val="1958442714"/>
        <w:rPr>
          <w:rFonts w:eastAsia="Times New Roman"/>
        </w:rPr>
      </w:pPr>
      <w:r>
        <w:rPr>
          <w:rFonts w:eastAsia="Times New Roman"/>
          <w:sz w:val="20"/>
          <w:szCs w:val="20"/>
        </w:rPr>
        <w:t>fluctuations in currency exchange rates, economic instab</w:t>
      </w:r>
      <w:r>
        <w:rPr>
          <w:rFonts w:eastAsia="Times New Roman"/>
          <w:sz w:val="20"/>
          <w:szCs w:val="20"/>
        </w:rPr>
        <w:t>ility and inflationary conditions, which could make our solution more expensive or increase our costs of doing business in certain countries;</w:t>
      </w:r>
      <w:r>
        <w:rPr>
          <w:rFonts w:eastAsia="Times New Roman"/>
          <w:sz w:val="20"/>
          <w:szCs w:val="20"/>
        </w:rPr>
        <w:t xml:space="preserve"> </w:t>
      </w:r>
    </w:p>
    <w:p w:rsidR="00000000" w:rsidRDefault="00AF2D19">
      <w:pPr>
        <w:spacing w:before="120"/>
        <w:ind w:left="3"/>
        <w:jc w:val="both"/>
        <w:divId w:val="1563560818"/>
        <w:rPr>
          <w:rFonts w:eastAsia="Times New Roman"/>
        </w:rPr>
      </w:pPr>
      <w:r>
        <w:rPr>
          <w:rFonts w:eastAsia="Times New Roman"/>
          <w:sz w:val="20"/>
          <w:szCs w:val="20"/>
        </w:rPr>
        <w:t>●</w:t>
      </w:r>
    </w:p>
    <w:p w:rsidR="00000000" w:rsidRDefault="00AF2D19">
      <w:pPr>
        <w:jc w:val="both"/>
        <w:divId w:val="1895852422"/>
        <w:rPr>
          <w:rFonts w:eastAsia="Times New Roman"/>
        </w:rPr>
      </w:pPr>
      <w:r>
        <w:rPr>
          <w:rFonts w:eastAsia="Times New Roman"/>
          <w:sz w:val="20"/>
          <w:szCs w:val="20"/>
        </w:rPr>
        <w:t>limitations on future growth or inability to maintain current levels of revenues from international sales if we do not invest sufficiently in our international operations;</w:t>
      </w:r>
      <w:r>
        <w:rPr>
          <w:rFonts w:eastAsia="Times New Roman"/>
          <w:sz w:val="20"/>
          <w:szCs w:val="20"/>
        </w:rPr>
        <w:t xml:space="preserve"> </w:t>
      </w:r>
    </w:p>
    <w:p w:rsidR="00000000" w:rsidRDefault="00AF2D19">
      <w:pPr>
        <w:pStyle w:val="a3"/>
        <w:spacing w:before="0" w:beforeAutospacing="0" w:after="0" w:afterAutospacing="0"/>
        <w:jc w:val="center"/>
        <w:rPr>
          <w:sz w:val="20"/>
          <w:szCs w:val="20"/>
        </w:rPr>
      </w:pPr>
      <w:r>
        <w:rPr>
          <w:sz w:val="20"/>
          <w:szCs w:val="20"/>
        </w:rPr>
        <w:t>2</w:t>
      </w:r>
      <w:r>
        <w:rPr>
          <w:sz w:val="20"/>
          <w:szCs w:val="20"/>
        </w:rPr>
        <w:t>6</w:t>
      </w:r>
    </w:p>
    <w:p w:rsidR="00000000" w:rsidRDefault="00AF2D19">
      <w:pPr>
        <w:rPr>
          <w:rFonts w:eastAsia="Times New Roman"/>
        </w:rPr>
      </w:pPr>
      <w:r>
        <w:rPr>
          <w:rFonts w:eastAsia="Times New Roman"/>
        </w:rPr>
        <w:pict>
          <v:rect id="_x0000_i1053"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w:t>
        </w:r>
        <w:r>
          <w:rPr>
            <w:rStyle w:val="a4"/>
            <w:sz w:val="20"/>
            <w:szCs w:val="20"/>
          </w:rPr>
          <w:t>ent</w:t>
        </w:r>
        <w:r>
          <w:rPr>
            <w:rStyle w:val="a4"/>
            <w:sz w:val="20"/>
            <w:szCs w:val="20"/>
          </w:rPr>
          <w:t>s</w:t>
        </w:r>
      </w:hyperlink>
    </w:p>
    <w:p w:rsidR="00000000" w:rsidRDefault="00AF2D19">
      <w:pPr>
        <w:spacing w:before="120"/>
        <w:ind w:left="3"/>
        <w:jc w:val="both"/>
        <w:divId w:val="548372220"/>
        <w:rPr>
          <w:rFonts w:eastAsia="Times New Roman"/>
        </w:rPr>
      </w:pPr>
      <w:r>
        <w:rPr>
          <w:rFonts w:eastAsia="Times New Roman"/>
          <w:sz w:val="20"/>
          <w:szCs w:val="20"/>
        </w:rPr>
        <w:t>●</w:t>
      </w:r>
    </w:p>
    <w:p w:rsidR="00000000" w:rsidRDefault="00AF2D19">
      <w:pPr>
        <w:jc w:val="both"/>
        <w:divId w:val="330447974"/>
        <w:rPr>
          <w:rFonts w:eastAsia="Times New Roman"/>
        </w:rPr>
      </w:pPr>
      <w:r>
        <w:rPr>
          <w:rFonts w:eastAsia="Times New Roman"/>
          <w:sz w:val="20"/>
          <w:szCs w:val="20"/>
        </w:rPr>
        <w:t>different pricing environments, longer sales cycles and longer accounts receivable payment cycles and collections issues;</w:t>
      </w:r>
      <w:r>
        <w:rPr>
          <w:rFonts w:eastAsia="Times New Roman"/>
          <w:sz w:val="20"/>
          <w:szCs w:val="20"/>
        </w:rPr>
        <w:t xml:space="preserve"> </w:t>
      </w:r>
    </w:p>
    <w:p w:rsidR="00000000" w:rsidRDefault="00AF2D19">
      <w:pPr>
        <w:spacing w:before="120"/>
        <w:ind w:left="3"/>
        <w:jc w:val="both"/>
        <w:divId w:val="622461383"/>
        <w:rPr>
          <w:rFonts w:eastAsia="Times New Roman"/>
        </w:rPr>
      </w:pPr>
      <w:r>
        <w:rPr>
          <w:rFonts w:eastAsia="Times New Roman"/>
          <w:sz w:val="20"/>
          <w:szCs w:val="20"/>
        </w:rPr>
        <w:t>●</w:t>
      </w:r>
    </w:p>
    <w:p w:rsidR="00000000" w:rsidRDefault="00AF2D19">
      <w:pPr>
        <w:jc w:val="both"/>
        <w:divId w:val="1017003367"/>
        <w:rPr>
          <w:rFonts w:eastAsia="Times New Roman"/>
        </w:rPr>
      </w:pPr>
      <w:r>
        <w:rPr>
          <w:rFonts w:eastAsia="Times New Roman"/>
          <w:sz w:val="20"/>
          <w:szCs w:val="20"/>
        </w:rPr>
        <w:t>difficulties in staffing, managing and operating our international operations, including difficulties related to administeri</w:t>
      </w:r>
      <w:r>
        <w:rPr>
          <w:rFonts w:eastAsia="Times New Roman"/>
          <w:sz w:val="20"/>
          <w:szCs w:val="20"/>
        </w:rPr>
        <w:t>ng our stock plans in some foreign countries and increased financial accounting and reporting requirements and complexities;</w:t>
      </w:r>
      <w:r>
        <w:rPr>
          <w:rFonts w:eastAsia="Times New Roman"/>
          <w:sz w:val="20"/>
          <w:szCs w:val="20"/>
        </w:rPr>
        <w:t xml:space="preserve"> </w:t>
      </w:r>
    </w:p>
    <w:p w:rsidR="00000000" w:rsidRDefault="00AF2D19">
      <w:pPr>
        <w:spacing w:before="120"/>
        <w:ind w:left="3"/>
        <w:jc w:val="both"/>
        <w:divId w:val="518391745"/>
        <w:rPr>
          <w:rFonts w:eastAsia="Times New Roman"/>
        </w:rPr>
      </w:pPr>
      <w:r>
        <w:rPr>
          <w:rFonts w:eastAsia="Times New Roman"/>
          <w:sz w:val="20"/>
          <w:szCs w:val="20"/>
        </w:rPr>
        <w:t>●</w:t>
      </w:r>
    </w:p>
    <w:p w:rsidR="00000000" w:rsidRDefault="00AF2D19">
      <w:pPr>
        <w:jc w:val="both"/>
        <w:divId w:val="742802711"/>
        <w:rPr>
          <w:rFonts w:eastAsia="Times New Roman"/>
        </w:rPr>
      </w:pPr>
      <w:r>
        <w:rPr>
          <w:rFonts w:eastAsia="Times New Roman"/>
          <w:sz w:val="20"/>
          <w:szCs w:val="20"/>
        </w:rPr>
        <w:t>difficulties in coordinating the activities of our geographically dispersed and culturally diverse operations; and</w:t>
      </w:r>
      <w:r>
        <w:rPr>
          <w:rFonts w:eastAsia="Times New Roman"/>
          <w:sz w:val="20"/>
          <w:szCs w:val="20"/>
        </w:rPr>
        <w:t xml:space="preserve"> </w:t>
      </w:r>
    </w:p>
    <w:p w:rsidR="00000000" w:rsidRDefault="00AF2D19">
      <w:pPr>
        <w:spacing w:before="120"/>
        <w:ind w:left="3"/>
        <w:jc w:val="both"/>
        <w:divId w:val="1437794421"/>
        <w:rPr>
          <w:rFonts w:eastAsia="Times New Roman"/>
        </w:rPr>
      </w:pPr>
      <w:r>
        <w:rPr>
          <w:rFonts w:eastAsia="Times New Roman"/>
          <w:sz w:val="20"/>
          <w:szCs w:val="20"/>
        </w:rPr>
        <w:t>●</w:t>
      </w:r>
    </w:p>
    <w:p w:rsidR="00000000" w:rsidRDefault="00AF2D19">
      <w:pPr>
        <w:jc w:val="both"/>
        <w:divId w:val="115490205"/>
        <w:rPr>
          <w:rFonts w:eastAsia="Times New Roman"/>
        </w:rPr>
      </w:pPr>
      <w:r>
        <w:rPr>
          <w:rFonts w:eastAsia="Times New Roman"/>
          <w:sz w:val="20"/>
          <w:szCs w:val="20"/>
        </w:rPr>
        <w:t xml:space="preserve">political </w:t>
      </w:r>
      <w:r>
        <w:rPr>
          <w:rFonts w:eastAsia="Times New Roman"/>
          <w:sz w:val="20"/>
          <w:szCs w:val="20"/>
        </w:rPr>
        <w:t>unrest, war, terrorism or regional natural disasters, particularly in areas in which we have facilities.</w:t>
      </w:r>
      <w:r>
        <w:rPr>
          <w:rFonts w:eastAsia="Times New Roman"/>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overall success regarding our planned expansion in international markets will depend, in part, on our ability to anticipate and effectively manage</w:t>
      </w:r>
      <w:r>
        <w:rPr>
          <w:sz w:val="20"/>
          <w:szCs w:val="20"/>
        </w:rPr>
        <w:t xml:space="preserve"> these risks and there can be no assurance that we will be able to do so without incurring unexpected costs. If we are not able to manage the risks related to expansion of our international operations, we may not achieve the expected benefits of this expan</w:t>
      </w:r>
      <w:r>
        <w:rPr>
          <w:sz w:val="20"/>
          <w:szCs w:val="20"/>
        </w:rPr>
        <w:t>sion and our business, financial condition and results of operations may be harmed</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may become subject to medical liability claims, which could cause us to incur significant expenses and may require us to pay significant damages if not covered by insur</w:t>
      </w:r>
      <w:r>
        <w:rPr>
          <w:b/>
          <w:bCs/>
          <w:i/>
          <w:iCs/>
          <w:sz w:val="20"/>
          <w:szCs w:val="20"/>
        </w:rPr>
        <w:t>ance</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overall business entails the risk of medical liability claims. Although Talkspace Provider Network, PA (“TPN”) and our affiliated professionals carry or will carry insurance covering medical malpractice claims in amounts that we believe are appr</w:t>
      </w:r>
      <w:r>
        <w:rPr>
          <w:sz w:val="20"/>
          <w:szCs w:val="20"/>
        </w:rPr>
        <w:t>opriate in light of the risks attendant to the services rendered, successful medical liability claims could result in substantial damage awards that exceed the limits of TPN’s and those affiliated professionals’ insurance coverage. TPN carries or will carr</w:t>
      </w:r>
      <w:r>
        <w:rPr>
          <w:sz w:val="20"/>
          <w:szCs w:val="20"/>
        </w:rPr>
        <w:t>y professional liability insurance for itself and each of its healthcare professionals (our providers). Additionally, all of our network providers that contract or will contract with TPN separately carry or will carry professional liability insurance for i</w:t>
      </w:r>
      <w:r>
        <w:rPr>
          <w:sz w:val="20"/>
          <w:szCs w:val="20"/>
        </w:rPr>
        <w:t>tself and its healthcare professionals. Professional liability insurance is expensive and insurance premiums may increase significantly in the future, particularly as we expand our services through TPN and our affiliated professionals. As a result, adequat</w:t>
      </w:r>
      <w:r>
        <w:rPr>
          <w:sz w:val="20"/>
          <w:szCs w:val="20"/>
        </w:rPr>
        <w:t>e professional liability insurance may not be available to TPN and our affiliated professionals in the future at acceptable costs or at all, which may negatively impact TPN and our affiliated professionals to provide services to our members, and thereby ad</w:t>
      </w:r>
      <w:r>
        <w:rPr>
          <w:sz w:val="20"/>
          <w:szCs w:val="20"/>
        </w:rPr>
        <w:t>versely affect our overall business and operations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Any claims made against TPN or our affiliated professionals that are not fully covered by insurance could be costly to defend against, result in substantial damage awards, and divert the attention of our</w:t>
      </w:r>
      <w:r>
        <w:rPr>
          <w:sz w:val="20"/>
          <w:szCs w:val="20"/>
        </w:rPr>
        <w:t xml:space="preserve"> management and our affiliated professional entities from our operations, which could have a material adverse effect on our business, financial condition and results of operations. In addition, any claims may adversely affect our business or reputation</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A</w:t>
      </w:r>
      <w:r>
        <w:rPr>
          <w:b/>
          <w:bCs/>
          <w:i/>
          <w:iCs/>
          <w:sz w:val="20"/>
          <w:szCs w:val="20"/>
        </w:rPr>
        <w:t xml:space="preserve"> decline in the prevalence of employer-sponsored healthcare or the emergence of new technologies may adversely impact our business-to-business segment or require us to expend significant resources in order to remain competitive</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U.S. healthcare indust</w:t>
      </w:r>
      <w:r>
        <w:rPr>
          <w:sz w:val="20"/>
          <w:szCs w:val="20"/>
        </w:rPr>
        <w:t>ry is massive, with a number of large market participants with conflicting agendas, and it is subject to significant government regulation and is currently undergoing significant change. Changes in our industry, for example, such as the emergence of new te</w:t>
      </w:r>
      <w:r>
        <w:rPr>
          <w:sz w:val="20"/>
          <w:szCs w:val="20"/>
        </w:rPr>
        <w:t>chnologies as more competitors enter our market, could adversely impact our business-to business segment where companies provide Talkspace to their employees as a benefit</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Some experts have predicted that future healthcare reform will encourage employer-s</w:t>
      </w:r>
      <w:r>
        <w:rPr>
          <w:sz w:val="20"/>
          <w:szCs w:val="20"/>
        </w:rPr>
        <w:t>ponsored health insurance to become significantly less prevalent as employees migrate to obtaining their own insurance over the state-sponsored insurance marketplaces. Were this to occur, there is no guarantee that we would be able to compensate for the lo</w:t>
      </w:r>
      <w:r>
        <w:rPr>
          <w:sz w:val="20"/>
          <w:szCs w:val="20"/>
        </w:rPr>
        <w:t>ss in revenue from employers by increasing sales of our solution to health insurance companies or to individuals or government agencies. In such a case, our results of operations would be adversely impacted</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If healthcare benefits trends shift or entirely</w:t>
      </w:r>
      <w:r>
        <w:rPr>
          <w:sz w:val="20"/>
          <w:szCs w:val="20"/>
        </w:rPr>
        <w:t xml:space="preserve"> new technologies are developed that replace existing solutions, our existing or future solutions could be adversely impacted and our business could be adversely affected. In addition, we may experience difficulties with industry standards, design or marke</w:t>
      </w:r>
      <w:r>
        <w:rPr>
          <w:sz w:val="20"/>
          <w:szCs w:val="20"/>
        </w:rPr>
        <w:t>ting that could delay or prevent our development, introduction or implementation of new applications and enhancements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rely on third-party platforms such as the Apple App Store and Google Play App Store, to distribute our platform and offerings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a</w:t>
      </w:r>
      <w:r>
        <w:rPr>
          <w:sz w:val="20"/>
          <w:szCs w:val="20"/>
        </w:rPr>
        <w:t>pps are accessed and operate through third-party platforms or marketplaces, including the Apple App Store and Google Play App Store, which also serve as significant online distribution platforms for our apps. As a result, the expansion and prospects of our</w:t>
      </w:r>
      <w:r>
        <w:rPr>
          <w:sz w:val="20"/>
          <w:szCs w:val="20"/>
        </w:rPr>
        <w:t xml:space="preserve"> business and our apps depend on our continued relationships with these providers and any other emerging platfor</w:t>
      </w:r>
      <w:r>
        <w:rPr>
          <w:sz w:val="20"/>
          <w:szCs w:val="20"/>
        </w:rPr>
        <w:t>m</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2</w:t>
      </w:r>
      <w:r>
        <w:rPr>
          <w:sz w:val="20"/>
          <w:szCs w:val="20"/>
        </w:rPr>
        <w:t>7</w:t>
      </w:r>
    </w:p>
    <w:p w:rsidR="00000000" w:rsidRDefault="00AF2D19">
      <w:pPr>
        <w:rPr>
          <w:rFonts w:eastAsia="Times New Roman"/>
        </w:rPr>
      </w:pPr>
      <w:r>
        <w:rPr>
          <w:rFonts w:eastAsia="Times New Roman"/>
        </w:rPr>
        <w:pict>
          <v:rect id="_x0000_i1054"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providers that are widely adopted by consumers. We are subject to the standard terms and conditions that these providers have for application developers, which govern the content, promotion, distribution and operation of apps on their platforms or marketpl</w:t>
      </w:r>
      <w:r>
        <w:rPr>
          <w:sz w:val="20"/>
          <w:szCs w:val="20"/>
        </w:rPr>
        <w:t>aces, and which the providers can change unilaterally on short or no notice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Thus, our business could suffer materially if platform providers change their standard terms and conditions, interpretations or other policies and practices in a way that is detr</w:t>
      </w:r>
      <w:r>
        <w:rPr>
          <w:sz w:val="20"/>
          <w:szCs w:val="20"/>
        </w:rPr>
        <w:t xml:space="preserve">imental to us or if platform providers determine that we are in violation of their standard terms and conditions and prohibit us from distributing our apps on their platforms. In addition, our business would be harmed if the providers discontinue or limit </w:t>
      </w:r>
      <w:r>
        <w:rPr>
          <w:sz w:val="20"/>
          <w:szCs w:val="20"/>
        </w:rPr>
        <w:t>our access to their platforms or marketplaces; the platforms or marketplaces decline in popularity; the platforms modify their algorithms, communication channels available to developers, respective terms of service or other policies, including fees; the pr</w:t>
      </w:r>
      <w:r>
        <w:rPr>
          <w:sz w:val="20"/>
          <w:szCs w:val="20"/>
        </w:rPr>
        <w:t>oviders adopt changes or updates to their technology that impede integration with other software systems or otherwise require us to modify our technology or update our apps in order to ensure that consumers can continue to access and use our virtual behavi</w:t>
      </w:r>
      <w:r>
        <w:rPr>
          <w:sz w:val="20"/>
          <w:szCs w:val="20"/>
        </w:rPr>
        <w:t>oral health services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If alternative providers increase in popularity, we could be adversely impacted if we fail to create compatible versions of our apps in a timely manner, or if we fail to establish a relationship with such alternative providers. Likew</w:t>
      </w:r>
      <w:r>
        <w:rPr>
          <w:sz w:val="20"/>
          <w:szCs w:val="20"/>
        </w:rPr>
        <w:t>ise, if our current providers alter their operating platforms, we could be adversely impacted as our offerings may not be compatible with the altered platforms or may require significant and costly modifications in order to become compatible. If our provid</w:t>
      </w:r>
      <w:r>
        <w:rPr>
          <w:sz w:val="20"/>
          <w:szCs w:val="20"/>
        </w:rPr>
        <w:t>ers do not perform their obligations in accordance with our platform agreements, we could be adversely impacted</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the past, some of these platforms or marketplaces have been unavailable for short periods of time. If this or a similar event were to occur</w:t>
      </w:r>
      <w:r>
        <w:rPr>
          <w:sz w:val="20"/>
          <w:szCs w:val="20"/>
        </w:rPr>
        <w:t xml:space="preserve"> on a short- or long-term basis, or if these platforms or marketplaces otherwise experience issues that impact the ability of consumers to download or access our apps and other information, it could have a material adverse effect on our brand and reputatio</w:t>
      </w:r>
      <w:r>
        <w:rPr>
          <w:sz w:val="20"/>
          <w:szCs w:val="20"/>
        </w:rPr>
        <w:t>n, as well as our business, financial condition and operating results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rely on data center providers, Internet infrastructure, bandwidth providers, third-party computer hardware and software, other third parties and our own systems for providing servic</w:t>
      </w:r>
      <w:r>
        <w:rPr>
          <w:b/>
          <w:bCs/>
          <w:i/>
          <w:iCs/>
          <w:sz w:val="20"/>
          <w:szCs w:val="20"/>
        </w:rPr>
        <w:t xml:space="preserve">es to our clients and members, and any failure or interruption in the services provided by these third parties or our own systems could expose us to litigation and negatively impact our relationships with clients and members, adversely affecting our brand </w:t>
      </w:r>
      <w:r>
        <w:rPr>
          <w:b/>
          <w:bCs/>
          <w:i/>
          <w:iCs/>
          <w:sz w:val="20"/>
          <w:szCs w:val="20"/>
        </w:rPr>
        <w:t>and our business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serve all of our clients and members from third party interconnection and data centers, such as Amazon Web Services. While we control and have access to our servers, we do not control the operation of these facilities. The cloud vendo</w:t>
      </w:r>
      <w:r>
        <w:rPr>
          <w:sz w:val="20"/>
          <w:szCs w:val="20"/>
        </w:rPr>
        <w:t>rs and the owners of our data center facilities have no obligation to renew their agreements with us on commercially reasonable terms, or at all. If we are unable to renew these agreements on commercially reasonable terms, or if one of our cloud vendors or</w:t>
      </w:r>
      <w:r>
        <w:rPr>
          <w:sz w:val="20"/>
          <w:szCs w:val="20"/>
        </w:rPr>
        <w:t xml:space="preserve"> data center operators is acquired, we may be required to transfer our servers and other infrastructure to a new vendor or a new data center facility, and we may incur significant costs and possible service interruption in connection with doing so. Problem</w:t>
      </w:r>
      <w:r>
        <w:rPr>
          <w:sz w:val="20"/>
          <w:szCs w:val="20"/>
        </w:rPr>
        <w:t>s faced by our cloud vendors or third-party data center locations with the telecommunications network providers with whom we or they contract, or with the systems by which our telecommunications providers allocate capacity among their clients, including us</w:t>
      </w:r>
      <w:r>
        <w:rPr>
          <w:sz w:val="20"/>
          <w:szCs w:val="20"/>
        </w:rPr>
        <w:t>, could adversely affect the experience of our clients and members. Our third-party data center operators could decide to close their facilities without adequate notice. In addition, any financial difficulties, such as bankruptcy faced by our cloud vendors</w:t>
      </w:r>
      <w:r>
        <w:rPr>
          <w:sz w:val="20"/>
          <w:szCs w:val="20"/>
        </w:rPr>
        <w:t xml:space="preserve"> or third-party data centers operators or any of the service providers with whom we or they contract may have negative effects on our business, the nature and extent of which are difficult to predict</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Additionally, if our cloud or data center vendors are </w:t>
      </w:r>
      <w:r>
        <w:rPr>
          <w:sz w:val="20"/>
          <w:szCs w:val="20"/>
        </w:rPr>
        <w:t>unable to keep up with our growing needs for capacity, this could have an adverse effect on our business. For example, a rapid expansion of our business could affect the service levels at our cloud vendors or data centers or cause such data centers and sys</w:t>
      </w:r>
      <w:r>
        <w:rPr>
          <w:sz w:val="20"/>
          <w:szCs w:val="20"/>
        </w:rPr>
        <w:t>tems to fail. Any changes in third-party service levels at our data centers or any disruptions or other performance problems with our solution could adversely affect our reputation and may damage our clients and members’ stored files or result in lengthy i</w:t>
      </w:r>
      <w:r>
        <w:rPr>
          <w:sz w:val="20"/>
          <w:szCs w:val="20"/>
        </w:rPr>
        <w:t>nterruptions in our services. Interruptions in our services may reduce our revenue, cause us to issue refunds to clients and members for prepaid and unused subscriptions, as well as loss of revenue related to service level credits and uptime, subject us to</w:t>
      </w:r>
      <w:r>
        <w:rPr>
          <w:sz w:val="20"/>
          <w:szCs w:val="20"/>
        </w:rPr>
        <w:t xml:space="preserve"> potential liability or adversely affect client retention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our ability to deliver our Internet-based services depends on the development and maintenance of the infrastructure of the Internet by third parties. This includes maintenance of a re</w:t>
      </w:r>
      <w:r>
        <w:rPr>
          <w:sz w:val="20"/>
          <w:szCs w:val="20"/>
        </w:rPr>
        <w:t>liable network backbone with the necessary speed, data capacity, bandwidth capacity and security. Our services are designed to operate without interruption in accordance with our service level commitments. However, we have experienced, including during the</w:t>
      </w:r>
      <w:r>
        <w:rPr>
          <w:sz w:val="20"/>
          <w:szCs w:val="20"/>
        </w:rPr>
        <w:t xml:space="preserve"> period immediately following the beginning of the COVID-19 pandemic, and expect that we may experience in the future, interruptions and delays in services and availability from time to time. In the event of a catastrophic event with respect to one or more</w:t>
      </w:r>
      <w:r>
        <w:rPr>
          <w:sz w:val="20"/>
          <w:szCs w:val="20"/>
        </w:rPr>
        <w:t xml:space="preserve"> of our systems, we may experience an extended period o</w:t>
      </w:r>
      <w:r>
        <w:rPr>
          <w:sz w:val="20"/>
          <w:szCs w:val="20"/>
        </w:rPr>
        <w:t>f</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2</w:t>
      </w:r>
      <w:r>
        <w:rPr>
          <w:sz w:val="20"/>
          <w:szCs w:val="20"/>
        </w:rPr>
        <w:t>8</w:t>
      </w:r>
    </w:p>
    <w:p w:rsidR="00000000" w:rsidRDefault="00AF2D19">
      <w:pPr>
        <w:rPr>
          <w:rFonts w:eastAsia="Times New Roman"/>
        </w:rPr>
      </w:pPr>
      <w:r>
        <w:rPr>
          <w:rFonts w:eastAsia="Times New Roman"/>
        </w:rPr>
        <w:pict>
          <v:rect id="_x0000_i105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system unavailability, which could negatively impact our relationship with clients and members. To operate wi</w:t>
      </w:r>
      <w:r>
        <w:rPr>
          <w:sz w:val="20"/>
          <w:szCs w:val="20"/>
        </w:rPr>
        <w:t>thout interruption, both we and our service providers must guard against</w:t>
      </w:r>
      <w:r>
        <w:rPr>
          <w:sz w:val="20"/>
          <w:szCs w:val="20"/>
        </w:rPr>
        <w:t>:</w:t>
      </w:r>
      <w:r>
        <w:rPr>
          <w:sz w:val="20"/>
          <w:szCs w:val="20"/>
        </w:rPr>
        <w:t xml:space="preserve"> </w:t>
      </w:r>
    </w:p>
    <w:p w:rsidR="00000000" w:rsidRDefault="00AF2D19">
      <w:pPr>
        <w:spacing w:before="120"/>
        <w:ind w:left="3"/>
        <w:divId w:val="498086720"/>
        <w:rPr>
          <w:rFonts w:eastAsia="Times New Roman"/>
        </w:rPr>
      </w:pPr>
      <w:r>
        <w:rPr>
          <w:rFonts w:eastAsia="Times New Roman"/>
          <w:sz w:val="20"/>
          <w:szCs w:val="20"/>
        </w:rPr>
        <w:t>●</w:t>
      </w:r>
    </w:p>
    <w:p w:rsidR="00000000" w:rsidRDefault="00AF2D19">
      <w:pPr>
        <w:divId w:val="346829565"/>
        <w:rPr>
          <w:rFonts w:eastAsia="Times New Roman"/>
        </w:rPr>
      </w:pPr>
      <w:r>
        <w:rPr>
          <w:rFonts w:eastAsia="Times New Roman"/>
          <w:sz w:val="20"/>
          <w:szCs w:val="20"/>
        </w:rPr>
        <w:t>damage from fire, power loss, natural disasters and other force majeure events outside our control;</w:t>
      </w:r>
      <w:r>
        <w:rPr>
          <w:rFonts w:eastAsia="Times New Roman"/>
          <w:sz w:val="20"/>
          <w:szCs w:val="20"/>
        </w:rPr>
        <w:t xml:space="preserve"> </w:t>
      </w:r>
    </w:p>
    <w:p w:rsidR="00000000" w:rsidRDefault="00AF2D19">
      <w:pPr>
        <w:spacing w:before="120"/>
        <w:ind w:left="3"/>
        <w:divId w:val="178005645"/>
        <w:rPr>
          <w:rFonts w:eastAsia="Times New Roman"/>
        </w:rPr>
      </w:pPr>
      <w:r>
        <w:rPr>
          <w:rFonts w:eastAsia="Times New Roman"/>
          <w:sz w:val="20"/>
          <w:szCs w:val="20"/>
        </w:rPr>
        <w:t>●</w:t>
      </w:r>
    </w:p>
    <w:p w:rsidR="00000000" w:rsidRDefault="00AF2D19">
      <w:pPr>
        <w:divId w:val="575436318"/>
        <w:rPr>
          <w:rFonts w:eastAsia="Times New Roman"/>
        </w:rPr>
      </w:pPr>
      <w:r>
        <w:rPr>
          <w:rFonts w:eastAsia="Times New Roman"/>
          <w:sz w:val="20"/>
          <w:szCs w:val="20"/>
        </w:rPr>
        <w:t>communications failures;</w:t>
      </w:r>
      <w:r>
        <w:rPr>
          <w:rFonts w:eastAsia="Times New Roman"/>
          <w:sz w:val="20"/>
          <w:szCs w:val="20"/>
        </w:rPr>
        <w:t xml:space="preserve"> </w:t>
      </w:r>
    </w:p>
    <w:p w:rsidR="00000000" w:rsidRDefault="00AF2D19">
      <w:pPr>
        <w:spacing w:before="120"/>
        <w:ind w:left="3"/>
        <w:divId w:val="478962793"/>
        <w:rPr>
          <w:rFonts w:eastAsia="Times New Roman"/>
        </w:rPr>
      </w:pPr>
      <w:r>
        <w:rPr>
          <w:rFonts w:eastAsia="Times New Roman"/>
          <w:sz w:val="20"/>
          <w:szCs w:val="20"/>
        </w:rPr>
        <w:t>●</w:t>
      </w:r>
    </w:p>
    <w:p w:rsidR="00000000" w:rsidRDefault="00AF2D19">
      <w:pPr>
        <w:divId w:val="300422833"/>
        <w:rPr>
          <w:rFonts w:eastAsia="Times New Roman"/>
        </w:rPr>
      </w:pPr>
      <w:r>
        <w:rPr>
          <w:rFonts w:eastAsia="Times New Roman"/>
          <w:sz w:val="20"/>
          <w:szCs w:val="20"/>
        </w:rPr>
        <w:t>software and hardware errors, failures and crash</w:t>
      </w:r>
      <w:r>
        <w:rPr>
          <w:rFonts w:eastAsia="Times New Roman"/>
          <w:sz w:val="20"/>
          <w:szCs w:val="20"/>
        </w:rPr>
        <w:t>es;</w:t>
      </w:r>
      <w:r>
        <w:rPr>
          <w:rFonts w:eastAsia="Times New Roman"/>
          <w:sz w:val="20"/>
          <w:szCs w:val="20"/>
        </w:rPr>
        <w:t xml:space="preserve"> </w:t>
      </w:r>
    </w:p>
    <w:p w:rsidR="00000000" w:rsidRDefault="00AF2D19">
      <w:pPr>
        <w:spacing w:before="120"/>
        <w:ind w:left="3"/>
        <w:divId w:val="1698432638"/>
        <w:rPr>
          <w:rFonts w:eastAsia="Times New Roman"/>
        </w:rPr>
      </w:pPr>
      <w:r>
        <w:rPr>
          <w:rFonts w:eastAsia="Times New Roman"/>
          <w:sz w:val="20"/>
          <w:szCs w:val="20"/>
        </w:rPr>
        <w:t>●</w:t>
      </w:r>
    </w:p>
    <w:p w:rsidR="00000000" w:rsidRDefault="00AF2D19">
      <w:pPr>
        <w:divId w:val="1014457931"/>
        <w:rPr>
          <w:rFonts w:eastAsia="Times New Roman"/>
        </w:rPr>
      </w:pPr>
      <w:r>
        <w:rPr>
          <w:rFonts w:eastAsia="Times New Roman"/>
          <w:sz w:val="20"/>
          <w:szCs w:val="20"/>
        </w:rPr>
        <w:t>security breaches, computer viruses, hacking, denial-of-service attacks and similar disruptive problems; and</w:t>
      </w:r>
      <w:r>
        <w:rPr>
          <w:rFonts w:eastAsia="Times New Roman"/>
          <w:sz w:val="20"/>
          <w:szCs w:val="20"/>
        </w:rPr>
        <w:t xml:space="preserve"> </w:t>
      </w:r>
    </w:p>
    <w:p w:rsidR="00000000" w:rsidRDefault="00AF2D19">
      <w:pPr>
        <w:spacing w:before="120"/>
        <w:ind w:left="3"/>
        <w:divId w:val="1721132747"/>
        <w:rPr>
          <w:rFonts w:eastAsia="Times New Roman"/>
        </w:rPr>
      </w:pPr>
      <w:r>
        <w:rPr>
          <w:rFonts w:eastAsia="Times New Roman"/>
          <w:sz w:val="20"/>
          <w:szCs w:val="20"/>
        </w:rPr>
        <w:t>●</w:t>
      </w:r>
    </w:p>
    <w:p w:rsidR="00000000" w:rsidRDefault="00AF2D19">
      <w:pPr>
        <w:divId w:val="705646370"/>
        <w:rPr>
          <w:rFonts w:eastAsia="Times New Roman"/>
        </w:rPr>
      </w:pPr>
      <w:r>
        <w:rPr>
          <w:rFonts w:eastAsia="Times New Roman"/>
          <w:sz w:val="20"/>
          <w:szCs w:val="20"/>
        </w:rPr>
        <w:t>other potential interruptions.</w:t>
      </w:r>
      <w:r>
        <w:rPr>
          <w:rFonts w:eastAsia="Times New Roman"/>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also rely on computer hardware purchased and software licensed from third parties in order to offer our services. These licenses are generally commercially available on varying terms. However, it is possible that this hardware and software may not conti</w:t>
      </w:r>
      <w:r>
        <w:rPr>
          <w:sz w:val="20"/>
          <w:szCs w:val="20"/>
        </w:rPr>
        <w:t>nue to be available on commercially reasonable terms, or at all. Any loss of the right to use any of this hardware or software could result in delays in the provisioning of our services until equivalent technology is either developed by us, or, if availabl</w:t>
      </w:r>
      <w:r>
        <w:rPr>
          <w:sz w:val="20"/>
          <w:szCs w:val="20"/>
        </w:rPr>
        <w:t>e from third parties, is identified, obtained and integrated</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exercise limited control over third-party vendors, which increases our vulnerability to problems with technology and information services they provide. Interruptions in our network access an</w:t>
      </w:r>
      <w:r>
        <w:rPr>
          <w:sz w:val="20"/>
          <w:szCs w:val="20"/>
        </w:rPr>
        <w:t xml:space="preserve">d services may in connection with third-party technology and information services reduce our revenue, cause us to issue refunds to clients and members, subject us to potential liability or adversely affect client retention. Although we maintain a security </w:t>
      </w:r>
      <w:r>
        <w:rPr>
          <w:sz w:val="20"/>
          <w:szCs w:val="20"/>
        </w:rPr>
        <w:t>and privacy damages insurance policy, the coverage under our policies may not be adequate to compensate us for all losses that may occur related to the services provided by our third-party vendors. In addition, we may not be able to continue to obtain adeq</w:t>
      </w:r>
      <w:r>
        <w:rPr>
          <w:sz w:val="20"/>
          <w:szCs w:val="20"/>
        </w:rPr>
        <w:t>uate insurance coverage at an acceptable cost, if at all</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ability to rely on these services of third-party vendors could be impaired as a result of the failure of such providers to comply with applicable laws, regulations and contractual covenants, or</w:t>
      </w:r>
      <w:r>
        <w:rPr>
          <w:sz w:val="20"/>
          <w:szCs w:val="20"/>
        </w:rPr>
        <w:t xml:space="preserve"> as a result of events affecting such providers, such as power loss, telecommunication failures, software or hardware errors, computer viruses, cyber incidents and similar disruptive problems, fire, flood and natural disasters. Any such failure or event co</w:t>
      </w:r>
      <w:r>
        <w:rPr>
          <w:sz w:val="20"/>
          <w:szCs w:val="20"/>
        </w:rPr>
        <w:t>uld adversely affect our relationships with our clients and members and damage our reputation. This could materially and adversely impact our business, financial condition and operating results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If our or our vendors’ security measures fail or are breache</w:t>
      </w:r>
      <w:r>
        <w:rPr>
          <w:b/>
          <w:bCs/>
          <w:i/>
          <w:iCs/>
          <w:sz w:val="20"/>
          <w:szCs w:val="20"/>
        </w:rPr>
        <w:t>d and unauthorized access to a client’s data or information systems is obtained, our services may be perceived as insecure, we may incur significant liabilities, our reputation may be harmed, and we could lose sales, clients and members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services invo</w:t>
      </w:r>
      <w:r>
        <w:rPr>
          <w:sz w:val="20"/>
          <w:szCs w:val="20"/>
        </w:rPr>
        <w:t>lve the storage and transmission of clients’ and our clients and members’ proprietary information, sensitive or confidential data, including valuable intellectual property and personal information of employees, clients, members and others, as well as the p</w:t>
      </w:r>
      <w:r>
        <w:rPr>
          <w:sz w:val="20"/>
          <w:szCs w:val="20"/>
        </w:rPr>
        <w:t>rotected health information (“PHI”), of our clients and members. We are subject to laws and regulations relating to the collection, use, retention, security and transfer of this information. Because of the extreme sensitivity of the information we store an</w:t>
      </w:r>
      <w:r>
        <w:rPr>
          <w:sz w:val="20"/>
          <w:szCs w:val="20"/>
        </w:rPr>
        <w:t>d transmit, the security features of our and our third-party vendors’ computer, network, and communications systems infrastructure are critical to the success of our business. A breach or failure of our or our third-party vendors’ network, hosted service p</w:t>
      </w:r>
      <w:r>
        <w:rPr>
          <w:sz w:val="20"/>
          <w:szCs w:val="20"/>
        </w:rPr>
        <w:t>roviders or vendor systems could result from a variety of circumstances and events, including third-party action, employee negligence or error, malfeasance, computer viruses, cyber-attacks by computer hackers such as denial-of-service and phishing attacks,</w:t>
      </w:r>
      <w:r>
        <w:rPr>
          <w:sz w:val="20"/>
          <w:szCs w:val="20"/>
        </w:rPr>
        <w:t xml:space="preserve"> failures during the process of upgrading or replacing software and databases, power outages, hardware failures, telecommunication failures, user errors, or catastrophic events. Information security risks have generally increased in recent years because of</w:t>
      </w:r>
      <w:r>
        <w:rPr>
          <w:sz w:val="20"/>
          <w:szCs w:val="20"/>
        </w:rPr>
        <w:t xml:space="preserve"> the proliferation of new technologies and the increased sophistication and activities of perpetrators of cyber-attacks. Hackers and data thieves are increasingly sophisticated and operating large-scale and complex automated attacks, including on companies</w:t>
      </w:r>
      <w:r>
        <w:rPr>
          <w:sz w:val="20"/>
          <w:szCs w:val="20"/>
        </w:rPr>
        <w:t xml:space="preserve"> within the healthcare industry. As cyber threats continue to evolve, we may be required to expend additional resources to further enhance our information security measures and/or to investigate and remediate any information security vulnerabilities. If ou</w:t>
      </w:r>
      <w:r>
        <w:rPr>
          <w:sz w:val="20"/>
          <w:szCs w:val="20"/>
        </w:rPr>
        <w:t>r or our third-party vendors’ security measures fail or are breached, it could result in unauthorized persons accessing sensitive client or member data (including PHI), a loss of or damage to our data, an inability to access data sources, or process data o</w:t>
      </w:r>
      <w:r>
        <w:rPr>
          <w:sz w:val="20"/>
          <w:szCs w:val="20"/>
        </w:rPr>
        <w:t>r provide our services to our clients and members. Such failures or breaches of our or our third-party vendors’ security measures, or our or our third-party vendors’ inability to effectively resolve such failures or breaches in a timely manner, could sever</w:t>
      </w:r>
      <w:r>
        <w:rPr>
          <w:sz w:val="20"/>
          <w:szCs w:val="20"/>
        </w:rPr>
        <w:t>ely damage our reputation, adversely affect client, patient, member or investor confidence in us, and reduce the demand for our services from existing and potential clients and members. In addition, we could face litigation, damages for contract breach, mo</w:t>
      </w:r>
      <w:r>
        <w:rPr>
          <w:sz w:val="20"/>
          <w:szCs w:val="20"/>
        </w:rPr>
        <w:t>netary penalties, or regulatory actions for violation of applicable laws or regulations and incur significant costs for remedial measures to prevent future occurrences and mitigate past violations. Although we maintain insurance covering certain securit</w:t>
      </w:r>
      <w:r>
        <w:rPr>
          <w:sz w:val="20"/>
          <w:szCs w:val="20"/>
        </w:rPr>
        <w:t>y</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2</w:t>
      </w:r>
      <w:r>
        <w:rPr>
          <w:sz w:val="20"/>
          <w:szCs w:val="20"/>
        </w:rPr>
        <w:t>9</w:t>
      </w:r>
    </w:p>
    <w:p w:rsidR="00000000" w:rsidRDefault="00AF2D19">
      <w:pPr>
        <w:rPr>
          <w:rFonts w:eastAsia="Times New Roman"/>
        </w:rPr>
      </w:pPr>
      <w:r>
        <w:rPr>
          <w:rFonts w:eastAsia="Times New Roman"/>
        </w:rPr>
        <w:pict>
          <v:rect id="_x0000_i1056"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and privacy damages and claim expenses, we may not carry insurance or maintain coverage sufficient to compensate for all liability and in any event, insurance coverage</w:t>
      </w:r>
      <w:r>
        <w:rPr>
          <w:sz w:val="20"/>
          <w:szCs w:val="20"/>
        </w:rPr>
        <w:t xml:space="preserve"> would not address the reputational damage that could result from a security incident</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Data privacy is also subject to frequently changing laws, rules and regulations in the various jurisdictions in which we operate. Such initiatives around the country co</w:t>
      </w:r>
      <w:r>
        <w:rPr>
          <w:sz w:val="20"/>
          <w:szCs w:val="20"/>
        </w:rPr>
        <w:t>uld increase the cost of developing, implementing or securing our servers and require us to allocate more resources to improved technologies, adding to our IT and compliance costs. Our Board of Directors is briefed periodically on cybersecurity and risk ma</w:t>
      </w:r>
      <w:r>
        <w:rPr>
          <w:sz w:val="20"/>
          <w:szCs w:val="20"/>
        </w:rPr>
        <w:t>nagement issues and we have implemented a number of processes to avoid cyber threats and to protect privacy. However, the processes we have implemented in connection with such initiatives may be insufficient to prevent or detect improper access to confiden</w:t>
      </w:r>
      <w:r>
        <w:rPr>
          <w:sz w:val="20"/>
          <w:szCs w:val="20"/>
        </w:rPr>
        <w:t>tial, proprietary or sensitive data, including personal data. In addition, the competition for talent in the data privacy and cybersecurity space is intense, and we may be unable to hire, develop or retain suitable talent capable of adequately detecting, m</w:t>
      </w:r>
      <w:r>
        <w:rPr>
          <w:sz w:val="20"/>
          <w:szCs w:val="20"/>
        </w:rPr>
        <w:t>itigating or remediating these risks. Our failure to adhere to, or successfully implement processes in response to, changing legal or regulatory requirements in this area could result in legal liability or damage to our reputation in the marketplace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Shou</w:t>
      </w:r>
      <w:r>
        <w:rPr>
          <w:sz w:val="20"/>
          <w:szCs w:val="20"/>
        </w:rPr>
        <w:t>ld an attacker gain access to our network, including by way of example, using compromised credentials of an authorized user, we are at risk that the attacker might successfully leverage that access to compromise additional systems and data. Certain measure</w:t>
      </w:r>
      <w:r>
        <w:rPr>
          <w:sz w:val="20"/>
          <w:szCs w:val="20"/>
        </w:rPr>
        <w:t>s that we currently have in place in order to increase the security of our systems, such as data encryption (including data at rest encryption), heightened monitoring and logging, scanning for source code errors or deployment of multi-factor authentication</w:t>
      </w:r>
      <w:r>
        <w:rPr>
          <w:sz w:val="20"/>
          <w:szCs w:val="20"/>
        </w:rPr>
        <w:t xml:space="preserve">, take significant time and resources to deploy broadly, and such measures may not be deployed in a timely manner or be effective against an attack. As cybersecurity threats continue to evolve, we may be required to expend significant additional resources </w:t>
      </w:r>
      <w:r>
        <w:rPr>
          <w:sz w:val="20"/>
          <w:szCs w:val="20"/>
        </w:rPr>
        <w:t>to continue to modify or enhance our protective measures or to investigate and remediate any information security vulnerabilities. The inability to implement, maintain and upgrade adequate safeguards could have a material adverse effect on our business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O</w:t>
      </w:r>
      <w:r>
        <w:rPr>
          <w:sz w:val="20"/>
          <w:szCs w:val="20"/>
        </w:rPr>
        <w:t>ur information systems must be continually updated, patched and upgraded to protect against known vulnerabilities. The volume of new vulnerabilities has increased markedly, as has the criticality of patches and other remedial measures. In addition to remed</w:t>
      </w:r>
      <w:r>
        <w:rPr>
          <w:sz w:val="20"/>
          <w:szCs w:val="20"/>
        </w:rPr>
        <w:t>iating newly identified vulnerabilities, previously identified vulnerabilities must also be continuously addressed. Accordingly, we are at risk that cyber-attackers exploit these known vulnerabilities before they have been addressed. Any failure related to</w:t>
      </w:r>
      <w:r>
        <w:rPr>
          <w:sz w:val="20"/>
          <w:szCs w:val="20"/>
        </w:rPr>
        <w:t xml:space="preserve"> these activities and any breach of our information systems could result in significant liability and/or have a material adverse effect on our business, reputation and financial condition</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could experience losses or liability not covered by insurance</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business exposes us to risks that are inherent in the provision of virtual behavioral healthcare and access to remote, virtual healthcare and therapy. If clients, members or other individuals assert liability claims against us, any ensuing litigation,</w:t>
      </w:r>
      <w:r>
        <w:rPr>
          <w:sz w:val="20"/>
          <w:szCs w:val="20"/>
        </w:rPr>
        <w:t xml:space="preserve"> regardless of outcome, could result in a substantial cost to us, divert management’s attention from operations, and decrease market acceptance of our solution. We attempt to limit our liability to clients and members by contract; however, the limitations </w:t>
      </w:r>
      <w:r>
        <w:rPr>
          <w:sz w:val="20"/>
          <w:szCs w:val="20"/>
        </w:rPr>
        <w:t>of liability set forth in the contracts may not be enforceable or may not otherwise protect us from liability for damages. Additionally, we may be subject to claims that are not explicitly covered by contract. We also maintain general liability coverage; h</w:t>
      </w:r>
      <w:r>
        <w:rPr>
          <w:sz w:val="20"/>
          <w:szCs w:val="20"/>
        </w:rPr>
        <w:t>owever, this coverage may not continue to be available on acceptable terms, may not be available in sufficient amounts to cover one or more large claims against us, and may include larger self-insured retentions or exclusions for certain products. In addit</w:t>
      </w:r>
      <w:r>
        <w:rPr>
          <w:sz w:val="20"/>
          <w:szCs w:val="20"/>
        </w:rPr>
        <w:t>ion, the insurer might disclaim coverage as to any future claim. A successful claim not fully covered by our insurance could have a material adverse impact on our liquidity, financial condition, and results of operations</w:t>
      </w:r>
      <w:r>
        <w:rPr>
          <w:sz w:val="20"/>
          <w:szCs w:val="20"/>
        </w:rPr>
        <w:t>.</w:t>
      </w:r>
    </w:p>
    <w:p w:rsidR="00000000" w:rsidRDefault="00AF2D19">
      <w:pPr>
        <w:pStyle w:val="a3"/>
        <w:spacing w:before="240" w:beforeAutospacing="0" w:after="0" w:afterAutospacing="0"/>
        <w:jc w:val="both"/>
        <w:rPr>
          <w:sz w:val="20"/>
          <w:szCs w:val="20"/>
        </w:rPr>
      </w:pPr>
      <w:r>
        <w:rPr>
          <w:b/>
          <w:bCs/>
          <w:i/>
          <w:iCs/>
          <w:sz w:val="20"/>
          <w:szCs w:val="20"/>
        </w:rPr>
        <w:t>There may be adverse tax, legal an</w:t>
      </w:r>
      <w:r>
        <w:rPr>
          <w:b/>
          <w:bCs/>
          <w:i/>
          <w:iCs/>
          <w:sz w:val="20"/>
          <w:szCs w:val="20"/>
        </w:rPr>
        <w:t>d other consequences if the employment status of providers on our platform is challenged</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There is often uncertainty in the application of worker classification laws, especially in the medical field where individuals are required to hold professional lice</w:t>
      </w:r>
      <w:r>
        <w:rPr>
          <w:sz w:val="20"/>
          <w:szCs w:val="20"/>
        </w:rPr>
        <w:t>nses, and, consequently, there is risk that providers could be deemed to be misclassified under applicable law. We and TPN structure our relationships with the majority of our respective providers in a manner that we believe results in an independent contr</w:t>
      </w:r>
      <w:r>
        <w:rPr>
          <w:sz w:val="20"/>
          <w:szCs w:val="20"/>
        </w:rPr>
        <w:t>actor relationship, not an employee relationship. The tests governing whether a service provider is an independent contractor, or an employee are typically highly fact sensitive and vary by governing law. An independent contractor is generally distinguishe</w:t>
      </w:r>
      <w:r>
        <w:rPr>
          <w:sz w:val="20"/>
          <w:szCs w:val="20"/>
        </w:rPr>
        <w:t>d from an employee by his or her degree of autonomy and independence in providing services. A high degree of autonomy and independence is generally indicative of a contractor relationship, while a high degree of control is generally indicative of an employ</w:t>
      </w:r>
      <w:r>
        <w:rPr>
          <w:sz w:val="20"/>
          <w:szCs w:val="20"/>
        </w:rPr>
        <w:t>ment relationship. Although we believe that our and TPN’s providers are properly characterized as independent contractors, tax or other regulatory authorities may in the future challenge our characterization of these relationships. A misclassification dete</w:t>
      </w:r>
      <w:r>
        <w:rPr>
          <w:sz w:val="20"/>
          <w:szCs w:val="20"/>
        </w:rPr>
        <w:t>rmination or allegation creates potential exposure for us, including but not limited to: monetary exposure arising from or relating to failure to withhold and remit taxes, unpaid wages and wage and hour laws and requirements (such as those pertaining to mi</w:t>
      </w:r>
      <w:r>
        <w:rPr>
          <w:sz w:val="20"/>
          <w:szCs w:val="20"/>
        </w:rPr>
        <w:t>nimum wage and overtime); claims for employee benefits, social security, Medicare</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3</w:t>
      </w:r>
      <w:r>
        <w:rPr>
          <w:sz w:val="20"/>
          <w:szCs w:val="20"/>
        </w:rPr>
        <w:t>0</w:t>
      </w:r>
    </w:p>
    <w:p w:rsidR="00000000" w:rsidRDefault="00AF2D19">
      <w:pPr>
        <w:rPr>
          <w:rFonts w:eastAsia="Times New Roman"/>
        </w:rPr>
      </w:pPr>
      <w:r>
        <w:rPr>
          <w:rFonts w:eastAsia="Times New Roman"/>
        </w:rPr>
        <w:pict>
          <v:rect id="_x0000_i1057"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workers’ compensation and unemployment; claims of discrimination, harassment and re</w:t>
      </w:r>
      <w:r>
        <w:rPr>
          <w:sz w:val="20"/>
          <w:szCs w:val="20"/>
        </w:rPr>
        <w:t>taliation under civil rights laws; claims under laws pertaining to unionizing, collective bargaining and other concerted activity; and other claims, charges, or other proceedings under laws and regulations applicable to employers and employees, including r</w:t>
      </w:r>
      <w:r>
        <w:rPr>
          <w:sz w:val="20"/>
          <w:szCs w:val="20"/>
        </w:rPr>
        <w:t>isks relating to allegations of joint employer liability. Such claims could result in monetary damages or other liability, and any adverse determination, including potentially the requirement for us to indemnify a user, could also harm our brand, which cou</w:t>
      </w:r>
      <w:r>
        <w:rPr>
          <w:sz w:val="20"/>
          <w:szCs w:val="20"/>
        </w:rPr>
        <w:t>ld materially and adversely affect our business, prospects, financial condition and results of operations. While these risks are mitigated, in part, by our contractual rights of indemnification against third-party claims, such indemnification agreements co</w:t>
      </w:r>
      <w:r>
        <w:rPr>
          <w:sz w:val="20"/>
          <w:szCs w:val="20"/>
        </w:rPr>
        <w:t>uld be determined to be unenforceable or costly to enforce and indemnification under such agreements may otherwise prove inadequate. As a result, any determination that our and/or TPN’s providers are employees could have a material adverse effect on our bu</w:t>
      </w:r>
      <w:r>
        <w:rPr>
          <w:sz w:val="20"/>
          <w:szCs w:val="20"/>
        </w:rPr>
        <w:t>siness, financial condition and results of operations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Any future litigation against us could be costly and time-consuming to defend</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may become subject, from time to time, to legal proceedings, payer audits, investigations, and claims that arise in t</w:t>
      </w:r>
      <w:r>
        <w:rPr>
          <w:sz w:val="20"/>
          <w:szCs w:val="20"/>
        </w:rPr>
        <w:t>he ordinary course of business such as claims brought by our clients in connection with commercial disputes or employment claims made by our current or former associates. Litigation and audits may result in substantial costs and may divert management’s att</w:t>
      </w:r>
      <w:r>
        <w:rPr>
          <w:sz w:val="20"/>
          <w:szCs w:val="20"/>
        </w:rPr>
        <w:t>ention and resources, which may substantially harm our business, financial condition and results of operations. Insurance may not cover such claims, may not provide sufficient payments to cover all of the costs to resolve one or more such claims and may no</w:t>
      </w:r>
      <w:r>
        <w:rPr>
          <w:sz w:val="20"/>
          <w:szCs w:val="20"/>
        </w:rPr>
        <w:t>t continue to be available on terms acceptable to us. A claim brought against us that is uninsured or underinsured could result in unanticipated costs, thereby reducing our earnings and leading analysts or potential investors to reduce their expectations o</w:t>
      </w:r>
      <w:r>
        <w:rPr>
          <w:sz w:val="20"/>
          <w:szCs w:val="20"/>
        </w:rPr>
        <w:t>f our performance, which could reduce the market price of our stock</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Changes in consumer sentiment or laws, rules or regulations regarding the use of cookies and other tracking technologies and other privacy matters could have a material adverse effect on</w:t>
      </w:r>
      <w:r>
        <w:rPr>
          <w:b/>
          <w:bCs/>
          <w:i/>
          <w:iCs/>
          <w:sz w:val="20"/>
          <w:szCs w:val="20"/>
        </w:rPr>
        <w:t xml:space="preserve"> our ability to generate net revenues and could adversely affect our ability to collect proprietary data on consumer behavior</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Consumers may become increasingly resistant to the collection, use and sharing of information online, including information used to deliver and optimize advertising, and take steps to prevent such collection, use and sharing of information. For example, co</w:t>
      </w:r>
      <w:r>
        <w:rPr>
          <w:sz w:val="20"/>
          <w:szCs w:val="20"/>
        </w:rPr>
        <w:t>nsumer complaints and/or lawsuits regarding online advertising or the use of cookies or other tracking technologies in general and our practices specifically could adversely impact our business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Consumers can currently opt out of the placement or use of m</w:t>
      </w:r>
      <w:r>
        <w:rPr>
          <w:sz w:val="20"/>
          <w:szCs w:val="20"/>
        </w:rPr>
        <w:t>ost cookies for online advertising purposes by either deleting or disabling cookies on their browsers, visiting websites that allow consumers to place an opt-out cookie on their browsers, which instructs participating entities not to use certain data about</w:t>
      </w:r>
      <w:r>
        <w:rPr>
          <w:sz w:val="20"/>
          <w:szCs w:val="20"/>
        </w:rPr>
        <w:t xml:space="preserve"> consumers’ online activity for the delivery of targeted advertising, or by downloading browser plug-ins and other tools that can be set to: identify cookies and other tracking technologies used on websites; prevent websites from placing third-party cookie</w:t>
      </w:r>
      <w:r>
        <w:rPr>
          <w:sz w:val="20"/>
          <w:szCs w:val="20"/>
        </w:rPr>
        <w:t>s and other tracking technologies on the consumer’s browser; or block the delivery of online advertisements on apps and websites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are subject to evolving EU and UK privacy laws on cookies and e-marketing. In the EU and the UK, under national laws deriv</w:t>
      </w:r>
      <w:r>
        <w:rPr>
          <w:sz w:val="20"/>
          <w:szCs w:val="20"/>
        </w:rPr>
        <w:t>ed from the ePrivacy Directive, informed consent is required for the placement of a cookie or similar technologies on a user’s device and generally for direct electronic marketing to consumers. The General Data Protection Regulation (“GDPR”) also imposes c</w:t>
      </w:r>
      <w:r>
        <w:rPr>
          <w:sz w:val="20"/>
          <w:szCs w:val="20"/>
        </w:rPr>
        <w:t xml:space="preserve">onditions on obtaining valid consent, such as a prohibition on pre-checked consents and a requirement to ensure separate consents are sought for each type of cookie or similar technology. The current national laws that implement the ePrivacy Directive are </w:t>
      </w:r>
      <w:r>
        <w:rPr>
          <w:sz w:val="20"/>
          <w:szCs w:val="20"/>
        </w:rPr>
        <w:t>highly likely to be replaced across the EU (but not directly in the UK) by an EU regulation known as the ePrivacy Regulation which will significantly increase fines for non-compliance. While the text of the ePrivacy Regulation is still under development, r</w:t>
      </w:r>
      <w:r>
        <w:rPr>
          <w:sz w:val="20"/>
          <w:szCs w:val="20"/>
        </w:rPr>
        <w:t>ecent European court decisions regarding the consent requirements and regulators’ recent guidance are driving increased attention to cookies and tracking technologies. For example, in December 2020 the French data protection regulator (the CNIL) imposed fi</w:t>
      </w:r>
      <w:r>
        <w:rPr>
          <w:sz w:val="20"/>
          <w:szCs w:val="20"/>
        </w:rPr>
        <w:t>nes of EUR 100M and EUR 35M respectively against certain Google and Amazon entities for alleged breaches of cookies consent and transparency requirements; and in December 2021, the CNIL imposed fines of EUR 150M and EUR 60M respectively against certain Goo</w:t>
      </w:r>
      <w:r>
        <w:rPr>
          <w:sz w:val="20"/>
          <w:szCs w:val="20"/>
        </w:rPr>
        <w:t>gle and Meta entities for alleged failures to allow users to easily reject cookies. In addition, NYOB (a not for profit organization led by Max Schrems) has recently issued approximately 500 complaints to European website operators regarding their cookie b</w:t>
      </w:r>
      <w:r>
        <w:rPr>
          <w:sz w:val="20"/>
          <w:szCs w:val="20"/>
        </w:rPr>
        <w:t>anners and referred 422 of these to relevant national regulators and has said that it aims to scan, warn and seek enforcement on up to 10,000 websites in Europe. If the trend of increasing enforcement by regulators of the strict approach in recent guidance</w:t>
      </w:r>
      <w:r>
        <w:rPr>
          <w:sz w:val="20"/>
          <w:szCs w:val="20"/>
        </w:rPr>
        <w:t xml:space="preserve"> and decisions continues, this could lead to substantial costs, require significant systems changes, limit the effectiveness of our marketing activities, divert the attention of our technology personnel, adversely affect our margins, increase costs and sub</w:t>
      </w:r>
      <w:r>
        <w:rPr>
          <w:sz w:val="20"/>
          <w:szCs w:val="20"/>
        </w:rPr>
        <w:t>ject us to additional liabilities. Regulation of cookies and similar technologies, and any decline of cookies or similar online tracking technologies as a means to identify and potentially target users, may lead to broade</w:t>
      </w:r>
      <w:r>
        <w:rPr>
          <w:sz w:val="20"/>
          <w:szCs w:val="20"/>
        </w:rPr>
        <w:t>r</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3</w:t>
      </w:r>
      <w:r>
        <w:rPr>
          <w:sz w:val="20"/>
          <w:szCs w:val="20"/>
        </w:rPr>
        <w:t>1</w:t>
      </w:r>
    </w:p>
    <w:p w:rsidR="00000000" w:rsidRDefault="00AF2D19">
      <w:pPr>
        <w:rPr>
          <w:rFonts w:eastAsia="Times New Roman"/>
        </w:rPr>
      </w:pPr>
      <w:r>
        <w:rPr>
          <w:rFonts w:eastAsia="Times New Roman"/>
        </w:rPr>
        <w:pict>
          <v:rect id="_x0000_i1058"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restrictions and impairments on our marketing and personalization activities and may negatively impact our efforts to understand users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response to marketplace concerns about the usage of third-p</w:t>
      </w:r>
      <w:r>
        <w:rPr>
          <w:sz w:val="20"/>
          <w:szCs w:val="20"/>
        </w:rPr>
        <w:t>arty cookies and web beacons to track user behaviors, providers of major browsers have included features that allow users to limit the collection of certain data generally or from specified websites. In addition, various software tools and applications hav</w:t>
      </w:r>
      <w:r>
        <w:rPr>
          <w:sz w:val="20"/>
          <w:szCs w:val="20"/>
        </w:rPr>
        <w:t>e been developed that can block advertisements from a consumer’s screen or allow consumers to shift the location in which advertising appears on webpages or opt out of display, search and internet-based advertising entirely. In particular, Apple’s mobile o</w:t>
      </w:r>
      <w:r>
        <w:rPr>
          <w:sz w:val="20"/>
          <w:szCs w:val="20"/>
        </w:rPr>
        <w:t>perating system permits these technologies to work in its mobile Safari browser. In addition, changes in device and software features could make it easier for internet users to prevent the placement of cookies or to block other tracking technologies. In pa</w:t>
      </w:r>
      <w:r>
        <w:rPr>
          <w:sz w:val="20"/>
          <w:szCs w:val="20"/>
        </w:rPr>
        <w:t>rticular, the default settings of consumer devices and software may be set to prevent the placement of cookies unless the user actively elects to allow them. For example, Apple’s Safari browser currently has a default setting under which third-party cookie</w:t>
      </w:r>
      <w:r>
        <w:rPr>
          <w:sz w:val="20"/>
          <w:szCs w:val="20"/>
        </w:rPr>
        <w:t>s are not accepted and users must activate a browser setting to enable cookies to be set, and Apple has announced that its new mobile operating system will require consumers to opt in to the use of Apple’s resettable device identifier for advertising purpo</w:t>
      </w:r>
      <w:r>
        <w:rPr>
          <w:sz w:val="20"/>
          <w:szCs w:val="20"/>
        </w:rPr>
        <w:t>ses. Various industry participants have worked to develop and finalize standards relating to a mechanism in which consumers choose whether to allow the tracking of their online search and browsing activities, and such standards may be implemented and adopt</w:t>
      </w:r>
      <w:r>
        <w:rPr>
          <w:sz w:val="20"/>
          <w:szCs w:val="20"/>
        </w:rPr>
        <w:t>ed by industry participants at any time. These developments could impair our ability to collect user information, including personal data and usage information, that helps us provide more targeted advertising to our current and prospective consumers, which</w:t>
      </w:r>
      <w:r>
        <w:rPr>
          <w:sz w:val="20"/>
          <w:szCs w:val="20"/>
        </w:rPr>
        <w:t xml:space="preserve"> could adversely affect our business, given our use of cookies and similar technologies to target our marketing and personalize the consumer experience</w:t>
      </w:r>
      <w:r>
        <w:rPr>
          <w:sz w:val="20"/>
          <w:szCs w:val="20"/>
        </w:rPr>
        <w:t>.</w:t>
      </w:r>
    </w:p>
    <w:p w:rsidR="00000000" w:rsidRDefault="00AF2D19">
      <w:pPr>
        <w:pStyle w:val="a3"/>
        <w:spacing w:before="120" w:beforeAutospacing="0" w:after="0" w:afterAutospacing="0"/>
        <w:rPr>
          <w:sz w:val="20"/>
          <w:szCs w:val="20"/>
        </w:rPr>
      </w:pPr>
      <w:r>
        <w:rPr>
          <w:sz w:val="20"/>
          <w:szCs w:val="20"/>
        </w:rPr>
        <w:t>If consumer sentiment regarding privacy issues or the development and deployment of new browser solutio</w:t>
      </w:r>
      <w:r>
        <w:rPr>
          <w:sz w:val="20"/>
          <w:szCs w:val="20"/>
        </w:rPr>
        <w:t>ns or other Do Not Track mechanisms result in a material increase in the number of consumers who choose to opt out or block cookies and other tracking technologies or who are otherwise using browsers where they need to, and fail to, allow the browser to ac</w:t>
      </w:r>
      <w:r>
        <w:rPr>
          <w:sz w:val="20"/>
          <w:szCs w:val="20"/>
        </w:rPr>
        <w:t>cept cookies, or otherwise result in cookies or other tracking technologies not functioning properly, our ability to advertise effectively and conduct our business, and our results of operations and financial condition would be adversely affected</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Changes</w:t>
      </w:r>
      <w:r>
        <w:rPr>
          <w:b/>
          <w:bCs/>
          <w:i/>
          <w:iCs/>
          <w:sz w:val="20"/>
          <w:szCs w:val="20"/>
        </w:rPr>
        <w:t xml:space="preserve"> in U.S. tax laws could adversely affect our operating results and financial condition</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The United States enacted tax reform legislation in 2017 (the “Tax Cuts and Jobs Act of 2017”) that, among other things, reduces the U.S. federal corporate income tax </w:t>
      </w:r>
      <w:r>
        <w:rPr>
          <w:sz w:val="20"/>
          <w:szCs w:val="20"/>
        </w:rPr>
        <w:t>rate to 21%, imposes significant limitations on the deductibility of interest and executive compensation, allows for the expensing of capital expenditures, limits the deduction for net operating losses (“NOLs”) to 80% of current year taxable income in resp</w:t>
      </w:r>
      <w:r>
        <w:rPr>
          <w:sz w:val="20"/>
          <w:szCs w:val="20"/>
        </w:rPr>
        <w:t>ect of losses arising in taxable years beginning after 2017, and modifies or repeals many business deductions and credits. The reduction in the U.S. federal corporate income tax rate is expected to be beneficial to us in future years in which we have net i</w:t>
      </w:r>
      <w:r>
        <w:rPr>
          <w:sz w:val="20"/>
          <w:szCs w:val="20"/>
        </w:rPr>
        <w:t>ncome subject to U.S. tax. The reduction in the U.S. federal corporate income tax rate also resulted in a remeasurement of our deferred tax assets and liabilities. There was no net impact on our deferred tax assets as we maintain a full valuation allowance</w:t>
      </w:r>
      <w:r>
        <w:rPr>
          <w:sz w:val="20"/>
          <w:szCs w:val="20"/>
        </w:rPr>
        <w:t>. On March 27, 2020, the Coronavirus Aid, Relief, and Economic Security Act (the “CARES Act”) was enacted in response to the COVID-19 pandemic. The CARES Act contains certain tax provisions, including provisions that retroactively and/or temporarily suspen</w:t>
      </w:r>
      <w:r>
        <w:rPr>
          <w:sz w:val="20"/>
          <w:szCs w:val="20"/>
        </w:rPr>
        <w:t>d or relax in certain respects the application of certain provisions, such as the limitations on the deduction of NOLs and interest, in the Tax Cuts and Jobs Act of 2017</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There are a number of uncertainties and ambiguities as to the interpretation and app</w:t>
      </w:r>
      <w:r>
        <w:rPr>
          <w:sz w:val="20"/>
          <w:szCs w:val="20"/>
        </w:rPr>
        <w:t xml:space="preserve">lication of many of the provisions in the Tax Cuts and Jobs Act of 2017 and the CARES Act. In the absence of guidance on these issues, we will use what we believe are reasonable interpretations and assumptions in interpreting and applying the Tax Cuts and </w:t>
      </w:r>
      <w:r>
        <w:rPr>
          <w:sz w:val="20"/>
          <w:szCs w:val="20"/>
        </w:rPr>
        <w:t>Jobs Act of 2017 and the CARES Act, which may change as we receive additional clarification and implementation guidance. It is also possible that the Internal Revenue Service could issue subsequent guidance or take positions that differ from the interpreta</w:t>
      </w:r>
      <w:r>
        <w:rPr>
          <w:sz w:val="20"/>
          <w:szCs w:val="20"/>
        </w:rPr>
        <w:t>tions and assumptions that we previously made, which could have a material adverse effect on our cash tax liabilities, results of operations and financial condition</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Certain U.S. state and local tax authorities may assert that we have a nexus with such st</w:t>
      </w:r>
      <w:r>
        <w:rPr>
          <w:b/>
          <w:bCs/>
          <w:i/>
          <w:iCs/>
          <w:sz w:val="20"/>
          <w:szCs w:val="20"/>
        </w:rPr>
        <w:t>ates or localities and may seek to impose state and local income taxes on our income allocated to such state and localities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There is a risk that certain state tax authorities where we do not currently file a state income tax return could assert that we a</w:t>
      </w:r>
      <w:r>
        <w:rPr>
          <w:sz w:val="20"/>
          <w:szCs w:val="20"/>
        </w:rPr>
        <w:t>re liable for state and local income taxes based upon income or gross receipts allocable to such states or localities. States and localities are becoming increasingly aggressive in asserting nexus for state and local income tax purposes. We could be subjec</w:t>
      </w:r>
      <w:r>
        <w:rPr>
          <w:sz w:val="20"/>
          <w:szCs w:val="20"/>
        </w:rPr>
        <w:t>t to additional state and local income taxation, including penalties and interest attributable to prior periods, if a state or local tax authority in a state or locality where we do not currently file an income tax return successfully asserts that our acti</w:t>
      </w:r>
      <w:r>
        <w:rPr>
          <w:sz w:val="20"/>
          <w:szCs w:val="20"/>
        </w:rPr>
        <w:t>vities give rise to nexus for state income tax purposes. Such tax assessments, penalties and interest may adversely affect our cash tax liabilities, results of operations and financial condition</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3</w:t>
      </w:r>
      <w:r>
        <w:rPr>
          <w:sz w:val="20"/>
          <w:szCs w:val="20"/>
        </w:rPr>
        <w:t>2</w:t>
      </w:r>
    </w:p>
    <w:p w:rsidR="00000000" w:rsidRDefault="00AF2D19">
      <w:pPr>
        <w:rPr>
          <w:rFonts w:eastAsia="Times New Roman"/>
        </w:rPr>
      </w:pPr>
      <w:r>
        <w:rPr>
          <w:rFonts w:eastAsia="Times New Roman"/>
        </w:rPr>
        <w:pict>
          <v:rect id="_x0000_i1059"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i/>
          <w:iCs/>
          <w:sz w:val="20"/>
          <w:szCs w:val="20"/>
        </w:rPr>
        <w:t>Taxing authorities may successfully assert that we should have collected or in the future should collect sales and use or similar taxes for virtual behavioral health services which could adversely affect our</w:t>
      </w:r>
      <w:r>
        <w:rPr>
          <w:b/>
          <w:bCs/>
          <w:i/>
          <w:iCs/>
          <w:sz w:val="20"/>
          <w:szCs w:val="20"/>
        </w:rPr>
        <w:t xml:space="preserve"> results of operations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State taxing authorities may assert that we had economic nexus with their state and were required to collect sales and use or similar taxes with respect to past or future services that we have provided or will provide, which could </w:t>
      </w:r>
      <w:r>
        <w:rPr>
          <w:sz w:val="20"/>
          <w:szCs w:val="20"/>
        </w:rPr>
        <w:t>result in tax assessments and penalties and interest. The assertion of such taxes against us for past services, or any requirement that we collect sales taxes on its provision of future services, could have a material adverse effect on our business, cash t</w:t>
      </w:r>
      <w:r>
        <w:rPr>
          <w:sz w:val="20"/>
          <w:szCs w:val="20"/>
        </w:rPr>
        <w:t>ax liabilities, results of operations, and financial condition</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Our ability to use our net operating losses and certain other attributes may be subject to certain limitations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At December 31, 2021, the Company has federal and state net operating loss car</w:t>
      </w:r>
      <w:r>
        <w:rPr>
          <w:sz w:val="20"/>
          <w:szCs w:val="20"/>
        </w:rPr>
        <w:t>ryovers (“NOL”) of approximately $194.0 million and $180.6 million, respectively, which are available to reduce future taxable income. The NOL carryforwards begin to expire in 2032 and may become subject to annual limitation in the event of certain cumulat</w:t>
      </w:r>
      <w:r>
        <w:rPr>
          <w:sz w:val="20"/>
          <w:szCs w:val="20"/>
        </w:rPr>
        <w:t>ive changes in the ownership interest of significant stockholders over a three-year period in excess of 50%, as defined under I.R.C. Section 382. This could limit the amount of tax attributes that can be utilized annually to offset future taxable income or</w:t>
      </w:r>
      <w:r>
        <w:rPr>
          <w:sz w:val="20"/>
          <w:szCs w:val="20"/>
        </w:rPr>
        <w:t xml:space="preserve"> future tax liabilities. The federal losses generated from 2018 onward do not expire</w:t>
      </w:r>
      <w:r>
        <w:rPr>
          <w:sz w:val="20"/>
          <w:szCs w:val="20"/>
        </w:rPr>
        <w:t>.</w:t>
      </w:r>
    </w:p>
    <w:p w:rsidR="00000000" w:rsidRDefault="00AF2D19">
      <w:pPr>
        <w:pStyle w:val="a3"/>
        <w:spacing w:before="120" w:beforeAutospacing="0" w:after="0" w:afterAutospacing="0"/>
        <w:jc w:val="both"/>
        <w:rPr>
          <w:sz w:val="20"/>
          <w:szCs w:val="20"/>
        </w:rPr>
      </w:pPr>
      <w:r>
        <w:rPr>
          <w:sz w:val="20"/>
          <w:szCs w:val="20"/>
        </w:rPr>
        <w:t>It is possible that we will not generate taxable income in time to use these net operating loss carryforwards before their expiration (or that we will not generate taxabl</w:t>
      </w:r>
      <w:r>
        <w:rPr>
          <w:sz w:val="20"/>
          <w:szCs w:val="20"/>
        </w:rPr>
        <w:t xml:space="preserve">e income at all). Under the Tax Cuts and Jobs Act of 2017, U.S. federal net operating losses incurred in 2018 and in future years may be carried forward indefinitely, but the deductibility of such net operating losses is limited. It is uncertain if and to </w:t>
      </w:r>
      <w:r>
        <w:rPr>
          <w:sz w:val="20"/>
          <w:szCs w:val="20"/>
        </w:rPr>
        <w:t>what extent various states will conform to these in federal tax laws. In addition, the federal and state net operating loss carryforwards and certain tax credits may be subject to significant limitations under Section 382 and Section 383 of the Internal Re</w:t>
      </w:r>
      <w:r>
        <w:rPr>
          <w:sz w:val="20"/>
          <w:szCs w:val="20"/>
        </w:rPr>
        <w:t>venue Code, respectively, and similar provisions of state law. Under those sections of the Internal Revenue Code, if a corporation undergoes an “ownership change,” the corporation’s ability to use its pre-change net operating loss carryforwards and other p</w:t>
      </w:r>
      <w:r>
        <w:rPr>
          <w:sz w:val="20"/>
          <w:szCs w:val="20"/>
        </w:rPr>
        <w:t>re-change attributes, such as research tax credits, to offset its post-change income or tax may be limited. In general, an “ownership change” will occur if there is a cumulative change in our ownership by “5-percent shareholders” that exceeds 50 percentage</w:t>
      </w:r>
      <w:r>
        <w:rPr>
          <w:sz w:val="20"/>
          <w:szCs w:val="20"/>
        </w:rPr>
        <w:t xml:space="preserve"> points over a rolling three-year period. Similar rules may apply under state tax laws. We have not undertaken an analysis of whether we have experienced an “ownership change” for purposes of Section 382 and Section 383 of the Internal Revenue Code or whet</w:t>
      </w:r>
      <w:r>
        <w:rPr>
          <w:sz w:val="20"/>
          <w:szCs w:val="20"/>
        </w:rPr>
        <w:t>her there are any limitations on use with respect to our net operating losses and other tax attributes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Our quarterly results may fluctuate significantly, which could adversely impact the value of our common stock</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quarterly results of operations, including our revenue, net loss and cash flows, has varied and may vary significantly in the future, and period-to-period comparisons of our results of operations may not be meaningful. Accordingly, our quarterly result</w:t>
      </w:r>
      <w:r>
        <w:rPr>
          <w:sz w:val="20"/>
          <w:szCs w:val="20"/>
        </w:rPr>
        <w:t>s should not be relied upon as an indication of future performance. Our quarterly financial results may fluctuate as a result of a variety of factors, many of which are outside of our control, including, without limitation, the following</w:t>
      </w:r>
      <w:r>
        <w:rPr>
          <w:sz w:val="20"/>
          <w:szCs w:val="20"/>
        </w:rPr>
        <w:t>:</w:t>
      </w:r>
      <w:r>
        <w:rPr>
          <w:sz w:val="20"/>
          <w:szCs w:val="20"/>
        </w:rPr>
        <w:t xml:space="preserve"> </w:t>
      </w:r>
    </w:p>
    <w:p w:rsidR="00000000" w:rsidRDefault="00AF2D19">
      <w:pPr>
        <w:spacing w:before="120"/>
        <w:ind w:left="3"/>
        <w:jc w:val="both"/>
        <w:divId w:val="1640040141"/>
        <w:rPr>
          <w:rFonts w:eastAsia="Times New Roman"/>
        </w:rPr>
      </w:pPr>
      <w:r>
        <w:rPr>
          <w:rFonts w:eastAsia="Times New Roman"/>
          <w:sz w:val="20"/>
          <w:szCs w:val="20"/>
        </w:rPr>
        <w:t>●</w:t>
      </w:r>
    </w:p>
    <w:p w:rsidR="00000000" w:rsidRDefault="00AF2D19">
      <w:pPr>
        <w:jc w:val="both"/>
        <w:divId w:val="728847265"/>
        <w:rPr>
          <w:rFonts w:eastAsia="Times New Roman"/>
        </w:rPr>
      </w:pPr>
      <w:r>
        <w:rPr>
          <w:rFonts w:eastAsia="Times New Roman"/>
          <w:sz w:val="20"/>
          <w:szCs w:val="20"/>
        </w:rPr>
        <w:t>our ability to</w:t>
      </w:r>
      <w:r>
        <w:rPr>
          <w:rFonts w:eastAsia="Times New Roman"/>
          <w:sz w:val="20"/>
          <w:szCs w:val="20"/>
        </w:rPr>
        <w:t xml:space="preserve"> maintain and grow the number of clients and members on our platform;</w:t>
      </w:r>
      <w:r>
        <w:rPr>
          <w:rFonts w:eastAsia="Times New Roman"/>
          <w:sz w:val="20"/>
          <w:szCs w:val="20"/>
        </w:rPr>
        <w:t xml:space="preserve"> </w:t>
      </w:r>
    </w:p>
    <w:p w:rsidR="00000000" w:rsidRDefault="00AF2D19">
      <w:pPr>
        <w:spacing w:before="120"/>
        <w:ind w:left="3"/>
        <w:jc w:val="both"/>
        <w:divId w:val="1596132692"/>
        <w:rPr>
          <w:rFonts w:eastAsia="Times New Roman"/>
        </w:rPr>
      </w:pPr>
      <w:r>
        <w:rPr>
          <w:rFonts w:eastAsia="Times New Roman"/>
          <w:sz w:val="20"/>
          <w:szCs w:val="20"/>
        </w:rPr>
        <w:t>●</w:t>
      </w:r>
    </w:p>
    <w:p w:rsidR="00000000" w:rsidRDefault="00AF2D19">
      <w:pPr>
        <w:jc w:val="both"/>
        <w:divId w:val="1635597245"/>
        <w:rPr>
          <w:rFonts w:eastAsia="Times New Roman"/>
        </w:rPr>
      </w:pPr>
      <w:r>
        <w:rPr>
          <w:rFonts w:eastAsia="Times New Roman"/>
          <w:sz w:val="20"/>
          <w:szCs w:val="20"/>
        </w:rPr>
        <w:t>the demand for and types of services that are offered on our platform by providers;</w:t>
      </w:r>
      <w:r>
        <w:rPr>
          <w:rFonts w:eastAsia="Times New Roman"/>
          <w:sz w:val="20"/>
          <w:szCs w:val="20"/>
        </w:rPr>
        <w:t xml:space="preserve"> </w:t>
      </w:r>
    </w:p>
    <w:p w:rsidR="00000000" w:rsidRDefault="00AF2D19">
      <w:pPr>
        <w:spacing w:before="120"/>
        <w:ind w:left="3"/>
        <w:jc w:val="both"/>
        <w:divId w:val="831870543"/>
        <w:rPr>
          <w:rFonts w:eastAsia="Times New Roman"/>
        </w:rPr>
      </w:pPr>
      <w:r>
        <w:rPr>
          <w:rFonts w:eastAsia="Times New Roman"/>
          <w:sz w:val="20"/>
          <w:szCs w:val="20"/>
        </w:rPr>
        <w:t>●</w:t>
      </w:r>
    </w:p>
    <w:p w:rsidR="00000000" w:rsidRDefault="00AF2D19">
      <w:pPr>
        <w:jc w:val="both"/>
        <w:divId w:val="1601176841"/>
        <w:rPr>
          <w:rFonts w:eastAsia="Times New Roman"/>
        </w:rPr>
      </w:pPr>
      <w:r>
        <w:rPr>
          <w:rFonts w:eastAsia="Times New Roman"/>
          <w:sz w:val="20"/>
          <w:szCs w:val="20"/>
        </w:rPr>
        <w:t>the timing of recognition of revenue, including possible delays in the recognition of revenue du</w:t>
      </w:r>
      <w:r>
        <w:rPr>
          <w:rFonts w:eastAsia="Times New Roman"/>
          <w:sz w:val="20"/>
          <w:szCs w:val="20"/>
        </w:rPr>
        <w:t>e to sometimes unpredictable implementation timelines;</w:t>
      </w:r>
      <w:r>
        <w:rPr>
          <w:rFonts w:eastAsia="Times New Roman"/>
          <w:sz w:val="20"/>
          <w:szCs w:val="20"/>
        </w:rPr>
        <w:t xml:space="preserve"> </w:t>
      </w:r>
    </w:p>
    <w:p w:rsidR="00000000" w:rsidRDefault="00AF2D19">
      <w:pPr>
        <w:spacing w:before="120"/>
        <w:ind w:left="3"/>
        <w:jc w:val="both"/>
        <w:divId w:val="1005549501"/>
        <w:rPr>
          <w:rFonts w:eastAsia="Times New Roman"/>
        </w:rPr>
      </w:pPr>
      <w:r>
        <w:rPr>
          <w:rFonts w:eastAsia="Times New Roman"/>
          <w:sz w:val="20"/>
          <w:szCs w:val="20"/>
        </w:rPr>
        <w:t>●</w:t>
      </w:r>
    </w:p>
    <w:p w:rsidR="00000000" w:rsidRDefault="00AF2D19">
      <w:pPr>
        <w:jc w:val="both"/>
        <w:divId w:val="1133524941"/>
        <w:rPr>
          <w:rFonts w:eastAsia="Times New Roman"/>
        </w:rPr>
      </w:pPr>
      <w:r>
        <w:rPr>
          <w:rFonts w:eastAsia="Times New Roman"/>
          <w:sz w:val="20"/>
          <w:szCs w:val="20"/>
        </w:rPr>
        <w:t>the amount and timing of operating expenses related to the maintenance and expansion of our business, operations and infrastructure;</w:t>
      </w:r>
      <w:r>
        <w:rPr>
          <w:rFonts w:eastAsia="Times New Roman"/>
          <w:sz w:val="20"/>
          <w:szCs w:val="20"/>
        </w:rPr>
        <w:t xml:space="preserve"> </w:t>
      </w:r>
    </w:p>
    <w:p w:rsidR="00000000" w:rsidRDefault="00AF2D19">
      <w:pPr>
        <w:spacing w:before="120"/>
        <w:ind w:left="3"/>
        <w:jc w:val="both"/>
        <w:divId w:val="967708246"/>
        <w:rPr>
          <w:rFonts w:eastAsia="Times New Roman"/>
        </w:rPr>
      </w:pPr>
      <w:r>
        <w:rPr>
          <w:rFonts w:eastAsia="Times New Roman"/>
          <w:sz w:val="20"/>
          <w:szCs w:val="20"/>
        </w:rPr>
        <w:t>●</w:t>
      </w:r>
    </w:p>
    <w:p w:rsidR="00000000" w:rsidRDefault="00AF2D19">
      <w:pPr>
        <w:jc w:val="both"/>
        <w:divId w:val="973214933"/>
        <w:rPr>
          <w:rFonts w:eastAsia="Times New Roman"/>
        </w:rPr>
      </w:pPr>
      <w:r>
        <w:rPr>
          <w:rFonts w:eastAsia="Times New Roman"/>
          <w:sz w:val="20"/>
          <w:szCs w:val="20"/>
        </w:rPr>
        <w:t xml:space="preserve">our ability to effectively manage the size and composition of </w:t>
      </w:r>
      <w:r>
        <w:rPr>
          <w:rFonts w:eastAsia="Times New Roman"/>
          <w:sz w:val="20"/>
          <w:szCs w:val="20"/>
        </w:rPr>
        <w:t>our network of healthcare providers relative to the level of demand for services from our members and our clients’ members and patients;</w:t>
      </w:r>
      <w:r>
        <w:rPr>
          <w:rFonts w:eastAsia="Times New Roman"/>
          <w:sz w:val="20"/>
          <w:szCs w:val="20"/>
        </w:rPr>
        <w:t xml:space="preserve"> </w:t>
      </w:r>
    </w:p>
    <w:p w:rsidR="00000000" w:rsidRDefault="00AF2D19">
      <w:pPr>
        <w:spacing w:before="120"/>
        <w:ind w:left="3"/>
        <w:jc w:val="both"/>
        <w:divId w:val="1997684098"/>
        <w:rPr>
          <w:rFonts w:eastAsia="Times New Roman"/>
        </w:rPr>
      </w:pPr>
      <w:r>
        <w:rPr>
          <w:rFonts w:eastAsia="Times New Roman"/>
          <w:sz w:val="20"/>
          <w:szCs w:val="20"/>
        </w:rPr>
        <w:t>●</w:t>
      </w:r>
    </w:p>
    <w:p w:rsidR="00000000" w:rsidRDefault="00AF2D19">
      <w:pPr>
        <w:jc w:val="both"/>
        <w:divId w:val="2081058740"/>
        <w:rPr>
          <w:rFonts w:eastAsia="Times New Roman"/>
        </w:rPr>
      </w:pPr>
      <w:r>
        <w:rPr>
          <w:rFonts w:eastAsia="Times New Roman"/>
          <w:sz w:val="20"/>
          <w:szCs w:val="20"/>
        </w:rPr>
        <w:t>our ability to respond to competitive developments, including pricing changes and the introduction of new products a</w:t>
      </w:r>
      <w:r>
        <w:rPr>
          <w:rFonts w:eastAsia="Times New Roman"/>
          <w:sz w:val="20"/>
          <w:szCs w:val="20"/>
        </w:rPr>
        <w:t>nd services by our competitors;</w:t>
      </w:r>
      <w:r>
        <w:rPr>
          <w:rFonts w:eastAsia="Times New Roman"/>
          <w:sz w:val="20"/>
          <w:szCs w:val="20"/>
        </w:rPr>
        <w:t xml:space="preserve"> </w:t>
      </w:r>
    </w:p>
    <w:p w:rsidR="00000000" w:rsidRDefault="00AF2D19">
      <w:pPr>
        <w:spacing w:before="120"/>
        <w:ind w:left="3"/>
        <w:jc w:val="both"/>
        <w:divId w:val="1525482400"/>
        <w:rPr>
          <w:rFonts w:eastAsia="Times New Roman"/>
        </w:rPr>
      </w:pPr>
      <w:r>
        <w:rPr>
          <w:rFonts w:eastAsia="Times New Roman"/>
          <w:sz w:val="20"/>
          <w:szCs w:val="20"/>
        </w:rPr>
        <w:t>●</w:t>
      </w:r>
    </w:p>
    <w:p w:rsidR="00000000" w:rsidRDefault="00AF2D19">
      <w:pPr>
        <w:jc w:val="both"/>
        <w:divId w:val="755979529"/>
        <w:rPr>
          <w:rFonts w:eastAsia="Times New Roman"/>
        </w:rPr>
      </w:pPr>
      <w:r>
        <w:rPr>
          <w:rFonts w:eastAsia="Times New Roman"/>
          <w:sz w:val="20"/>
          <w:szCs w:val="20"/>
        </w:rPr>
        <w:t>client and member retention and the timing and terms of client and member renewals;</w:t>
      </w:r>
      <w:r>
        <w:rPr>
          <w:rFonts w:eastAsia="Times New Roman"/>
          <w:sz w:val="20"/>
          <w:szCs w:val="20"/>
        </w:rPr>
        <w:t xml:space="preserve"> </w:t>
      </w:r>
    </w:p>
    <w:p w:rsidR="00000000" w:rsidRDefault="00AF2D19">
      <w:pPr>
        <w:spacing w:before="120"/>
        <w:ind w:left="3"/>
        <w:jc w:val="both"/>
        <w:divId w:val="819807647"/>
        <w:rPr>
          <w:rFonts w:eastAsia="Times New Roman"/>
        </w:rPr>
      </w:pPr>
      <w:r>
        <w:rPr>
          <w:rFonts w:eastAsia="Times New Roman"/>
          <w:sz w:val="20"/>
          <w:szCs w:val="20"/>
        </w:rPr>
        <w:t>●</w:t>
      </w:r>
    </w:p>
    <w:p w:rsidR="00000000" w:rsidRDefault="00AF2D19">
      <w:pPr>
        <w:jc w:val="both"/>
        <w:divId w:val="283316787"/>
        <w:rPr>
          <w:rFonts w:eastAsia="Times New Roman"/>
        </w:rPr>
      </w:pPr>
      <w:r>
        <w:rPr>
          <w:rFonts w:eastAsia="Times New Roman"/>
          <w:sz w:val="20"/>
          <w:szCs w:val="20"/>
        </w:rPr>
        <w:t>changes to our pricing model;</w:t>
      </w:r>
      <w:r>
        <w:rPr>
          <w:rFonts w:eastAsia="Times New Roman"/>
          <w:sz w:val="20"/>
          <w:szCs w:val="20"/>
        </w:rPr>
        <w:t xml:space="preserve"> </w:t>
      </w:r>
    </w:p>
    <w:p w:rsidR="00000000" w:rsidRDefault="00AF2D19">
      <w:pPr>
        <w:spacing w:before="120"/>
        <w:ind w:left="3"/>
        <w:jc w:val="both"/>
        <w:divId w:val="2047020893"/>
        <w:rPr>
          <w:rFonts w:eastAsia="Times New Roman"/>
        </w:rPr>
      </w:pPr>
      <w:r>
        <w:rPr>
          <w:rFonts w:eastAsia="Times New Roman"/>
          <w:sz w:val="20"/>
          <w:szCs w:val="20"/>
        </w:rPr>
        <w:t>●</w:t>
      </w:r>
    </w:p>
    <w:p w:rsidR="00000000" w:rsidRDefault="00AF2D19">
      <w:pPr>
        <w:jc w:val="both"/>
        <w:divId w:val="2120221205"/>
        <w:rPr>
          <w:rFonts w:eastAsia="Times New Roman"/>
        </w:rPr>
      </w:pPr>
      <w:r>
        <w:rPr>
          <w:rFonts w:eastAsia="Times New Roman"/>
          <w:sz w:val="20"/>
          <w:szCs w:val="20"/>
        </w:rPr>
        <w:t xml:space="preserve">our ability to introduce new features and services and enhance our existing platform and our ability </w:t>
      </w:r>
      <w:r>
        <w:rPr>
          <w:rFonts w:eastAsia="Times New Roman"/>
          <w:sz w:val="20"/>
          <w:szCs w:val="20"/>
        </w:rPr>
        <w:t>to generate significant revenue from new features and services;</w:t>
      </w:r>
      <w:r>
        <w:rPr>
          <w:rFonts w:eastAsia="Times New Roman"/>
          <w:sz w:val="20"/>
          <w:szCs w:val="20"/>
        </w:rPr>
        <w:t xml:space="preserve"> </w:t>
      </w:r>
    </w:p>
    <w:p w:rsidR="00000000" w:rsidRDefault="00AF2D19">
      <w:pPr>
        <w:pStyle w:val="a3"/>
        <w:spacing w:before="0" w:beforeAutospacing="0" w:after="0" w:afterAutospacing="0"/>
        <w:jc w:val="center"/>
        <w:rPr>
          <w:sz w:val="20"/>
          <w:szCs w:val="20"/>
        </w:rPr>
      </w:pPr>
      <w:r>
        <w:rPr>
          <w:sz w:val="20"/>
          <w:szCs w:val="20"/>
        </w:rPr>
        <w:t>3</w:t>
      </w:r>
      <w:r>
        <w:rPr>
          <w:sz w:val="20"/>
          <w:szCs w:val="20"/>
        </w:rPr>
        <w:t>3</w:t>
      </w:r>
    </w:p>
    <w:p w:rsidR="00000000" w:rsidRDefault="00AF2D19">
      <w:pPr>
        <w:rPr>
          <w:rFonts w:eastAsia="Times New Roman"/>
        </w:rPr>
      </w:pPr>
      <w:r>
        <w:rPr>
          <w:rFonts w:eastAsia="Times New Roman"/>
        </w:rPr>
        <w:pict>
          <v:rect id="_x0000_i106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spacing w:before="120"/>
        <w:ind w:left="3"/>
        <w:jc w:val="both"/>
        <w:divId w:val="1392923518"/>
        <w:rPr>
          <w:rFonts w:eastAsia="Times New Roman"/>
        </w:rPr>
      </w:pPr>
      <w:r>
        <w:rPr>
          <w:rFonts w:eastAsia="Times New Roman"/>
          <w:sz w:val="20"/>
          <w:szCs w:val="20"/>
        </w:rPr>
        <w:t>●</w:t>
      </w:r>
    </w:p>
    <w:p w:rsidR="00000000" w:rsidRDefault="00AF2D19">
      <w:pPr>
        <w:jc w:val="both"/>
        <w:divId w:val="1553535493"/>
        <w:rPr>
          <w:rFonts w:eastAsia="Times New Roman"/>
        </w:rPr>
      </w:pPr>
      <w:r>
        <w:rPr>
          <w:rFonts w:eastAsia="Times New Roman"/>
          <w:sz w:val="20"/>
          <w:szCs w:val="20"/>
        </w:rPr>
        <w:t>the mix of products and services sold during a period;</w:t>
      </w:r>
      <w:r>
        <w:rPr>
          <w:rFonts w:eastAsia="Times New Roman"/>
          <w:sz w:val="20"/>
          <w:szCs w:val="20"/>
        </w:rPr>
        <w:t xml:space="preserve"> </w:t>
      </w:r>
    </w:p>
    <w:p w:rsidR="00000000" w:rsidRDefault="00AF2D19">
      <w:pPr>
        <w:spacing w:before="120"/>
        <w:ind w:left="3"/>
        <w:jc w:val="both"/>
        <w:divId w:val="1147357410"/>
        <w:rPr>
          <w:rFonts w:eastAsia="Times New Roman"/>
        </w:rPr>
      </w:pPr>
      <w:r>
        <w:rPr>
          <w:rFonts w:eastAsia="Times New Roman"/>
          <w:sz w:val="20"/>
          <w:szCs w:val="20"/>
        </w:rPr>
        <w:t>●</w:t>
      </w:r>
    </w:p>
    <w:p w:rsidR="00000000" w:rsidRDefault="00AF2D19">
      <w:pPr>
        <w:jc w:val="both"/>
        <w:divId w:val="931232855"/>
        <w:rPr>
          <w:rFonts w:eastAsia="Times New Roman"/>
        </w:rPr>
      </w:pPr>
      <w:r>
        <w:rPr>
          <w:rFonts w:eastAsia="Times New Roman"/>
          <w:sz w:val="20"/>
          <w:szCs w:val="20"/>
        </w:rPr>
        <w:t>the impact of outages of our platform and associated reputational harm;</w:t>
      </w:r>
      <w:r>
        <w:rPr>
          <w:rFonts w:eastAsia="Times New Roman"/>
          <w:sz w:val="20"/>
          <w:szCs w:val="20"/>
        </w:rPr>
        <w:t xml:space="preserve"> </w:t>
      </w:r>
    </w:p>
    <w:p w:rsidR="00000000" w:rsidRDefault="00AF2D19">
      <w:pPr>
        <w:spacing w:before="120"/>
        <w:ind w:left="3"/>
        <w:jc w:val="both"/>
        <w:divId w:val="1456755444"/>
        <w:rPr>
          <w:rFonts w:eastAsia="Times New Roman"/>
        </w:rPr>
      </w:pPr>
      <w:r>
        <w:rPr>
          <w:rFonts w:eastAsia="Times New Roman"/>
          <w:sz w:val="20"/>
          <w:szCs w:val="20"/>
        </w:rPr>
        <w:t>●</w:t>
      </w:r>
    </w:p>
    <w:p w:rsidR="00000000" w:rsidRDefault="00AF2D19">
      <w:pPr>
        <w:jc w:val="both"/>
        <w:divId w:val="554319655"/>
        <w:rPr>
          <w:rFonts w:eastAsia="Times New Roman"/>
        </w:rPr>
      </w:pPr>
      <w:r>
        <w:rPr>
          <w:rFonts w:eastAsia="Times New Roman"/>
          <w:sz w:val="20"/>
          <w:szCs w:val="20"/>
        </w:rPr>
        <w:t>security or data privacy breaches and associated remediation costs;</w:t>
      </w:r>
      <w:r>
        <w:rPr>
          <w:rFonts w:eastAsia="Times New Roman"/>
          <w:sz w:val="20"/>
          <w:szCs w:val="20"/>
        </w:rPr>
        <w:t xml:space="preserve"> </w:t>
      </w:r>
    </w:p>
    <w:p w:rsidR="00000000" w:rsidRDefault="00AF2D19">
      <w:pPr>
        <w:spacing w:before="120"/>
        <w:ind w:left="3"/>
        <w:jc w:val="both"/>
        <w:divId w:val="1984197196"/>
        <w:rPr>
          <w:rFonts w:eastAsia="Times New Roman"/>
        </w:rPr>
      </w:pPr>
      <w:r>
        <w:rPr>
          <w:rFonts w:eastAsia="Times New Roman"/>
          <w:sz w:val="20"/>
          <w:szCs w:val="20"/>
        </w:rPr>
        <w:t>●</w:t>
      </w:r>
    </w:p>
    <w:p w:rsidR="00000000" w:rsidRDefault="00AF2D19">
      <w:pPr>
        <w:jc w:val="both"/>
        <w:divId w:val="1879974430"/>
        <w:rPr>
          <w:rFonts w:eastAsia="Times New Roman"/>
        </w:rPr>
      </w:pPr>
      <w:r>
        <w:rPr>
          <w:rFonts w:eastAsia="Times New Roman"/>
          <w:sz w:val="20"/>
          <w:szCs w:val="20"/>
        </w:rPr>
        <w:t>the timing of expenses related to the development or</w:t>
      </w:r>
      <w:r>
        <w:rPr>
          <w:rFonts w:eastAsia="Times New Roman"/>
          <w:sz w:val="20"/>
          <w:szCs w:val="20"/>
        </w:rPr>
        <w:t xml:space="preserve"> acquisition of technologies or businesses and potential future charges for impairment of goodwill from acquired companies;</w:t>
      </w:r>
      <w:r>
        <w:rPr>
          <w:rFonts w:eastAsia="Times New Roman"/>
          <w:sz w:val="20"/>
          <w:szCs w:val="20"/>
        </w:rPr>
        <w:t xml:space="preserve"> </w:t>
      </w:r>
    </w:p>
    <w:p w:rsidR="00000000" w:rsidRDefault="00AF2D19">
      <w:pPr>
        <w:spacing w:before="120"/>
        <w:ind w:left="3"/>
        <w:jc w:val="both"/>
        <w:divId w:val="342367008"/>
        <w:rPr>
          <w:rFonts w:eastAsia="Times New Roman"/>
        </w:rPr>
      </w:pPr>
      <w:r>
        <w:rPr>
          <w:rFonts w:eastAsia="Times New Roman"/>
          <w:sz w:val="20"/>
          <w:szCs w:val="20"/>
        </w:rPr>
        <w:t>●</w:t>
      </w:r>
    </w:p>
    <w:p w:rsidR="00000000" w:rsidRDefault="00AF2D19">
      <w:pPr>
        <w:jc w:val="both"/>
        <w:divId w:val="1809853784"/>
        <w:rPr>
          <w:rFonts w:eastAsia="Times New Roman"/>
        </w:rPr>
      </w:pPr>
      <w:r>
        <w:rPr>
          <w:rFonts w:eastAsia="Times New Roman"/>
          <w:sz w:val="20"/>
          <w:szCs w:val="20"/>
        </w:rPr>
        <w:t>changes in the fair values of our financial instruments (including, but not limited to, certain warrants assumed in connection wi</w:t>
      </w:r>
      <w:r>
        <w:rPr>
          <w:rFonts w:eastAsia="Times New Roman"/>
          <w:sz w:val="20"/>
          <w:szCs w:val="20"/>
        </w:rPr>
        <w:t>th the Business Combination); and</w:t>
      </w:r>
      <w:r>
        <w:rPr>
          <w:rFonts w:eastAsia="Times New Roman"/>
          <w:sz w:val="20"/>
          <w:szCs w:val="20"/>
        </w:rPr>
        <w:t xml:space="preserve"> </w:t>
      </w:r>
    </w:p>
    <w:p w:rsidR="00000000" w:rsidRDefault="00AF2D19">
      <w:pPr>
        <w:spacing w:before="120"/>
        <w:ind w:left="3"/>
        <w:jc w:val="both"/>
        <w:divId w:val="878932493"/>
        <w:rPr>
          <w:rFonts w:eastAsia="Times New Roman"/>
        </w:rPr>
      </w:pPr>
      <w:r>
        <w:rPr>
          <w:rFonts w:eastAsia="Times New Roman"/>
          <w:sz w:val="20"/>
          <w:szCs w:val="20"/>
        </w:rPr>
        <w:t>●</w:t>
      </w:r>
    </w:p>
    <w:p w:rsidR="00000000" w:rsidRDefault="00AF2D19">
      <w:pPr>
        <w:jc w:val="both"/>
        <w:divId w:val="703138491"/>
        <w:rPr>
          <w:rFonts w:eastAsia="Times New Roman"/>
        </w:rPr>
      </w:pPr>
      <w:r>
        <w:rPr>
          <w:rFonts w:eastAsia="Times New Roman"/>
          <w:sz w:val="20"/>
          <w:szCs w:val="20"/>
        </w:rPr>
        <w:t>the COVID-19 pandemic.</w:t>
      </w:r>
      <w:r>
        <w:rPr>
          <w:rFonts w:eastAsia="Times New Roman"/>
          <w:sz w:val="20"/>
          <w:szCs w:val="20"/>
        </w:rPr>
        <w:t xml:space="preserve"> </w:t>
      </w:r>
    </w:p>
    <w:p w:rsidR="00000000" w:rsidRDefault="00AF2D19">
      <w:pPr>
        <w:pStyle w:val="a3"/>
        <w:spacing w:before="120" w:beforeAutospacing="0" w:after="0" w:afterAutospacing="0"/>
        <w:jc w:val="both"/>
        <w:rPr>
          <w:sz w:val="20"/>
          <w:szCs w:val="20"/>
        </w:rPr>
      </w:pPr>
      <w:r>
        <w:rPr>
          <w:sz w:val="20"/>
          <w:szCs w:val="20"/>
        </w:rPr>
        <w:t>Most of our revenue in any given quarter is derived from contracts entered into with our clients during previous quarters. Consequently, a decline in new or renewed contracts in any one quarter may not be fully reflected in our revenue for that quarter. Su</w:t>
      </w:r>
      <w:r>
        <w:rPr>
          <w:sz w:val="20"/>
          <w:szCs w:val="20"/>
        </w:rPr>
        <w:t>ch declines, however, would negatively affect our revenue in future periods and the effect of significant downturns in sales of and market demand for our solution, and potential changes in our renewals or renewal terms, may not be fully reflected in our re</w:t>
      </w:r>
      <w:r>
        <w:rPr>
          <w:sz w:val="20"/>
          <w:szCs w:val="20"/>
        </w:rPr>
        <w:t>sults of operations until future periods. Our subscription model also makes it difficult for us to rapidly increase our total revenue through additional sales in any period, as revenue from new clients must be recognized over the applicable term of the con</w:t>
      </w:r>
      <w:r>
        <w:rPr>
          <w:sz w:val="20"/>
          <w:szCs w:val="20"/>
        </w:rPr>
        <w:t>tract. Accordingly, the effect of changes in the industry impacting our business or changes we experience in our new sales may not be reflected in our short-term results of operations. Any fluctuation in our quarterly results may not accurately reflect the</w:t>
      </w:r>
      <w:r>
        <w:rPr>
          <w:sz w:val="20"/>
          <w:szCs w:val="20"/>
        </w:rPr>
        <w:t xml:space="preserve"> underlying performance of our business and could cause a decline in the trading price of our securities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depend on our senior management team, and the loss of one or more of our executive officers or key employees or an inability to attract and retain</w:t>
      </w:r>
      <w:r>
        <w:rPr>
          <w:b/>
          <w:bCs/>
          <w:i/>
          <w:iCs/>
          <w:sz w:val="20"/>
          <w:szCs w:val="20"/>
        </w:rPr>
        <w:t xml:space="preserve"> highly skilled and diverse employees could adversely affect our business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success depends largely upon the continued services of our key members of senior management. These members of senior management are at-will employees and therefore they may ter</w:t>
      </w:r>
      <w:r>
        <w:rPr>
          <w:sz w:val="20"/>
          <w:szCs w:val="20"/>
        </w:rPr>
        <w:t>minate employment with us at any time with no advance notice. We also rely on our leadership team in the areas of research and development, marketing, services and general and administrative functions. From time to time, there may be changes in our managem</w:t>
      </w:r>
      <w:r>
        <w:rPr>
          <w:sz w:val="20"/>
          <w:szCs w:val="20"/>
        </w:rPr>
        <w:t>ent team resulting from the hiring or departure of executives, which could disrupt our business. For instance, in November 2021 we announced the departure of Oren Frank, our former Chief Executive Officer and Roni Frank, our former Head of Clinical Service</w:t>
      </w:r>
      <w:r>
        <w:rPr>
          <w:sz w:val="20"/>
          <w:szCs w:val="20"/>
        </w:rPr>
        <w:t>s and the appointment of Douglas Braunstein as our interim Chief Executive Officer. We are in the process of searching for a permanent replacement to serve as Chief Executive Officer. The replacement of one or more of our executive officers or other key em</w:t>
      </w:r>
      <w:r>
        <w:rPr>
          <w:sz w:val="20"/>
          <w:szCs w:val="20"/>
        </w:rPr>
        <w:t>ployees will likely involve significant time and costs and may significantly delay or prevent the achievement of our business objectives. Our business would also be adversely affected if we fail to adequately plan for succession of our executives and senio</w:t>
      </w:r>
      <w:r>
        <w:rPr>
          <w:sz w:val="20"/>
          <w:szCs w:val="20"/>
        </w:rPr>
        <w:t xml:space="preserve">r management; or if we fail to effectively recruit, integrate, retain and develop key talent and/or align our talent with our business needs, in light of the current rapidly changing environment. While we have employment arrangements with a limited number </w:t>
      </w:r>
      <w:r>
        <w:rPr>
          <w:sz w:val="20"/>
          <w:szCs w:val="20"/>
        </w:rPr>
        <w:t>of key executives, these do not guarantee that the services of these or suitable successor executives will continue to be available to us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success is dependent on our ability to align our talent with our business needs, engage our employees and inspir</w:t>
      </w:r>
      <w:r>
        <w:rPr>
          <w:sz w:val="20"/>
          <w:szCs w:val="20"/>
        </w:rPr>
        <w:t>e our employees to be open to change, to innovate and to maintain member- and client-focus when delivering our services. To continue to execute our growth strategy, we also must attract and retain highly skilled personnel. Competition is intense for qualif</w:t>
      </w:r>
      <w:r>
        <w:rPr>
          <w:sz w:val="20"/>
          <w:szCs w:val="20"/>
        </w:rPr>
        <w:t>ied professionals. We may not be successful in continuing to attract and retain qualified personnel. We have from time to time in the past experienced, and we expect to continue to experience in the future, difficulty in hiring and retaining highly skilled</w:t>
      </w:r>
      <w:r>
        <w:rPr>
          <w:sz w:val="20"/>
          <w:szCs w:val="20"/>
        </w:rPr>
        <w:t xml:space="preserve"> personnel with appropriate qualifications. The pool of qualified personnel with experience working in the healthcare market is limited overall. In addition, many of the companies with which we compete for experienced personnel have greater resources than </w:t>
      </w:r>
      <w:r>
        <w:rPr>
          <w:sz w:val="20"/>
          <w:szCs w:val="20"/>
        </w:rPr>
        <w:t>we have. In addition, as we expand internationally, we face the challenge of recruiting, integrating, educating, managing, retaining and developing a more culturally diverse workforce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in making employment decisions, particularly in high-tech</w:t>
      </w:r>
      <w:r>
        <w:rPr>
          <w:sz w:val="20"/>
          <w:szCs w:val="20"/>
        </w:rPr>
        <w:t>nology industries, job candidates often consider the value of the stock options or other equity instruments they are to receive in connection with their employment. Volatility in the price of our stock may, therefore, adversely affect our ability to attrac</w:t>
      </w:r>
      <w:r>
        <w:rPr>
          <w:sz w:val="20"/>
          <w:szCs w:val="20"/>
        </w:rPr>
        <w:t xml:space="preserve">t or retain highly skilled personnel. Further, the requirement to expense stock options and other equity instruments may discourage us from granting the size or type of stock option or equity awards that job candidates require to join our company. Failure </w:t>
      </w:r>
      <w:r>
        <w:rPr>
          <w:sz w:val="20"/>
          <w:szCs w:val="20"/>
        </w:rPr>
        <w:t>to attract new personnel or failure to retain and motivate our current personnel, could have a material adverse effect on our business, financial condition and results of operations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3</w:t>
      </w:r>
      <w:r>
        <w:rPr>
          <w:sz w:val="20"/>
          <w:szCs w:val="20"/>
        </w:rPr>
        <w:t>4</w:t>
      </w:r>
    </w:p>
    <w:p w:rsidR="00000000" w:rsidRDefault="00AF2D19">
      <w:pPr>
        <w:rPr>
          <w:rFonts w:eastAsia="Times New Roman"/>
        </w:rPr>
      </w:pPr>
      <w:r>
        <w:rPr>
          <w:rFonts w:eastAsia="Times New Roman"/>
        </w:rPr>
        <w:pict>
          <v:rect id="_x0000_i1061"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w:t>
        </w:r>
        <w:r>
          <w:rPr>
            <w:rStyle w:val="a4"/>
            <w:sz w:val="20"/>
            <w:szCs w:val="20"/>
          </w:rPr>
          <w: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i/>
          <w:iCs/>
          <w:sz w:val="20"/>
          <w:szCs w:val="20"/>
        </w:rPr>
        <w:t>We may acquire other companies or technologies, which could divert our management’s attention, result in dilution to our stockholders and otherwise disrupt our operations and we may have difficulty integrating any such acquisitions success</w:t>
      </w:r>
      <w:r>
        <w:rPr>
          <w:b/>
          <w:bCs/>
          <w:i/>
          <w:iCs/>
          <w:sz w:val="20"/>
          <w:szCs w:val="20"/>
        </w:rPr>
        <w:t>fully or realizing the anticipated benefits therefrom, any of which could have a material adverse effect on our business, financial condition and results of operations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intend to seek to acquire or invest in businesses, software-based products and serv</w:t>
      </w:r>
      <w:r>
        <w:rPr>
          <w:sz w:val="20"/>
          <w:szCs w:val="20"/>
        </w:rPr>
        <w:t>ices or technologies that we believe could complement or expand our solution, enhance our technical capabilities or otherwise offer growth opportunities. To pursue this strategy successfully, we must identify attractive acquisition or investment opportunit</w:t>
      </w:r>
      <w:r>
        <w:rPr>
          <w:sz w:val="20"/>
          <w:szCs w:val="20"/>
        </w:rPr>
        <w:t>ies and successfully complete transactions, some of which may be large and complex. We may not be able to identify or complete attractive acquisition or investment opportunities due to, among other things, the intense competition for these transactions. If</w:t>
      </w:r>
      <w:r>
        <w:rPr>
          <w:sz w:val="20"/>
          <w:szCs w:val="20"/>
        </w:rPr>
        <w:t xml:space="preserve"> we are not able to identify and complete such acquisition or investment opportunities, our future results of operations and financial condition may be adversely affected. Additionally, the pursuit of potential acquisitions may divert the attention of mana</w:t>
      </w:r>
      <w:r>
        <w:rPr>
          <w:sz w:val="20"/>
          <w:szCs w:val="20"/>
        </w:rPr>
        <w:t>gement and cause us to incur various expenses in identifying, investigating and pursuing suitable acquisitions, whether or not they are consummated</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If we acquire additional businesses, we may not be able to integrate the acquired personnel, operations an</w:t>
      </w:r>
      <w:r>
        <w:rPr>
          <w:sz w:val="20"/>
          <w:szCs w:val="20"/>
        </w:rPr>
        <w:t>d technologies successfully, or effectively manage the combined business following the acquisition. We also may not achieve the anticipated benefits from the acquired business due to a number of factors, including, but not limited to</w:t>
      </w:r>
      <w:r>
        <w:rPr>
          <w:sz w:val="20"/>
          <w:szCs w:val="20"/>
        </w:rPr>
        <w:t>:</w:t>
      </w:r>
      <w:r>
        <w:rPr>
          <w:sz w:val="20"/>
          <w:szCs w:val="20"/>
        </w:rPr>
        <w:t xml:space="preserve"> </w:t>
      </w:r>
    </w:p>
    <w:p w:rsidR="00000000" w:rsidRDefault="00AF2D19">
      <w:pPr>
        <w:spacing w:before="120"/>
        <w:ind w:left="3"/>
        <w:jc w:val="both"/>
        <w:divId w:val="337077028"/>
        <w:rPr>
          <w:rFonts w:eastAsia="Times New Roman"/>
        </w:rPr>
      </w:pPr>
      <w:r>
        <w:rPr>
          <w:rFonts w:eastAsia="Times New Roman"/>
          <w:sz w:val="20"/>
          <w:szCs w:val="20"/>
        </w:rPr>
        <w:t>●</w:t>
      </w:r>
    </w:p>
    <w:p w:rsidR="00000000" w:rsidRDefault="00AF2D19">
      <w:pPr>
        <w:jc w:val="both"/>
        <w:divId w:val="409623002"/>
        <w:rPr>
          <w:rFonts w:eastAsia="Times New Roman"/>
        </w:rPr>
      </w:pPr>
      <w:r>
        <w:rPr>
          <w:rFonts w:eastAsia="Times New Roman"/>
          <w:sz w:val="20"/>
          <w:szCs w:val="20"/>
        </w:rPr>
        <w:t>an inability to integrate or benefit from acquired technologies or services in a profitable manner;</w:t>
      </w:r>
      <w:r>
        <w:rPr>
          <w:rFonts w:eastAsia="Times New Roman"/>
          <w:sz w:val="20"/>
          <w:szCs w:val="20"/>
        </w:rPr>
        <w:t xml:space="preserve"> </w:t>
      </w:r>
    </w:p>
    <w:p w:rsidR="00000000" w:rsidRDefault="00AF2D19">
      <w:pPr>
        <w:spacing w:before="120"/>
        <w:ind w:left="3"/>
        <w:jc w:val="both"/>
        <w:divId w:val="607127873"/>
        <w:rPr>
          <w:rFonts w:eastAsia="Times New Roman"/>
        </w:rPr>
      </w:pPr>
      <w:r>
        <w:rPr>
          <w:rFonts w:eastAsia="Times New Roman"/>
          <w:sz w:val="20"/>
          <w:szCs w:val="20"/>
        </w:rPr>
        <w:t>●</w:t>
      </w:r>
    </w:p>
    <w:p w:rsidR="00000000" w:rsidRDefault="00AF2D19">
      <w:pPr>
        <w:jc w:val="both"/>
        <w:divId w:val="2135906037"/>
        <w:rPr>
          <w:rFonts w:eastAsia="Times New Roman"/>
        </w:rPr>
      </w:pPr>
      <w:r>
        <w:rPr>
          <w:rFonts w:eastAsia="Times New Roman"/>
          <w:sz w:val="20"/>
          <w:szCs w:val="20"/>
        </w:rPr>
        <w:t>unanticipated costs or liabilities associated with the acquisition;</w:t>
      </w:r>
      <w:r>
        <w:rPr>
          <w:rFonts w:eastAsia="Times New Roman"/>
          <w:sz w:val="20"/>
          <w:szCs w:val="20"/>
        </w:rPr>
        <w:t xml:space="preserve"> </w:t>
      </w:r>
    </w:p>
    <w:p w:rsidR="00000000" w:rsidRDefault="00AF2D19">
      <w:pPr>
        <w:spacing w:before="120"/>
        <w:ind w:left="3"/>
        <w:jc w:val="both"/>
        <w:divId w:val="435560788"/>
        <w:rPr>
          <w:rFonts w:eastAsia="Times New Roman"/>
        </w:rPr>
      </w:pPr>
      <w:r>
        <w:rPr>
          <w:rFonts w:eastAsia="Times New Roman"/>
          <w:sz w:val="20"/>
          <w:szCs w:val="20"/>
        </w:rPr>
        <w:t>●</w:t>
      </w:r>
    </w:p>
    <w:p w:rsidR="00000000" w:rsidRDefault="00AF2D19">
      <w:pPr>
        <w:jc w:val="both"/>
        <w:divId w:val="336082378"/>
        <w:rPr>
          <w:rFonts w:eastAsia="Times New Roman"/>
        </w:rPr>
      </w:pPr>
      <w:r>
        <w:rPr>
          <w:rFonts w:eastAsia="Times New Roman"/>
          <w:sz w:val="20"/>
          <w:szCs w:val="20"/>
        </w:rPr>
        <w:t>difficulty integrating the accounting systems, operations and personnel of the acq</w:t>
      </w:r>
      <w:r>
        <w:rPr>
          <w:rFonts w:eastAsia="Times New Roman"/>
          <w:sz w:val="20"/>
          <w:szCs w:val="20"/>
        </w:rPr>
        <w:t>uired business;</w:t>
      </w:r>
      <w:r>
        <w:rPr>
          <w:rFonts w:eastAsia="Times New Roman"/>
          <w:sz w:val="20"/>
          <w:szCs w:val="20"/>
        </w:rPr>
        <w:t xml:space="preserve"> </w:t>
      </w:r>
    </w:p>
    <w:p w:rsidR="00000000" w:rsidRDefault="00AF2D19">
      <w:pPr>
        <w:spacing w:before="120"/>
        <w:ind w:left="3"/>
        <w:jc w:val="both"/>
        <w:divId w:val="506332431"/>
        <w:rPr>
          <w:rFonts w:eastAsia="Times New Roman"/>
        </w:rPr>
      </w:pPr>
      <w:r>
        <w:rPr>
          <w:rFonts w:eastAsia="Times New Roman"/>
          <w:sz w:val="20"/>
          <w:szCs w:val="20"/>
        </w:rPr>
        <w:t>●</w:t>
      </w:r>
    </w:p>
    <w:p w:rsidR="00000000" w:rsidRDefault="00AF2D19">
      <w:pPr>
        <w:jc w:val="both"/>
        <w:divId w:val="650058081"/>
        <w:rPr>
          <w:rFonts w:eastAsia="Times New Roman"/>
        </w:rPr>
      </w:pPr>
      <w:r>
        <w:rPr>
          <w:rFonts w:eastAsia="Times New Roman"/>
          <w:sz w:val="20"/>
          <w:szCs w:val="20"/>
        </w:rPr>
        <w:t>difficulties and additional expenses associated with supporting legacy products and hosting infrastructure of the acquired business;</w:t>
      </w:r>
      <w:r>
        <w:rPr>
          <w:rFonts w:eastAsia="Times New Roman"/>
          <w:sz w:val="20"/>
          <w:szCs w:val="20"/>
        </w:rPr>
        <w:t xml:space="preserve"> </w:t>
      </w:r>
    </w:p>
    <w:p w:rsidR="00000000" w:rsidRDefault="00AF2D19">
      <w:pPr>
        <w:spacing w:before="120"/>
        <w:ind w:left="3"/>
        <w:jc w:val="both"/>
        <w:divId w:val="1279993287"/>
        <w:rPr>
          <w:rFonts w:eastAsia="Times New Roman"/>
        </w:rPr>
      </w:pPr>
      <w:r>
        <w:rPr>
          <w:rFonts w:eastAsia="Times New Roman"/>
          <w:sz w:val="20"/>
          <w:szCs w:val="20"/>
        </w:rPr>
        <w:t>●</w:t>
      </w:r>
    </w:p>
    <w:p w:rsidR="00000000" w:rsidRDefault="00AF2D19">
      <w:pPr>
        <w:jc w:val="both"/>
        <w:divId w:val="319426960"/>
        <w:rPr>
          <w:rFonts w:eastAsia="Times New Roman"/>
        </w:rPr>
      </w:pPr>
      <w:r>
        <w:rPr>
          <w:rFonts w:eastAsia="Times New Roman"/>
          <w:sz w:val="20"/>
          <w:szCs w:val="20"/>
        </w:rPr>
        <w:t>difficulty converting the clients of the acquired business onto our platform and contract terms, incl</w:t>
      </w:r>
      <w:r>
        <w:rPr>
          <w:rFonts w:eastAsia="Times New Roman"/>
          <w:sz w:val="20"/>
          <w:szCs w:val="20"/>
        </w:rPr>
        <w:t>uding disparities in the revenue, licensing, support or professional services model of the acquired company;</w:t>
      </w:r>
      <w:r>
        <w:rPr>
          <w:rFonts w:eastAsia="Times New Roman"/>
          <w:sz w:val="20"/>
          <w:szCs w:val="20"/>
        </w:rPr>
        <w:t xml:space="preserve"> </w:t>
      </w:r>
    </w:p>
    <w:p w:rsidR="00000000" w:rsidRDefault="00AF2D19">
      <w:pPr>
        <w:spacing w:before="120"/>
        <w:ind w:left="3"/>
        <w:jc w:val="both"/>
        <w:divId w:val="1637300500"/>
        <w:rPr>
          <w:rFonts w:eastAsia="Times New Roman"/>
        </w:rPr>
      </w:pPr>
      <w:r>
        <w:rPr>
          <w:rFonts w:eastAsia="Times New Roman"/>
          <w:sz w:val="20"/>
          <w:szCs w:val="20"/>
        </w:rPr>
        <w:t>●</w:t>
      </w:r>
    </w:p>
    <w:p w:rsidR="00000000" w:rsidRDefault="00AF2D19">
      <w:pPr>
        <w:jc w:val="both"/>
        <w:divId w:val="1184711871"/>
        <w:rPr>
          <w:rFonts w:eastAsia="Times New Roman"/>
        </w:rPr>
      </w:pPr>
      <w:r>
        <w:rPr>
          <w:rFonts w:eastAsia="Times New Roman"/>
          <w:sz w:val="20"/>
          <w:szCs w:val="20"/>
        </w:rPr>
        <w:t>diversion of management’s attention from other business concerns;</w:t>
      </w:r>
      <w:r>
        <w:rPr>
          <w:rFonts w:eastAsia="Times New Roman"/>
          <w:sz w:val="20"/>
          <w:szCs w:val="20"/>
        </w:rPr>
        <w:t xml:space="preserve"> </w:t>
      </w:r>
    </w:p>
    <w:p w:rsidR="00000000" w:rsidRDefault="00AF2D19">
      <w:pPr>
        <w:spacing w:before="120"/>
        <w:ind w:left="3"/>
        <w:jc w:val="both"/>
        <w:divId w:val="434524924"/>
        <w:rPr>
          <w:rFonts w:eastAsia="Times New Roman"/>
        </w:rPr>
      </w:pPr>
      <w:r>
        <w:rPr>
          <w:rFonts w:eastAsia="Times New Roman"/>
          <w:sz w:val="20"/>
          <w:szCs w:val="20"/>
        </w:rPr>
        <w:t>●</w:t>
      </w:r>
    </w:p>
    <w:p w:rsidR="00000000" w:rsidRDefault="00AF2D19">
      <w:pPr>
        <w:jc w:val="both"/>
        <w:divId w:val="1507205867"/>
        <w:rPr>
          <w:rFonts w:eastAsia="Times New Roman"/>
        </w:rPr>
      </w:pPr>
      <w:r>
        <w:rPr>
          <w:rFonts w:eastAsia="Times New Roman"/>
          <w:sz w:val="20"/>
          <w:szCs w:val="20"/>
        </w:rPr>
        <w:t>adverse effects to our existing business relationships with business partne</w:t>
      </w:r>
      <w:r>
        <w:rPr>
          <w:rFonts w:eastAsia="Times New Roman"/>
          <w:sz w:val="20"/>
          <w:szCs w:val="20"/>
        </w:rPr>
        <w:t>rs and clients as a result of the acquisition;</w:t>
      </w:r>
      <w:r>
        <w:rPr>
          <w:rFonts w:eastAsia="Times New Roman"/>
          <w:sz w:val="20"/>
          <w:szCs w:val="20"/>
        </w:rPr>
        <w:t xml:space="preserve"> </w:t>
      </w:r>
    </w:p>
    <w:p w:rsidR="00000000" w:rsidRDefault="00AF2D19">
      <w:pPr>
        <w:spacing w:before="120"/>
        <w:ind w:left="3"/>
        <w:jc w:val="both"/>
        <w:divId w:val="1056129563"/>
        <w:rPr>
          <w:rFonts w:eastAsia="Times New Roman"/>
        </w:rPr>
      </w:pPr>
      <w:r>
        <w:rPr>
          <w:rFonts w:eastAsia="Times New Roman"/>
          <w:sz w:val="20"/>
          <w:szCs w:val="20"/>
        </w:rPr>
        <w:t>●</w:t>
      </w:r>
    </w:p>
    <w:p w:rsidR="00000000" w:rsidRDefault="00AF2D19">
      <w:pPr>
        <w:jc w:val="both"/>
        <w:divId w:val="1054935793"/>
        <w:rPr>
          <w:rFonts w:eastAsia="Times New Roman"/>
        </w:rPr>
      </w:pPr>
      <w:r>
        <w:rPr>
          <w:rFonts w:eastAsia="Times New Roman"/>
          <w:sz w:val="20"/>
          <w:szCs w:val="20"/>
        </w:rPr>
        <w:t>the potential loss of key employees;</w:t>
      </w:r>
      <w:r>
        <w:rPr>
          <w:rFonts w:eastAsia="Times New Roman"/>
          <w:sz w:val="20"/>
          <w:szCs w:val="20"/>
        </w:rPr>
        <w:t xml:space="preserve"> </w:t>
      </w:r>
    </w:p>
    <w:p w:rsidR="00000000" w:rsidRDefault="00AF2D19">
      <w:pPr>
        <w:spacing w:before="120"/>
        <w:ind w:left="3"/>
        <w:jc w:val="both"/>
        <w:divId w:val="651064962"/>
        <w:rPr>
          <w:rFonts w:eastAsia="Times New Roman"/>
        </w:rPr>
      </w:pPr>
      <w:r>
        <w:rPr>
          <w:rFonts w:eastAsia="Times New Roman"/>
          <w:sz w:val="20"/>
          <w:szCs w:val="20"/>
        </w:rPr>
        <w:t>●</w:t>
      </w:r>
    </w:p>
    <w:p w:rsidR="00000000" w:rsidRDefault="00AF2D19">
      <w:pPr>
        <w:jc w:val="both"/>
        <w:divId w:val="692344382"/>
        <w:rPr>
          <w:rFonts w:eastAsia="Times New Roman"/>
        </w:rPr>
      </w:pPr>
      <w:r>
        <w:rPr>
          <w:rFonts w:eastAsia="Times New Roman"/>
          <w:sz w:val="20"/>
          <w:szCs w:val="20"/>
        </w:rPr>
        <w:t>use of resources that are needed in other parts of our business; and</w:t>
      </w:r>
      <w:r>
        <w:rPr>
          <w:rFonts w:eastAsia="Times New Roman"/>
          <w:sz w:val="20"/>
          <w:szCs w:val="20"/>
        </w:rPr>
        <w:t xml:space="preserve"> </w:t>
      </w:r>
    </w:p>
    <w:p w:rsidR="00000000" w:rsidRDefault="00AF2D19">
      <w:pPr>
        <w:spacing w:before="120"/>
        <w:ind w:left="3"/>
        <w:jc w:val="both"/>
        <w:divId w:val="482695397"/>
        <w:rPr>
          <w:rFonts w:eastAsia="Times New Roman"/>
        </w:rPr>
      </w:pPr>
      <w:r>
        <w:rPr>
          <w:rFonts w:eastAsia="Times New Roman"/>
          <w:sz w:val="20"/>
          <w:szCs w:val="20"/>
        </w:rPr>
        <w:t>●</w:t>
      </w:r>
    </w:p>
    <w:p w:rsidR="00000000" w:rsidRDefault="00AF2D19">
      <w:pPr>
        <w:jc w:val="both"/>
        <w:divId w:val="39667884"/>
        <w:rPr>
          <w:rFonts w:eastAsia="Times New Roman"/>
        </w:rPr>
      </w:pPr>
      <w:r>
        <w:rPr>
          <w:rFonts w:eastAsia="Times New Roman"/>
          <w:sz w:val="20"/>
          <w:szCs w:val="20"/>
        </w:rPr>
        <w:t>use of substantial portions of our available cash to consummate the acquisition.</w:t>
      </w:r>
      <w:r>
        <w:rPr>
          <w:rFonts w:eastAsia="Times New Roman"/>
          <w:sz w:val="20"/>
          <w:szCs w:val="20"/>
        </w:rPr>
        <w:t xml:space="preserve"> </w:t>
      </w:r>
    </w:p>
    <w:p w:rsidR="00000000" w:rsidRDefault="00AF2D19">
      <w:pPr>
        <w:pStyle w:val="a3"/>
        <w:spacing w:before="240" w:beforeAutospacing="0" w:after="0" w:afterAutospacing="0"/>
        <w:jc w:val="both"/>
        <w:rPr>
          <w:sz w:val="20"/>
          <w:szCs w:val="20"/>
        </w:rPr>
      </w:pPr>
      <w:r>
        <w:rPr>
          <w:sz w:val="20"/>
          <w:szCs w:val="20"/>
        </w:rPr>
        <w:t>In addition,</w:t>
      </w:r>
      <w:r>
        <w:rPr>
          <w:sz w:val="20"/>
          <w:szCs w:val="20"/>
        </w:rPr>
        <w:t xml:space="preserve"> a significant portion of the purchase price of companies we acquire may be allocated to acquired goodwill and other intangible assets, which generally must be assessed for impairment at least annually. In the future, if our acquisitions do not yield expec</w:t>
      </w:r>
      <w:r>
        <w:rPr>
          <w:sz w:val="20"/>
          <w:szCs w:val="20"/>
        </w:rPr>
        <w:t>ted returns, we may be required to take charges to our results of operations based on this impairment assessment process, which could adversely affect our results of operations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Acquisitions could also result in dilutive issuances of equity securities or </w:t>
      </w:r>
      <w:r>
        <w:rPr>
          <w:sz w:val="20"/>
          <w:szCs w:val="20"/>
        </w:rPr>
        <w:t>the incurrence of debt, which could adversely affect our results of operations. In addition, if an acquired business fails to meet our expectations, our business, financial condition and results of operations may suffer</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Economic uncertainties or downturn</w:t>
      </w:r>
      <w:r>
        <w:rPr>
          <w:b/>
          <w:bCs/>
          <w:i/>
          <w:iCs/>
          <w:sz w:val="20"/>
          <w:szCs w:val="20"/>
        </w:rPr>
        <w:t>s in the general economy or the industries in which our clients operate could disproportionately affect the demand for our solution and negatively impact our results of operations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General worldwide economic conditions have experienced significant downtur</w:t>
      </w:r>
      <w:r>
        <w:rPr>
          <w:sz w:val="20"/>
          <w:szCs w:val="20"/>
        </w:rPr>
        <w:t>ns during the last ten years, and market volatility and uncertainty remain widespread, making it potentially very difficult for our clients and us to accurately forecast and plan future business activities. During challenging economic times, our clients ma</w:t>
      </w:r>
      <w:r>
        <w:rPr>
          <w:sz w:val="20"/>
          <w:szCs w:val="20"/>
        </w:rPr>
        <w:t>y have difficulty gaining timely access to sufficient credit or obtaining credit on reasonable terms, which could impair their ability to make timely payments to us and adversely affect our revenue. If that were to occur, our financial results could be har</w:t>
      </w:r>
      <w:r>
        <w:rPr>
          <w:sz w:val="20"/>
          <w:szCs w:val="20"/>
        </w:rPr>
        <w:t>med. Further, challenging economic conditions may impair the ability of our clients to pay for the software-based products and services they already have purchased from us and, as a result, our write-offs of accounts receivable could increase. We cannot pr</w:t>
      </w:r>
      <w:r>
        <w:rPr>
          <w:sz w:val="20"/>
          <w:szCs w:val="20"/>
        </w:rPr>
        <w:t>edict the timing, strength or duration of any economic slowdown or recovery. If the condition of the general economy or markets in which we operate worsens, our business could be harmed</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3</w:t>
      </w:r>
      <w:r>
        <w:rPr>
          <w:sz w:val="20"/>
          <w:szCs w:val="20"/>
        </w:rPr>
        <w:t>5</w:t>
      </w:r>
    </w:p>
    <w:p w:rsidR="00000000" w:rsidRDefault="00AF2D19">
      <w:pPr>
        <w:rPr>
          <w:rFonts w:eastAsia="Times New Roman"/>
        </w:rPr>
      </w:pPr>
      <w:r>
        <w:rPr>
          <w:rFonts w:eastAsia="Times New Roman"/>
        </w:rPr>
        <w:pict>
          <v:rect id="_x0000_i106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sz w:val="20"/>
          <w:szCs w:val="20"/>
        </w:rPr>
        <w:t>RISKS RELATED TO OUR LEGAL AND REGULATORY ENVIRONMEN</w:t>
      </w:r>
      <w:r>
        <w:rPr>
          <w:b/>
          <w:bCs/>
          <w:sz w:val="20"/>
          <w:szCs w:val="20"/>
        </w:rPr>
        <w:t>T</w:t>
      </w:r>
    </w:p>
    <w:p w:rsidR="00000000" w:rsidRDefault="00AF2D19">
      <w:pPr>
        <w:pStyle w:val="a3"/>
        <w:spacing w:before="240" w:beforeAutospacing="0" w:after="0" w:afterAutospacing="0"/>
        <w:jc w:val="both"/>
        <w:rPr>
          <w:sz w:val="20"/>
          <w:szCs w:val="20"/>
        </w:rPr>
      </w:pPr>
      <w:r>
        <w:rPr>
          <w:b/>
          <w:bCs/>
          <w:i/>
          <w:iCs/>
          <w:sz w:val="20"/>
          <w:szCs w:val="20"/>
        </w:rPr>
        <w:t>Our business could be adversely affected by legal challenges to our business model or by actions restricting our abil</w:t>
      </w:r>
      <w:r>
        <w:rPr>
          <w:b/>
          <w:bCs/>
          <w:i/>
          <w:iCs/>
          <w:sz w:val="20"/>
          <w:szCs w:val="20"/>
        </w:rPr>
        <w:t>ity to provide the full range of our services in certain jurisdictions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ability to conduct telehealth and teletherapy services through our network of providers in a particular jurisdiction is directly dependent upon the applicable laws governing remot</w:t>
      </w:r>
      <w:r>
        <w:rPr>
          <w:sz w:val="20"/>
          <w:szCs w:val="20"/>
        </w:rPr>
        <w:t>e care, the practice of medicine and healthcare delivery in general in such location, which are subject to changing political, regulatory and other influences. With respect to telehealth and teletherapy services, in the past, state medical boards have esta</w:t>
      </w:r>
      <w:r>
        <w:rPr>
          <w:sz w:val="20"/>
          <w:szCs w:val="20"/>
        </w:rPr>
        <w:t xml:space="preserve">blished new rules or interpreted existing rules in a manner that has limited or restricted our ability to conduct our business as it was conducted in other states. Some of these actions have resulted in the suspension or modification of our telehealth and </w:t>
      </w:r>
      <w:r>
        <w:rPr>
          <w:sz w:val="20"/>
          <w:szCs w:val="20"/>
        </w:rPr>
        <w:t xml:space="preserve">teletherapy operations in certain states. However, the extent to which a jurisdiction considers particular actions or relationships to comply with the applicable standard of care is subject to change and to evolving interpretations by (in the case of U.S. </w:t>
      </w:r>
      <w:r>
        <w:rPr>
          <w:sz w:val="20"/>
          <w:szCs w:val="20"/>
        </w:rPr>
        <w:t xml:space="preserve">states) medical boards and state attorneys general, among others, each with broad discretion. Accordingly, we must monitor our compliance with the law in every jurisdiction in which we operate, on an ongoing basis, and we cannot provide assurance that our </w:t>
      </w:r>
      <w:r>
        <w:rPr>
          <w:sz w:val="20"/>
          <w:szCs w:val="20"/>
        </w:rPr>
        <w:t>activities and arrangements, if challenged, will be found to be in compliance with the law. Although the COVID-19 pandemic has led to the relaxation of certain Medicare, Medicaid and state licensure restrictions on the delivery of telehealth and teletherap</w:t>
      </w:r>
      <w:r>
        <w:rPr>
          <w:sz w:val="20"/>
          <w:szCs w:val="20"/>
        </w:rPr>
        <w:t>y services, it is uncertain how long the relaxed policies will remain in effect, and, there can be no guarantee that once the COVID-19 pandemic is over that such restrictions will not be reinstated or changed in a way that adversely affects our business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Additionally, it is possible that the laws and rules governing the practice of medicine, including remote care and prescribing medication online, in one or more jurisdictions may change in a manner deleterious to our business. For instance, a few states ha</w:t>
      </w:r>
      <w:r>
        <w:rPr>
          <w:sz w:val="20"/>
          <w:szCs w:val="20"/>
        </w:rPr>
        <w:t>ve imposed different, and, in some cases, additional, standards regarding the provision of services via telehealth and teletherapy. Some states impose strict standards on using telehealth and teletherapy to prescribe certain classes of controlled substance</w:t>
      </w:r>
      <w:r>
        <w:rPr>
          <w:sz w:val="20"/>
          <w:szCs w:val="20"/>
        </w:rPr>
        <w:t>s that can be commonly used to treat behavioral health disorders. The unpredictability of this regulatory landscape means that sudden changes in policy regarding standards of care and reimbursement are possible. If a successful legal challenge or an advers</w:t>
      </w:r>
      <w:r>
        <w:rPr>
          <w:sz w:val="20"/>
          <w:szCs w:val="20"/>
        </w:rPr>
        <w:t>e change in the relevant laws were to occur, and we or our affiliated medical group were unable to adapt our business model accordingly, our operations in the affected jurisdictions would be disrupted, which could have a material adverse effect on our busi</w:t>
      </w:r>
      <w:r>
        <w:rPr>
          <w:sz w:val="20"/>
          <w:szCs w:val="20"/>
        </w:rPr>
        <w:t>ness, financial condition and results of operations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Evolving government regulations may result in increased costs or adversely affect our results of operations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 regulatory climate that is uncertain, our operations may be subject to direct and indir</w:t>
      </w:r>
      <w:r>
        <w:rPr>
          <w:sz w:val="20"/>
          <w:szCs w:val="20"/>
        </w:rPr>
        <w:t>ect adoption, expansion or reinterpretation of various laws and regulations. Compliance with these future laws and regulations may require us to change our practices at an undeterminable and possibly significant initial monetary and recurring expense. Thes</w:t>
      </w:r>
      <w:r>
        <w:rPr>
          <w:sz w:val="20"/>
          <w:szCs w:val="20"/>
        </w:rPr>
        <w:t>e additional monetary expenditures may increase future overhead, which could have a material adverse effect on our results of operations. We have identified what we believe are the areas of government regulation that, if changed, would be costly to us. The</w:t>
      </w:r>
      <w:r>
        <w:rPr>
          <w:sz w:val="20"/>
          <w:szCs w:val="20"/>
        </w:rPr>
        <w:t>se include rules governing the practice of medicine by physicians and other licensed professionals; laws relating to licensure requirements for physicians and other licensed health professionals; laws limiting the corporate practice of medicine and profess</w:t>
      </w:r>
      <w:r>
        <w:rPr>
          <w:sz w:val="20"/>
          <w:szCs w:val="20"/>
        </w:rPr>
        <w:t>ional fee-splitting; laws governing the issuances of prescriptions in an online setting; cybersecurity and privacy laws; and laws and rules relating to the distinction between independent contractors and employees. There could be laws and regulations appli</w:t>
      </w:r>
      <w:r>
        <w:rPr>
          <w:sz w:val="20"/>
          <w:szCs w:val="20"/>
        </w:rPr>
        <w:t>cable to our business that we have not identified or that, if changed, may be costly to us, and we cannot predict all the ways in which implementation of such laws and regulations may affect us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the jurisdictions in which we operate, even where we beli</w:t>
      </w:r>
      <w:r>
        <w:rPr>
          <w:sz w:val="20"/>
          <w:szCs w:val="20"/>
        </w:rPr>
        <w:t>eve we are in compliance with all applicable laws, due to the uncertain regulatory environment, certain jurisdictions may determine that we are in violation of their laws. In the event that we must remedy such violations, we may be required to modify our s</w:t>
      </w:r>
      <w:r>
        <w:rPr>
          <w:sz w:val="20"/>
          <w:szCs w:val="20"/>
        </w:rPr>
        <w:t>ervices and products in a manner that undermines our solution’s attractiveness to our clients, members or providers or experts, we may become subject to fines or other penalties or, if we determine that the requirements to operate in compliance in such jur</w:t>
      </w:r>
      <w:r>
        <w:rPr>
          <w:sz w:val="20"/>
          <w:szCs w:val="20"/>
        </w:rPr>
        <w:t>isdictions are overly burdensome, we may elect to terminate our operations in such places. In each case, our revenue may decline and our business, financial condition and results of operations could be materially adversely affected</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Additionally, the intr</w:t>
      </w:r>
      <w:r>
        <w:rPr>
          <w:sz w:val="20"/>
          <w:szCs w:val="20"/>
        </w:rPr>
        <w:t>oduction of new services may require us to comply with additional, yet undetermined, laws and regulations. Compliance may require obtaining appropriate licenses or certificates, increasing our security measures and expending additional resources to monitor</w:t>
      </w:r>
      <w:r>
        <w:rPr>
          <w:sz w:val="20"/>
          <w:szCs w:val="20"/>
        </w:rPr>
        <w:t xml:space="preserve"> developments in applicable rules and ensure compliance. The failure to adequately comply with these future laws and regulations may delay or possibly prevent some of our products or services from being offered to members and clients, or their members and </w:t>
      </w:r>
      <w:r>
        <w:rPr>
          <w:sz w:val="20"/>
          <w:szCs w:val="20"/>
        </w:rPr>
        <w:t>patients, which could have a material adverse effect on our business, financial condition and results of operations</w:t>
      </w:r>
      <w:r>
        <w:rPr>
          <w:sz w:val="20"/>
          <w:szCs w:val="20"/>
        </w:rPr>
        <w:t>.</w:t>
      </w:r>
    </w:p>
    <w:p w:rsidR="00000000" w:rsidRDefault="00AF2D19">
      <w:pPr>
        <w:pStyle w:val="a3"/>
        <w:spacing w:before="0" w:beforeAutospacing="0" w:after="0" w:afterAutospacing="0"/>
        <w:jc w:val="center"/>
        <w:rPr>
          <w:sz w:val="20"/>
          <w:szCs w:val="20"/>
        </w:rPr>
      </w:pPr>
      <w:r>
        <w:rPr>
          <w:sz w:val="20"/>
          <w:szCs w:val="20"/>
        </w:rPr>
        <w:t>3</w:t>
      </w:r>
      <w:r>
        <w:rPr>
          <w:sz w:val="20"/>
          <w:szCs w:val="20"/>
        </w:rPr>
        <w:t>6</w:t>
      </w:r>
    </w:p>
    <w:p w:rsidR="00000000" w:rsidRDefault="00AF2D19">
      <w:pPr>
        <w:rPr>
          <w:rFonts w:eastAsia="Times New Roman"/>
        </w:rPr>
      </w:pPr>
      <w:r>
        <w:rPr>
          <w:rFonts w:eastAsia="Times New Roman"/>
        </w:rPr>
        <w:pict>
          <v:rect id="_x0000_i1063"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i/>
          <w:iCs/>
          <w:sz w:val="20"/>
          <w:szCs w:val="20"/>
        </w:rPr>
        <w:t>We are dependent on our relationships with affiliated professional entities, which we do not own, to provide physician and other professional services, and our business, financial condition and our ability to operate in certain jurisdictions would be adver</w:t>
      </w:r>
      <w:r>
        <w:rPr>
          <w:b/>
          <w:bCs/>
          <w:i/>
          <w:iCs/>
          <w:sz w:val="20"/>
          <w:szCs w:val="20"/>
        </w:rPr>
        <w:t>sely affected if those relationships were disrupted or if our arrangements with our providers or clients are found to violate state laws prohibiting the corporate practice of medicine or fee splitting</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are in the process of transitioning to a structure</w:t>
      </w:r>
      <w:r>
        <w:rPr>
          <w:sz w:val="20"/>
          <w:szCs w:val="20"/>
        </w:rPr>
        <w:t xml:space="preserve"> where we will enter into various agreements with a Texas professional association entity, TPN, which in turn will contract with our affiliated professional entities and physicians, therapists, and other licensed professionals for clinical and professional</w:t>
      </w:r>
      <w:r>
        <w:rPr>
          <w:sz w:val="20"/>
          <w:szCs w:val="20"/>
        </w:rPr>
        <w:t xml:space="preserve"> services provided to our members. Once this structure is implemented, there is a risk that U.S. state authorities in some jurisdictions may find that these contractual relationships with professional entities, physicians and other healthcare providers pro</w:t>
      </w:r>
      <w:r>
        <w:rPr>
          <w:sz w:val="20"/>
          <w:szCs w:val="20"/>
        </w:rPr>
        <w:t>viding telehealth and teletherapy violate laws prohibiting the corporate practice of medicine and professional fee splitting. These laws generally prohibit the practice of medicine by lay persons or entities and prohibit us from employing physicians and ce</w:t>
      </w:r>
      <w:r>
        <w:rPr>
          <w:sz w:val="20"/>
          <w:szCs w:val="20"/>
        </w:rPr>
        <w:t>rtain licensed professionals, directing the clinical practice of physicians and certain licensed professionals, holding an ownership interest in an entity that employs physicians and certain licensed professionals or from engaging in certain financial arra</w:t>
      </w:r>
      <w:r>
        <w:rPr>
          <w:sz w:val="20"/>
          <w:szCs w:val="20"/>
        </w:rPr>
        <w:t>ngements, such as splitting professional fees with physicians and certain licensed professionals. The laws are intended to prevent unlicensed persons or entities from interfering with or inappropriately influencing a healthcare provider’s professional judg</w:t>
      </w:r>
      <w:r>
        <w:rPr>
          <w:sz w:val="20"/>
          <w:szCs w:val="20"/>
        </w:rPr>
        <w:t>ment. The extent to which each state considers particular actions or contractual relationships to constitute improper influence of professional judgment varies across the states and is subject to change and to evolving interpretations by state boards of me</w:t>
      </w:r>
      <w:r>
        <w:rPr>
          <w:sz w:val="20"/>
          <w:szCs w:val="20"/>
        </w:rPr>
        <w:t>dicine and professional counselors and therapists, and state attorneys general, among others. As such, we must monitor our compliance with applicable laws in every jurisdiction in which we operate on an ongoing basis and we cannot guarantee that subsequent</w:t>
      </w:r>
      <w:r>
        <w:rPr>
          <w:sz w:val="20"/>
          <w:szCs w:val="20"/>
        </w:rPr>
        <w:t xml:space="preserve"> interpretation of the corporate practice of medicine or fee splitting laws will not circumscribe our business operations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TPN will contract with therapists and other licensed professionals or enter into agreements with our affiliated professional entitie</w:t>
      </w:r>
      <w:r>
        <w:rPr>
          <w:sz w:val="20"/>
          <w:szCs w:val="20"/>
        </w:rPr>
        <w:t>s, physicians, therapists and other licensed professionals for the clinical and professional services provided to our members. We do not own TPN or the professional entities with which it will contract. TPN is 100% owned by an independent Texas-licensed ph</w:t>
      </w:r>
      <w:r>
        <w:rPr>
          <w:sz w:val="20"/>
          <w:szCs w:val="20"/>
        </w:rPr>
        <w:t xml:space="preserve">ysician, and the other professional entities will be owned by physicians qualified to own such professional entities in the respective states. Once fully implemented, we expect that these relationships will continue, however, we cannot guarantee that they </w:t>
      </w:r>
      <w:r>
        <w:rPr>
          <w:sz w:val="20"/>
          <w:szCs w:val="20"/>
        </w:rPr>
        <w:t xml:space="preserve">will. A material change in our relationship with TPN or among TPN and the contracted professional entities, whether resulting from a dispute among the entities, a change in government regulation, or the loss of these affiliations, could impair our ability </w:t>
      </w:r>
      <w:r>
        <w:rPr>
          <w:sz w:val="20"/>
          <w:szCs w:val="20"/>
        </w:rPr>
        <w:t>to provide services to members as we intend under the transitioned structure and could have a material adverse effect on our business, financial condition, and results of operations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State corporate practice of medicine doctrines also often impose penalti</w:t>
      </w:r>
      <w:r>
        <w:rPr>
          <w:sz w:val="20"/>
          <w:szCs w:val="20"/>
        </w:rPr>
        <w:t xml:space="preserve">es on physicians themselves for aiding the corporate practice of medicine, which could discourage physicians from participating in our network of providers. Due to the prevalence of the corporate practice of medicine doctrine, including in states where we </w:t>
      </w:r>
      <w:r>
        <w:rPr>
          <w:sz w:val="20"/>
          <w:szCs w:val="20"/>
        </w:rPr>
        <w:t>conduct our business, we are in the process of finalizing certain agreements with TPN. One such agreement is a management services agreement with TPN, pursuant to which TPN reserves exclusive control and responsibility for all aspects of the practice of me</w:t>
      </w:r>
      <w:r>
        <w:rPr>
          <w:sz w:val="20"/>
          <w:szCs w:val="20"/>
        </w:rPr>
        <w:t>dicine and the delivery of medical services and we provide non-clinical management and administrative services in exchange for a management fee. The other professional entities, physicians, therapists and other licensed professionals who will provide clini</w:t>
      </w:r>
      <w:r>
        <w:rPr>
          <w:sz w:val="20"/>
          <w:szCs w:val="20"/>
        </w:rPr>
        <w:t>cal and professional services to our members through contracts with TPN will also retain exclusive control and responsibility for all aspects of medical services provided to our members. Although we seek to substantially comply with applicable state prohib</w:t>
      </w:r>
      <w:r>
        <w:rPr>
          <w:sz w:val="20"/>
          <w:szCs w:val="20"/>
        </w:rPr>
        <w:t>itions on the corporate practice of medicine and fee splitting, state officials who administer these laws or other third parties may successfully challenge our organization and contractual arrangements with our providers once implemented. If such a claim w</w:t>
      </w:r>
      <w:r>
        <w:rPr>
          <w:sz w:val="20"/>
          <w:szCs w:val="20"/>
        </w:rPr>
        <w:t xml:space="preserve">ere successful, we could be subject to civil and criminal penalties and could be required to restructure or terminate the applicable contractual arrangements. A determination that these arrangements violate state statutes, or our inability to successfully </w:t>
      </w:r>
      <w:r>
        <w:rPr>
          <w:sz w:val="20"/>
          <w:szCs w:val="20"/>
        </w:rPr>
        <w:t>restructure our relationships with our providers to comply with these statutes, could eliminate clients located in certain states from the market for our services. Furthermore, the arrangements we are in the process of finalizing or will enter into to comp</w:t>
      </w:r>
      <w:r>
        <w:rPr>
          <w:sz w:val="20"/>
          <w:szCs w:val="20"/>
        </w:rPr>
        <w:t>ly with state corporate practice of medicine doctrines and fee splitting laws could subject us to additional scrutiny by federal and state regulatory bodies regarding federal and state fraud and abuse laws. Any scrutiny, investigation, adverse determinatio</w:t>
      </w:r>
      <w:r>
        <w:rPr>
          <w:sz w:val="20"/>
          <w:szCs w:val="20"/>
        </w:rPr>
        <w:t>n or litigation with regard to our arrangements with TPN and our affiliated professional entities could have a material adverse effect on our business, financial condition, and results of operations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The impact on us of recent healthcare legislation and o</w:t>
      </w:r>
      <w:r>
        <w:rPr>
          <w:b/>
          <w:bCs/>
          <w:i/>
          <w:iCs/>
          <w:sz w:val="20"/>
          <w:szCs w:val="20"/>
        </w:rPr>
        <w:t>ther changes in the healthcare industry and in healthcare spending is currently unknown, but may adversely affect our business, financial condition and results of operations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impact on us of healthcare reform legislation and other changes in the healt</w:t>
      </w:r>
      <w:r>
        <w:rPr>
          <w:sz w:val="20"/>
          <w:szCs w:val="20"/>
        </w:rPr>
        <w:t>hcare industry and in healthcare spending is currently unknown, but may adversely affect our business, financial condition and results of operations. Our revenue is dependent on the healthcare industry and could be affected by changes in healthcare spendin</w:t>
      </w:r>
      <w:r>
        <w:rPr>
          <w:sz w:val="20"/>
          <w:szCs w:val="20"/>
        </w:rPr>
        <w:t>g, reimbursement and policy. The healthcar</w:t>
      </w:r>
      <w:r>
        <w:rPr>
          <w:sz w:val="20"/>
          <w:szCs w:val="20"/>
        </w:rPr>
        <w:t>e</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3</w:t>
      </w:r>
      <w:r>
        <w:rPr>
          <w:sz w:val="20"/>
          <w:szCs w:val="20"/>
        </w:rPr>
        <w:t>7</w:t>
      </w:r>
    </w:p>
    <w:p w:rsidR="00000000" w:rsidRDefault="00AF2D19">
      <w:pPr>
        <w:rPr>
          <w:rFonts w:eastAsia="Times New Roman"/>
        </w:rPr>
      </w:pPr>
      <w:r>
        <w:rPr>
          <w:rFonts w:eastAsia="Times New Roman"/>
        </w:rPr>
        <w:pict>
          <v:rect id="_x0000_i1064"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industry is subject to changing political, regulatory and other influences. The ACA made major changes in how healthcare is</w:t>
      </w:r>
      <w:r>
        <w:rPr>
          <w:sz w:val="20"/>
          <w:szCs w:val="20"/>
        </w:rPr>
        <w:t xml:space="preserve"> delivered and reimbursed, and it increased access to health insurance benefits to the uninsured and underinsured population of the United States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Since its enactment, there have been judicial and Congressional challenges to certain aspects of the ACA. Fo</w:t>
      </w:r>
      <w:r>
        <w:rPr>
          <w:sz w:val="20"/>
          <w:szCs w:val="20"/>
        </w:rPr>
        <w:t>r example, the Tax Cuts and Jobs Act of 2017 was enacted, which includes a provision repealing, effective January 1, 2019, the tax-based shared responsibility payment imposed by the ACA on certain individuals who fail to maintain qualifying health coverage</w:t>
      </w:r>
      <w:r>
        <w:rPr>
          <w:sz w:val="20"/>
          <w:szCs w:val="20"/>
        </w:rPr>
        <w:t xml:space="preserve"> for all or part of a year that is commonly referred to as the “individual mandate.” Since the enactment of the Tax Cuts and Jobs Act of 2017, there have been additional amendments to certain provisions of the ACA. President Joe Biden and Congress may cons</w:t>
      </w:r>
      <w:r>
        <w:rPr>
          <w:sz w:val="20"/>
          <w:szCs w:val="20"/>
        </w:rPr>
        <w:t>ider other legislation to change elements of the ACA. In December 2019, a federal appeals court held that the individual mandate portion of the ACA was unconstitutional and left open the question whether the remaining provisions of the ACA would be valid w</w:t>
      </w:r>
      <w:r>
        <w:rPr>
          <w:sz w:val="20"/>
          <w:szCs w:val="20"/>
        </w:rPr>
        <w:t>ithout the individual mandate. On June 17, 2021, the U.S. Supreme Court dismissed a case in Texas challenging the ACA without specifically ruling on the constitutionality of the ACA. Prior to the Supreme Court’s decision, President Biden issued an executiv</w:t>
      </w:r>
      <w:r>
        <w:rPr>
          <w:sz w:val="20"/>
          <w:szCs w:val="20"/>
        </w:rPr>
        <w:t xml:space="preserve">e order to initiate a special enrollment period from February 15, 2021 through August 15, 2021 for purposes of obtaining health insurance coverage through the ACA marketplace. The executive order also instructed certain governmental agencies to review and </w:t>
      </w:r>
      <w:r>
        <w:rPr>
          <w:sz w:val="20"/>
          <w:szCs w:val="20"/>
        </w:rPr>
        <w:t>reconsider their existing policies and rules that limit access to healthcare, including among others, reexamining Medicaid demonstration projects and waiver programs that include work requirements, and policies that create unnecessary barriers to obtaining</w:t>
      </w:r>
      <w:r>
        <w:rPr>
          <w:sz w:val="20"/>
          <w:szCs w:val="20"/>
        </w:rPr>
        <w:t xml:space="preserve"> access to health insurance coverage through Medicaid or the ACA. We continue to evaluate the effect that the ACA and its possible modification or repeal and replacement has on our business. It is uncertain the extent to which any such changes may impact o</w:t>
      </w:r>
      <w:r>
        <w:rPr>
          <w:sz w:val="20"/>
          <w:szCs w:val="20"/>
        </w:rPr>
        <w:t>ur business or financial condition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Other legislative changes have been proposed and adopted since the ACA was enacted. These changes include aggregate reductions to Medicare payments to providers of up to 2% per fiscal year pursuant to the Budget Control Act of 2011 and subsequent laws, whi</w:t>
      </w:r>
      <w:r>
        <w:rPr>
          <w:sz w:val="20"/>
          <w:szCs w:val="20"/>
        </w:rPr>
        <w:t>ch began in 2013 and will remain in effect through 2030, with the exception of a temporary suspension from May 1, 2020 through March 31, 2022, unless additional Congressional action is taken. In January 2013, the American Taxpayer Relief Act of 2012 was si</w:t>
      </w:r>
      <w:r>
        <w:rPr>
          <w:sz w:val="20"/>
          <w:szCs w:val="20"/>
        </w:rPr>
        <w:t>gned into law, which, among other things, further reduced Medicare payments to several types of providers, including hospitals, imaging centers and cancer treatment centers, and increased the statute of limitations period for the government to recover over</w:t>
      </w:r>
      <w:r>
        <w:rPr>
          <w:sz w:val="20"/>
          <w:szCs w:val="20"/>
        </w:rPr>
        <w:t>payments to providers from three to five years. New laws may result in additional reductions in Medicare and other healthcare funding, which may materially adversely affect consumer demand and affordability for our products and services and, accordingly, t</w:t>
      </w:r>
      <w:r>
        <w:rPr>
          <w:sz w:val="20"/>
          <w:szCs w:val="20"/>
        </w:rPr>
        <w:t>he results of our financial operations. Additional changes that may affect our business include the expansion of new programs such as Medicare payment for performance initiatives for physicians under the Medicare Access and CHIP Reauthorization Act of 2015</w:t>
      </w:r>
      <w:r>
        <w:rPr>
          <w:sz w:val="20"/>
          <w:szCs w:val="20"/>
        </w:rPr>
        <w:t xml:space="preserve"> (MACRA) which first affected physician payment in 2019. At this time, it is unclear how the introduction of the Medicare quality payment program will impact overall physician reimbursement</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in 2022, the No Surprises Act went into effect to p</w:t>
      </w:r>
      <w:r>
        <w:rPr>
          <w:sz w:val="20"/>
          <w:szCs w:val="20"/>
        </w:rPr>
        <w:t>revent surprise medical bills to non-federal healthcare program patients. For patients who receive health coverage through their employer, the Marketplace, or an individual health insurance plan, healthcare providers, including psychiatrists and psychologi</w:t>
      </w:r>
      <w:r>
        <w:rPr>
          <w:sz w:val="20"/>
          <w:szCs w:val="20"/>
        </w:rPr>
        <w:t>sts, are required to give notice explaining applicable billing protections. In addition, in the outpatient setting, beginning January 1, 2022 providers are required to give new and established patients who are uninsured or self-pay a good faith estimate of</w:t>
      </w:r>
      <w:r>
        <w:rPr>
          <w:sz w:val="20"/>
          <w:szCs w:val="20"/>
        </w:rPr>
        <w:t xml:space="preserve"> predicted costs for the services that they provide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Such changes in the regulatory environment may also result in changes to our payer mix that may affect our operations and revenue. In addition, certain provisions of the ACA authorize voluntary demonstr</w:t>
      </w:r>
      <w:r>
        <w:rPr>
          <w:sz w:val="20"/>
          <w:szCs w:val="20"/>
        </w:rPr>
        <w:t>ation projects, which include the development of bundling payments for acute, inpatient hospital services, physician services and post-acute services for episodes of hospital care. Further, the ACA may adversely affect payers by increasing medical costs ge</w:t>
      </w:r>
      <w:r>
        <w:rPr>
          <w:sz w:val="20"/>
          <w:szCs w:val="20"/>
        </w:rPr>
        <w:t>nerally, which could have an effect on the industry and potentially impact our business and revenue as payers seek to offset these increases by reducing costs in other areas. Certain of these provisions are still being implemented and the full impact of th</w:t>
      </w:r>
      <w:r>
        <w:rPr>
          <w:sz w:val="20"/>
          <w:szCs w:val="20"/>
        </w:rPr>
        <w:t>ese changes on us cannot be determined at this time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Uncertainty regarding future amendments to the ACA as well as new legislative proposals to reform healthcare and government insurance programs, along with the trend toward managed healthcare in the Unit</w:t>
      </w:r>
      <w:r>
        <w:rPr>
          <w:sz w:val="20"/>
          <w:szCs w:val="20"/>
        </w:rPr>
        <w:t>ed States, could result in reduced demand and prices for our services. We expect that additional state and federal healthcare reform measures will be adopted in the future, any of which could limit the amounts that federal and state governments and other t</w:t>
      </w:r>
      <w:r>
        <w:rPr>
          <w:sz w:val="20"/>
          <w:szCs w:val="20"/>
        </w:rPr>
        <w:t>hird party payers will pay for healthcare products and services, which could adversely affect our business, financial condition and results of operations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3</w:t>
      </w:r>
      <w:r>
        <w:rPr>
          <w:sz w:val="20"/>
          <w:szCs w:val="20"/>
        </w:rPr>
        <w:t>8</w:t>
      </w:r>
    </w:p>
    <w:p w:rsidR="00000000" w:rsidRDefault="00AF2D19">
      <w:pPr>
        <w:rPr>
          <w:rFonts w:eastAsia="Times New Roman"/>
        </w:rPr>
      </w:pPr>
      <w:r>
        <w:rPr>
          <w:rFonts w:eastAsia="Times New Roman"/>
        </w:rPr>
        <w:pict>
          <v:rect id="_x0000_i106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i/>
          <w:iCs/>
          <w:sz w:val="20"/>
          <w:szCs w:val="20"/>
        </w:rPr>
        <w:t xml:space="preserve">We conduct </w:t>
      </w:r>
      <w:r>
        <w:rPr>
          <w:b/>
          <w:bCs/>
          <w:i/>
          <w:iCs/>
          <w:sz w:val="20"/>
          <w:szCs w:val="20"/>
        </w:rPr>
        <w:t>business in a heavily regulated industry and if we fail to comply with these laws and government regulations, we could incur penalties or be required to make significant changes to our operations or experience adverse publicity, which could have a material</w:t>
      </w:r>
      <w:r>
        <w:rPr>
          <w:b/>
          <w:bCs/>
          <w:i/>
          <w:iCs/>
          <w:sz w:val="20"/>
          <w:szCs w:val="20"/>
        </w:rPr>
        <w:t xml:space="preserve"> adverse effect on our business, financial condition, and results of operations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Although our services are not currently reimbursed by government healthcare programs such as Medicare or Medicaid, any future reimbursement from federal and/or state healthca</w:t>
      </w:r>
      <w:r>
        <w:rPr>
          <w:sz w:val="20"/>
          <w:szCs w:val="20"/>
        </w:rPr>
        <w:t>re programs could expose our business to broadly applicable fraud and abuse laws and other healthcare laws and regulations that would regulate the business. The U.S. healthcare industry is heavily regulated and closely scrutinized by federal and state gove</w:t>
      </w:r>
      <w:r>
        <w:rPr>
          <w:sz w:val="20"/>
          <w:szCs w:val="20"/>
        </w:rPr>
        <w:t xml:space="preserve">rnments. Comprehensive statutes and regulations govern the manner in which we and our affiliated professional entities may provide and bill for services and collect reimbursement from governmental programs and private payers, our contractual relationships </w:t>
      </w:r>
      <w:r>
        <w:rPr>
          <w:sz w:val="20"/>
          <w:szCs w:val="20"/>
        </w:rPr>
        <w:t>with TPN and its corresponding relationship with its contracted providers, vendors and clients, our marketing activities and other aspects of our operations. Applicable and potentially applicable U.S. federal and state healthcare laws and regulations inclu</w:t>
      </w:r>
      <w:r>
        <w:rPr>
          <w:sz w:val="20"/>
          <w:szCs w:val="20"/>
        </w:rPr>
        <w:t>de, but are not limited, to the following</w:t>
      </w:r>
      <w:r>
        <w:rPr>
          <w:sz w:val="20"/>
          <w:szCs w:val="20"/>
        </w:rPr>
        <w:t>:</w:t>
      </w:r>
    </w:p>
    <w:p w:rsidR="00000000" w:rsidRDefault="00AF2D19">
      <w:pPr>
        <w:spacing w:before="120"/>
        <w:ind w:left="3"/>
        <w:jc w:val="both"/>
        <w:divId w:val="1447388177"/>
        <w:rPr>
          <w:rFonts w:eastAsia="Times New Roman"/>
        </w:rPr>
      </w:pPr>
      <w:r>
        <w:rPr>
          <w:rFonts w:eastAsia="Times New Roman"/>
          <w:sz w:val="20"/>
          <w:szCs w:val="20"/>
        </w:rPr>
        <w:t>●</w:t>
      </w:r>
    </w:p>
    <w:p w:rsidR="00000000" w:rsidRDefault="00AF2D19">
      <w:pPr>
        <w:jc w:val="both"/>
        <w:divId w:val="1987011316"/>
        <w:rPr>
          <w:rFonts w:eastAsia="Times New Roman"/>
        </w:rPr>
      </w:pPr>
      <w:r>
        <w:rPr>
          <w:rFonts w:eastAsia="Times New Roman"/>
          <w:sz w:val="20"/>
          <w:szCs w:val="20"/>
        </w:rPr>
        <w:t>the federal physician self-referral law, commonly referred to as the Stark Law, that, unless one of the statutory or regulatory exceptions apply, prohibits physicians from referring Medicare or Medicaid patients</w:t>
      </w:r>
      <w:r>
        <w:rPr>
          <w:rFonts w:eastAsia="Times New Roman"/>
          <w:sz w:val="20"/>
          <w:szCs w:val="20"/>
        </w:rPr>
        <w:t xml:space="preserve"> to an entity for the provision of certain “designated health services” if the physician or a member of such physician’s immediate family has a direct or indirect financial relationship (including an ownership interest or a compensation arrangement) with t</w:t>
      </w:r>
      <w:r>
        <w:rPr>
          <w:rFonts w:eastAsia="Times New Roman"/>
          <w:sz w:val="20"/>
          <w:szCs w:val="20"/>
        </w:rPr>
        <w:t xml:space="preserve">he entity, and prohibit the entity from billing Medicare or Medicaid for such designated health services. Sanctions for violating the Stark Law include denial of payment, civil monetary penalties of up to $26,125 per claim submitted and exclusion from the </w:t>
      </w:r>
      <w:r>
        <w:rPr>
          <w:rFonts w:eastAsia="Times New Roman"/>
          <w:sz w:val="20"/>
          <w:szCs w:val="20"/>
        </w:rPr>
        <w:t>federal health care programs. Failure to refund amounts received as a result of a prohibited referral on a timely basis may constitute a false or fraudulent claim and may result in civil penalties and additional penalties under the FCA. The statute also pr</w:t>
      </w:r>
      <w:r>
        <w:rPr>
          <w:rFonts w:eastAsia="Times New Roman"/>
          <w:sz w:val="20"/>
          <w:szCs w:val="20"/>
        </w:rPr>
        <w:t>ovides for a penalty of up to $174,172 for a circumvention scheme;</w:t>
      </w:r>
      <w:r>
        <w:rPr>
          <w:rFonts w:eastAsia="Times New Roman"/>
          <w:sz w:val="20"/>
          <w:szCs w:val="20"/>
        </w:rPr>
        <w:t xml:space="preserve"> </w:t>
      </w:r>
    </w:p>
    <w:p w:rsidR="00000000" w:rsidRDefault="00AF2D19">
      <w:pPr>
        <w:spacing w:before="120"/>
        <w:ind w:left="3"/>
        <w:jc w:val="both"/>
        <w:divId w:val="372389004"/>
        <w:rPr>
          <w:rFonts w:eastAsia="Times New Roman"/>
        </w:rPr>
      </w:pPr>
      <w:r>
        <w:rPr>
          <w:rFonts w:eastAsia="Times New Roman"/>
          <w:sz w:val="20"/>
          <w:szCs w:val="20"/>
        </w:rPr>
        <w:t>●</w:t>
      </w:r>
    </w:p>
    <w:p w:rsidR="00000000" w:rsidRDefault="00AF2D19">
      <w:pPr>
        <w:jc w:val="both"/>
        <w:divId w:val="339162143"/>
        <w:rPr>
          <w:rFonts w:eastAsia="Times New Roman"/>
        </w:rPr>
      </w:pPr>
      <w:r>
        <w:rPr>
          <w:rFonts w:eastAsia="Times New Roman"/>
          <w:sz w:val="20"/>
          <w:szCs w:val="20"/>
        </w:rPr>
        <w:t>the federal Anti-Kickback Statute that prohibits the knowing and willful offer, payment, solicitation or receipt of any bribe, kickback, rebate or other remuneration for referring an ind</w:t>
      </w:r>
      <w:r>
        <w:rPr>
          <w:rFonts w:eastAsia="Times New Roman"/>
          <w:sz w:val="20"/>
          <w:szCs w:val="20"/>
        </w:rPr>
        <w:t>ividual, in return for ordering, leasing, purchasing or recommending or arranging for or to induce the referral of an individual or the ordering, purchasing or leasing of items or services covered, in whole or in part, by any federal healthcare program, su</w:t>
      </w:r>
      <w:r>
        <w:rPr>
          <w:rFonts w:eastAsia="Times New Roman"/>
          <w:sz w:val="20"/>
          <w:szCs w:val="20"/>
        </w:rPr>
        <w:t>ch as Medicare and Medicaid. Remuneration has been interpreted broadly to be anything of value, and could include compensation, discounts, or free marketing services. A person or entity does not need to have actual knowledge of the statute or specific inte</w:t>
      </w:r>
      <w:r>
        <w:rPr>
          <w:rFonts w:eastAsia="Times New Roman"/>
          <w:sz w:val="20"/>
          <w:szCs w:val="20"/>
        </w:rPr>
        <w:t>nt to violate it to have committed a violation. In addition, the government may assert that a claim including items or services resulting from a violation of the federal Anti-Kickback Statute constitutes a false or fraudulent claim for purposes of the Fals</w:t>
      </w:r>
      <w:r>
        <w:rPr>
          <w:rFonts w:eastAsia="Times New Roman"/>
          <w:sz w:val="20"/>
          <w:szCs w:val="20"/>
        </w:rPr>
        <w:t>e Claims Act. Violations of the federal Anti-Kickback Statute may result in civil monetary penalties up to $105,563 for each violation, plus up to three times the remuneration involved. Civil penalties for such conduct can further be assessed under the fed</w:t>
      </w:r>
      <w:r>
        <w:rPr>
          <w:rFonts w:eastAsia="Times New Roman"/>
          <w:sz w:val="20"/>
          <w:szCs w:val="20"/>
        </w:rPr>
        <w:t>eral False Claims Act. Violations can also result in criminal penalties, including criminal fines of up to $100,000 and imprisonment of up to 10 years. Similarly, violations can result in exclusion from participation in government healthcare programs, incl</w:t>
      </w:r>
      <w:r>
        <w:rPr>
          <w:rFonts w:eastAsia="Times New Roman"/>
          <w:sz w:val="20"/>
          <w:szCs w:val="20"/>
        </w:rPr>
        <w:t>uding Medicare and Medicaid;</w:t>
      </w:r>
      <w:r>
        <w:rPr>
          <w:rFonts w:eastAsia="Times New Roman"/>
          <w:sz w:val="20"/>
          <w:szCs w:val="20"/>
        </w:rPr>
        <w:t xml:space="preserve"> </w:t>
      </w:r>
    </w:p>
    <w:p w:rsidR="00000000" w:rsidRDefault="00AF2D19">
      <w:pPr>
        <w:spacing w:before="120"/>
        <w:ind w:left="3"/>
        <w:jc w:val="both"/>
        <w:divId w:val="1313171256"/>
        <w:rPr>
          <w:rFonts w:eastAsia="Times New Roman"/>
        </w:rPr>
      </w:pPr>
      <w:r>
        <w:rPr>
          <w:rFonts w:eastAsia="Times New Roman"/>
          <w:sz w:val="20"/>
          <w:szCs w:val="20"/>
        </w:rPr>
        <w:t>●</w:t>
      </w:r>
    </w:p>
    <w:p w:rsidR="00000000" w:rsidRDefault="00AF2D19">
      <w:pPr>
        <w:jc w:val="both"/>
        <w:divId w:val="2071152096"/>
        <w:rPr>
          <w:rFonts w:eastAsia="Times New Roman"/>
        </w:rPr>
      </w:pPr>
      <w:r>
        <w:rPr>
          <w:rFonts w:eastAsia="Times New Roman"/>
          <w:sz w:val="20"/>
          <w:szCs w:val="20"/>
        </w:rPr>
        <w:t xml:space="preserve">the criminal healthcare fraud provisions of the federal Health Insurance Portability and Accountability Act of 1996, as amended by the Health Information Technology for Economic and Clinical Health Act (“HITECH”), and their </w:t>
      </w:r>
      <w:r>
        <w:rPr>
          <w:rFonts w:eastAsia="Times New Roman"/>
          <w:sz w:val="20"/>
          <w:szCs w:val="20"/>
        </w:rPr>
        <w:t xml:space="preserve">implementing regulations, which we collectively refer to as HIPAA, and related rules that prohibit knowingly and willfully executing a scheme or artifice to defraud any healthcare benefit program or falsifying, concealing or covering up a material fact or </w:t>
      </w:r>
      <w:r>
        <w:rPr>
          <w:rFonts w:eastAsia="Times New Roman"/>
          <w:sz w:val="20"/>
          <w:szCs w:val="20"/>
        </w:rPr>
        <w:t xml:space="preserve">making any material false, fictitious or fraudulent statement in connection with the delivery of or payment for healthcare benefits, items or services. Similar to the federal Anti-Kickback Statute, a person or entity does not need to have actual knowledge </w:t>
      </w:r>
      <w:r>
        <w:rPr>
          <w:rFonts w:eastAsia="Times New Roman"/>
          <w:sz w:val="20"/>
          <w:szCs w:val="20"/>
        </w:rPr>
        <w:t>of the statute or specific intent to violate it to have committed a violation;</w:t>
      </w:r>
      <w:r>
        <w:rPr>
          <w:rFonts w:eastAsia="Times New Roman"/>
          <w:sz w:val="20"/>
          <w:szCs w:val="20"/>
        </w:rPr>
        <w:t xml:space="preserve"> </w:t>
      </w:r>
    </w:p>
    <w:p w:rsidR="00000000" w:rsidRDefault="00AF2D19">
      <w:pPr>
        <w:spacing w:before="120"/>
        <w:ind w:left="3"/>
        <w:jc w:val="both"/>
        <w:divId w:val="1293057426"/>
        <w:rPr>
          <w:rFonts w:eastAsia="Times New Roman"/>
        </w:rPr>
      </w:pPr>
      <w:r>
        <w:rPr>
          <w:rFonts w:eastAsia="Times New Roman"/>
          <w:sz w:val="20"/>
          <w:szCs w:val="20"/>
        </w:rPr>
        <w:t>●</w:t>
      </w:r>
    </w:p>
    <w:p w:rsidR="00000000" w:rsidRDefault="00AF2D19">
      <w:pPr>
        <w:jc w:val="both"/>
        <w:divId w:val="1927684664"/>
        <w:rPr>
          <w:rFonts w:eastAsia="Times New Roman"/>
        </w:rPr>
      </w:pPr>
      <w:r>
        <w:rPr>
          <w:rFonts w:eastAsia="Times New Roman"/>
          <w:sz w:val="20"/>
          <w:szCs w:val="20"/>
        </w:rPr>
        <w:t>HIPAA, which also imposes certain regulatory and contractual requirements regarding the privacy, security and transmission of PHI;</w:t>
      </w:r>
      <w:r>
        <w:rPr>
          <w:rFonts w:eastAsia="Times New Roman"/>
          <w:sz w:val="20"/>
          <w:szCs w:val="20"/>
        </w:rPr>
        <w:t xml:space="preserve"> </w:t>
      </w:r>
    </w:p>
    <w:p w:rsidR="00000000" w:rsidRDefault="00AF2D19">
      <w:pPr>
        <w:spacing w:before="120"/>
        <w:ind w:left="3"/>
        <w:jc w:val="both"/>
        <w:divId w:val="763837691"/>
        <w:rPr>
          <w:rFonts w:eastAsia="Times New Roman"/>
        </w:rPr>
      </w:pPr>
      <w:r>
        <w:rPr>
          <w:rFonts w:eastAsia="Times New Roman"/>
          <w:sz w:val="20"/>
          <w:szCs w:val="20"/>
        </w:rPr>
        <w:t>●</w:t>
      </w:r>
    </w:p>
    <w:p w:rsidR="00000000" w:rsidRDefault="00AF2D19">
      <w:pPr>
        <w:jc w:val="both"/>
        <w:divId w:val="2117096612"/>
        <w:rPr>
          <w:rFonts w:eastAsia="Times New Roman"/>
        </w:rPr>
      </w:pPr>
      <w:r>
        <w:rPr>
          <w:rFonts w:eastAsia="Times New Roman"/>
          <w:sz w:val="20"/>
          <w:szCs w:val="20"/>
        </w:rPr>
        <w:t>the federal False Claims Act that impose</w:t>
      </w:r>
      <w:r>
        <w:rPr>
          <w:rFonts w:eastAsia="Times New Roman"/>
          <w:sz w:val="20"/>
          <w:szCs w:val="20"/>
        </w:rPr>
        <w:t>s civil and criminal liability, including treble damages and mandatory minimum penalties of $11,803 to $23,607 per false claim or statement, on individuals or entities that knowingly submit false or fraudulent claims for payment to the government or knowin</w:t>
      </w:r>
      <w:r>
        <w:rPr>
          <w:rFonts w:eastAsia="Times New Roman"/>
          <w:sz w:val="20"/>
          <w:szCs w:val="20"/>
        </w:rPr>
        <w:t>gly making, or causing to be made, a false statement in order to have a false claim paid, including qui tam or whistleblower suits. A claim including items or services resulting from a violation of the federal Anti-Kickback Statute constitutes a false or f</w:t>
      </w:r>
      <w:r>
        <w:rPr>
          <w:rFonts w:eastAsia="Times New Roman"/>
          <w:sz w:val="20"/>
          <w:szCs w:val="20"/>
        </w:rPr>
        <w:t>raudulent claim for purposes of the False Claims Act;</w:t>
      </w:r>
      <w:r>
        <w:rPr>
          <w:rFonts w:eastAsia="Times New Roman"/>
          <w:sz w:val="20"/>
          <w:szCs w:val="20"/>
        </w:rPr>
        <w:t xml:space="preserve"> </w:t>
      </w:r>
    </w:p>
    <w:p w:rsidR="00000000" w:rsidRDefault="00AF2D19">
      <w:pPr>
        <w:spacing w:before="120"/>
        <w:ind w:left="3"/>
        <w:jc w:val="both"/>
        <w:divId w:val="688799096"/>
        <w:rPr>
          <w:rFonts w:eastAsia="Times New Roman"/>
        </w:rPr>
      </w:pPr>
      <w:r>
        <w:rPr>
          <w:rFonts w:eastAsia="Times New Roman"/>
          <w:sz w:val="20"/>
          <w:szCs w:val="20"/>
        </w:rPr>
        <w:t>●</w:t>
      </w:r>
    </w:p>
    <w:p w:rsidR="00000000" w:rsidRDefault="00AF2D19">
      <w:pPr>
        <w:jc w:val="both"/>
        <w:divId w:val="2146385795"/>
        <w:rPr>
          <w:rFonts w:eastAsia="Times New Roman"/>
        </w:rPr>
      </w:pPr>
      <w:r>
        <w:rPr>
          <w:rFonts w:eastAsia="Times New Roman"/>
          <w:sz w:val="20"/>
          <w:szCs w:val="20"/>
        </w:rPr>
        <w:t>the federal Civil Monetary Law prohibits, among other things, the offering or transfer of remuneration to a Medicare or state healthcare program beneficiary if the person knows or should know it is l</w:t>
      </w:r>
      <w:r>
        <w:rPr>
          <w:rFonts w:eastAsia="Times New Roman"/>
          <w:sz w:val="20"/>
          <w:szCs w:val="20"/>
        </w:rPr>
        <w:t>ikely to influence the beneficiary’s selection of a particular provider, practitioner, or supplier of services reimbursable by Medicare or a state healthcare program, unless an exception applies;</w:t>
      </w:r>
      <w:r>
        <w:rPr>
          <w:rFonts w:eastAsia="Times New Roman"/>
          <w:sz w:val="20"/>
          <w:szCs w:val="20"/>
        </w:rPr>
        <w:t xml:space="preserve"> </w:t>
      </w:r>
    </w:p>
    <w:p w:rsidR="00000000" w:rsidRDefault="00AF2D19">
      <w:pPr>
        <w:pStyle w:val="a3"/>
        <w:spacing w:before="0" w:beforeAutospacing="0" w:after="0" w:afterAutospacing="0"/>
        <w:jc w:val="center"/>
        <w:rPr>
          <w:sz w:val="20"/>
          <w:szCs w:val="20"/>
        </w:rPr>
      </w:pPr>
      <w:r>
        <w:rPr>
          <w:sz w:val="20"/>
          <w:szCs w:val="20"/>
        </w:rPr>
        <w:t>3</w:t>
      </w:r>
      <w:r>
        <w:rPr>
          <w:sz w:val="20"/>
          <w:szCs w:val="20"/>
        </w:rPr>
        <w:t>9</w:t>
      </w:r>
    </w:p>
    <w:p w:rsidR="00000000" w:rsidRDefault="00AF2D19">
      <w:pPr>
        <w:rPr>
          <w:rFonts w:eastAsia="Times New Roman"/>
        </w:rPr>
      </w:pPr>
      <w:r>
        <w:rPr>
          <w:rFonts w:eastAsia="Times New Roman"/>
        </w:rPr>
        <w:pict>
          <v:rect id="_x0000_i1066"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spacing w:before="120"/>
        <w:ind w:left="3"/>
        <w:jc w:val="both"/>
        <w:divId w:val="1922593404"/>
        <w:rPr>
          <w:rFonts w:eastAsia="Times New Roman"/>
        </w:rPr>
      </w:pPr>
      <w:r>
        <w:rPr>
          <w:rFonts w:eastAsia="Times New Roman"/>
          <w:sz w:val="20"/>
          <w:szCs w:val="20"/>
        </w:rPr>
        <w:t>●</w:t>
      </w:r>
    </w:p>
    <w:p w:rsidR="00000000" w:rsidRDefault="00AF2D19">
      <w:pPr>
        <w:jc w:val="both"/>
        <w:divId w:val="1279798972"/>
        <w:rPr>
          <w:rFonts w:eastAsia="Times New Roman"/>
        </w:rPr>
      </w:pPr>
      <w:r>
        <w:rPr>
          <w:rFonts w:eastAsia="Times New Roman"/>
          <w:sz w:val="20"/>
          <w:szCs w:val="20"/>
        </w:rPr>
        <w:t>similar state law provisions pertaining to Anti-Kickback, self-referral and false claims issues, some of which may apply to items or services reimbursed by any third party payer, including commercial insur</w:t>
      </w:r>
      <w:r>
        <w:rPr>
          <w:rFonts w:eastAsia="Times New Roman"/>
          <w:sz w:val="20"/>
          <w:szCs w:val="20"/>
        </w:rPr>
        <w:t>ers or services paid out-of-pocket by patients;</w:t>
      </w:r>
      <w:r>
        <w:rPr>
          <w:rFonts w:eastAsia="Times New Roman"/>
          <w:sz w:val="20"/>
          <w:szCs w:val="20"/>
        </w:rPr>
        <w:t xml:space="preserve"> </w:t>
      </w:r>
    </w:p>
    <w:p w:rsidR="00000000" w:rsidRDefault="00AF2D19">
      <w:pPr>
        <w:spacing w:before="120"/>
        <w:ind w:left="3"/>
        <w:jc w:val="both"/>
        <w:divId w:val="75132264"/>
        <w:rPr>
          <w:rFonts w:eastAsia="Times New Roman"/>
        </w:rPr>
      </w:pPr>
      <w:r>
        <w:rPr>
          <w:rFonts w:eastAsia="Times New Roman"/>
          <w:sz w:val="20"/>
          <w:szCs w:val="20"/>
        </w:rPr>
        <w:t>●</w:t>
      </w:r>
    </w:p>
    <w:p w:rsidR="00000000" w:rsidRDefault="00AF2D19">
      <w:pPr>
        <w:jc w:val="both"/>
        <w:divId w:val="475604484"/>
        <w:rPr>
          <w:rFonts w:eastAsia="Times New Roman"/>
        </w:rPr>
      </w:pPr>
      <w:r>
        <w:rPr>
          <w:rFonts w:eastAsia="Times New Roman"/>
          <w:sz w:val="20"/>
          <w:szCs w:val="20"/>
        </w:rPr>
        <w:t>state laws that prohibit general business corporations, such as us, from practicing medicine, controlling physicians’ medical decisions or engaging in some practices such as splitting fees with physicians;</w:t>
      </w:r>
      <w:r>
        <w:rPr>
          <w:rFonts w:eastAsia="Times New Roman"/>
          <w:sz w:val="20"/>
          <w:szCs w:val="20"/>
        </w:rPr>
        <w:t xml:space="preserve"> </w:t>
      </w:r>
    </w:p>
    <w:p w:rsidR="00000000" w:rsidRDefault="00AF2D19">
      <w:pPr>
        <w:spacing w:before="120"/>
        <w:ind w:left="3"/>
        <w:jc w:val="both"/>
        <w:divId w:val="2132626424"/>
        <w:rPr>
          <w:rFonts w:eastAsia="Times New Roman"/>
        </w:rPr>
      </w:pPr>
      <w:r>
        <w:rPr>
          <w:rFonts w:eastAsia="Times New Roman"/>
          <w:sz w:val="20"/>
          <w:szCs w:val="20"/>
        </w:rPr>
        <w:t>●</w:t>
      </w:r>
    </w:p>
    <w:p w:rsidR="00000000" w:rsidRDefault="00AF2D19">
      <w:pPr>
        <w:jc w:val="both"/>
        <w:divId w:val="1315142037"/>
        <w:rPr>
          <w:rFonts w:eastAsia="Times New Roman"/>
        </w:rPr>
      </w:pPr>
      <w:r>
        <w:rPr>
          <w:rFonts w:eastAsia="Times New Roman"/>
          <w:sz w:val="20"/>
          <w:szCs w:val="20"/>
        </w:rPr>
        <w:t>the Federal Trade Commission Act and federal and state consumer protection, advertisement and unfair competition laws, which broadly regulate marketplace activities and activities that could potentially harm consumers, including information practices;</w:t>
      </w:r>
      <w:r>
        <w:rPr>
          <w:rFonts w:eastAsia="Times New Roman"/>
          <w:sz w:val="20"/>
          <w:szCs w:val="20"/>
        </w:rPr>
        <w:t xml:space="preserve"> </w:t>
      </w:r>
    </w:p>
    <w:p w:rsidR="00000000" w:rsidRDefault="00AF2D19">
      <w:pPr>
        <w:spacing w:before="120"/>
        <w:ind w:left="3"/>
        <w:jc w:val="both"/>
        <w:divId w:val="419446622"/>
        <w:rPr>
          <w:rFonts w:eastAsia="Times New Roman"/>
        </w:rPr>
      </w:pPr>
      <w:r>
        <w:rPr>
          <w:rFonts w:eastAsia="Times New Roman"/>
          <w:sz w:val="20"/>
          <w:szCs w:val="20"/>
        </w:rPr>
        <w:t>●</w:t>
      </w:r>
    </w:p>
    <w:p w:rsidR="00000000" w:rsidRDefault="00AF2D19">
      <w:pPr>
        <w:jc w:val="both"/>
        <w:divId w:val="133256809"/>
        <w:rPr>
          <w:rFonts w:eastAsia="Times New Roman"/>
        </w:rPr>
      </w:pPr>
      <w:r>
        <w:rPr>
          <w:rFonts w:eastAsia="Times New Roman"/>
          <w:sz w:val="20"/>
          <w:szCs w:val="20"/>
        </w:rPr>
        <w:t>laws that regulate debt collection practices as applied to our debt collection practices;</w:t>
      </w:r>
      <w:r>
        <w:rPr>
          <w:rFonts w:eastAsia="Times New Roman"/>
          <w:sz w:val="20"/>
          <w:szCs w:val="20"/>
        </w:rPr>
        <w:t xml:space="preserve"> </w:t>
      </w:r>
    </w:p>
    <w:p w:rsidR="00000000" w:rsidRDefault="00AF2D19">
      <w:pPr>
        <w:spacing w:before="120"/>
        <w:ind w:left="3"/>
        <w:jc w:val="both"/>
        <w:divId w:val="124130592"/>
        <w:rPr>
          <w:rFonts w:eastAsia="Times New Roman"/>
        </w:rPr>
      </w:pPr>
      <w:r>
        <w:rPr>
          <w:rFonts w:eastAsia="Times New Roman"/>
          <w:sz w:val="20"/>
          <w:szCs w:val="20"/>
        </w:rPr>
        <w:t>●</w:t>
      </w:r>
    </w:p>
    <w:p w:rsidR="00000000" w:rsidRDefault="00AF2D19">
      <w:pPr>
        <w:jc w:val="both"/>
        <w:divId w:val="52118226"/>
        <w:rPr>
          <w:rFonts w:eastAsia="Times New Roman"/>
        </w:rPr>
      </w:pPr>
      <w:r>
        <w:rPr>
          <w:rFonts w:eastAsia="Times New Roman"/>
          <w:sz w:val="20"/>
          <w:szCs w:val="20"/>
        </w:rPr>
        <w:t>a provision of the Social Security Act that imposes criminal penalties on healthcare providers who fail to disclose or refund known overpayments; and</w:t>
      </w:r>
      <w:r>
        <w:rPr>
          <w:rFonts w:eastAsia="Times New Roman"/>
          <w:sz w:val="20"/>
          <w:szCs w:val="20"/>
        </w:rPr>
        <w:t xml:space="preserve"> </w:t>
      </w:r>
    </w:p>
    <w:p w:rsidR="00000000" w:rsidRDefault="00AF2D19">
      <w:pPr>
        <w:spacing w:before="120"/>
        <w:ind w:left="3"/>
        <w:jc w:val="both"/>
        <w:divId w:val="1153062785"/>
        <w:rPr>
          <w:rFonts w:eastAsia="Times New Roman"/>
        </w:rPr>
      </w:pPr>
      <w:r>
        <w:rPr>
          <w:rFonts w:eastAsia="Times New Roman"/>
          <w:sz w:val="20"/>
          <w:szCs w:val="20"/>
        </w:rPr>
        <w:t>●</w:t>
      </w:r>
    </w:p>
    <w:p w:rsidR="00000000" w:rsidRDefault="00AF2D19">
      <w:pPr>
        <w:jc w:val="both"/>
        <w:divId w:val="1942227453"/>
        <w:rPr>
          <w:rFonts w:eastAsia="Times New Roman"/>
        </w:rPr>
      </w:pPr>
      <w:r>
        <w:rPr>
          <w:rFonts w:eastAsia="Times New Roman"/>
          <w:sz w:val="20"/>
          <w:szCs w:val="20"/>
        </w:rPr>
        <w:t>federal</w:t>
      </w:r>
      <w:r>
        <w:rPr>
          <w:rFonts w:eastAsia="Times New Roman"/>
          <w:sz w:val="20"/>
          <w:szCs w:val="20"/>
        </w:rPr>
        <w:t xml:space="preserve"> and state laws and policies that require healthcare providers to maintain licensure, certification or accreditation to provide physician and other professional services, to enroll and participate in the Medicare and Medicaid programs, to report certain ch</w:t>
      </w:r>
      <w:r>
        <w:rPr>
          <w:rFonts w:eastAsia="Times New Roman"/>
          <w:sz w:val="20"/>
          <w:szCs w:val="20"/>
        </w:rPr>
        <w:t>anges in their operations to the agencies that administer these programs, as well as state insurance laws.</w:t>
      </w:r>
      <w:r>
        <w:rPr>
          <w:rFonts w:eastAsia="Times New Roman"/>
          <w:sz w:val="20"/>
          <w:szCs w:val="20"/>
        </w:rPr>
        <w:t xml:space="preserve"> </w:t>
      </w:r>
    </w:p>
    <w:p w:rsidR="00000000" w:rsidRDefault="00AF2D19">
      <w:pPr>
        <w:pStyle w:val="a3"/>
        <w:spacing w:before="120" w:beforeAutospacing="0" w:after="0" w:afterAutospacing="0"/>
        <w:jc w:val="both"/>
        <w:rPr>
          <w:sz w:val="20"/>
          <w:szCs w:val="20"/>
        </w:rPr>
      </w:pPr>
      <w:r>
        <w:rPr>
          <w:sz w:val="20"/>
          <w:szCs w:val="20"/>
        </w:rPr>
        <w:t>Because of the breadth of these laws and the need to fit certain activities within one of the statutory exceptions and safe harbors available, it is</w:t>
      </w:r>
      <w:r>
        <w:rPr>
          <w:sz w:val="20"/>
          <w:szCs w:val="20"/>
        </w:rPr>
        <w:t xml:space="preserve"> possible that some of our business activities could be subject to challenge under one or more of such laws. Achieving and sustaining compliance with these laws may prove costly. Failure to comply with these laws and other laws can result in civil and crim</w:t>
      </w:r>
      <w:r>
        <w:rPr>
          <w:sz w:val="20"/>
          <w:szCs w:val="20"/>
        </w:rPr>
        <w:t>inal penalties such as fines, damages, overpayment recoupment, loss of enrollment status and, if in the future we provide services reimbursable by government healthcare programs, exclusion from the Medicare and Medicaid programs. The risk of our being foun</w:t>
      </w:r>
      <w:r>
        <w:rPr>
          <w:sz w:val="20"/>
          <w:szCs w:val="20"/>
        </w:rPr>
        <w:t>d in violation of these laws and regulations is increased by the fact that many of them have not been fully interpreted by the regulatory authorities or the courts, and their provisions are sometimes open to a variety of interpretations. Our failure to acc</w:t>
      </w:r>
      <w:r>
        <w:rPr>
          <w:sz w:val="20"/>
          <w:szCs w:val="20"/>
        </w:rPr>
        <w:t>urately anticipate the application of these laws and regulations to our business or any other failure to comply with regulatory requirements could create liability for us and negatively affect our business. Any action against us for violation of these laws</w:t>
      </w:r>
      <w:r>
        <w:rPr>
          <w:sz w:val="20"/>
          <w:szCs w:val="20"/>
        </w:rPr>
        <w:t xml:space="preserve"> or regulations, even if we successfully defend against it, could cause us to incur significant legal expenses, divert our management’s attention from the operation of our business and result in adverse publicity</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laws, regulations and standards gover</w:t>
      </w:r>
      <w:r>
        <w:rPr>
          <w:sz w:val="20"/>
          <w:szCs w:val="20"/>
        </w:rPr>
        <w:t>ning the provision of healthcare services may change significantly in the future. We cannot assure you that any new or changed healthcare laws, regulations or standards will not materially adversely affect our business. We cannot assure you that a review o</w:t>
      </w:r>
      <w:r>
        <w:rPr>
          <w:sz w:val="20"/>
          <w:szCs w:val="20"/>
        </w:rPr>
        <w:t>f our business by judicial, law enforcement, regulatory or accreditation authorities will not result in a determination that could adversely affect our operations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Our use and disclosure of personal information, including PHI, personal data, and other hea</w:t>
      </w:r>
      <w:r>
        <w:rPr>
          <w:b/>
          <w:bCs/>
          <w:i/>
          <w:iCs/>
          <w:sz w:val="20"/>
          <w:szCs w:val="20"/>
        </w:rPr>
        <w:t>lth information, is subject to state, federal or other privacy and security regulations, and our failure to comply with those regulations or to adequately secure the information we hold could result in significant liability or reputational harm and, in tur</w:t>
      </w:r>
      <w:r>
        <w:rPr>
          <w:b/>
          <w:bCs/>
          <w:i/>
          <w:iCs/>
          <w:sz w:val="20"/>
          <w:szCs w:val="20"/>
        </w:rPr>
        <w:t>n, a material adverse effect on our client base and member bases and revenue</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The privacy and security of personal information stored, maintained, received or transmitted electronically is an enforcement priority in the United States and internationally. </w:t>
      </w:r>
      <w:r>
        <w:rPr>
          <w:sz w:val="20"/>
          <w:szCs w:val="20"/>
        </w:rPr>
        <w:t>While we strive to comply with all applicable privacy and security laws and regulations, as well as our own posted privacy policies, legal standards for privacy, including but not limited to “unfairness” and “deception,” as enforced by the FTC and state at</w:t>
      </w:r>
      <w:r>
        <w:rPr>
          <w:sz w:val="20"/>
          <w:szCs w:val="20"/>
        </w:rPr>
        <w:t>torneys general, any failure or perceived failure to comply with such requirements may result in proceedings or actions against us by government entities or private parties, or could cause us to lose clients or members, any of which could have a material a</w:t>
      </w:r>
      <w:r>
        <w:rPr>
          <w:sz w:val="20"/>
          <w:szCs w:val="20"/>
        </w:rPr>
        <w:t>dverse effect on our business. Recently, there has been an increase in public awareness of privacy issues in the wake of revelations about the activities of various government agencies and in the number of private privacy-related lawsuits filed against com</w:t>
      </w:r>
      <w:r>
        <w:rPr>
          <w:sz w:val="20"/>
          <w:szCs w:val="20"/>
        </w:rPr>
        <w:t>panies. Any allegations about our practices with regard to the collection, use, disclosure, or security of personal information or other privacy-related matters, even if unfounded and even if we are in compliance with applicable laws, could damage our repu</w:t>
      </w:r>
      <w:r>
        <w:rPr>
          <w:sz w:val="20"/>
          <w:szCs w:val="20"/>
        </w:rPr>
        <w:t>tation and harm our business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In the United States, numerous federal and state laws and regulations govern collection, storage, dissemination, use, retention, transfer, disposal, security and confidentiality of personal information, including HIPAA; U.S. </w:t>
      </w:r>
      <w:r>
        <w:rPr>
          <w:sz w:val="20"/>
          <w:szCs w:val="20"/>
        </w:rPr>
        <w:t>state privacy, security and breach notification and healthcare information laws; the California Consumer Protection Act (“CCPA”); and other data protection laws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HIPAA establishes a set of basic national privacy and security standards for the protection o</w:t>
      </w:r>
      <w:r>
        <w:rPr>
          <w:sz w:val="20"/>
          <w:szCs w:val="20"/>
        </w:rPr>
        <w:t>f PHI, to covered entities, including certain types of health care providers and their service providers that access PHI, known as business associates. When acting as a service provider to licensed therapists or employee assistance programs (group health p</w:t>
      </w:r>
      <w:r>
        <w:rPr>
          <w:sz w:val="20"/>
          <w:szCs w:val="20"/>
        </w:rPr>
        <w:t>lans), we are considered a busines</w:t>
      </w:r>
      <w:r>
        <w:rPr>
          <w:sz w:val="20"/>
          <w:szCs w:val="20"/>
        </w:rPr>
        <w:t>s</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4</w:t>
      </w:r>
      <w:r>
        <w:rPr>
          <w:sz w:val="20"/>
          <w:szCs w:val="20"/>
        </w:rPr>
        <w:t>0</w:t>
      </w:r>
    </w:p>
    <w:p w:rsidR="00000000" w:rsidRDefault="00AF2D19">
      <w:pPr>
        <w:rPr>
          <w:rFonts w:eastAsia="Times New Roman"/>
        </w:rPr>
      </w:pPr>
      <w:r>
        <w:rPr>
          <w:rFonts w:eastAsia="Times New Roman"/>
        </w:rPr>
        <w:pict>
          <v:rect id="_x0000_i1067"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associate under HIPAA. In some instances we may be considered a covered entity under HIPAA where our own employees are providing di</w:t>
      </w:r>
      <w:r>
        <w:rPr>
          <w:sz w:val="20"/>
          <w:szCs w:val="20"/>
        </w:rPr>
        <w:t>rect therapeutic care. As such, HIPAA requires us to maintain policies and procedures governing PHI that is used or disclosed, and to implement administrative, physical and technical safeguards to protect PHI, including PHI maintained, used and disclosed i</w:t>
      </w:r>
      <w:r>
        <w:rPr>
          <w:sz w:val="20"/>
          <w:szCs w:val="20"/>
        </w:rPr>
        <w:t>n electronic form. These safeguards include employee training, identifying business associates (and subcontractor business associates) with whom we need to enter into HIPAA-compliant contractual arrangements and various other measures. Ongoing implementati</w:t>
      </w:r>
      <w:r>
        <w:rPr>
          <w:sz w:val="20"/>
          <w:szCs w:val="20"/>
        </w:rPr>
        <w:t>on and oversight of these measures involves significant time, effort and expense</w:t>
      </w:r>
      <w:r>
        <w:rPr>
          <w:sz w:val="20"/>
          <w:szCs w:val="20"/>
        </w:rPr>
        <w:t>.</w:t>
      </w:r>
    </w:p>
    <w:p w:rsidR="00000000" w:rsidRDefault="00AF2D19">
      <w:pPr>
        <w:pStyle w:val="a3"/>
        <w:spacing w:before="120" w:beforeAutospacing="0" w:after="0" w:afterAutospacing="0"/>
        <w:jc w:val="both"/>
        <w:rPr>
          <w:sz w:val="20"/>
          <w:szCs w:val="20"/>
        </w:rPr>
      </w:pPr>
      <w:r>
        <w:rPr>
          <w:sz w:val="20"/>
          <w:szCs w:val="20"/>
        </w:rPr>
        <w:t>HIPAA also implemented the use of standard transaction c</w:t>
      </w:r>
      <w:r>
        <w:rPr>
          <w:sz w:val="20"/>
          <w:szCs w:val="20"/>
        </w:rPr>
        <w:t>ode sets and standard identifiers that covered entities must use when submitting or receiving certain electronic healthcare transactions, including activities associated with the billing and collection of healthcare claims</w:t>
      </w:r>
      <w:r>
        <w:rPr>
          <w:sz w:val="20"/>
          <w:szCs w:val="20"/>
        </w:rPr>
        <w:t>.</w:t>
      </w:r>
    </w:p>
    <w:p w:rsidR="00000000" w:rsidRDefault="00AF2D19">
      <w:pPr>
        <w:pStyle w:val="a3"/>
        <w:spacing w:before="120" w:beforeAutospacing="0" w:after="0" w:afterAutospacing="0"/>
        <w:jc w:val="both"/>
        <w:rPr>
          <w:sz w:val="20"/>
          <w:szCs w:val="20"/>
        </w:rPr>
      </w:pPr>
      <w:r>
        <w:rPr>
          <w:sz w:val="20"/>
          <w:szCs w:val="20"/>
        </w:rPr>
        <w:t>HIPAA also requires that patient</w:t>
      </w:r>
      <w:r>
        <w:rPr>
          <w:sz w:val="20"/>
          <w:szCs w:val="20"/>
        </w:rPr>
        <w:t xml:space="preserve">s be notified of any unauthorized acquisition, access, use or disclosure of their unsecured PHI that compromises the privacy or security of such information, with certain exceptions related to unintentional or inadvertent use or disclosure by employees or </w:t>
      </w:r>
      <w:r>
        <w:rPr>
          <w:sz w:val="20"/>
          <w:szCs w:val="20"/>
        </w:rPr>
        <w:t>authorized individuals. HIPAA specifies that such notifications must be made “without unreasonable delay and in no case later than 60 calendar days after discovery of the breach.” If a breach affects 500 patients or more, it must be reported to the U.S. De</w:t>
      </w:r>
      <w:r>
        <w:rPr>
          <w:sz w:val="20"/>
          <w:szCs w:val="20"/>
        </w:rPr>
        <w:t>partment of Health and Human Services Office (“HHS”) without unreasonable delay, and HHS will post the name of the breaching entity on its public web site. Breaches affecting 500 patients or more in the same state or jurisdiction must also be reported to t</w:t>
      </w:r>
      <w:r>
        <w:rPr>
          <w:sz w:val="20"/>
          <w:szCs w:val="20"/>
        </w:rPr>
        <w:t>he local media. If a breach involves fewer than 500 people, the covered entity must record it in a log and notify HHS at least annually</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Entities that are found to be in violation of HIPAA as the result of a breach of unsecured PHI or following a complain</w:t>
      </w:r>
      <w:r>
        <w:rPr>
          <w:sz w:val="20"/>
          <w:szCs w:val="20"/>
        </w:rPr>
        <w:t xml:space="preserve">t about privacy practices or an audit by HHS, may be subject to significant civil, criminal and administrative fines and penalties and/or additional reporting and oversight obligations if required to enter into a resolution agreement and corrective action </w:t>
      </w:r>
      <w:r>
        <w:rPr>
          <w:sz w:val="20"/>
          <w:szCs w:val="20"/>
        </w:rPr>
        <w:t>plan with HHS to settle allegations of HIPAA non-compliance. HIPAA also authorizes state attorneys general to file suit on behalf of their residents. Courts may award damages, costs and attorneys’ fees related to violations of HIPAA in such cases. While HI</w:t>
      </w:r>
      <w:r>
        <w:rPr>
          <w:sz w:val="20"/>
          <w:szCs w:val="20"/>
        </w:rPr>
        <w:t xml:space="preserve">PAA does not create a private right of action allowing individuals to sue us in civil court for violations of HIPAA, its standards have been used as the basis for duty of care in state civil suits such as those for negligence or recklessness in the misuse </w:t>
      </w:r>
      <w:r>
        <w:rPr>
          <w:sz w:val="20"/>
          <w:szCs w:val="20"/>
        </w:rPr>
        <w:t>or breach of PHI. Any such penalties or lawsuits could harm our business, financial condition, results of operations and prospects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to HIPAA, the U.S. federal government and various states and governmental agencies have adopted or are consider</w:t>
      </w:r>
      <w:r>
        <w:rPr>
          <w:sz w:val="20"/>
          <w:szCs w:val="20"/>
        </w:rPr>
        <w:t>ing adopting various laws, regulations and standards regarding the collection, use, retention, security, disclosure, transfer and other processing of sensitive and personal information, to which we are or may become subject. For example, California impleme</w:t>
      </w:r>
      <w:r>
        <w:rPr>
          <w:sz w:val="20"/>
          <w:szCs w:val="20"/>
        </w:rPr>
        <w:t>nted the California Consumer Privacy Act, or CCPA, which came into effect in 2020, and to which we are subject. The CCPA imposes obligations and restrictions on businesses regarding their collection, use, processing, retaining and sharing of personal infor</w:t>
      </w:r>
      <w:r>
        <w:rPr>
          <w:sz w:val="20"/>
          <w:szCs w:val="20"/>
        </w:rPr>
        <w:t>mation and provides new and enhanced data privacy rights to California residents. Specifically, the CCPA mandates that covered companies provide new disclosures to California consumers and afford such consumers new data privacy rights that include, among o</w:t>
      </w:r>
      <w:r>
        <w:rPr>
          <w:sz w:val="20"/>
          <w:szCs w:val="20"/>
        </w:rPr>
        <w:t>ther things, the right to request a copy from a covered company of the personal information collected about them, the right to request deletion of such personal information, and the right to request to opt-out of certain sales of such personal information.</w:t>
      </w:r>
      <w:r>
        <w:rPr>
          <w:sz w:val="20"/>
          <w:szCs w:val="20"/>
        </w:rPr>
        <w:t xml:space="preserve"> The CCPA provides for civil penalties for violations, which could result in statutory penalties of up to $2,500 per violation, or up to $7,500 per violation if the violation is intentional. The CCPA also provides a private right of action for certain data</w:t>
      </w:r>
      <w:r>
        <w:rPr>
          <w:sz w:val="20"/>
          <w:szCs w:val="20"/>
        </w:rPr>
        <w:t xml:space="preserve"> breaches that result in the loss of personal information. This private right of action may increase the likelihood of, and risks associated with, data breach litigation. Protected health information that is subject to HIPAA is excluded from the CCPA; howe</w:t>
      </w:r>
      <w:r>
        <w:rPr>
          <w:sz w:val="20"/>
          <w:szCs w:val="20"/>
        </w:rPr>
        <w:t>ver, information we hold about individual residents of California that is not subject to HIPAA would be subject to the CCPA. Furthermore, California voters approved the California Privacy Rights Act (“CPRA”) in November 2020, which will significantly amend</w:t>
      </w:r>
      <w:r>
        <w:rPr>
          <w:sz w:val="20"/>
          <w:szCs w:val="20"/>
        </w:rPr>
        <w:t xml:space="preserve"> and expand the CCPA, including by providing consumers with additional rights with respect to their personal information. The CPRA also creates a new state agency that will be vested with authority to implement and enforce the CCPA and the CPRA. The CPRA w</w:t>
      </w:r>
      <w:r>
        <w:rPr>
          <w:sz w:val="20"/>
          <w:szCs w:val="20"/>
        </w:rPr>
        <w:t>ill come into effect on January 1, 2023, applying to information collected by businesses on or after January 1, 2022. We expect states to continue to enact legislation similar to the CCPA and CPRA that provides consumers with new privacy rights and increas</w:t>
      </w:r>
      <w:r>
        <w:rPr>
          <w:sz w:val="20"/>
          <w:szCs w:val="20"/>
        </w:rPr>
        <w:t>es the privacy and security obligations of entities handling certain personal information of such consumers. Laws similar to the CCPA and CPRA have passed in Virginia and Colorado, and have been proposed in other states and at the federal level, reflecting</w:t>
      </w:r>
      <w:r>
        <w:rPr>
          <w:sz w:val="20"/>
          <w:szCs w:val="20"/>
        </w:rPr>
        <w:t xml:space="preserve"> a trend toward more stringent privacy legislation in the United States</w:t>
      </w:r>
      <w:r>
        <w:rPr>
          <w:sz w:val="20"/>
          <w:szCs w:val="20"/>
        </w:rPr>
        <w:t>.</w:t>
      </w:r>
    </w:p>
    <w:p w:rsidR="00000000" w:rsidRDefault="00AF2D19">
      <w:pPr>
        <w:pStyle w:val="a3"/>
        <w:spacing w:before="120" w:beforeAutospacing="0" w:after="0" w:afterAutospacing="0"/>
        <w:jc w:val="both"/>
        <w:rPr>
          <w:sz w:val="20"/>
          <w:szCs w:val="20"/>
        </w:rPr>
      </w:pPr>
      <w:r>
        <w:rPr>
          <w:sz w:val="20"/>
          <w:szCs w:val="20"/>
        </w:rPr>
        <w:t>Moreover, we are subject to certain other state laws such as the California Confidentiality of Medical Information Act, which imposes restrictive requirements regulating the use and d</w:t>
      </w:r>
      <w:r>
        <w:rPr>
          <w:sz w:val="20"/>
          <w:szCs w:val="20"/>
        </w:rPr>
        <w:t>isclosure of health information and other personal information. Such laws and regulations are not necessarily preempted by HIPAA, particularly if a state affords greater protection to individuals than HIPAA. Where state laws are more protective, we have to</w:t>
      </w:r>
      <w:r>
        <w:rPr>
          <w:sz w:val="20"/>
          <w:szCs w:val="20"/>
        </w:rPr>
        <w:t xml:space="preserve"> comply with the stricter provisions. Further, in addition to fines and penalties imposed upon violators, some of these state laws, such as the CCPA, also afford private rights of action to individuals who believe their personal information has been misuse</w:t>
      </w:r>
      <w:r>
        <w:rPr>
          <w:sz w:val="20"/>
          <w:szCs w:val="20"/>
        </w:rPr>
        <w:t>d</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4</w:t>
      </w:r>
      <w:r>
        <w:rPr>
          <w:sz w:val="20"/>
          <w:szCs w:val="20"/>
        </w:rPr>
        <w:t>1</w:t>
      </w:r>
    </w:p>
    <w:p w:rsidR="00000000" w:rsidRDefault="00AF2D19">
      <w:pPr>
        <w:rPr>
          <w:rFonts w:eastAsia="Times New Roman"/>
        </w:rPr>
      </w:pPr>
      <w:r>
        <w:rPr>
          <w:rFonts w:eastAsia="Times New Roman"/>
        </w:rPr>
        <w:pict>
          <v:rect id="_x0000_i1068"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In the aggregate, state-based data privacy and security laws and regulations may impact our business. All of these evolving compliance and operational requirements</w:t>
      </w:r>
      <w:r>
        <w:rPr>
          <w:sz w:val="20"/>
          <w:szCs w:val="20"/>
        </w:rPr>
        <w:t xml:space="preserve"> impose significant costs that are likely to increase over time, may require us to modify our data processing practices and policies, divert resources from other initiatives and projects could restrict the way services involving data are offered and could </w:t>
      </w:r>
      <w:r>
        <w:rPr>
          <w:sz w:val="20"/>
          <w:szCs w:val="20"/>
        </w:rPr>
        <w:t>subject us to additional liabilities, all of which may adversely affect our results of operations, business, and financial condition</w:t>
      </w:r>
      <w:r>
        <w:rPr>
          <w:sz w:val="20"/>
          <w:szCs w:val="20"/>
        </w:rPr>
        <w:t>.</w:t>
      </w:r>
    </w:p>
    <w:p w:rsidR="00000000" w:rsidRDefault="00AF2D19">
      <w:pPr>
        <w:pStyle w:val="a3"/>
        <w:spacing w:before="120" w:beforeAutospacing="0" w:after="0" w:afterAutospacing="0"/>
        <w:jc w:val="both"/>
        <w:rPr>
          <w:sz w:val="20"/>
          <w:szCs w:val="20"/>
        </w:rPr>
      </w:pPr>
      <w:r>
        <w:rPr>
          <w:sz w:val="20"/>
          <w:szCs w:val="20"/>
        </w:rPr>
        <w:t>In addition, the interplay of federal and state laws may be subject to varying interpretations by courts and government ag</w:t>
      </w:r>
      <w:r>
        <w:rPr>
          <w:sz w:val="20"/>
          <w:szCs w:val="20"/>
        </w:rPr>
        <w:t>encies, creating complex compliance issues for us and our clients and potentially exposing us to additional expense, adverse publicity and liability. Further, as regulatory focus on privacy issues continues to increase and laws and regulations concerning t</w:t>
      </w:r>
      <w:r>
        <w:rPr>
          <w:sz w:val="20"/>
          <w:szCs w:val="20"/>
        </w:rPr>
        <w:t xml:space="preserve">he protection of personal information expand and become more complex, these potential risks to our business could intensify. Changes in laws or regulations associated with the enhanced protection of certain types of sensitive data, such as PHI or personal </w:t>
      </w:r>
      <w:r>
        <w:rPr>
          <w:sz w:val="20"/>
          <w:szCs w:val="20"/>
        </w:rPr>
        <w:t>information, along with increased customer demands for enhanced data security infrastructure, could greatly increase our cost of providing our services, decrease demand for our services, reduce our revenue and/or subject us to additional liabilities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Furt</w:t>
      </w:r>
      <w:r>
        <w:rPr>
          <w:sz w:val="20"/>
          <w:szCs w:val="20"/>
        </w:rPr>
        <w:t xml:space="preserve">hermore, there are numerous foreign laws, regulations and directives regarding privacy and the collection, storage, transmission, use, processing, disclosure and protection of personal information, the scope of which is continually evolving and subject to </w:t>
      </w:r>
      <w:r>
        <w:rPr>
          <w:sz w:val="20"/>
          <w:szCs w:val="20"/>
        </w:rPr>
        <w:t>differing interpretations. If we provide services to users outside the United States, we may be subject to such laws, regulations, directives and obligations in relation to processing of personal information, and we may be subject to significant consequenc</w:t>
      </w:r>
      <w:r>
        <w:rPr>
          <w:sz w:val="20"/>
          <w:szCs w:val="20"/>
        </w:rPr>
        <w:t>es, including penalties, fines and contractual liability, for our failure to comply. We are subject to the EU GDPR and the UK data privacy regime consisting primarily of the UK General Data Protection Regulation and the UK Data Protection Act 2018 (the “UK</w:t>
      </w:r>
      <w:r>
        <w:rPr>
          <w:sz w:val="20"/>
          <w:szCs w:val="20"/>
        </w:rPr>
        <w:t xml:space="preserve"> GDPR”) (the EU GDPR and the UK GDPR, collectively the “GDPR”), which impose a strict data protection compliance regime including stringent data protection requirements, such as detailed disclosures about how personal information is collected and processed</w:t>
      </w:r>
      <w:r>
        <w:rPr>
          <w:sz w:val="20"/>
          <w:szCs w:val="20"/>
        </w:rPr>
        <w:t>, enhanced obligations on the processing of sensitive data, including information that relates to mental health, granting rights for data subjects in regard to their personal information (including data access rights, the right to be “forgotten” and the ri</w:t>
      </w:r>
      <w:r>
        <w:rPr>
          <w:sz w:val="20"/>
          <w:szCs w:val="20"/>
        </w:rPr>
        <w:t>ght to data portability), the obligation to notify data protection authorities (and in certain cases, affected individuals) of significant data breaches, complying with the principal of accountability and the obligation to demonstrate compliance through po</w:t>
      </w:r>
      <w:r>
        <w:rPr>
          <w:sz w:val="20"/>
          <w:szCs w:val="20"/>
        </w:rPr>
        <w:t>licies, procedures, training and audit, and provides for significant penalties for breach (as detailed below). EU Member States and the UK are also able to legislate separately on sensitive data (i.e. mental health), and we must comply with these local law</w:t>
      </w:r>
      <w:r>
        <w:rPr>
          <w:sz w:val="20"/>
          <w:szCs w:val="20"/>
        </w:rPr>
        <w:t>s where we offer our services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GDPR also imposes strict rules on the transfer of personal data out of the EEA and the UK, including to the United States. Recent legal developments in Europe have created complexity and uncertainty regarding transfers o</w:t>
      </w:r>
      <w:r>
        <w:rPr>
          <w:sz w:val="20"/>
          <w:szCs w:val="20"/>
        </w:rPr>
        <w:t>f personal from the EEA and the UK to the United States. Most recently, on July 16, 2020, the Court of Justice of the European Union (“CJEU”) invalidated the EU-US Privacy Shield Framework (“Privacy Shield”) under which personal information could be transf</w:t>
      </w:r>
      <w:r>
        <w:rPr>
          <w:sz w:val="20"/>
          <w:szCs w:val="20"/>
        </w:rPr>
        <w:t>erred from the EEA to US entities who had self-certified under the Privacy Shield scheme. While the CJEU upheld the adequacy of the standard contractual clauses (a standard form of contract approved by the European Commission as an adequate personal data t</w:t>
      </w:r>
      <w:r>
        <w:rPr>
          <w:sz w:val="20"/>
          <w:szCs w:val="20"/>
        </w:rPr>
        <w:t>ransfer mechanism, and potential alternative to the Privacy Shield), it made clear that reliance on them alone may not necessarily be sufficient in all circumstances. Use of the standard contractual clauses must now be assessed on a case-by-case basis taki</w:t>
      </w:r>
      <w:r>
        <w:rPr>
          <w:sz w:val="20"/>
          <w:szCs w:val="20"/>
        </w:rPr>
        <w:t>ng into account the legal regime applicable in the destination country, in particular applicable surveillance laws and rights of individuals and additional measures and/or contractual provisions may need to be put in place, however, the nature of these add</w:t>
      </w:r>
      <w:r>
        <w:rPr>
          <w:sz w:val="20"/>
          <w:szCs w:val="20"/>
        </w:rPr>
        <w:t>itional measures is currently uncertain. The CJEU went on to state that if a competent supervisory authority believes that the standard contractual clauses cannot be complied with in the destination country and the required level of protection cannot be se</w:t>
      </w:r>
      <w:r>
        <w:rPr>
          <w:sz w:val="20"/>
          <w:szCs w:val="20"/>
        </w:rPr>
        <w:t>cured by other means, such supervisory authority is under an obligation to suspend or prohibit that transfer. The European Commission has published revised standard contractual clauses for data transfers from the EEA: the revised clauses must be used for r</w:t>
      </w:r>
      <w:r>
        <w:rPr>
          <w:sz w:val="20"/>
          <w:szCs w:val="20"/>
        </w:rPr>
        <w:t>elevant new data transfers from September 27, 2021; existing standard contractual clauses arrangements must be migrated to the revised clauses by December 27, 2022. We will be required to implement the revised standard contractual clauses within the releva</w:t>
      </w:r>
      <w:r>
        <w:rPr>
          <w:sz w:val="20"/>
          <w:szCs w:val="20"/>
        </w:rPr>
        <w:t>nt time frames. The revised standard contractual clauses apply only to the transfer of personal data outside of the EEA and not the UK; the UK’s Information Commissioner’s Office launched a public consultation on its draft revised data transfers mechanisms</w:t>
      </w:r>
      <w:r>
        <w:rPr>
          <w:sz w:val="20"/>
          <w:szCs w:val="20"/>
        </w:rPr>
        <w:t xml:space="preserve"> in August 2021. We are monitoring the outcome of this, and we may be required to implement new or revised documentation and processes in relation to our data transfers subject to the UK GDPR, within the relevant time frames. As supervisory authorities iss</w:t>
      </w:r>
      <w:r>
        <w:rPr>
          <w:sz w:val="20"/>
          <w:szCs w:val="20"/>
        </w:rPr>
        <w:t>ue further guidance on data export mechanisms, including circumstances where the standard contractual clauses cannot be used, and/or start taking enforcement action, we could suffer additional costs, complaints and/or regulatory investigations or fines, an</w:t>
      </w:r>
      <w:r>
        <w:rPr>
          <w:sz w:val="20"/>
          <w:szCs w:val="20"/>
        </w:rPr>
        <w:t xml:space="preserve">d/or if we are otherwise unable to transfer personal information between and among countries and regions in which we operate, it could affect the manner in which we provide our services, the geographical location or segregation of our relevant systems and </w:t>
      </w:r>
      <w:r>
        <w:rPr>
          <w:sz w:val="20"/>
          <w:szCs w:val="20"/>
        </w:rPr>
        <w:t>operations, and could adversely affect our financial results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The relationship between the UK and the EU in relation to certain aspects of data protection law, particularly transfers of personal data, remains unclear following the UK’s departure from the </w:t>
      </w:r>
      <w:r>
        <w:rPr>
          <w:sz w:val="20"/>
          <w:szCs w:val="20"/>
        </w:rPr>
        <w:t>EU on January 1, 2021. The European Commission has adopted a</w:t>
      </w:r>
      <w:r>
        <w:rPr>
          <w:sz w:val="20"/>
          <w:szCs w:val="20"/>
        </w:rPr>
        <w:t>n</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4</w:t>
      </w:r>
      <w:r>
        <w:rPr>
          <w:sz w:val="20"/>
          <w:szCs w:val="20"/>
        </w:rPr>
        <w:t>2</w:t>
      </w:r>
    </w:p>
    <w:p w:rsidR="00000000" w:rsidRDefault="00AF2D19">
      <w:pPr>
        <w:rPr>
          <w:rFonts w:eastAsia="Times New Roman"/>
        </w:rPr>
      </w:pPr>
      <w:r>
        <w:rPr>
          <w:rFonts w:eastAsia="Times New Roman"/>
        </w:rPr>
        <w:pict>
          <v:rect id="_x0000_i1069"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adequacy decision in favor of the UK, enabling data transfers from EU member states to the UK without add</w:t>
      </w:r>
      <w:r>
        <w:rPr>
          <w:sz w:val="20"/>
          <w:szCs w:val="20"/>
        </w:rPr>
        <w:t>itional safeguards. However, the UK adequacy decision will automatically expire in June 2025 unless the European Commission re-assesses and renews/ extends that decision, and remains under review by the Commission during this period. In September 2021, the</w:t>
      </w:r>
      <w:r>
        <w:rPr>
          <w:sz w:val="20"/>
          <w:szCs w:val="20"/>
        </w:rPr>
        <w:t xml:space="preserve"> UK government launched a consultation on its proposals for wide-ranging reform of UK data protection laws following Brexit. There is a risk that any material changes which are made to the UK data protection regime could result in the Commission reviewing </w:t>
      </w:r>
      <w:r>
        <w:rPr>
          <w:sz w:val="20"/>
          <w:szCs w:val="20"/>
        </w:rPr>
        <w:t>the UK adequacy decision, and the UK losing its adequacy decision if the Commission deems the UK to no longer provide adequate protection for personal data. The relationship between the UK and the EU in relation to certain aspects of data protection law re</w:t>
      </w:r>
      <w:r>
        <w:rPr>
          <w:sz w:val="20"/>
          <w:szCs w:val="20"/>
        </w:rPr>
        <w:t>mains unclear, and it is unclear how UK data protection laws and regulations will develop in the medium to longer term, and how data transfers to and from the UK will be regulated in the long term. These changes will lead to additional costs and increase o</w:t>
      </w:r>
      <w:r>
        <w:rPr>
          <w:sz w:val="20"/>
          <w:szCs w:val="20"/>
        </w:rPr>
        <w:t>ur overall risk exposure</w:t>
      </w:r>
      <w:r>
        <w:rPr>
          <w:sz w:val="20"/>
          <w:szCs w:val="20"/>
        </w:rPr>
        <w:t>.</w:t>
      </w:r>
    </w:p>
    <w:p w:rsidR="00000000" w:rsidRDefault="00AF2D19">
      <w:pPr>
        <w:pStyle w:val="a3"/>
        <w:spacing w:before="120" w:beforeAutospacing="0" w:after="0" w:afterAutospacing="0"/>
        <w:jc w:val="both"/>
        <w:rPr>
          <w:sz w:val="20"/>
          <w:szCs w:val="20"/>
        </w:rPr>
      </w:pPr>
      <w:r>
        <w:rPr>
          <w:sz w:val="20"/>
          <w:szCs w:val="20"/>
        </w:rPr>
        <w:t>Failure to comply with the requirements of the GDPR may result in fines of up to €20,000,000/ £17.5 million or up to 4% of our total worldwide annual revenue for the preceding financial year, whichever is higher. In addition, a br</w:t>
      </w:r>
      <w:r>
        <w:rPr>
          <w:sz w:val="20"/>
          <w:szCs w:val="20"/>
        </w:rPr>
        <w:t>each of the GDPR could result in regulatory investigations, reputational damage, orders to cease/ change our processing of our data, enforcement notices, and/ or assessment notices (for a compulsory audit). We may also face civil claims including represent</w:t>
      </w:r>
      <w:r>
        <w:rPr>
          <w:sz w:val="20"/>
          <w:szCs w:val="20"/>
        </w:rPr>
        <w:t>ative actions and other class action type litigation (where individuals have suffered harm), potentially amounting to significant compensation or damages liabilities, as well as associated costs, diversion of internal resources, and reputational harm</w:t>
      </w:r>
      <w:r>
        <w:rPr>
          <w:sz w:val="20"/>
          <w:szCs w:val="20"/>
        </w:rPr>
        <w:t>.</w:t>
      </w:r>
    </w:p>
    <w:p w:rsidR="00000000" w:rsidRDefault="00AF2D19">
      <w:pPr>
        <w:pStyle w:val="a3"/>
        <w:spacing w:before="120" w:beforeAutospacing="0" w:after="0" w:afterAutospacing="0"/>
        <w:jc w:val="both"/>
        <w:rPr>
          <w:sz w:val="20"/>
          <w:szCs w:val="20"/>
        </w:rPr>
      </w:pPr>
      <w:r>
        <w:rPr>
          <w:sz w:val="20"/>
          <w:szCs w:val="20"/>
        </w:rPr>
        <w:t>We a</w:t>
      </w:r>
      <w:r>
        <w:rPr>
          <w:sz w:val="20"/>
          <w:szCs w:val="20"/>
        </w:rPr>
        <w:t>lso publish statements to our clients and members that describe how we handle and protect personal information. If federal or state regulatory authorities or private litigants consider any portion of these statements to be inaccurate, incomplete, or not fu</w:t>
      </w:r>
      <w:r>
        <w:rPr>
          <w:sz w:val="20"/>
          <w:szCs w:val="20"/>
        </w:rPr>
        <w:t>lly implemented, we may be subject to claims of deceptive practices or other violation of law, which could lead to significant liabilities and consequences, including, without limitation, costs of responding to investigations, defending against litigation,</w:t>
      </w:r>
      <w:r>
        <w:rPr>
          <w:sz w:val="20"/>
          <w:szCs w:val="20"/>
        </w:rPr>
        <w:t xml:space="preserve"> settling claims and complying with regulatory or court orders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Furthermore, any failure, or perceived failure, by us to comply with or make effective modifications to our policies, or to comply with any federal, state, or international privacy, data-rete</w:t>
      </w:r>
      <w:r>
        <w:rPr>
          <w:sz w:val="20"/>
          <w:szCs w:val="20"/>
        </w:rPr>
        <w:t>ntion or data-protection-related laws, regulations, orders or industry self-regulatory principles could result in proceedings or actions against us by governmental entities or others, a loss of client and member confidence, damage to our brand and reputati</w:t>
      </w:r>
      <w:r>
        <w:rPr>
          <w:sz w:val="20"/>
          <w:szCs w:val="20"/>
        </w:rPr>
        <w:t>on, and a loss of clients and/or members, any of which could have an adverse effect on our business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Because of the breadth of these laws and the narrowness of their exceptions and safe harbors, it is possible that our business activities can be subject t</w:t>
      </w:r>
      <w:r>
        <w:rPr>
          <w:sz w:val="20"/>
          <w:szCs w:val="20"/>
        </w:rPr>
        <w:t>o challenge under one or more of such laws. The applicability, scope and enforcement of each of these laws is uncertain and subject to rapid change in the current environment of healthcare reform. Federal, state and foreign enforcement bodies have recently</w:t>
      </w:r>
      <w:r>
        <w:rPr>
          <w:sz w:val="20"/>
          <w:szCs w:val="20"/>
        </w:rPr>
        <w:t xml:space="preserve"> increased their scrutiny of interactions between healthcare companies and healthcare providers and of processing of health data generally, which has led to a number of investigations, prosecutions, convictions and settlements in the healthcare industry. A</w:t>
      </w:r>
      <w:r>
        <w:rPr>
          <w:sz w:val="20"/>
          <w:szCs w:val="20"/>
        </w:rPr>
        <w:t>ny such investigations, prosecutions, convictions or settlements could result in significant financial penalties, damage to our brand and reputation, and a loss of clients and/or members, any of which could have an adverse effect on our business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w:t>
      </w:r>
      <w:r>
        <w:rPr>
          <w:sz w:val="20"/>
          <w:szCs w:val="20"/>
        </w:rPr>
        <w:t>ion, any significant change to applicable laws, regulations or industry practices regarding the collection, use, retention, security or disclosure of our users’ personal information content, or regarding the manner in which the express or implied consent o</w:t>
      </w:r>
      <w:r>
        <w:rPr>
          <w:sz w:val="20"/>
          <w:szCs w:val="20"/>
        </w:rPr>
        <w:t>f users for the collection, use, retention or disclosure of such content is obtained, could increase our costs and require us to modify our services and features, possibly in a material manner, which we may be unable to complete and may limit our ability t</w:t>
      </w:r>
      <w:r>
        <w:rPr>
          <w:sz w:val="20"/>
          <w:szCs w:val="20"/>
        </w:rPr>
        <w:t>o store and process users' personal information data or develop new services and features. Any of the foregoing could harm our competitive position, business, financial condition, results of operations and prospects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Security breaches, loss of data and ot</w:t>
      </w:r>
      <w:r>
        <w:rPr>
          <w:b/>
          <w:bCs/>
          <w:i/>
          <w:iCs/>
          <w:sz w:val="20"/>
          <w:szCs w:val="20"/>
        </w:rPr>
        <w:t>her disruptions could compromise personal information, including sensitive information, related to our business or prevent us from accessing critical information and expose us to liability, which could adversely affect our business and our reputation</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Bec</w:t>
      </w:r>
      <w:r>
        <w:rPr>
          <w:sz w:val="20"/>
          <w:szCs w:val="20"/>
        </w:rPr>
        <w:t>ause of the extreme sensitivity of the information which we receive, store and transmit on behalf of therapists, clients, and others, the security features of our technology platform are very important. Information security risks have generally increased i</w:t>
      </w:r>
      <w:r>
        <w:rPr>
          <w:sz w:val="20"/>
          <w:szCs w:val="20"/>
        </w:rPr>
        <w:t>n recent years because of the proliferation of new technologies and the increased sophistication and activities of perpetrators of cyber-attacks. Hackers and data thieves are increasingly sophisticated and operating large-scale and complex automated attack</w:t>
      </w:r>
      <w:r>
        <w:rPr>
          <w:sz w:val="20"/>
          <w:szCs w:val="20"/>
        </w:rPr>
        <w: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particular, ransomware attacks, including those from organized criminal threat actors, nation-states, and nation-state supported actors, are becoming increasingly prevalent and severe, and can lead to significant interruptions in our operations, loss of</w:t>
      </w:r>
      <w:r>
        <w:rPr>
          <w:sz w:val="20"/>
          <w:szCs w:val="20"/>
        </w:rPr>
        <w:t xml:space="preserve"> data and income, reputational loss, diversion of funds, and may result in fines, litigation and unwanted media attention. As cybe</w:t>
      </w:r>
      <w:r>
        <w:rPr>
          <w:sz w:val="20"/>
          <w:szCs w:val="20"/>
        </w:rPr>
        <w:t>r</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4</w:t>
      </w:r>
      <w:r>
        <w:rPr>
          <w:sz w:val="20"/>
          <w:szCs w:val="20"/>
        </w:rPr>
        <w:t>3</w:t>
      </w:r>
    </w:p>
    <w:p w:rsidR="00000000" w:rsidRDefault="00AF2D19">
      <w:pPr>
        <w:rPr>
          <w:rFonts w:eastAsia="Times New Roman"/>
        </w:rPr>
      </w:pPr>
      <w:r>
        <w:rPr>
          <w:rFonts w:eastAsia="Times New Roman"/>
        </w:rPr>
        <w:pict>
          <v:rect id="_x0000_i107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 xml:space="preserve">threats continue to evolve, we may </w:t>
      </w:r>
      <w:r>
        <w:rPr>
          <w:sz w:val="20"/>
          <w:szCs w:val="20"/>
        </w:rPr>
        <w:t>be required to expend additional resources to further enhance our information security measures, develop additional protocols and/or to investigate and remediate any information security vulnerabilities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If our security measures, some of which are managed</w:t>
      </w:r>
      <w:r>
        <w:rPr>
          <w:sz w:val="20"/>
          <w:szCs w:val="20"/>
        </w:rPr>
        <w:t xml:space="preserve"> by third parties, are breached or fail, unauthorized persons may be able to obtain access to sensitive client and member data, including personal information and PHI. As a result, our reputation could be severely damaged, adversely affecting client and me</w:t>
      </w:r>
      <w:r>
        <w:rPr>
          <w:sz w:val="20"/>
          <w:szCs w:val="20"/>
        </w:rPr>
        <w:t>mber confidence. Members may curtail their use of or stop using our services or our client base could decrease, which would cause our business to suffer. In addition, we could face litigation, damages for contract breach, penalties and regulatory actions f</w:t>
      </w:r>
      <w:r>
        <w:rPr>
          <w:sz w:val="20"/>
          <w:szCs w:val="20"/>
        </w:rPr>
        <w:t xml:space="preserve">or violation of HIPAA and other applicable laws or regulations and significant costs for remediation, notification to individuals and for measures to prevent future occurrences. Any potential security breach could also result in increased costs associated </w:t>
      </w:r>
      <w:r>
        <w:rPr>
          <w:sz w:val="20"/>
          <w:szCs w:val="20"/>
        </w:rPr>
        <w:t>with liability for stolen assets or information, repairing system damage that may have been caused by such breaches, incentives offered to clients or other business partners in an effort to maintain our business relationships after a breach and implementin</w:t>
      </w:r>
      <w:r>
        <w:rPr>
          <w:sz w:val="20"/>
          <w:szCs w:val="20"/>
        </w:rPr>
        <w:t>g measures to prevent future occurrences, including organizational changes, deploying additional personnel and protection technologies, training employees and engaging third-party experts and consultants. While we maintain insurance covering certain securi</w:t>
      </w:r>
      <w:r>
        <w:rPr>
          <w:sz w:val="20"/>
          <w:szCs w:val="20"/>
        </w:rPr>
        <w:t>ty and privacy damages and claim expenses, we cannot be certain that our insurance coverage will be adequate for data security liabilities actually incurred, will cover any indemnification claims against us relating to any incident, will continue to be ava</w:t>
      </w:r>
      <w:r>
        <w:rPr>
          <w:sz w:val="20"/>
          <w:szCs w:val="20"/>
        </w:rPr>
        <w:t>ilable to us on economically reasonable terms, or at all, or that any insurer will not deny coverage as to any future claim. The successful assertion of one or more large claims against us that exceed available insurance coverage, or the occurrence of chan</w:t>
      </w:r>
      <w:r>
        <w:rPr>
          <w:sz w:val="20"/>
          <w:szCs w:val="20"/>
        </w:rPr>
        <w:t>ges in our insurance policies, including premium increases or the imposition of large deductible or co-insurance requirements, could adversely affect our reputation, business, financial condition and results of operations</w:t>
      </w:r>
      <w:r>
        <w:rPr>
          <w:sz w:val="20"/>
          <w:szCs w:val="20"/>
        </w:rPr>
        <w:t>.</w:t>
      </w:r>
    </w:p>
    <w:p w:rsidR="00000000" w:rsidRDefault="00AF2D19">
      <w:pPr>
        <w:pStyle w:val="a3"/>
        <w:spacing w:before="120" w:beforeAutospacing="0" w:after="0" w:afterAutospacing="0"/>
        <w:jc w:val="both"/>
        <w:rPr>
          <w:sz w:val="20"/>
          <w:szCs w:val="20"/>
        </w:rPr>
      </w:pPr>
      <w:r>
        <w:rPr>
          <w:sz w:val="20"/>
          <w:szCs w:val="20"/>
        </w:rPr>
        <w:t>We outsource important aspects of</w:t>
      </w:r>
      <w:r>
        <w:rPr>
          <w:sz w:val="20"/>
          <w:szCs w:val="20"/>
        </w:rPr>
        <w:t xml:space="preserve"> the storage and transmission of client and member information, and thus rely on third parties to manage functions that have material cyber-security risks. We attempt to address these risks by requiring outsourcing subcontractors who handle client and memb</w:t>
      </w:r>
      <w:r>
        <w:rPr>
          <w:sz w:val="20"/>
          <w:szCs w:val="20"/>
        </w:rPr>
        <w:t xml:space="preserve">er information to sign agreements contractually requiring those subcontractors to adequately safeguard personal information and PHI to the same extent that applies to us and in some cases by requiring such outsourcing subcontractors to undergo third-party </w:t>
      </w:r>
      <w:r>
        <w:rPr>
          <w:sz w:val="20"/>
          <w:szCs w:val="20"/>
        </w:rPr>
        <w:t>security examinations. In addition, we periodically hire third-party security experts to assess and test our security posture. However, we cannot assure you that these contractual measures and other safeguards will adequately protect us from the risks asso</w:t>
      </w:r>
      <w:r>
        <w:rPr>
          <w:sz w:val="20"/>
          <w:szCs w:val="20"/>
        </w:rPr>
        <w:t>ciated with the storage and transmission of client and members’ proprietary and protected health information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Due to applicable laws and regulations or contractual obligations, we may be held responsible for any information security failure or cyber-attac</w:t>
      </w:r>
      <w:r>
        <w:rPr>
          <w:sz w:val="20"/>
          <w:szCs w:val="20"/>
        </w:rPr>
        <w:t>k attributed to our vendors as they relate to the information we share with them. In addition, because we do not control our vendors and our ability to monitor their data security is limited, we cannot ensure the security measures they take will be suffici</w:t>
      </w:r>
      <w:r>
        <w:rPr>
          <w:sz w:val="20"/>
          <w:szCs w:val="20"/>
        </w:rPr>
        <w:t>ent to protect confidential, proprietary, or sensitive data, including personal data. We are at risk of a cyber-attack involving a vendor or other third party, which could result in a breakdown of such third party’s data protection processes or the cyber-a</w:t>
      </w:r>
      <w:r>
        <w:rPr>
          <w:sz w:val="20"/>
          <w:szCs w:val="20"/>
        </w:rPr>
        <w:t>ttackers gaining access to our information systems or data through the third party. Regardless of whether an actual or perceived cyber-attack is attributable to us or our vendors, such an incident could, among other things, result in improper disclosure of</w:t>
      </w:r>
      <w:r>
        <w:rPr>
          <w:sz w:val="20"/>
          <w:szCs w:val="20"/>
        </w:rPr>
        <w:t xml:space="preserve"> information, harm our reputation and brand, reduce the demand for our products and services, lead to loss of client confidence in the effectiveness of our security measures, disrupt normal business operations or result in our systems or products and servi</w:t>
      </w:r>
      <w:r>
        <w:rPr>
          <w:sz w:val="20"/>
          <w:szCs w:val="20"/>
        </w:rPr>
        <w:t>ces being unavailable. In addition, it may require us to spend material resources to investigate or correct the breach and to prevent future security breaches and incidents, expose us to uninsured liability, increase our risk of regulatory scrutiny, expose</w:t>
      </w:r>
      <w:r>
        <w:rPr>
          <w:sz w:val="20"/>
          <w:szCs w:val="20"/>
        </w:rPr>
        <w:t xml:space="preserve"> us to legal liabilities, including litigation, regulatory enforcement, indemnity obligations or damages for contract breach, divert the attention of management from the operation of our business and cause us to incur significant costs, any of which could </w:t>
      </w:r>
      <w:r>
        <w:rPr>
          <w:sz w:val="20"/>
          <w:szCs w:val="20"/>
        </w:rPr>
        <w:t>affect our financial condition, operating results and our reputation. Moreover, there could be public announcements regarding any such incidents and any steps we take to respond to or remediate such incidents, and if securities analysts or investors percei</w:t>
      </w:r>
      <w:r>
        <w:rPr>
          <w:sz w:val="20"/>
          <w:szCs w:val="20"/>
        </w:rPr>
        <w:t xml:space="preserve">ve these announcements to be negative, it could, among other things, have a substantial adverse effect on the price of our common stock. In addition, our remediation efforts may not be successful and any failure related to these activities could result in </w:t>
      </w:r>
      <w:r>
        <w:rPr>
          <w:sz w:val="20"/>
          <w:szCs w:val="20"/>
        </w:rPr>
        <w:t>significant liability and/or have a material adverse effect on our business, reputation and financial condition</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may be exposed to compliance obligations and risks under anti-corruption, export controls and economic sanctions laws and regulations of th</w:t>
      </w:r>
      <w:r>
        <w:rPr>
          <w:b/>
          <w:bCs/>
          <w:i/>
          <w:iCs/>
          <w:sz w:val="20"/>
          <w:szCs w:val="20"/>
        </w:rPr>
        <w:t>e United States and applicable non-U.S. jurisdictions, and any instances of noncompliance could have a material adverse effect on our reputation and the results of our operations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Expansion of our operations into markets outside the United States is one o</w:t>
      </w:r>
      <w:r>
        <w:rPr>
          <w:sz w:val="20"/>
          <w:szCs w:val="20"/>
        </w:rPr>
        <w:t>f our strategies for the future growth of our business. In connection with those plans, we may be or may become subject to compliance obligations under anti-corruption laws and regulations imposed by governmental authorities around the world with jurisdict</w:t>
      </w:r>
      <w:r>
        <w:rPr>
          <w:sz w:val="20"/>
          <w:szCs w:val="20"/>
        </w:rPr>
        <w:t>ion over our operations, which may include the FCPA, as well as the anti-corruption laws and regulations of other jurisdictions where we conduct business. These laws and regulations apply to companies, directors, officers, employees and agents, and may imp</w:t>
      </w:r>
      <w:r>
        <w:rPr>
          <w:sz w:val="20"/>
          <w:szCs w:val="20"/>
        </w:rPr>
        <w:t>act the way we conduct our operations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4</w:t>
      </w:r>
      <w:r>
        <w:rPr>
          <w:sz w:val="20"/>
          <w:szCs w:val="20"/>
        </w:rPr>
        <w:t>4</w:t>
      </w:r>
    </w:p>
    <w:p w:rsidR="00000000" w:rsidRDefault="00AF2D19">
      <w:pPr>
        <w:rPr>
          <w:rFonts w:eastAsia="Times New Roman"/>
        </w:rPr>
      </w:pPr>
      <w:r>
        <w:rPr>
          <w:rFonts w:eastAsia="Times New Roman"/>
        </w:rPr>
        <w:pict>
          <v:rect id="_x0000_i1071"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trade practices, investment decisions and partnering activities. Where they apply, the FCPA and the U.K. Bribery Act of 2010 (t</w:t>
      </w:r>
      <w:r>
        <w:rPr>
          <w:sz w:val="20"/>
          <w:szCs w:val="20"/>
        </w:rPr>
        <w:t>he “UK Bribery Act”) prohibit us and our officers, directors and employees, as well as any third parties acting on our behalf, including joint venture partners and agents, from corruptly offering, promising, authorizing or providing anything of value to pu</w:t>
      </w:r>
      <w:r>
        <w:rPr>
          <w:sz w:val="20"/>
          <w:szCs w:val="20"/>
        </w:rPr>
        <w:t>blic officials or other persons for the purpose of influencing official decisions or obtaining or retaining business or otherwise obtaining an improper business benefit. As part of our business, we may deal with non-U.S. governments and state-owned busines</w:t>
      </w:r>
      <w:r>
        <w:rPr>
          <w:sz w:val="20"/>
          <w:szCs w:val="20"/>
        </w:rPr>
        <w:t>s enterprises, the employees and representatives of which may be considered foreign officials for purposes of the FCPA</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connection with our planned expansion of our international operations, we will become subject to the jurisdiction of various governm</w:t>
      </w:r>
      <w:r>
        <w:rPr>
          <w:sz w:val="20"/>
          <w:szCs w:val="20"/>
        </w:rPr>
        <w:t>ents and regulatory agencies around the world, which may bring our personnel and agents into contact with public officials responsible for issuing or renewing permits, licenses or approvals or for enforcing other governmental regulations. Our business also</w:t>
      </w:r>
      <w:r>
        <w:rPr>
          <w:sz w:val="20"/>
          <w:szCs w:val="20"/>
        </w:rPr>
        <w:t xml:space="preserve"> will need to be conducted in compliance with applicable export controls and economic sanctions laws and regulations, including those of the U.S. government, the governments of other countries in which we operate or plan to operate in or conduct business a</w:t>
      </w:r>
      <w:r>
        <w:rPr>
          <w:sz w:val="20"/>
          <w:szCs w:val="20"/>
        </w:rPr>
        <w:t>nd various multilateral organizations. Such laws and regulations include, without limitation, those administered and enforced by the U.S. Department of the Treasury’s Office of Foreign Assets Control (“OFAC”), the U.S. Department of State, the U.S. Departm</w:t>
      </w:r>
      <w:r>
        <w:rPr>
          <w:sz w:val="20"/>
          <w:szCs w:val="20"/>
        </w:rPr>
        <w:t>ent of Commerce, the United Nations Security Council and other relevant sanctions authorities. Our provision of services to persons located outside the United States may be subject to certain regulatory prohibitions, restrictions or other requirements, inc</w:t>
      </w:r>
      <w:r>
        <w:rPr>
          <w:sz w:val="20"/>
          <w:szCs w:val="20"/>
        </w:rPr>
        <w:t>luding certain licensing or reporting requirements pursuant to export controls and economic sanctions laws and regulations. Our provision of services outside of the United States exposes us to the risk of violating, or being accused of violating, anti-corr</w:t>
      </w:r>
      <w:r>
        <w:rPr>
          <w:sz w:val="20"/>
          <w:szCs w:val="20"/>
        </w:rPr>
        <w:t>uption, exports controls and economic sanctions laws and regulations. Though we have implemented an anti-corruption policy, as well as formal training and monitoring programs, we cannot ensure that our policies and procedures will always protect us from ri</w:t>
      </w:r>
      <w:r>
        <w:rPr>
          <w:sz w:val="20"/>
          <w:szCs w:val="20"/>
        </w:rPr>
        <w:t>sks associated with any unlawful acts carried out by our employees or agents. Violations of anti-corruption, exports controls or economic sanctions laws and regulations may expose us to reputational harm, as well as significant civil and criminal penalties</w:t>
      </w:r>
      <w:r>
        <w:rPr>
          <w:sz w:val="20"/>
          <w:szCs w:val="20"/>
        </w:rPr>
        <w:t>, including monetary fines, imprisonment, disgorgement of profits, injunctions, suspension or debarment from government contracts, and other remedial measures. Investigations of alleged violations can be expensive and disruptive to our operations. Violatio</w:t>
      </w:r>
      <w:r>
        <w:rPr>
          <w:sz w:val="20"/>
          <w:szCs w:val="20"/>
        </w:rPr>
        <w:t>ns could have a material adverse effect on our reputation, business, financial condition and results of operations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sz w:val="20"/>
          <w:szCs w:val="20"/>
        </w:rPr>
        <w:t>RISKS RELATED TO OUR INTELLECTUAL PROPERT</w:t>
      </w:r>
      <w:r>
        <w:rPr>
          <w:b/>
          <w:bCs/>
          <w:sz w:val="20"/>
          <w:szCs w:val="20"/>
        </w:rPr>
        <w:t>Y</w:t>
      </w:r>
    </w:p>
    <w:p w:rsidR="00000000" w:rsidRDefault="00AF2D19">
      <w:pPr>
        <w:pStyle w:val="a3"/>
        <w:spacing w:before="240" w:beforeAutospacing="0" w:after="0" w:afterAutospacing="0"/>
        <w:jc w:val="both"/>
        <w:rPr>
          <w:sz w:val="20"/>
          <w:szCs w:val="20"/>
        </w:rPr>
      </w:pPr>
      <w:r>
        <w:rPr>
          <w:b/>
          <w:bCs/>
          <w:i/>
          <w:iCs/>
          <w:sz w:val="20"/>
          <w:szCs w:val="20"/>
        </w:rPr>
        <w:t>Any failure to protect, enforce or defend our intellectual property rights could impair our abil</w:t>
      </w:r>
      <w:r>
        <w:rPr>
          <w:b/>
          <w:bCs/>
          <w:i/>
          <w:iCs/>
          <w:sz w:val="20"/>
          <w:szCs w:val="20"/>
        </w:rPr>
        <w:t>ity to protect our technology and our brand</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success depends in part on our ability to maintain, protect and enforce our intellectual property and other proprietary rights. We rely upon a combination of trademark, patent and trade secret laws, as well</w:t>
      </w:r>
      <w:r>
        <w:rPr>
          <w:sz w:val="20"/>
          <w:szCs w:val="20"/>
        </w:rPr>
        <w:t xml:space="preserve"> as license and access agreements and other contractual provisions, to protect our intellectual property rights. These laws, procedures and agreements provide only limited protection and any of our intellectual property rights may be challenged, invalidate</w:t>
      </w:r>
      <w:r>
        <w:rPr>
          <w:sz w:val="20"/>
          <w:szCs w:val="20"/>
        </w:rPr>
        <w:t>d, circumvented, infringed, diluted or misappropriated</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attempt to protect our intellectual property and proprietary information by requiring our employees, consultants and certain of our contractors to execute confidentiality and assignment of inventi</w:t>
      </w:r>
      <w:r>
        <w:rPr>
          <w:sz w:val="20"/>
          <w:szCs w:val="20"/>
        </w:rPr>
        <w:t>ons agreements. However, we may not obtain these agreements in all circumstances, and individuals with whom we have these agreements may not comply with their terms. The assignment of intellectual property rights under these agreements may not be self-exec</w:t>
      </w:r>
      <w:r>
        <w:rPr>
          <w:sz w:val="20"/>
          <w:szCs w:val="20"/>
        </w:rPr>
        <w:t xml:space="preserve">uting or the assignment agreements may be breached, and we may be forced to bring claims against third parties, or defend claims that they may bring against us, to determine the ownership of what we regard as our intellectual property. In addition, we may </w:t>
      </w:r>
      <w:r>
        <w:rPr>
          <w:sz w:val="20"/>
          <w:szCs w:val="20"/>
        </w:rPr>
        <w:t>not be able to prevent the unauthorized disclosure or use of our technical know-how or other trade secrets by the parties to these agreements despite the existence generally of confidentiality agreements and other contractual restrictions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Monitoring unau</w:t>
      </w:r>
      <w:r>
        <w:rPr>
          <w:sz w:val="20"/>
          <w:szCs w:val="20"/>
        </w:rPr>
        <w:t xml:space="preserve">thorized uses and disclosures is difficult and we do not know whether the steps we have taken to protect our proprietary technologies will be effective. Additionally, if a competitor lawfully obtains or independently develops the technology we maintain as </w:t>
      </w:r>
      <w:r>
        <w:rPr>
          <w:sz w:val="20"/>
          <w:szCs w:val="20"/>
        </w:rPr>
        <w:t>a trade secret, we would have no right to prevent such competitor from using that technology or information to compete with us, which could harm our competitive position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Despite our efforts to protect our trade secrets and proprietary technologies, third</w:t>
      </w:r>
      <w:r>
        <w:rPr>
          <w:sz w:val="20"/>
          <w:szCs w:val="20"/>
        </w:rPr>
        <w:t xml:space="preserve"> parties may gain access to our proprietary information. They may also develop and market solutions similar to ours or use trademarks similar to ours, each of which could materially harm our business. Unauthorized parties may also attempt to copy or obtain</w:t>
      </w:r>
      <w:r>
        <w:rPr>
          <w:sz w:val="20"/>
          <w:szCs w:val="20"/>
        </w:rPr>
        <w:t xml:space="preserve"> and use our technology to develop applications with the same functionality as our solutions, and policing unauthorized use of our technology and intellectual property rights is difficult and may not be effective. The failure to adequately protect our inte</w:t>
      </w:r>
      <w:r>
        <w:rPr>
          <w:sz w:val="20"/>
          <w:szCs w:val="20"/>
        </w:rPr>
        <w:t>llectual property and other proprietary rights could have a material adverse effect on our business, financial condition and results of operations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4</w:t>
      </w:r>
      <w:r>
        <w:rPr>
          <w:sz w:val="20"/>
          <w:szCs w:val="20"/>
        </w:rPr>
        <w:t>5</w:t>
      </w:r>
    </w:p>
    <w:p w:rsidR="00000000" w:rsidRDefault="00AF2D19">
      <w:pPr>
        <w:rPr>
          <w:rFonts w:eastAsia="Times New Roman"/>
        </w:rPr>
      </w:pPr>
      <w:r>
        <w:rPr>
          <w:rFonts w:eastAsia="Times New Roman"/>
        </w:rPr>
        <w:pict>
          <v:rect id="_x0000_i107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 xml:space="preserve">In addition, we use open-source software in connection with our proprietary software and expect to continue to use open-source software in the future. Some open-source licenses require licensors to provide source code to licensees upon request or prohibit </w:t>
      </w:r>
      <w:r>
        <w:rPr>
          <w:sz w:val="20"/>
          <w:szCs w:val="20"/>
        </w:rPr>
        <w:t>licensors from charging a fee to licensees. While we try to insulate our proprietary code from the effects of such open-source license provisions, we cannot guarantee we will be successful. Accordingly, we may face claims from others claiming ownership of,</w:t>
      </w:r>
      <w:r>
        <w:rPr>
          <w:sz w:val="20"/>
          <w:szCs w:val="20"/>
        </w:rPr>
        <w:t xml:space="preserve"> or seeking to enforce the license terms applicable to such open-source software, including by demanding release of the open-source software, derivative works or our proprietary source code that was developed or distributed with such software. These claims</w:t>
      </w:r>
      <w:r>
        <w:rPr>
          <w:sz w:val="20"/>
          <w:szCs w:val="20"/>
        </w:rPr>
        <w:t xml:space="preserve"> could also result in litigation, require us to purchase a costly license or require us to devote additional research and development resources to change our software, any of which would have a negative effect on our business and results of operations. In </w:t>
      </w:r>
      <w:r>
        <w:rPr>
          <w:sz w:val="20"/>
          <w:szCs w:val="20"/>
        </w:rPr>
        <w:t>addition, if the license terms for the open-source code change, we may be forced to re-engineer our software or incur additional costs. We cannot assure you that we have not incorporated open-source software into our proprietary software in a manner that m</w:t>
      </w:r>
      <w:r>
        <w:rPr>
          <w:sz w:val="20"/>
          <w:szCs w:val="20"/>
        </w:rPr>
        <w:t xml:space="preserve">ay subject our proprietary software to an open-source license that requires disclosure, to clients or members or the public, of the source code to such proprietary software. Any such disclosure would have a negative effect on our business and the value of </w:t>
      </w:r>
      <w:r>
        <w:rPr>
          <w:sz w:val="20"/>
          <w:szCs w:val="20"/>
        </w:rPr>
        <w:t>our proprietary software</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Third parties may challenge the validity of our trademarks and patents or oppose trademark and patent applications. We may not be able to obtain and enforce additional patents to protect our proprietary rights from use by potenti</w:t>
      </w:r>
      <w:r>
        <w:rPr>
          <w:b/>
          <w:bCs/>
          <w:i/>
          <w:iCs/>
          <w:sz w:val="20"/>
          <w:szCs w:val="20"/>
        </w:rPr>
        <w:t>al competitors. Companies with other patents could require us to stop using or pay to use required technology</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commercial success depends in large part on our ability to obtain and maintain intellectual property protection through trademarks, patents,</w:t>
      </w:r>
      <w:r>
        <w:rPr>
          <w:sz w:val="20"/>
          <w:szCs w:val="20"/>
        </w:rPr>
        <w:t xml:space="preserve"> trade secrets and contracts in the United States and other countries with respect to our software and technology. If we do not adequately protect our intellectual property rights, competitors may be able to erode, negate or preempt any competitive advanta</w:t>
      </w:r>
      <w:r>
        <w:rPr>
          <w:sz w:val="20"/>
          <w:szCs w:val="20"/>
        </w:rPr>
        <w:t>ge we may have, which could harm our business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rely on our trademarks, trade name and brand names to distinguish our products and services from the products and services of our competitors, and we have registered or applied to register many of these tr</w:t>
      </w:r>
      <w:r>
        <w:rPr>
          <w:sz w:val="20"/>
          <w:szCs w:val="20"/>
        </w:rPr>
        <w:t>ademarks. We cannot assure you that any future trademark applications will be approved. Third parties may also oppose our future trademark applications, or otherwise challenge our use of our trademarks. In the event that our trademarks are successfully cha</w:t>
      </w:r>
      <w:r>
        <w:rPr>
          <w:sz w:val="20"/>
          <w:szCs w:val="20"/>
        </w:rPr>
        <w:t>llenged, we could be forced to rebrand products or services, which could result in time and expense to re-program our software and websites, loss of brand recognition, and could require us to devote resources to advertising and marketing new brands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ha</w:t>
      </w:r>
      <w:r>
        <w:rPr>
          <w:sz w:val="20"/>
          <w:szCs w:val="20"/>
        </w:rPr>
        <w:t xml:space="preserve">ve applied for, and intend to continue to apply for, patents relating to our software and technology. Such applications may not result in the issuance of any patents, and any patents that may be issued may not provide adequate protection from competition. </w:t>
      </w:r>
      <w:r>
        <w:rPr>
          <w:sz w:val="20"/>
          <w:szCs w:val="20"/>
        </w:rPr>
        <w:t>Furthermore, because the issuance of a patent is not conclusive as to its inventorship, scope, validity or enforceability, it is possible that patents issued to us may be challenged successfully and found to be invalid or unenforceable in the future. In th</w:t>
      </w:r>
      <w:r>
        <w:rPr>
          <w:sz w:val="20"/>
          <w:szCs w:val="20"/>
        </w:rPr>
        <w:t>at event, any competitive advantage that such patents might provide would be lost. If we are unable to secure or maintain patent coverage, our technology could become subject to competition from the sale of similar competing products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Competitors may also</w:t>
      </w:r>
      <w:r>
        <w:rPr>
          <w:sz w:val="20"/>
          <w:szCs w:val="20"/>
        </w:rPr>
        <w:t xml:space="preserve"> be able to design around our now held or later issued patents. Changes in either the patent laws or interpretation of the patent laws in the United States and other countries may diminish the value of such patents or narrow the scope of our patent protect</w:t>
      </w:r>
      <w:r>
        <w:rPr>
          <w:sz w:val="20"/>
          <w:szCs w:val="20"/>
        </w:rPr>
        <w:t>ion. If these developments were to occur, we could face increased competition. In addition, filing, prosecuting, maintaining, defending and enforcing patents on our software and technology in all countries throughout the world would be prohibitively expens</w:t>
      </w:r>
      <w:r>
        <w:rPr>
          <w:sz w:val="20"/>
          <w:szCs w:val="20"/>
        </w:rPr>
        <w:t>ive, and our intellectual property rights in some countries outside the United States can be less extensive than those in the United States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From time to time, patents issued to us relating to our software and technology may be infringed by the products o</w:t>
      </w:r>
      <w:r>
        <w:rPr>
          <w:sz w:val="20"/>
          <w:szCs w:val="20"/>
        </w:rPr>
        <w:t>r processes of others. The cost of enforcing patent rights against infringers, if such enforcement is required, could be significant and the time demands could interfere with our normal operations. Efforts to defend our intellectual property rights could i</w:t>
      </w:r>
      <w:r>
        <w:rPr>
          <w:sz w:val="20"/>
          <w:szCs w:val="20"/>
        </w:rPr>
        <w:t xml:space="preserve">ncur significant costs and may or may not be resolved in our favor. If we fail to successfully enforce our intellectual property rights, our competitive position could suffer, which could harm our operating results. Regardless of the outcome, the cost and </w:t>
      </w:r>
      <w:r>
        <w:rPr>
          <w:sz w:val="20"/>
          <w:szCs w:val="20"/>
        </w:rPr>
        <w:t>distraction associated with any such enforcement efforts could harm our business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could incur substantial costs as a result of any claim of infringement of another party’s intellectual property rights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We could become a party to intellectual property </w:t>
      </w:r>
      <w:r>
        <w:rPr>
          <w:sz w:val="20"/>
          <w:szCs w:val="20"/>
        </w:rPr>
        <w:t>litigation and other infringement proceedings. The cost to us of any intellectual property litigation or other infringement or misappropriation proceeding, even if resolved in our favor, could be substantial. Some of our would-be competitors may sustain th</w:t>
      </w:r>
      <w:r>
        <w:rPr>
          <w:sz w:val="20"/>
          <w:szCs w:val="20"/>
        </w:rPr>
        <w:t>e costs of such litigation more effectively than we can because of their greater financial resources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4</w:t>
      </w:r>
      <w:r>
        <w:rPr>
          <w:sz w:val="20"/>
          <w:szCs w:val="20"/>
        </w:rPr>
        <w:t>6</w:t>
      </w:r>
    </w:p>
    <w:p w:rsidR="00000000" w:rsidRDefault="00AF2D19">
      <w:pPr>
        <w:rPr>
          <w:rFonts w:eastAsia="Times New Roman"/>
        </w:rPr>
      </w:pPr>
      <w:r>
        <w:rPr>
          <w:rFonts w:eastAsia="Times New Roman"/>
        </w:rPr>
        <w:pict>
          <v:rect id="_x0000_i1073"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In recent years, there has been significant litigation in the Uni</w:t>
      </w:r>
      <w:r>
        <w:rPr>
          <w:sz w:val="20"/>
          <w:szCs w:val="20"/>
        </w:rPr>
        <w:t>ted States involving patents and other intellectual property rights. Companies in the Internet and technology industries are increasingly bringing and becoming subject to suits alleging infringement of proprietary rights, particularly patent rights, and ou</w:t>
      </w:r>
      <w:r>
        <w:rPr>
          <w:sz w:val="20"/>
          <w:szCs w:val="20"/>
        </w:rPr>
        <w:t>r competitors and other third parties may hold patents or have pending patent applications, which could be related to our business. These risks have been amplified by the increase in third parties, which we refer to as non-practicing entities, whose sole o</w:t>
      </w:r>
      <w:r>
        <w:rPr>
          <w:sz w:val="20"/>
          <w:szCs w:val="20"/>
        </w:rPr>
        <w:t>r primary business is to assert such claims. Regardless of the merits of any intellectual property litigation, we may be required to expend significant management time and financial resources on the defense of such claims, and any adverse outcome of any su</w:t>
      </w:r>
      <w:r>
        <w:rPr>
          <w:sz w:val="20"/>
          <w:szCs w:val="20"/>
        </w:rPr>
        <w:t>ch claim or the above referenced review could have a material adverse effect on our business, financial condition or results of operations. We expect that we may receive in the future notices that claim we or our clients using our solution have misappropri</w:t>
      </w:r>
      <w:r>
        <w:rPr>
          <w:sz w:val="20"/>
          <w:szCs w:val="20"/>
        </w:rPr>
        <w:t>ated, misused or otherwise infringed other parties’ intellectual property rights, particularly as the number of competitors in our market grows and the functionality of applications amongst competitors overlaps. Our existing, or any future, litigation, whe</w:t>
      </w:r>
      <w:r>
        <w:rPr>
          <w:sz w:val="20"/>
          <w:szCs w:val="20"/>
        </w:rPr>
        <w:t>ther or not successful, could be extremely costly to defend, divert our management’s time, attention and resources, damage our reputation and brand and substantially harm our business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We employ individuals who were previously employed at other companies </w:t>
      </w:r>
      <w:r>
        <w:rPr>
          <w:sz w:val="20"/>
          <w:szCs w:val="20"/>
        </w:rPr>
        <w:t>in our field, including our competitors or potential competitors. Although we try to ensure that our employees and consultants do not use the proprietary information or know-how of others in their work for us, we may be subject to claims that we or our emp</w:t>
      </w:r>
      <w:r>
        <w:rPr>
          <w:sz w:val="20"/>
          <w:szCs w:val="20"/>
        </w:rPr>
        <w:t>loyees, consultants or independent contractors have inadvertently or otherwise used or disclosed intellectual property, including trade secrets or other proprietary information, of a former employer or other third parties. Litigation may be necessary to de</w:t>
      </w:r>
      <w:r>
        <w:rPr>
          <w:sz w:val="20"/>
          <w:szCs w:val="20"/>
        </w:rPr>
        <w:t>fend against these claims. If we fail in defending any such claims, in addition to paying monetary damages, we may lose valuable intellectual property rights or personnel. Additionally, in connection with such litigation, our use of such intellectual prope</w:t>
      </w:r>
      <w:r>
        <w:rPr>
          <w:sz w:val="20"/>
          <w:szCs w:val="20"/>
        </w:rPr>
        <w:t>rty could be temporarily or permanently enjoined forcing us to stop using such intellectual property altogether. Even if we are successful in defending against such claims, litigation could result in substantial costs and be a distraction to management and</w:t>
      </w:r>
      <w:r>
        <w:rPr>
          <w:sz w:val="20"/>
          <w:szCs w:val="20"/>
        </w:rPr>
        <w:t xml:space="preserve"> other employees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in most instances, we have agreed to indemnify our clients against certain third-party claims, which may include claims that our solution infringes the intellectual property rights of such third parties. Our business could b</w:t>
      </w:r>
      <w:r>
        <w:rPr>
          <w:sz w:val="20"/>
          <w:szCs w:val="20"/>
        </w:rPr>
        <w:t>e adversely affected by any significant disputes between us and our clients as to the applicability or scope of our indemnification obligations to them. The results of any intellectual property litigation to which we may become a party, or for which we are</w:t>
      </w:r>
      <w:r>
        <w:rPr>
          <w:sz w:val="20"/>
          <w:szCs w:val="20"/>
        </w:rPr>
        <w:t xml:space="preserve"> required to provide indemnification, may require us to do one or more of the following</w:t>
      </w:r>
      <w:r>
        <w:rPr>
          <w:sz w:val="20"/>
          <w:szCs w:val="20"/>
        </w:rPr>
        <w:t>:</w:t>
      </w:r>
      <w:r>
        <w:rPr>
          <w:sz w:val="20"/>
          <w:szCs w:val="20"/>
        </w:rPr>
        <w:t xml:space="preserve"> </w:t>
      </w:r>
    </w:p>
    <w:p w:rsidR="00000000" w:rsidRDefault="00AF2D19">
      <w:pPr>
        <w:spacing w:before="120"/>
        <w:ind w:left="3"/>
        <w:jc w:val="both"/>
        <w:divId w:val="1989820608"/>
        <w:rPr>
          <w:rFonts w:eastAsia="Times New Roman"/>
        </w:rPr>
      </w:pPr>
      <w:r>
        <w:rPr>
          <w:rFonts w:eastAsia="Times New Roman"/>
          <w:sz w:val="20"/>
          <w:szCs w:val="20"/>
        </w:rPr>
        <w:t>●</w:t>
      </w:r>
    </w:p>
    <w:p w:rsidR="00000000" w:rsidRDefault="00AF2D19">
      <w:pPr>
        <w:jc w:val="both"/>
        <w:divId w:val="412943477"/>
        <w:rPr>
          <w:rFonts w:eastAsia="Times New Roman"/>
        </w:rPr>
      </w:pPr>
      <w:r>
        <w:rPr>
          <w:rFonts w:eastAsia="Times New Roman"/>
          <w:sz w:val="20"/>
          <w:szCs w:val="20"/>
        </w:rPr>
        <w:t>cease offering or using technologies that incorporate the challenged intellectual property;</w:t>
      </w:r>
      <w:r>
        <w:rPr>
          <w:rFonts w:eastAsia="Times New Roman"/>
          <w:sz w:val="20"/>
          <w:szCs w:val="20"/>
        </w:rPr>
        <w:t xml:space="preserve"> </w:t>
      </w:r>
    </w:p>
    <w:p w:rsidR="00000000" w:rsidRDefault="00AF2D19">
      <w:pPr>
        <w:spacing w:before="120"/>
        <w:ind w:left="3"/>
        <w:jc w:val="both"/>
        <w:divId w:val="140973345"/>
        <w:rPr>
          <w:rFonts w:eastAsia="Times New Roman"/>
        </w:rPr>
      </w:pPr>
      <w:r>
        <w:rPr>
          <w:rFonts w:eastAsia="Times New Roman"/>
          <w:sz w:val="20"/>
          <w:szCs w:val="20"/>
        </w:rPr>
        <w:t>●</w:t>
      </w:r>
    </w:p>
    <w:p w:rsidR="00000000" w:rsidRDefault="00AF2D19">
      <w:pPr>
        <w:jc w:val="both"/>
        <w:divId w:val="570193745"/>
        <w:rPr>
          <w:rFonts w:eastAsia="Times New Roman"/>
        </w:rPr>
      </w:pPr>
      <w:r>
        <w:rPr>
          <w:rFonts w:eastAsia="Times New Roman"/>
          <w:sz w:val="20"/>
          <w:szCs w:val="20"/>
        </w:rPr>
        <w:t>make substantial payments for legal fees, settlement payments or othe</w:t>
      </w:r>
      <w:r>
        <w:rPr>
          <w:rFonts w:eastAsia="Times New Roman"/>
          <w:sz w:val="20"/>
          <w:szCs w:val="20"/>
        </w:rPr>
        <w:t>r costs or damages;</w:t>
      </w:r>
      <w:r>
        <w:rPr>
          <w:rFonts w:eastAsia="Times New Roman"/>
          <w:sz w:val="20"/>
          <w:szCs w:val="20"/>
        </w:rPr>
        <w:t xml:space="preserve"> </w:t>
      </w:r>
    </w:p>
    <w:p w:rsidR="00000000" w:rsidRDefault="00AF2D19">
      <w:pPr>
        <w:spacing w:before="120"/>
        <w:ind w:left="3"/>
        <w:jc w:val="both"/>
        <w:divId w:val="249853697"/>
        <w:rPr>
          <w:rFonts w:eastAsia="Times New Roman"/>
        </w:rPr>
      </w:pPr>
      <w:r>
        <w:rPr>
          <w:rFonts w:eastAsia="Times New Roman"/>
          <w:sz w:val="20"/>
          <w:szCs w:val="20"/>
        </w:rPr>
        <w:t>●</w:t>
      </w:r>
    </w:p>
    <w:p w:rsidR="00000000" w:rsidRDefault="00AF2D19">
      <w:pPr>
        <w:jc w:val="both"/>
        <w:divId w:val="628048207"/>
        <w:rPr>
          <w:rFonts w:eastAsia="Times New Roman"/>
        </w:rPr>
      </w:pPr>
      <w:r>
        <w:rPr>
          <w:rFonts w:eastAsia="Times New Roman"/>
          <w:sz w:val="20"/>
          <w:szCs w:val="20"/>
        </w:rPr>
        <w:t>obtain a license, which may not be available on reasonable terms, to sell or use the relevant technology; or</w:t>
      </w:r>
      <w:r>
        <w:rPr>
          <w:rFonts w:eastAsia="Times New Roman"/>
          <w:sz w:val="20"/>
          <w:szCs w:val="20"/>
        </w:rPr>
        <w:t xml:space="preserve"> </w:t>
      </w:r>
    </w:p>
    <w:p w:rsidR="00000000" w:rsidRDefault="00AF2D19">
      <w:pPr>
        <w:spacing w:before="120"/>
        <w:ind w:left="3"/>
        <w:jc w:val="both"/>
        <w:divId w:val="128673045"/>
        <w:rPr>
          <w:rFonts w:eastAsia="Times New Roman"/>
        </w:rPr>
      </w:pPr>
      <w:r>
        <w:rPr>
          <w:rFonts w:eastAsia="Times New Roman"/>
          <w:sz w:val="20"/>
          <w:szCs w:val="20"/>
        </w:rPr>
        <w:t>●</w:t>
      </w:r>
    </w:p>
    <w:p w:rsidR="00000000" w:rsidRDefault="00AF2D19">
      <w:pPr>
        <w:jc w:val="both"/>
        <w:divId w:val="507210960"/>
        <w:rPr>
          <w:rFonts w:eastAsia="Times New Roman"/>
        </w:rPr>
      </w:pPr>
      <w:r>
        <w:rPr>
          <w:rFonts w:eastAsia="Times New Roman"/>
          <w:sz w:val="20"/>
          <w:szCs w:val="20"/>
        </w:rPr>
        <w:t>redesign technology to avoid infringement.</w:t>
      </w:r>
      <w:r>
        <w:rPr>
          <w:rFonts w:eastAsia="Times New Roman"/>
          <w:sz w:val="20"/>
          <w:szCs w:val="20"/>
        </w:rPr>
        <w:t xml:space="preserve"> </w:t>
      </w:r>
    </w:p>
    <w:p w:rsidR="00000000" w:rsidRDefault="00AF2D19">
      <w:pPr>
        <w:pStyle w:val="a3"/>
        <w:spacing w:before="120" w:beforeAutospacing="0" w:after="0" w:afterAutospacing="0"/>
        <w:jc w:val="both"/>
        <w:rPr>
          <w:sz w:val="20"/>
          <w:szCs w:val="20"/>
        </w:rPr>
      </w:pPr>
      <w:r>
        <w:rPr>
          <w:sz w:val="20"/>
          <w:szCs w:val="20"/>
        </w:rPr>
        <w:t>If we are required to make substantial payments or undertake any of the other actions noted above as a result of any intellectual property infringement claims against us or any obligation to indemnify our clients for such claims, such payments or costs cou</w:t>
      </w:r>
      <w:r>
        <w:rPr>
          <w:sz w:val="20"/>
          <w:szCs w:val="20"/>
        </w:rPr>
        <w:t>ld have a material adverse effect on our business, financial condition and results of operations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Our proprietary software may not operate properly, which could damage our reputation, give rise to claims against us or divert application of our resources f</w:t>
      </w:r>
      <w:r>
        <w:rPr>
          <w:b/>
          <w:bCs/>
          <w:i/>
          <w:iCs/>
          <w:sz w:val="20"/>
          <w:szCs w:val="20"/>
        </w:rPr>
        <w:t>rom other purposes, any of which could harm our business, financial condition and results of operations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Proprietary software development is time-consuming, expensive and complex, and may involve unforeseen difficulties. We encounter technical obstacles f</w:t>
      </w:r>
      <w:r>
        <w:rPr>
          <w:sz w:val="20"/>
          <w:szCs w:val="20"/>
        </w:rPr>
        <w:t>rom time to time, and it is possible that we may discover additional problems that prevent our proprietary applications from operating properly. If our solution does not function reliably or fails to achieve client expectations in terms of performance, cli</w:t>
      </w:r>
      <w:r>
        <w:rPr>
          <w:sz w:val="20"/>
          <w:szCs w:val="20"/>
        </w:rPr>
        <w:t>ents could assert liability claims against us or attempt to cancel their contracts with us. This could damage our reputation and impair our ability to attract or maintain clients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Moreover, data services are complex and those we offer have in the past con</w:t>
      </w:r>
      <w:r>
        <w:rPr>
          <w:sz w:val="20"/>
          <w:szCs w:val="20"/>
        </w:rPr>
        <w:t>tained, and may in the future develop or contain, undetected defects or errors. Material performance problems, defects or errors in our existing or new software-based products and services may arise in the future and may result from interface of our soluti</w:t>
      </w:r>
      <w:r>
        <w:rPr>
          <w:sz w:val="20"/>
          <w:szCs w:val="20"/>
        </w:rPr>
        <w:t>on with systems and data that we did not develop and the function of which is outside of our control or undetected in our testing. These defects and errors, and any failure by us to identify and address them, could result in loss of revenue or market share</w:t>
      </w:r>
      <w:r>
        <w:rPr>
          <w:sz w:val="20"/>
          <w:szCs w:val="20"/>
        </w:rPr>
        <w:t>, diversion of development resources, harm to our reputation and increased service and maintenance costs. Defects or errors may discourage existing or potential clients from purchasing our solution from us. Correction of defects or errors could prove to be</w:t>
      </w:r>
      <w:r>
        <w:rPr>
          <w:sz w:val="20"/>
          <w:szCs w:val="20"/>
        </w:rPr>
        <w:t xml:space="preserve"> impossible or impracticable. The costs incurred in correcting any defects or errors may be substantial and could have a material adverse effect on our business, financial condition and results of operations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4</w:t>
      </w:r>
      <w:r>
        <w:rPr>
          <w:sz w:val="20"/>
          <w:szCs w:val="20"/>
        </w:rPr>
        <w:t>7</w:t>
      </w:r>
    </w:p>
    <w:p w:rsidR="00000000" w:rsidRDefault="00AF2D19">
      <w:pPr>
        <w:rPr>
          <w:rFonts w:eastAsia="Times New Roman"/>
        </w:rPr>
      </w:pPr>
      <w:r>
        <w:rPr>
          <w:rFonts w:eastAsia="Times New Roman"/>
        </w:rPr>
        <w:pict>
          <v:rect id="_x0000_i1074"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i/>
          <w:iCs/>
          <w:sz w:val="20"/>
          <w:szCs w:val="20"/>
        </w:rPr>
        <w:t>If we cannot resolve any technical issues in a timely manner, we may lose clients and our reputation may be harmed</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clients depend on our support services to resolve any technical issues relating to our solut</w:t>
      </w:r>
      <w:r>
        <w:rPr>
          <w:sz w:val="20"/>
          <w:szCs w:val="20"/>
        </w:rPr>
        <w:t>ion and services, and we may be unable to respond quickly enough to accommodate short-term increases in member demand for support services, particularly as we increase the size of our client, member and patient bases. We also may be unable to modify the fo</w:t>
      </w:r>
      <w:r>
        <w:rPr>
          <w:sz w:val="20"/>
          <w:szCs w:val="20"/>
        </w:rPr>
        <w:t>rmat of our support services to compete with changes in support services provided by competitors. It is difficult to predict member demand for technical support services, and if member demand increases significantly, we may be unable to provide satisfactor</w:t>
      </w:r>
      <w:r>
        <w:rPr>
          <w:sz w:val="20"/>
          <w:szCs w:val="20"/>
        </w:rPr>
        <w:t>y support services to our clients. Further, if we are unable to address clients’ needs in a timely fashion or further develop and enhance our solution, or if a client or member is not satisfied with the quality of work performed by us or with the technical</w:t>
      </w:r>
      <w:r>
        <w:rPr>
          <w:sz w:val="20"/>
          <w:szCs w:val="20"/>
        </w:rPr>
        <w:t xml:space="preserve"> support services rendered, then we could incur additional costs to address the situation or be required to issue credits or refunds for amounts related to unused services, and our profitability may be impaired and clients’ dissatisfaction with our solutio</w:t>
      </w:r>
      <w:r>
        <w:rPr>
          <w:sz w:val="20"/>
          <w:szCs w:val="20"/>
        </w:rPr>
        <w:t>n could damage our ability to expand the number of software-based products and services purchased by such clients. These clients may not renew their contracts, seek to terminate their relationship with us or renew on less favorable terms. Moreover, negativ</w:t>
      </w:r>
      <w:r>
        <w:rPr>
          <w:sz w:val="20"/>
          <w:szCs w:val="20"/>
        </w:rPr>
        <w:t>e publicity related to our client relationships, regardless of its accuracy, may further damage our business by affecting our reputation or ability to compete for new business with current and prospective clients. If any of these were to occur, our revenue</w:t>
      </w:r>
      <w:r>
        <w:rPr>
          <w:sz w:val="20"/>
          <w:szCs w:val="20"/>
        </w:rPr>
        <w:t xml:space="preserve"> may decline and our business, financial condition and results of operations could be adversely affected</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may enter into collaborations, in-licensing arrangements, joint ventures, strategic alliances or partnerships with third-parties that may not resu</w:t>
      </w:r>
      <w:r>
        <w:rPr>
          <w:b/>
          <w:bCs/>
          <w:i/>
          <w:iCs/>
          <w:sz w:val="20"/>
          <w:szCs w:val="20"/>
        </w:rPr>
        <w:t>lt in the development of commercially viable solutions or the generation of significant future revenues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the ordinary course of our business, we may enter into collaborations, in-licensing arrangements, joint ventures, strategic alliances, partnerships</w:t>
      </w:r>
      <w:r>
        <w:rPr>
          <w:sz w:val="20"/>
          <w:szCs w:val="20"/>
        </w:rPr>
        <w:t xml:space="preserve"> or other arrangements to develop products and to pursue new markets. Proposing, negotiating and implementing collaborations, in-licensing arrangements, joint ventures, strategic alliances or partnerships may be a lengthy and complex process. Other compani</w:t>
      </w:r>
      <w:r>
        <w:rPr>
          <w:sz w:val="20"/>
          <w:szCs w:val="20"/>
        </w:rPr>
        <w:t xml:space="preserve">es, including those with substantially greater financial, marketing, sales, technology or other business resources, may compete with us for these opportunities or arrangements. We may not identify, secure, or complete any such transactions or arrangements </w:t>
      </w:r>
      <w:r>
        <w:rPr>
          <w:sz w:val="20"/>
          <w:szCs w:val="20"/>
        </w:rPr>
        <w:t>in a timely manner, on a cost-effective basis, on acceptable terms or at all. We have limited institutional knowledge and experience with respect to these business development activities, and we may also not realize the anticipated benefits of any such tra</w:t>
      </w:r>
      <w:r>
        <w:rPr>
          <w:sz w:val="20"/>
          <w:szCs w:val="20"/>
        </w:rPr>
        <w:t>nsaction or arrangement</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particular, these collaborations may not result in the development of products that achieve commercial success or result in significant revenues and could be terminated prior to developing any products. Additionally, we may not</w:t>
      </w:r>
      <w:r>
        <w:rPr>
          <w:sz w:val="20"/>
          <w:szCs w:val="20"/>
        </w:rPr>
        <w:t xml:space="preserve"> own, or may jointly own with a third party, the intellectual property rights in products and other works developed under our collaborations, joint ventures, strategic alliances or partnerships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Additionally, we may not be in a position to exercise sole d</w:t>
      </w:r>
      <w:r>
        <w:rPr>
          <w:sz w:val="20"/>
          <w:szCs w:val="20"/>
        </w:rPr>
        <w:t>ecision making authority regarding the transaction or arrangement, which could create the potential risk of creating impasses on decisions, and our future collaborators may have economic or business interests or goals that are, or that may become, inconsis</w:t>
      </w:r>
      <w:r>
        <w:rPr>
          <w:sz w:val="20"/>
          <w:szCs w:val="20"/>
        </w:rPr>
        <w:t>tent with our business interests or goals. It is possible that conflicts may arise with our collaborators, such as conflicts concerning the achievement of performance milestones, or the interpretation of significant terms under any agreement, such as those</w:t>
      </w:r>
      <w:r>
        <w:rPr>
          <w:sz w:val="20"/>
          <w:szCs w:val="20"/>
        </w:rPr>
        <w:t xml:space="preserve"> related to financial obligations or the ownership or control of intellectual property developed during the collaboration. If any conflicts arise with any future collaborators, they may act in their self-interest, which may be adverse to our best interest,</w:t>
      </w:r>
      <w:r>
        <w:rPr>
          <w:sz w:val="20"/>
          <w:szCs w:val="20"/>
        </w:rPr>
        <w:t xml:space="preserve"> and they may breach their obligations to us. In addition, we may have limited control over the amount and timing of resources that any future collaborators devote to our or their future products. Disputes between us and our collaborators may result in lit</w:t>
      </w:r>
      <w:r>
        <w:rPr>
          <w:sz w:val="20"/>
          <w:szCs w:val="20"/>
        </w:rPr>
        <w:t>igation or arbitration which would increase our expenses and divert the attention of our management. Further, these transactions and arrangements will be contractual in nature and will generally be terminable under the terms of the applicable agreements an</w:t>
      </w:r>
      <w:r>
        <w:rPr>
          <w:sz w:val="20"/>
          <w:szCs w:val="20"/>
        </w:rPr>
        <w:t>d, in such event, we may not continue to have rights to the products relating to such transaction or arrangement or may need to purchase such rights at a premium</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sz w:val="20"/>
          <w:szCs w:val="20"/>
        </w:rPr>
        <w:t>RISKS RELATED TO OWNERSHIP OF OUR COMMON STOCK, OUR WARRANTS AND OPERATING AS A PUBLIC COMPA</w:t>
      </w:r>
      <w:r>
        <w:rPr>
          <w:b/>
          <w:bCs/>
          <w:sz w:val="20"/>
          <w:szCs w:val="20"/>
        </w:rPr>
        <w:t>N</w:t>
      </w:r>
      <w:r>
        <w:rPr>
          <w:b/>
          <w:bCs/>
          <w:sz w:val="20"/>
          <w:szCs w:val="20"/>
        </w:rPr>
        <w:t>Y</w:t>
      </w:r>
      <w:r>
        <w:rPr>
          <w:b/>
          <w:bCs/>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will incur significantly increased costs and devote substantial management time as a result of operating as a public company</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As a public company, we incur significant legal, accounting and other expenses that we did not incur as a private company.</w:t>
      </w:r>
      <w:r>
        <w:rPr>
          <w:sz w:val="20"/>
          <w:szCs w:val="20"/>
        </w:rPr>
        <w:t xml:space="preserve"> For example, we are subject to the reporting requirements of the Securities Exchange Act of 1934, as amended (the “Exchange Act”), and are required to comply with the applicable requirements of the Sarbanes-Oxley Act and the Dodd-Frank Wall Street Reform </w:t>
      </w:r>
      <w:r>
        <w:rPr>
          <w:sz w:val="20"/>
          <w:szCs w:val="20"/>
        </w:rPr>
        <w:t>and Consumer Protection Act, as well as rules and regulations of the SEC and Nasdaq, including the establishment an</w:t>
      </w:r>
      <w:r>
        <w:rPr>
          <w:sz w:val="20"/>
          <w:szCs w:val="20"/>
        </w:rPr>
        <w:t>d</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4</w:t>
      </w:r>
      <w:r>
        <w:rPr>
          <w:sz w:val="20"/>
          <w:szCs w:val="20"/>
        </w:rPr>
        <w:t>8</w:t>
      </w:r>
    </w:p>
    <w:p w:rsidR="00000000" w:rsidRDefault="00AF2D19">
      <w:pPr>
        <w:rPr>
          <w:rFonts w:eastAsia="Times New Roman"/>
        </w:rPr>
      </w:pPr>
      <w:r>
        <w:rPr>
          <w:rFonts w:eastAsia="Times New Roman"/>
        </w:rPr>
        <w:pict>
          <v:rect id="_x0000_i107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maintenance of effective disclosure and financial</w:t>
      </w:r>
      <w:r>
        <w:rPr>
          <w:sz w:val="20"/>
          <w:szCs w:val="20"/>
        </w:rPr>
        <w:t xml:space="preserve"> controls, changes in corporate governance practices and required filing of annual, quarterly and current reports with respect to our business and results of operations. Any failure to develop or maintain effective controls or any difficulties encountered </w:t>
      </w:r>
      <w:r>
        <w:rPr>
          <w:sz w:val="20"/>
          <w:szCs w:val="20"/>
        </w:rPr>
        <w:t>in their implementation or improvement could harm our results of operations or cause us to fail to meet our reporting obligations. Compliance with these requirements has increased our legal and financial compliance costs and made some activities more time-</w:t>
      </w:r>
      <w:r>
        <w:rPr>
          <w:sz w:val="20"/>
          <w:szCs w:val="20"/>
        </w:rPr>
        <w:t>consuming and costly. In addition, our management and other personnel are required to divert attention from operational and other business matters to devote substantial time to these public company requirements. In particular, we have incurred and expect t</w:t>
      </w:r>
      <w:r>
        <w:rPr>
          <w:sz w:val="20"/>
          <w:szCs w:val="20"/>
        </w:rPr>
        <w:t>o continue to incur significant expenses and devote substantial management effort toward ensuring compliance with the requirements of Section 404 of the Sarbanes-Oxley Ac</w:t>
      </w:r>
      <w:r>
        <w:rPr>
          <w:sz w:val="20"/>
          <w:szCs w:val="20"/>
        </w:rPr>
        <w:t>t</w:t>
      </w:r>
      <w:r>
        <w:rPr>
          <w:sz w:val="20"/>
          <w:szCs w:val="20"/>
        </w:rPr>
        <w:t>. We are continuing to hire additional accounting and financial staff with appropriat</w:t>
      </w:r>
      <w:r>
        <w:rPr>
          <w:sz w:val="20"/>
          <w:szCs w:val="20"/>
        </w:rPr>
        <w:t>e public company experience and technical accounting knowledge and may need to establish an internal audit function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Additionally, in the fourth quarter of 2021, Talkspace reviewed and revised its director and officer liability insurance coverage. As a re</w:t>
      </w:r>
      <w:r>
        <w:rPr>
          <w:sz w:val="20"/>
          <w:szCs w:val="20"/>
        </w:rPr>
        <w:t>sult, the board approved two additional layers of coverage on its “Side A” insurance which covers the personal assets of the Company’s directors and officers. This would allow coverage for individual liability protection of up to $30.0 million (after a $15</w:t>
      </w:r>
      <w:r>
        <w:rPr>
          <w:sz w:val="20"/>
          <w:szCs w:val="20"/>
        </w:rPr>
        <w:t>.0 million deductible). Talkspace also retains $5.0 million in additional coverage for general securities liability. The Company will revise and renew its directors and officer coverage in June 2022</w:t>
      </w:r>
      <w:r>
        <w:rPr>
          <w:sz w:val="20"/>
          <w:szCs w:val="20"/>
        </w:rPr>
        <w:t>.</w:t>
      </w:r>
    </w:p>
    <w:p w:rsidR="00000000" w:rsidRDefault="00AF2D19">
      <w:pPr>
        <w:pStyle w:val="a3"/>
        <w:spacing w:before="240" w:beforeAutospacing="0" w:after="0" w:afterAutospacing="0"/>
        <w:jc w:val="both"/>
        <w:rPr>
          <w:sz w:val="20"/>
          <w:szCs w:val="20"/>
        </w:rPr>
      </w:pPr>
      <w:r>
        <w:rPr>
          <w:b/>
          <w:bCs/>
          <w:i/>
          <w:iCs/>
          <w:sz w:val="20"/>
          <w:szCs w:val="20"/>
        </w:rPr>
        <w:t>If we fail to establish and maintain proper and effectiv</w:t>
      </w:r>
      <w:r>
        <w:rPr>
          <w:b/>
          <w:bCs/>
          <w:i/>
          <w:iCs/>
          <w:sz w:val="20"/>
          <w:szCs w:val="20"/>
        </w:rPr>
        <w:t>e internal control over financial reporting, as a public company, our ability to produce accurate and timely financial statements could be impaired, investors may lose confidence in our financial reporting and the trading price of our common stock may decl</w:t>
      </w:r>
      <w:r>
        <w:rPr>
          <w:b/>
          <w:bCs/>
          <w:i/>
          <w:iCs/>
          <w:sz w:val="20"/>
          <w:szCs w:val="20"/>
        </w:rPr>
        <w:t>ine</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Pursuant to Section 404 of the Sarbanes-Oxley Act, we are required to provide a report by management on, among other things, the effectiveness of our internal control over financial reporting for our annual reports on Form 10-K filed with the SEC. Th</w:t>
      </w:r>
      <w:r>
        <w:rPr>
          <w:sz w:val="20"/>
          <w:szCs w:val="20"/>
        </w:rPr>
        <w:t>is assessment will need to include disclosure of any material weaknesses identified by our management in our internal control over financial reporting. We are required to disclose changes made in our internal controls and procedures on a quarterly basis. I</w:t>
      </w:r>
      <w:r>
        <w:rPr>
          <w:sz w:val="20"/>
          <w:szCs w:val="20"/>
        </w:rPr>
        <w:t>n addition, our independent registered public accounting firm will be required to attest to the effectiveness of our internal control over financial reporting starting with our annual report for the year ended December 31, 2022 (second annual report) on Fo</w:t>
      </w:r>
      <w:r>
        <w:rPr>
          <w:sz w:val="20"/>
          <w:szCs w:val="20"/>
        </w:rPr>
        <w:t>rm 10-K to be filed with the SEC</w:t>
      </w:r>
      <w:r>
        <w:rPr>
          <w:sz w:val="20"/>
          <w:szCs w:val="20"/>
        </w:rPr>
        <w:t>.</w:t>
      </w:r>
    </w:p>
    <w:p w:rsidR="00000000" w:rsidRDefault="00AF2D19">
      <w:pPr>
        <w:pStyle w:val="a3"/>
        <w:spacing w:before="120" w:beforeAutospacing="0" w:after="0" w:afterAutospacing="0"/>
        <w:jc w:val="both"/>
        <w:rPr>
          <w:sz w:val="20"/>
          <w:szCs w:val="20"/>
        </w:rPr>
      </w:pPr>
      <w:r>
        <w:rPr>
          <w:sz w:val="20"/>
          <w:szCs w:val="20"/>
        </w:rPr>
        <w:t>The rules governing the standards that must be met for management to assess internal control over financial reporting are complex and require significant documentation, testing and possible remediation. To comply with the Sarbanes-Oxley Act, the requiremen</w:t>
      </w:r>
      <w:r>
        <w:rPr>
          <w:sz w:val="20"/>
          <w:szCs w:val="20"/>
        </w:rPr>
        <w:t>ts of being a reporting company under the Exchange Act and any complex accounting rules in the future, we may need to upgrade our information technology systems, implement additional financial and management controls, reporting systems and procedures and h</w:t>
      </w:r>
      <w:r>
        <w:rPr>
          <w:sz w:val="20"/>
          <w:szCs w:val="20"/>
        </w:rPr>
        <w:t>ire additional accounting and finance staff</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If we are unable to hire the additional accounting and finance staff necessary to comply with these requirements, we may need to retain additional outside consultants. If we or, if required, our independent reg</w:t>
      </w:r>
      <w:r>
        <w:rPr>
          <w:sz w:val="20"/>
          <w:szCs w:val="20"/>
        </w:rPr>
        <w:t>istered public accounting firm, are unable to conclude that our internal control over financial reporting is effective, investors may lose confidence in our financial reporting, which could negatively impact the price of our securities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management, wi</w:t>
      </w:r>
      <w:r>
        <w:rPr>
          <w:sz w:val="20"/>
          <w:szCs w:val="20"/>
        </w:rPr>
        <w:t>th the participation of our principal executive officer and principal financial officer, evaluated, as of the end of the period covered by this Form 10-K, the effectiveness of our disclosure controls and procedures (as that term is defined in Rules 13a-15(</w:t>
      </w:r>
      <w:r>
        <w:rPr>
          <w:sz w:val="20"/>
          <w:szCs w:val="20"/>
        </w:rPr>
        <w:t>e) and 15d-15(e) under the Exchange Act). Based on that evaluation, our principal executive officer and principal financial officer concluded that our disclosure controls and procedures were not effective as of December 31, 2021 due to the material weaknes</w:t>
      </w:r>
      <w:r>
        <w:rPr>
          <w:sz w:val="20"/>
          <w:szCs w:val="20"/>
        </w:rPr>
        <w:t>ses in our internal control over financial reporting</w:t>
      </w:r>
      <w:r>
        <w:rPr>
          <w:sz w:val="20"/>
          <w:szCs w:val="20"/>
        </w:rPr>
        <w:t>.</w:t>
      </w:r>
    </w:p>
    <w:p w:rsidR="00000000" w:rsidRDefault="00AF2D19">
      <w:pPr>
        <w:pStyle w:val="a3"/>
        <w:spacing w:before="120" w:beforeAutospacing="0" w:after="0" w:afterAutospacing="0"/>
        <w:jc w:val="both"/>
        <w:rPr>
          <w:sz w:val="20"/>
          <w:szCs w:val="20"/>
        </w:rPr>
      </w:pPr>
      <w:r>
        <w:rPr>
          <w:sz w:val="20"/>
          <w:szCs w:val="20"/>
        </w:rPr>
        <w:t>We have identified material weaknesses in our controls related to the following (a) the aggregation of open control deficiencies across the Company’s financial reporting processes because the controls w</w:t>
      </w:r>
      <w:r>
        <w:rPr>
          <w:sz w:val="20"/>
          <w:szCs w:val="20"/>
        </w:rPr>
        <w:t>ere not fully designed and operating effectively, (b) not fully designing, implementing and monitoring general information technology controls in the areas of user access and program change-management for systems supporting all of the Company’s internal co</w:t>
      </w:r>
      <w:r>
        <w:rPr>
          <w:sz w:val="20"/>
          <w:szCs w:val="20"/>
        </w:rPr>
        <w:t>ntrol processes and (c) our controls on accounting for complex financial instruments such as warrants, did not operate effectively to appropriately apply the provisions of ASC 815-40, resulting in the failure to prevent a material error in our accounting f</w:t>
      </w:r>
      <w:r>
        <w:rPr>
          <w:sz w:val="20"/>
          <w:szCs w:val="20"/>
        </w:rPr>
        <w:t>or warrants and the resulting restatement of our previously issued financial statements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on April 12, 2021, the Acting Director of the Division of Corporation Finance and Acting Chief Accountant of the SEC together issued a statement regardin</w:t>
      </w:r>
      <w:r>
        <w:rPr>
          <w:sz w:val="20"/>
          <w:szCs w:val="20"/>
        </w:rPr>
        <w:t>g the accounting and reporting considerations for warrants issued by special purpose acquisition companies entitled “Staff Statement on Accounting and Reporting Considerations for Warrants Issued by Special Purpose Acquisition Companies (“SPACs”) (the “SEC</w:t>
      </w:r>
      <w:r>
        <w:rPr>
          <w:sz w:val="20"/>
          <w:szCs w:val="20"/>
        </w:rPr>
        <w:t xml:space="preserve"> Statement”). Specifically, the SEC Statement focused on certain settlement terms and provisions related to certain tender offers following a business combination, which terms are similar t</w:t>
      </w:r>
      <w:r>
        <w:rPr>
          <w:sz w:val="20"/>
          <w:szCs w:val="20"/>
        </w:rPr>
        <w:t>o</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4</w:t>
      </w:r>
      <w:r>
        <w:rPr>
          <w:sz w:val="20"/>
          <w:szCs w:val="20"/>
        </w:rPr>
        <w:t>9</w:t>
      </w:r>
    </w:p>
    <w:p w:rsidR="00000000" w:rsidRDefault="00AF2D19">
      <w:pPr>
        <w:rPr>
          <w:rFonts w:eastAsia="Times New Roman"/>
        </w:rPr>
      </w:pPr>
      <w:r>
        <w:rPr>
          <w:rFonts w:eastAsia="Times New Roman"/>
        </w:rPr>
        <w:pict>
          <v:rect id="_x0000_i1076"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those contained in the Warrant Agreement governing our warrants and the HEC Forward Purchase Agreement. Following the issuance of the SEC Statement, on May 4, 2021, HEC concluded that it was appropriate to restate its previously issued audited financial st</w:t>
      </w:r>
      <w:r>
        <w:rPr>
          <w:sz w:val="20"/>
          <w:szCs w:val="20"/>
        </w:rPr>
        <w:t>atements as of December 31, 2020 and for the period from February 6, 2020 (inception) through December 31, 2020, as well as its financial data as of June 11, 2020 (the “restatement”), and as part of such process, HEC identified a material weakness in its i</w:t>
      </w:r>
      <w:r>
        <w:rPr>
          <w:sz w:val="20"/>
          <w:szCs w:val="20"/>
        </w:rPr>
        <w:t>nternal control over financial reporting. As the accounting acquirer in the Business Combination, we have inherited this material weakness and the warrants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HEC reevaluated the accounting treatment of 20,700,000 public warrants, 10,280,000 private placeme</w:t>
      </w:r>
      <w:r>
        <w:rPr>
          <w:sz w:val="20"/>
          <w:szCs w:val="20"/>
        </w:rPr>
        <w:t>nt warrants and the HEC Forward Purchase Agreement, and determined to classify the warrants and the HEC Forward Purchase Agreement as liabilities measured at fair value, with changes in fair value each period reported in earnings. As a result, these liabil</w:t>
      </w:r>
      <w:r>
        <w:rPr>
          <w:sz w:val="20"/>
          <w:szCs w:val="20"/>
        </w:rPr>
        <w:t>ities are subject to re-measurement at each balance sheet date, and any change in fair value is recognized in our statement of operations and comprehensive loss. As a result of the recurring fair value measurement, our consolidated financial statements and</w:t>
      </w:r>
      <w:r>
        <w:rPr>
          <w:sz w:val="20"/>
          <w:szCs w:val="20"/>
        </w:rPr>
        <w:t xml:space="preserve"> results of operations may fluctuate quarterly, based on factors, which are outside of our control. The recurring fair value measurement applies only to the private placement warrants, and we will continue to recognize non-cash gains or losses on our priva</w:t>
      </w:r>
      <w:r>
        <w:rPr>
          <w:sz w:val="20"/>
          <w:szCs w:val="20"/>
        </w:rPr>
        <w:t>te placement warrants each reporting period, and the amount of such gains or losses could be material</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As a result of such material weakness, the restatement, the change in accounting for the warrants and HEC Forward Purchase Agreement, and other matters </w:t>
      </w:r>
      <w:r>
        <w:rPr>
          <w:sz w:val="20"/>
          <w:szCs w:val="20"/>
        </w:rPr>
        <w:t>raised or that may in the future be raised by the SEC, we may face potential litigation or other disputes, which may include, among others, claims invoking the federal and state securities laws, contractual claims or other claims arising from the restateme</w:t>
      </w:r>
      <w:r>
        <w:rPr>
          <w:sz w:val="20"/>
          <w:szCs w:val="20"/>
        </w:rPr>
        <w:t xml:space="preserve">nt and material weaknesses in our internal control over financial reporting and the preparation of our financial statements. As of the date of this annual report, we have no knowledge of any such litigation or dispute. However, we can provide no assurance </w:t>
      </w:r>
      <w:r>
        <w:rPr>
          <w:sz w:val="20"/>
          <w:szCs w:val="20"/>
        </w:rPr>
        <w:t>that such litigation or dispute will not arise in the future. Any such litigation or dispute, whether successful or not, could have a material adverse effect on our business, results of operations and financial condition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cannot assure you that there w</w:t>
      </w:r>
      <w:r>
        <w:rPr>
          <w:sz w:val="20"/>
          <w:szCs w:val="20"/>
        </w:rPr>
        <w:t>ill not be additional material weaknesses in our internal control over financial reporting now or in the future. Any failure to maintain internal control over financial reporting could severely inhibit our ability to accurately report our financial conditi</w:t>
      </w:r>
      <w:r>
        <w:rPr>
          <w:sz w:val="20"/>
          <w:szCs w:val="20"/>
        </w:rPr>
        <w:t>on, results of operations or cash flows. If we are unable to conclude that our internal control over financial reporting is effective, or if our independent registered public accounting firm determines that we have a material weakness in our internal contr</w:t>
      </w:r>
      <w:r>
        <w:rPr>
          <w:sz w:val="20"/>
          <w:szCs w:val="20"/>
        </w:rPr>
        <w:t>ol over financial reporting, investors may lose confidence in the accuracy and completeness of our financial reports, the market price of our securities could decline, and we could be subject to sanctions or investigations by Nasdaq, the SEC or other regul</w:t>
      </w:r>
      <w:r>
        <w:rPr>
          <w:sz w:val="20"/>
          <w:szCs w:val="20"/>
        </w:rPr>
        <w:t>atory authorities. Failure to remedy any material weakness in our internal control over financial reporting, or to implement or maintain other effective control systems required of public companies, could also restrict our future access to the capital mark</w:t>
      </w:r>
      <w:r>
        <w:rPr>
          <w:sz w:val="20"/>
          <w:szCs w:val="20"/>
        </w:rPr>
        <w:t>ets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For example, on November 26, 2021, the Financial Industry Regulatory Authority (“FINRA”), a regulator of the Nasdaq stock market, commenced conducting a routine review of trading in the Company’s stock surrounding the November 15, 2021 announcements </w:t>
      </w:r>
      <w:r>
        <w:rPr>
          <w:sz w:val="20"/>
          <w:szCs w:val="20"/>
        </w:rPr>
        <w:t>of the Company’s financial results for the third quarter of 2021 and the resignation of the Company’s co-founder and former Chief Executive Officer, Oren Frank, and co-founder and former Head of Clinical Services, Roni Frank. The Company provided answers a</w:t>
      </w:r>
      <w:r>
        <w:rPr>
          <w:sz w:val="20"/>
          <w:szCs w:val="20"/>
        </w:rPr>
        <w:t>nd documents to this routine initial contact inquiry on December 9, 2021 and there has been no further communications, requests or findings from FINRA since that date</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Delaware law and our organizational documents contain certain provisions, including ant</w:t>
      </w:r>
      <w:r>
        <w:rPr>
          <w:b/>
          <w:bCs/>
          <w:i/>
          <w:iCs/>
          <w:sz w:val="20"/>
          <w:szCs w:val="20"/>
        </w:rPr>
        <w:t>i-takeover provisions that limit the ability of stockholders to take certain actions and could delay or discourage takeover attempts that stockholders may consider favorable</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organizational documents and the DGCL contain provisions that could have the</w:t>
      </w:r>
      <w:r>
        <w:rPr>
          <w:sz w:val="20"/>
          <w:szCs w:val="20"/>
        </w:rPr>
        <w:t xml:space="preserve"> effect of rendering more difficult, delaying, or preventing an acquisition that stockholders may consider favorable, including transactions in which stockholders might otherwise receive a premium for their shares. These provisions could also limit the pri</w:t>
      </w:r>
      <w:r>
        <w:rPr>
          <w:sz w:val="20"/>
          <w:szCs w:val="20"/>
        </w:rPr>
        <w:t xml:space="preserve">ce that investors might be willing to pay in the future for shares of our common stock, and therefore depress the trading price of our common stock. These provisions could also make it difficult for stockholders to take certain actions, including electing </w:t>
      </w:r>
      <w:r>
        <w:rPr>
          <w:sz w:val="20"/>
          <w:szCs w:val="20"/>
        </w:rPr>
        <w:t>directors who are not nominated by the current members of our board of directors or taking other corporate actions, including effecting changes in our management. Among other things, our organizational documents include the following provisions or features</w:t>
      </w:r>
      <w:r>
        <w:rPr>
          <w:sz w:val="20"/>
          <w:szCs w:val="20"/>
        </w:rPr>
        <w:t xml:space="preserve"> that may make the acquisition of our company more difficult</w:t>
      </w:r>
      <w:r>
        <w:rPr>
          <w:sz w:val="20"/>
          <w:szCs w:val="20"/>
        </w:rPr>
        <w:t>:</w:t>
      </w:r>
      <w:r>
        <w:rPr>
          <w:sz w:val="20"/>
          <w:szCs w:val="20"/>
        </w:rPr>
        <w:t xml:space="preserve"> </w:t>
      </w:r>
    </w:p>
    <w:p w:rsidR="00000000" w:rsidRDefault="00AF2D19">
      <w:pPr>
        <w:spacing w:before="120"/>
        <w:ind w:left="3"/>
        <w:jc w:val="both"/>
        <w:divId w:val="653611513"/>
        <w:rPr>
          <w:rFonts w:eastAsia="Times New Roman"/>
        </w:rPr>
      </w:pPr>
      <w:r>
        <w:rPr>
          <w:rFonts w:eastAsia="Times New Roman"/>
          <w:sz w:val="20"/>
          <w:szCs w:val="20"/>
        </w:rPr>
        <w:t>●</w:t>
      </w:r>
    </w:p>
    <w:p w:rsidR="00000000" w:rsidRDefault="00AF2D19">
      <w:pPr>
        <w:jc w:val="both"/>
        <w:divId w:val="1849170563"/>
        <w:rPr>
          <w:rFonts w:eastAsia="Times New Roman"/>
        </w:rPr>
      </w:pPr>
      <w:r>
        <w:rPr>
          <w:rFonts w:eastAsia="Times New Roman"/>
          <w:sz w:val="20"/>
          <w:szCs w:val="20"/>
        </w:rPr>
        <w:t>we have a classified board of directors with staggered, three-year terms;</w:t>
      </w:r>
      <w:r>
        <w:rPr>
          <w:rFonts w:eastAsia="Times New Roman"/>
          <w:sz w:val="20"/>
          <w:szCs w:val="20"/>
        </w:rPr>
        <w:t xml:space="preserve"> </w:t>
      </w:r>
    </w:p>
    <w:p w:rsidR="00000000" w:rsidRDefault="00AF2D19">
      <w:pPr>
        <w:spacing w:before="120"/>
        <w:ind w:left="3"/>
        <w:jc w:val="both"/>
        <w:divId w:val="2079159295"/>
        <w:rPr>
          <w:rFonts w:eastAsia="Times New Roman"/>
        </w:rPr>
      </w:pPr>
      <w:r>
        <w:rPr>
          <w:rFonts w:eastAsia="Times New Roman"/>
          <w:sz w:val="20"/>
          <w:szCs w:val="20"/>
        </w:rPr>
        <w:t>●</w:t>
      </w:r>
    </w:p>
    <w:p w:rsidR="00000000" w:rsidRDefault="00AF2D19">
      <w:pPr>
        <w:jc w:val="both"/>
        <w:divId w:val="1259555301"/>
        <w:rPr>
          <w:rFonts w:eastAsia="Times New Roman"/>
        </w:rPr>
      </w:pPr>
      <w:r>
        <w:rPr>
          <w:rFonts w:eastAsia="Times New Roman"/>
          <w:sz w:val="20"/>
          <w:szCs w:val="20"/>
        </w:rPr>
        <w:t>our board of directors is permitted to issue shares of preferred stock, including “blank check” preferred stock an</w:t>
      </w:r>
      <w:r>
        <w:rPr>
          <w:rFonts w:eastAsia="Times New Roman"/>
          <w:sz w:val="20"/>
          <w:szCs w:val="20"/>
        </w:rPr>
        <w:t>d to determine the price and other terms of those shares, including preferences and voting rights, without stockholder approval, which could be used to significantly dilute the ownership of a hostile acquirer;</w:t>
      </w:r>
      <w:r>
        <w:rPr>
          <w:rFonts w:eastAsia="Times New Roman"/>
          <w:sz w:val="20"/>
          <w:szCs w:val="20"/>
        </w:rPr>
        <w:t xml:space="preserve"> </w:t>
      </w:r>
    </w:p>
    <w:p w:rsidR="00000000" w:rsidRDefault="00AF2D19">
      <w:pPr>
        <w:pStyle w:val="a3"/>
        <w:spacing w:before="0" w:beforeAutospacing="0" w:after="0" w:afterAutospacing="0"/>
        <w:jc w:val="center"/>
        <w:rPr>
          <w:sz w:val="20"/>
          <w:szCs w:val="20"/>
        </w:rPr>
      </w:pPr>
      <w:r>
        <w:rPr>
          <w:sz w:val="20"/>
          <w:szCs w:val="20"/>
        </w:rPr>
        <w:t>5</w:t>
      </w:r>
      <w:r>
        <w:rPr>
          <w:sz w:val="20"/>
          <w:szCs w:val="20"/>
        </w:rPr>
        <w:t>0</w:t>
      </w:r>
    </w:p>
    <w:p w:rsidR="00000000" w:rsidRDefault="00AF2D19">
      <w:pPr>
        <w:rPr>
          <w:rFonts w:eastAsia="Times New Roman"/>
        </w:rPr>
      </w:pPr>
      <w:r>
        <w:rPr>
          <w:rFonts w:eastAsia="Times New Roman"/>
        </w:rPr>
        <w:pict>
          <v:rect id="_x0000_i1077"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spacing w:before="120"/>
        <w:ind w:left="3"/>
        <w:jc w:val="both"/>
        <w:divId w:val="370568929"/>
        <w:rPr>
          <w:rFonts w:eastAsia="Times New Roman"/>
        </w:rPr>
      </w:pPr>
      <w:r>
        <w:rPr>
          <w:rFonts w:eastAsia="Times New Roman"/>
          <w:sz w:val="20"/>
          <w:szCs w:val="20"/>
        </w:rPr>
        <w:t>●</w:t>
      </w:r>
    </w:p>
    <w:p w:rsidR="00000000" w:rsidRDefault="00AF2D19">
      <w:pPr>
        <w:jc w:val="both"/>
        <w:divId w:val="454640742"/>
        <w:rPr>
          <w:rFonts w:eastAsia="Times New Roman"/>
        </w:rPr>
      </w:pPr>
      <w:r>
        <w:rPr>
          <w:rFonts w:eastAsia="Times New Roman"/>
          <w:sz w:val="20"/>
          <w:szCs w:val="20"/>
        </w:rPr>
        <w:t>the Certificate of Incorporation prohibits cumulative voting in the election of directors, which limits the ability of minority stockholders to elect director candidates;</w:t>
      </w:r>
      <w:r>
        <w:rPr>
          <w:rFonts w:eastAsia="Times New Roman"/>
          <w:sz w:val="20"/>
          <w:szCs w:val="20"/>
        </w:rPr>
        <w:t xml:space="preserve"> </w:t>
      </w:r>
    </w:p>
    <w:p w:rsidR="00000000" w:rsidRDefault="00AF2D19">
      <w:pPr>
        <w:spacing w:before="120"/>
        <w:ind w:left="3"/>
        <w:jc w:val="both"/>
        <w:divId w:val="283316846"/>
        <w:rPr>
          <w:rFonts w:eastAsia="Times New Roman"/>
        </w:rPr>
      </w:pPr>
      <w:r>
        <w:rPr>
          <w:rFonts w:eastAsia="Times New Roman"/>
          <w:sz w:val="20"/>
          <w:szCs w:val="20"/>
        </w:rPr>
        <w:t>●</w:t>
      </w:r>
    </w:p>
    <w:p w:rsidR="00000000" w:rsidRDefault="00AF2D19">
      <w:pPr>
        <w:jc w:val="both"/>
        <w:divId w:val="1307974301"/>
        <w:rPr>
          <w:rFonts w:eastAsia="Times New Roman"/>
        </w:rPr>
      </w:pPr>
      <w:r>
        <w:rPr>
          <w:rFonts w:eastAsia="Times New Roman"/>
          <w:sz w:val="20"/>
          <w:szCs w:val="20"/>
        </w:rPr>
        <w:t xml:space="preserve">the limitation of the liability of, and the indemnification of, our directors and </w:t>
      </w:r>
      <w:r>
        <w:rPr>
          <w:rFonts w:eastAsia="Times New Roman"/>
          <w:sz w:val="20"/>
          <w:szCs w:val="20"/>
        </w:rPr>
        <w:t>officers;</w:t>
      </w:r>
      <w:r>
        <w:rPr>
          <w:rFonts w:eastAsia="Times New Roman"/>
          <w:sz w:val="20"/>
          <w:szCs w:val="20"/>
        </w:rPr>
        <w:t xml:space="preserve"> </w:t>
      </w:r>
    </w:p>
    <w:p w:rsidR="00000000" w:rsidRDefault="00AF2D19">
      <w:pPr>
        <w:spacing w:before="120"/>
        <w:ind w:left="3"/>
        <w:jc w:val="both"/>
        <w:divId w:val="651445097"/>
        <w:rPr>
          <w:rFonts w:eastAsia="Times New Roman"/>
        </w:rPr>
      </w:pPr>
      <w:r>
        <w:rPr>
          <w:rFonts w:eastAsia="Times New Roman"/>
          <w:sz w:val="20"/>
          <w:szCs w:val="20"/>
        </w:rPr>
        <w:t>●</w:t>
      </w:r>
    </w:p>
    <w:p w:rsidR="00000000" w:rsidRDefault="00AF2D19">
      <w:pPr>
        <w:jc w:val="both"/>
        <w:divId w:val="397628917"/>
        <w:rPr>
          <w:rFonts w:eastAsia="Times New Roman"/>
        </w:rPr>
      </w:pPr>
      <w:r>
        <w:rPr>
          <w:rFonts w:eastAsia="Times New Roman"/>
          <w:sz w:val="20"/>
          <w:szCs w:val="20"/>
        </w:rPr>
        <w:t>certain transactions are not “corporate opportunities” and the Identified Persons (as defined in the Certificate of Incorporation) are not subject to the doctrine of corporate opportunity and such Identified Persons do not have any fiduciary d</w:t>
      </w:r>
      <w:r>
        <w:rPr>
          <w:rFonts w:eastAsia="Times New Roman"/>
          <w:sz w:val="20"/>
          <w:szCs w:val="20"/>
        </w:rPr>
        <w:t>uty to refrain from engaging directly or indirectly in the same or similar business activities or lines of business as us;</w:t>
      </w:r>
      <w:r>
        <w:rPr>
          <w:rFonts w:eastAsia="Times New Roman"/>
          <w:sz w:val="20"/>
          <w:szCs w:val="20"/>
        </w:rPr>
        <w:t xml:space="preserve"> </w:t>
      </w:r>
    </w:p>
    <w:p w:rsidR="00000000" w:rsidRDefault="00AF2D19">
      <w:pPr>
        <w:spacing w:before="120"/>
        <w:ind w:left="3"/>
        <w:jc w:val="both"/>
        <w:divId w:val="1479958301"/>
        <w:rPr>
          <w:rFonts w:eastAsia="Times New Roman"/>
        </w:rPr>
      </w:pPr>
      <w:r>
        <w:rPr>
          <w:rFonts w:eastAsia="Times New Roman"/>
          <w:sz w:val="20"/>
          <w:szCs w:val="20"/>
        </w:rPr>
        <w:t>●</w:t>
      </w:r>
    </w:p>
    <w:p w:rsidR="00000000" w:rsidRDefault="00AF2D19">
      <w:pPr>
        <w:jc w:val="both"/>
        <w:divId w:val="545222386"/>
        <w:rPr>
          <w:rFonts w:eastAsia="Times New Roman"/>
        </w:rPr>
      </w:pPr>
      <w:r>
        <w:rPr>
          <w:rFonts w:eastAsia="Times New Roman"/>
          <w:sz w:val="20"/>
          <w:szCs w:val="20"/>
        </w:rPr>
        <w:t>we are not governed by Section 203 of the DGCL and, instead, our Certificate of Incorporation includes a provision that is substan</w:t>
      </w:r>
      <w:r>
        <w:rPr>
          <w:rFonts w:eastAsia="Times New Roman"/>
          <w:sz w:val="20"/>
          <w:szCs w:val="20"/>
        </w:rPr>
        <w:t>tially similar to Section 203 of the DGCL, and acknowledges that certain stockholders cannot be “interested stockholders” (as defined in the Certificate of Incorporation);</w:t>
      </w:r>
      <w:r>
        <w:rPr>
          <w:rFonts w:eastAsia="Times New Roman"/>
          <w:sz w:val="20"/>
          <w:szCs w:val="20"/>
        </w:rPr>
        <w:t xml:space="preserve"> </w:t>
      </w:r>
    </w:p>
    <w:p w:rsidR="00000000" w:rsidRDefault="00AF2D19">
      <w:pPr>
        <w:spacing w:before="120"/>
        <w:ind w:left="3"/>
        <w:jc w:val="both"/>
        <w:divId w:val="2017151945"/>
        <w:rPr>
          <w:rFonts w:eastAsia="Times New Roman"/>
        </w:rPr>
      </w:pPr>
      <w:r>
        <w:rPr>
          <w:rFonts w:eastAsia="Times New Roman"/>
          <w:sz w:val="20"/>
          <w:szCs w:val="20"/>
        </w:rPr>
        <w:t>●</w:t>
      </w:r>
    </w:p>
    <w:p w:rsidR="00000000" w:rsidRDefault="00AF2D19">
      <w:pPr>
        <w:jc w:val="both"/>
        <w:divId w:val="2038922165"/>
        <w:rPr>
          <w:rFonts w:eastAsia="Times New Roman"/>
        </w:rPr>
      </w:pPr>
      <w:r>
        <w:rPr>
          <w:rFonts w:eastAsia="Times New Roman"/>
          <w:sz w:val="20"/>
          <w:szCs w:val="20"/>
        </w:rPr>
        <w:t>our board of directors has the ability to amend the bylaws, which may allow our b</w:t>
      </w:r>
      <w:r>
        <w:rPr>
          <w:rFonts w:eastAsia="Times New Roman"/>
          <w:sz w:val="20"/>
          <w:szCs w:val="20"/>
        </w:rPr>
        <w:t>oard of directors to take additional actions to prevent an unsolicited takeover and inhibit the ability of an acquirer to amend the bylaws to facilitate an unsolicited takeover attempt; and</w:t>
      </w:r>
      <w:r>
        <w:rPr>
          <w:rFonts w:eastAsia="Times New Roman"/>
          <w:sz w:val="20"/>
          <w:szCs w:val="20"/>
        </w:rPr>
        <w:t xml:space="preserve"> </w:t>
      </w:r>
    </w:p>
    <w:p w:rsidR="00000000" w:rsidRDefault="00AF2D19">
      <w:pPr>
        <w:spacing w:before="120"/>
        <w:ind w:left="3"/>
        <w:jc w:val="both"/>
        <w:divId w:val="185296139"/>
        <w:rPr>
          <w:rFonts w:eastAsia="Times New Roman"/>
        </w:rPr>
      </w:pPr>
      <w:r>
        <w:rPr>
          <w:rFonts w:eastAsia="Times New Roman"/>
          <w:sz w:val="20"/>
          <w:szCs w:val="20"/>
        </w:rPr>
        <w:t>●</w:t>
      </w:r>
    </w:p>
    <w:p w:rsidR="00000000" w:rsidRDefault="00AF2D19">
      <w:pPr>
        <w:jc w:val="both"/>
        <w:divId w:val="1918244459"/>
        <w:rPr>
          <w:rFonts w:eastAsia="Times New Roman"/>
        </w:rPr>
      </w:pPr>
      <w:r>
        <w:rPr>
          <w:rFonts w:eastAsia="Times New Roman"/>
          <w:sz w:val="20"/>
          <w:szCs w:val="20"/>
        </w:rPr>
        <w:t>our bylaws contain advance notice procedures with which stockho</w:t>
      </w:r>
      <w:r>
        <w:rPr>
          <w:rFonts w:eastAsia="Times New Roman"/>
          <w:sz w:val="20"/>
          <w:szCs w:val="20"/>
        </w:rPr>
        <w:t>lders must comply to nominate candidates to our board of directors or to propose matters to be acted upon at a stockholders’ meeting, which could preclude stockholders from bringing matters before annual or special meetings of stockholders and delay change</w:t>
      </w:r>
      <w:r>
        <w:rPr>
          <w:rFonts w:eastAsia="Times New Roman"/>
          <w:sz w:val="20"/>
          <w:szCs w:val="20"/>
        </w:rPr>
        <w:t>s in our board of directors and also may discourage or deter a potential acquirer from conducting a solicitation of proxies to elect the acquirer’s own slate of directors or otherwise attempting to obtain control of us.</w:t>
      </w:r>
      <w:r>
        <w:rPr>
          <w:rFonts w:eastAsia="Times New Roman"/>
          <w:sz w:val="20"/>
          <w:szCs w:val="20"/>
        </w:rPr>
        <w:t xml:space="preserve"> </w:t>
      </w:r>
    </w:p>
    <w:p w:rsidR="00000000" w:rsidRDefault="00AF2D19">
      <w:pPr>
        <w:pStyle w:val="a3"/>
        <w:spacing w:before="240" w:beforeAutospacing="0" w:after="0" w:afterAutospacing="0"/>
        <w:jc w:val="both"/>
        <w:rPr>
          <w:sz w:val="20"/>
          <w:szCs w:val="20"/>
        </w:rPr>
      </w:pPr>
      <w:r>
        <w:rPr>
          <w:sz w:val="20"/>
          <w:szCs w:val="20"/>
        </w:rPr>
        <w:t>These provisions, alone or together</w:t>
      </w:r>
      <w:r>
        <w:rPr>
          <w:sz w:val="20"/>
          <w:szCs w:val="20"/>
        </w:rPr>
        <w:t>, could delay or prevent hostile takeovers and changes in control or changes in our board of directors or management</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The provision of our certificate of incorporation requiring exclusive forum in certain courts in the State of Delaware or the federal dis</w:t>
      </w:r>
      <w:r>
        <w:rPr>
          <w:b/>
          <w:bCs/>
          <w:i/>
          <w:iCs/>
          <w:sz w:val="20"/>
          <w:szCs w:val="20"/>
        </w:rPr>
        <w:t>trict courts of the United States for certain types of lawsuits may have the effect of discouraging lawsuits against our directors and officers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Certificate of Incorporation requires, to the fullest extent permitted by law, that (i) any derivative act</w:t>
      </w:r>
      <w:r>
        <w:rPr>
          <w:sz w:val="20"/>
          <w:szCs w:val="20"/>
        </w:rPr>
        <w:t>ion or proceeding brought on our behalf, (ii) any action asserting a claim of breach of a fiduciary duty owed by any of our directors, officers or stockholders to us or our stockholders, (iii) any action asserting a claim against us arising pursuant to any</w:t>
      </w:r>
      <w:r>
        <w:rPr>
          <w:sz w:val="20"/>
          <w:szCs w:val="20"/>
        </w:rPr>
        <w:t xml:space="preserve"> provision of the DGCL or the Certificate of Incorporation or our bylaws or (iv) any action asserting a claim against us governed by the internal affairs doctrine will have to be brought in a state court located within the state of Delaware (or if no state</w:t>
      </w:r>
      <w:r>
        <w:rPr>
          <w:sz w:val="20"/>
          <w:szCs w:val="20"/>
        </w:rPr>
        <w:t xml:space="preserve"> court of the State of Delaware has jurisdiction, the federal district court for the District of Delaware), in all cases subject to the court’s having personal jurisdiction over the indispensable parties named as defendants. The foregoing provisions do not</w:t>
      </w:r>
      <w:r>
        <w:rPr>
          <w:sz w:val="20"/>
          <w:szCs w:val="20"/>
        </w:rPr>
        <w:t xml:space="preserve"> apply to claims arising under the Securities Act, the Exchange Act or other federal securities laws for which there is exclusive federal or concurrent federal and state jurisdiction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Additionally, unless we consent in writing to the selection of an alter</w:t>
      </w:r>
      <w:r>
        <w:rPr>
          <w:sz w:val="20"/>
          <w:szCs w:val="20"/>
        </w:rPr>
        <w:t>native forum, the federal district courts of the United States of America shall be the exclusive forum for the resolution of any complaint asserting a cause of action arising under the Securities Act; provided, however, that our stockholders will not be de</w:t>
      </w:r>
      <w:r>
        <w:rPr>
          <w:sz w:val="20"/>
          <w:szCs w:val="20"/>
        </w:rPr>
        <w:t>emed to have waived our compliance with the federal securities laws and the rules and regulations thereunder. The enforceability of similar choice of forum provisions in other companies’ organizational documents has been challenged in legal proceedings, an</w:t>
      </w:r>
      <w:r>
        <w:rPr>
          <w:sz w:val="20"/>
          <w:szCs w:val="20"/>
        </w:rPr>
        <w:t>d it is possible that, in connection with claims arising under federal securities laws, a court could find the choice of forum provisions contained in the Certificate of Incorporation to be inapplicable or unenforceable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Although we believe these exclusiv</w:t>
      </w:r>
      <w:r>
        <w:rPr>
          <w:sz w:val="20"/>
          <w:szCs w:val="20"/>
        </w:rPr>
        <w:t>e forum provisions benefit us by providing increased consistency in the application of Delaware law and federal securities laws in the types of lawsuits to which each applies, the exclusive forum provisions may limit a stockholder’s ability to bring a clai</w:t>
      </w:r>
      <w:r>
        <w:rPr>
          <w:sz w:val="20"/>
          <w:szCs w:val="20"/>
        </w:rPr>
        <w:t xml:space="preserve">m in a judicial forum that it finds favorable for disputes with us or any of our directors, officers or stockholders, which may discourage lawsuits with respect to such claims. Further, in the event a court finds either exclusive forum provision contained </w:t>
      </w:r>
      <w:r>
        <w:rPr>
          <w:sz w:val="20"/>
          <w:szCs w:val="20"/>
        </w:rPr>
        <w:t>in the Certificate of Incorporation to be unenforceable or inapplicable in an action, we may incur additional costs associated with resolving such action in other jurisdictions, which could harm our business, operating results and financial condition</w:t>
      </w:r>
      <w:r>
        <w:rPr>
          <w:sz w:val="20"/>
          <w:szCs w:val="20"/>
        </w:rPr>
        <w:t>.</w:t>
      </w:r>
    </w:p>
    <w:p w:rsidR="00000000" w:rsidRDefault="00AF2D19">
      <w:pPr>
        <w:pStyle w:val="a3"/>
        <w:spacing w:before="0" w:beforeAutospacing="0" w:after="0" w:afterAutospacing="0"/>
        <w:jc w:val="center"/>
        <w:rPr>
          <w:sz w:val="20"/>
          <w:szCs w:val="20"/>
        </w:rPr>
      </w:pPr>
      <w:r>
        <w:rPr>
          <w:sz w:val="20"/>
          <w:szCs w:val="20"/>
        </w:rPr>
        <w:t>5</w:t>
      </w:r>
      <w:r>
        <w:rPr>
          <w:sz w:val="20"/>
          <w:szCs w:val="20"/>
        </w:rPr>
        <w:t>1</w:t>
      </w:r>
    </w:p>
    <w:p w:rsidR="00000000" w:rsidRDefault="00AF2D19">
      <w:pPr>
        <w:rPr>
          <w:rFonts w:eastAsia="Times New Roman"/>
        </w:rPr>
      </w:pPr>
      <w:r>
        <w:rPr>
          <w:rFonts w:eastAsia="Times New Roman"/>
        </w:rPr>
        <w:pict>
          <v:rect id="_x0000_i1078"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i/>
          <w:iCs/>
          <w:sz w:val="20"/>
          <w:szCs w:val="20"/>
        </w:rPr>
        <w:t>Future resales of our common stock may cause the market price of our securities to drop significantly, even if our business is doing well</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Pursuant to the Sponsor Support</w:t>
      </w:r>
      <w:r>
        <w:rPr>
          <w:sz w:val="20"/>
          <w:szCs w:val="20"/>
        </w:rPr>
        <w:t xml:space="preserve"> Agreement and our Bylaws, the Sponsor and certain stockholders of Talkspace, Inc. (“Talkspace Holders</w:t>
      </w:r>
      <w:r>
        <w:rPr>
          <w:sz w:val="20"/>
          <w:szCs w:val="20"/>
        </w:rPr>
        <w:t>”</w:t>
      </w:r>
      <w:r>
        <w:rPr>
          <w:b/>
          <w:bCs/>
          <w:sz w:val="20"/>
          <w:szCs w:val="20"/>
        </w:rPr>
        <w:t>)</w:t>
      </w:r>
      <w:r>
        <w:rPr>
          <w:b/>
          <w:bCs/>
          <w:i/>
          <w:iCs/>
          <w:sz w:val="20"/>
          <w:szCs w:val="20"/>
        </w:rPr>
        <w:t xml:space="preserve"> </w:t>
      </w:r>
      <w:r>
        <w:rPr>
          <w:sz w:val="20"/>
          <w:szCs w:val="20"/>
        </w:rPr>
        <w:t xml:space="preserve">the Talkspace Holders are contractually restricted from selling or transferring any shares of our common stock (not including the shares of our common </w:t>
      </w:r>
      <w:r>
        <w:rPr>
          <w:sz w:val="20"/>
          <w:szCs w:val="20"/>
        </w:rPr>
        <w:t>stock issued in the PIPE Investment pursuant to the terms of the Subscription Agreements) (the “Lock-up Shares”). Such restrictions began at Closing and end on the date that is 180 days after the Closing</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However, following the expiration of such lockup, </w:t>
      </w:r>
      <w:r>
        <w:rPr>
          <w:sz w:val="20"/>
          <w:szCs w:val="20"/>
        </w:rPr>
        <w:t>the Sponsor and the Talkspace Holders will not be restricted from selling shares of our stock held by them, other than by applicable securities laws. As such, sales of a substantial number of shares of our common stock in the public market could occur at a</w:t>
      </w:r>
      <w:r>
        <w:rPr>
          <w:sz w:val="20"/>
          <w:szCs w:val="20"/>
        </w:rPr>
        <w:t>ny time. These sales, or the perception in the market that the holders of a large number of shares intend to sell shares, could reduce the market price of our common stock. The shares held by Sponsor and the Talkspace Holders may be sold after the expirati</w:t>
      </w:r>
      <w:r>
        <w:rPr>
          <w:sz w:val="20"/>
          <w:szCs w:val="20"/>
        </w:rPr>
        <w:t>on of the applicable lock-up period under the Sponsor Support Agreement and Bylaws. As restrictions on resale end and registration statements (to provide for the resale of such shares from time to time) are available for use, the sale or possibility of sal</w:t>
      </w:r>
      <w:r>
        <w:rPr>
          <w:sz w:val="20"/>
          <w:szCs w:val="20"/>
        </w:rPr>
        <w:t>e of these shares could have the effect of increasing the volatility in our share price or the market price of our common stock could decline if the holders of currently restricted shares sell them or are perceived by the market as intending to sell them</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we may issue additional common stock or other equity securities without the approval of investors, which would dilute investors’ ownership interests and may depress the market price of our common stock</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Our warrants are exercisable for common stock, which could increase the number of shares eligible for future resale in the public market and result in dilution to our stockholders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Outstanding warrants to purchase an aggregate of 33,480,000 shares of comm</w:t>
      </w:r>
      <w:r>
        <w:rPr>
          <w:sz w:val="20"/>
          <w:szCs w:val="20"/>
        </w:rPr>
        <w:t>on stock are exercisable in accordance with the terms of the Warrant Agreement governing those securities. To the extent such warrants are exercised, additional shares of common stock will be issued, which will result in dilution to the holders of our comm</w:t>
      </w:r>
      <w:r>
        <w:rPr>
          <w:sz w:val="20"/>
          <w:szCs w:val="20"/>
        </w:rPr>
        <w:t>on stock and increase the number of shares eligible for resale in the public market. Sales of substantial numbers of such shares in the public market or the fact that such warrants may be exercised could adversely affect the market price of our common stoc</w:t>
      </w:r>
      <w:r>
        <w:rPr>
          <w:sz w:val="20"/>
          <w:szCs w:val="20"/>
        </w:rPr>
        <w:t>k. However, there is no guarantee that the public warrants will ever be in the money prior to their expiration, and as such, the warrants may expire worthless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do not intend to pay cash dividends for the foreseeable future</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currently intend to reta</w:t>
      </w:r>
      <w:r>
        <w:rPr>
          <w:sz w:val="20"/>
          <w:szCs w:val="20"/>
        </w:rPr>
        <w:t>in our future earnings, if any, to finance the further development and expansion of our business and do not intend to pay cash dividends in the foreseeable future. Any future determination to pay dividends will be at the discretion of our board of director</w:t>
      </w:r>
      <w:r>
        <w:rPr>
          <w:sz w:val="20"/>
          <w:szCs w:val="20"/>
        </w:rPr>
        <w:t>s and will depend on our financial condition, results of operations, capital requirements and future agreements and financing instruments, business prospects and such other factors as our board of directors deems relevant</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You may only be able to exercise</w:t>
      </w:r>
      <w:r>
        <w:rPr>
          <w:b/>
          <w:bCs/>
          <w:i/>
          <w:iCs/>
          <w:sz w:val="20"/>
          <w:szCs w:val="20"/>
        </w:rPr>
        <w:t xml:space="preserve"> your public warrants on a “cashless basis” under certain circumstances, and if you do so, you will receive fewer shares of common stock from such exercise than if you were to exercise such warrants for cash</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Warrant Agreement provides that in the fol</w:t>
      </w:r>
      <w:r>
        <w:rPr>
          <w:sz w:val="20"/>
          <w:szCs w:val="20"/>
        </w:rPr>
        <w:t xml:space="preserve">lowing circumstances holders of warrants who seek to exercise their warrants will not be permitted to do for cash and will, instead, be required to do so on a cashless basis in accordance with Section 3(a)(9) of the Securities Act: (i) if the common stock </w:t>
      </w:r>
      <w:r>
        <w:rPr>
          <w:sz w:val="20"/>
          <w:szCs w:val="20"/>
        </w:rPr>
        <w:t xml:space="preserve">issuable upon exercise of the warrants are not registered under the Securities Act in accordance with the terms of the Warrant Agreement; (ii) if we have so elected and the common stock are at the time of any exercise of a warrant not listed on a national </w:t>
      </w:r>
      <w:r>
        <w:rPr>
          <w:sz w:val="20"/>
          <w:szCs w:val="20"/>
        </w:rPr>
        <w:t>securities exchange such that they satisfy the definition of “covered securities” under Section 18(b)(1) of the Securities Act; and (iii) if we have so elected and we call the public warrants for redemption. If you exercise your public warrants on a cashle</w:t>
      </w:r>
      <w:r>
        <w:rPr>
          <w:sz w:val="20"/>
          <w:szCs w:val="20"/>
        </w:rPr>
        <w:t>ss basis, you would pay the warrant exercise price by surrendering the warrants for that number of common stock equal to the quotient obtained by dividing (x) the product of the number of common stock underlying the warrants, multiplied by the excess of th</w:t>
      </w:r>
      <w:r>
        <w:rPr>
          <w:sz w:val="20"/>
          <w:szCs w:val="20"/>
        </w:rPr>
        <w:t>e “fair market value” of our common stock (as defined in the next sentence) over the exercise price of the warrants by (y) the fair market value. The “fair market value” is the average reported closing price of the common stock for the 10 trading days endi</w:t>
      </w:r>
      <w:r>
        <w:rPr>
          <w:sz w:val="20"/>
          <w:szCs w:val="20"/>
        </w:rPr>
        <w:t>ng on the third trading day prior to the date on which the notice of exercise is received by the warrant agent or on which the notice of redemption is sent to the holders of warrants, as applicable. As a result, you would receive fewer shares of common sto</w:t>
      </w:r>
      <w:r>
        <w:rPr>
          <w:sz w:val="20"/>
          <w:szCs w:val="20"/>
        </w:rPr>
        <w:t>ck from such exercise than if you were to exercise such warrants for cash</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5</w:t>
      </w:r>
      <w:r>
        <w:rPr>
          <w:sz w:val="20"/>
          <w:szCs w:val="20"/>
        </w:rPr>
        <w:t>2</w:t>
      </w:r>
    </w:p>
    <w:p w:rsidR="00000000" w:rsidRDefault="00AF2D19">
      <w:pPr>
        <w:rPr>
          <w:rFonts w:eastAsia="Times New Roman"/>
        </w:rPr>
      </w:pPr>
      <w:r>
        <w:rPr>
          <w:rFonts w:eastAsia="Times New Roman"/>
        </w:rPr>
        <w:pict>
          <v:rect id="_x0000_i1079"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i/>
          <w:iCs/>
          <w:sz w:val="20"/>
          <w:szCs w:val="20"/>
        </w:rPr>
        <w:t>We may amend the terms of the warrants in a manner that may be adverse to holders of public warrants with the approval by the holders of at least 50% of the then outstanding public warrants. As a result, the exercise price of your warrants could be increas</w:t>
      </w:r>
      <w:r>
        <w:rPr>
          <w:b/>
          <w:bCs/>
          <w:i/>
          <w:iCs/>
          <w:sz w:val="20"/>
          <w:szCs w:val="20"/>
        </w:rPr>
        <w:t>ed, the exercise period could be shortened and the number of common stock purchasable upon exercise of a warrant could be decreased, all without your approval</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Warrant Agreement provides that the terms of the warrants may be amended without the consen</w:t>
      </w:r>
      <w:r>
        <w:rPr>
          <w:sz w:val="20"/>
          <w:szCs w:val="20"/>
        </w:rPr>
        <w:t>t of any holder for the purpose of (i) curing any ambiguity or to correct any defective provision or mistake, including to conform the provisions of the warrant agreement to the description of the terms of the warrants and the Warrant Agreement, (ii) adjus</w:t>
      </w:r>
      <w:r>
        <w:rPr>
          <w:sz w:val="20"/>
          <w:szCs w:val="20"/>
        </w:rPr>
        <w:t>ting the provisions relating to cash dividends on common stock as contemplated by and in accordance with the Warrant Agreement or (iii) adding or changing any provisions with respect to matters or questions arising under the Warrant Agreement as the partie</w:t>
      </w:r>
      <w:r>
        <w:rPr>
          <w:sz w:val="20"/>
          <w:szCs w:val="20"/>
        </w:rPr>
        <w:t>s to the Warrant Agreement may deem necessary or desirable and that the parties deem to not adversely affect the rights of the registered holders of the warrants, provided that the approval by the holders of at least 50% of the then-outstanding public warr</w:t>
      </w:r>
      <w:r>
        <w:rPr>
          <w:sz w:val="20"/>
          <w:szCs w:val="20"/>
        </w:rPr>
        <w:t xml:space="preserve">ants is required to make any change that adversely affects the interests of the registered holders of public warrants. Accordingly, we may amend the terms of the public warrants in a manner adverse to a holder of public warrants if holders of at least 50% </w:t>
      </w:r>
      <w:r>
        <w:rPr>
          <w:sz w:val="20"/>
          <w:szCs w:val="20"/>
        </w:rPr>
        <w:t>of the then outstanding public warrants approve of such amendment. Although our ability to amend the terms of the public warrants with the consent of at least 50% of the then outstanding public warrants is unlimited, examples of such amendments could be am</w:t>
      </w:r>
      <w:r>
        <w:rPr>
          <w:sz w:val="20"/>
          <w:szCs w:val="20"/>
        </w:rPr>
        <w:t>endments to, among other things, increase the exercise price of the warrants, convert the warrants into cash or shares, shorten the exercise period or decrease the number of common stock purchasable upon exercise of a warrant</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The Warrant Agreement design</w:t>
      </w:r>
      <w:r>
        <w:rPr>
          <w:b/>
          <w:bCs/>
          <w:i/>
          <w:iCs/>
          <w:sz w:val="20"/>
          <w:szCs w:val="20"/>
        </w:rPr>
        <w:t>ates the courts of the State of New York or the United States District Court for the Southern District of New York as the sole and exclusive forum for certain types of actions and proceedings that may be initiated by holders of our warrants, which could li</w:t>
      </w:r>
      <w:r>
        <w:rPr>
          <w:b/>
          <w:bCs/>
          <w:i/>
          <w:iCs/>
          <w:sz w:val="20"/>
          <w:szCs w:val="20"/>
        </w:rPr>
        <w:t>mit the ability of warrant holders to obtain a favorable judicial forum for disputes with us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Warrant Agreement provides that, subject to applicable law, (i) any action, proceeding or claim against us arising out of or relating in any way to the warra</w:t>
      </w:r>
      <w:r>
        <w:rPr>
          <w:sz w:val="20"/>
          <w:szCs w:val="20"/>
        </w:rPr>
        <w:t>nt agreement, including under the Securities Act, will be brought and enforced in the courts of the State of New York or the United States District Court for the Southern District of New York, and (ii) that we irrevocably submit to such jurisdiction, which</w:t>
      </w:r>
      <w:r>
        <w:rPr>
          <w:sz w:val="20"/>
          <w:szCs w:val="20"/>
        </w:rPr>
        <w:t xml:space="preserve"> jurisdiction shall be the exclusive forum for any such action, proceeding or claim. We will waive any objection to such exclusive jurisdiction and that such courts represent an inconvenient forum</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Notwithstanding the foregoing, these provisions of the Wa</w:t>
      </w:r>
      <w:r>
        <w:rPr>
          <w:sz w:val="20"/>
          <w:szCs w:val="20"/>
        </w:rPr>
        <w:t>rrant Agreement will not apply to suits brought to enforce any liability or duty created by the Exchange Act or any other claim for which the federal district courts of the United States of America are the sole and exclusive forum. Any person or entity pur</w:t>
      </w:r>
      <w:r>
        <w:rPr>
          <w:sz w:val="20"/>
          <w:szCs w:val="20"/>
        </w:rPr>
        <w:t>chasing or otherwise acquiring any interest in any of our warrants shall be deemed to have notice of and to have consented to the forum provisions in our Warrant Agreement. If any action, the subject matter of which is within the scope the forum provisions</w:t>
      </w:r>
      <w:r>
        <w:rPr>
          <w:sz w:val="20"/>
          <w:szCs w:val="20"/>
        </w:rPr>
        <w:t xml:space="preserve"> of the warrant agreement, is filed in a court other than a court of the State of New York or the United States District Court for the Southern District of New York (a “foreign action”) in the name of any holder of our warrants, such holder shall be deemed</w:t>
      </w:r>
      <w:r>
        <w:rPr>
          <w:sz w:val="20"/>
          <w:szCs w:val="20"/>
        </w:rPr>
        <w:t xml:space="preserve"> to have consented to: (x) the personal jurisdiction of the state and federal courts located in the State of New York in connection with any action brought in any such court to enforce the forum provisions (an “enforcement action”), and (y) having service </w:t>
      </w:r>
      <w:r>
        <w:rPr>
          <w:sz w:val="20"/>
          <w:szCs w:val="20"/>
        </w:rPr>
        <w:t>of process made upon such warrant holder in any such enforcement action by service upon such warrant holder’s counsel in the foreign action as agent for such warrant holder</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This choice-of-forum provision may limit a warrant holder’s ability to bring a cl</w:t>
      </w:r>
      <w:r>
        <w:rPr>
          <w:sz w:val="20"/>
          <w:szCs w:val="20"/>
        </w:rPr>
        <w:t>aim in a judicial forum that it finds favorable for disputes with us, which may discourage such lawsuits. Alternatively, if a court were to find this provision of our Warrant Agreement inapplicable or unenforceable with respect to one or more of the specif</w:t>
      </w:r>
      <w:r>
        <w:rPr>
          <w:sz w:val="20"/>
          <w:szCs w:val="20"/>
        </w:rPr>
        <w:t>ied types of actions or proceedings, we may incur additional costs associated with resolving such matters in other jurisdictions, which could materially and adversely affect our business, financial condition and results of operations and result in a divers</w:t>
      </w:r>
      <w:r>
        <w:rPr>
          <w:sz w:val="20"/>
          <w:szCs w:val="20"/>
        </w:rPr>
        <w:t>ion of the time and resources of our management and board of directors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We may redeem your unexpired warrants prior to their exercise at a time that is disadvantageous to you, thereby making your warrants worthless</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have the ability to redeem outstand</w:t>
      </w:r>
      <w:r>
        <w:rPr>
          <w:sz w:val="20"/>
          <w:szCs w:val="20"/>
        </w:rPr>
        <w:t>ing warrants at any time after they become exercisable and prior to their expiration, at a price of $0.01 per warrant, provided that the closing price of our common stock equals or exceeds $18.00 per share (as adjusted for stock splits, stock recapitalizat</w:t>
      </w:r>
      <w:r>
        <w:rPr>
          <w:sz w:val="20"/>
          <w:szCs w:val="20"/>
        </w:rPr>
        <w:t>ions, reorganizations, recapitalizations and the like) for any 20 trading days within a 30 trading-day period ending on the third trading day prior to the date on which we give proper notice of such redemption to the warrants holders and provided certain o</w:t>
      </w:r>
      <w:r>
        <w:rPr>
          <w:sz w:val="20"/>
          <w:szCs w:val="20"/>
        </w:rPr>
        <w:t>ther conditions are met. If and when the warrants become redeemable by us, we may exercise our redemption right even if we are unable to register or qualify the underlying securities for sale under all applicable state securities laws. Redemption of the ou</w:t>
      </w:r>
      <w:r>
        <w:rPr>
          <w:sz w:val="20"/>
          <w:szCs w:val="20"/>
        </w:rPr>
        <w:t>tstanding warrants could force you to (i) exercise your warrants and pay the exercise price at a tim</w:t>
      </w:r>
      <w:r>
        <w:rPr>
          <w:sz w:val="20"/>
          <w:szCs w:val="20"/>
        </w:rPr>
        <w:t>e</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5</w:t>
      </w:r>
      <w:r>
        <w:rPr>
          <w:sz w:val="20"/>
          <w:szCs w:val="20"/>
        </w:rPr>
        <w:t>3</w:t>
      </w:r>
    </w:p>
    <w:p w:rsidR="00000000" w:rsidRDefault="00AF2D19">
      <w:pPr>
        <w:rPr>
          <w:rFonts w:eastAsia="Times New Roman"/>
        </w:rPr>
      </w:pPr>
      <w:r>
        <w:rPr>
          <w:rFonts w:eastAsia="Times New Roman"/>
        </w:rPr>
        <w:pict>
          <v:rect id="_x0000_i108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when it may be disadvantageous for you to do so, (ii) sell your w</w:t>
      </w:r>
      <w:r>
        <w:rPr>
          <w:sz w:val="20"/>
          <w:szCs w:val="20"/>
        </w:rPr>
        <w:t>arrants at the then-current market price when you might otherwise wish to hold your warrants or (iii) accept the nominal redemption price which, at the time the outstanding warrants are called for redemption, is likely to be substantially less than the mar</w:t>
      </w:r>
      <w:r>
        <w:rPr>
          <w:sz w:val="20"/>
          <w:szCs w:val="20"/>
        </w:rPr>
        <w:t>ket value of your warrants. None of the private placement warrants will be redeemable by us so long as they are held by the Sponsor or its permitted transferees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sz w:val="20"/>
          <w:szCs w:val="20"/>
        </w:rPr>
        <w:t>GENERAL RISK FACTOR</w:t>
      </w:r>
      <w:r>
        <w:rPr>
          <w:b/>
          <w:bCs/>
          <w:sz w:val="20"/>
          <w:szCs w:val="20"/>
        </w:rPr>
        <w:t>S</w:t>
      </w:r>
    </w:p>
    <w:p w:rsidR="00000000" w:rsidRDefault="00AF2D19">
      <w:pPr>
        <w:pStyle w:val="a3"/>
        <w:spacing w:before="240" w:beforeAutospacing="0" w:after="0" w:afterAutospacing="0"/>
        <w:jc w:val="both"/>
        <w:rPr>
          <w:sz w:val="20"/>
          <w:szCs w:val="20"/>
        </w:rPr>
      </w:pPr>
      <w:r>
        <w:rPr>
          <w:b/>
          <w:bCs/>
          <w:i/>
          <w:iCs/>
          <w:sz w:val="20"/>
          <w:szCs w:val="20"/>
        </w:rPr>
        <w:t>The price of our securities may be volatile</w:t>
      </w:r>
      <w:r>
        <w:rPr>
          <w:b/>
          <w:bCs/>
          <w:i/>
          <w:iCs/>
          <w:sz w:val="20"/>
          <w:szCs w:val="20"/>
        </w:rPr>
        <w:t>.</w:t>
      </w:r>
    </w:p>
    <w:p w:rsidR="00000000" w:rsidRDefault="00AF2D19">
      <w:pPr>
        <w:pStyle w:val="a3"/>
        <w:spacing w:before="120" w:beforeAutospacing="0" w:after="0" w:afterAutospacing="0"/>
        <w:jc w:val="both"/>
        <w:rPr>
          <w:sz w:val="20"/>
          <w:szCs w:val="20"/>
        </w:rPr>
      </w:pPr>
      <w:r>
        <w:rPr>
          <w:sz w:val="20"/>
          <w:szCs w:val="20"/>
        </w:rPr>
        <w:t>The price of our securities</w:t>
      </w:r>
      <w:r>
        <w:rPr>
          <w:sz w:val="20"/>
          <w:szCs w:val="20"/>
        </w:rPr>
        <w:t xml:space="preserve"> may fluctuate due to a variety of factors, including</w:t>
      </w:r>
      <w:r>
        <w:rPr>
          <w:sz w:val="20"/>
          <w:szCs w:val="20"/>
        </w:rPr>
        <w:t>:</w:t>
      </w:r>
      <w:r>
        <w:rPr>
          <w:sz w:val="20"/>
          <w:szCs w:val="20"/>
        </w:rPr>
        <w:t xml:space="preserve"> </w:t>
      </w:r>
    </w:p>
    <w:p w:rsidR="00000000" w:rsidRDefault="00AF2D19">
      <w:pPr>
        <w:spacing w:before="120"/>
        <w:ind w:left="3"/>
        <w:jc w:val="both"/>
        <w:divId w:val="482503142"/>
        <w:rPr>
          <w:rFonts w:eastAsia="Times New Roman"/>
        </w:rPr>
      </w:pPr>
      <w:r>
        <w:rPr>
          <w:rFonts w:eastAsia="Times New Roman"/>
          <w:sz w:val="20"/>
          <w:szCs w:val="20"/>
        </w:rPr>
        <w:t>●</w:t>
      </w:r>
    </w:p>
    <w:p w:rsidR="00000000" w:rsidRDefault="00AF2D19">
      <w:pPr>
        <w:jc w:val="both"/>
        <w:divId w:val="1979603141"/>
        <w:rPr>
          <w:rFonts w:eastAsia="Times New Roman"/>
        </w:rPr>
      </w:pPr>
      <w:r>
        <w:rPr>
          <w:rFonts w:eastAsia="Times New Roman"/>
          <w:sz w:val="20"/>
          <w:szCs w:val="20"/>
        </w:rPr>
        <w:t>the success of competitive services or technologies;</w:t>
      </w:r>
      <w:r>
        <w:rPr>
          <w:rFonts w:eastAsia="Times New Roman"/>
          <w:sz w:val="20"/>
          <w:szCs w:val="20"/>
        </w:rPr>
        <w:t xml:space="preserve"> </w:t>
      </w:r>
    </w:p>
    <w:p w:rsidR="00000000" w:rsidRDefault="00AF2D19">
      <w:pPr>
        <w:spacing w:before="120"/>
        <w:ind w:left="3"/>
        <w:jc w:val="both"/>
        <w:divId w:val="1840923065"/>
        <w:rPr>
          <w:rFonts w:eastAsia="Times New Roman"/>
        </w:rPr>
      </w:pPr>
      <w:r>
        <w:rPr>
          <w:rFonts w:eastAsia="Times New Roman"/>
          <w:sz w:val="20"/>
          <w:szCs w:val="20"/>
        </w:rPr>
        <w:t>●</w:t>
      </w:r>
    </w:p>
    <w:p w:rsidR="00000000" w:rsidRDefault="00AF2D19">
      <w:pPr>
        <w:jc w:val="both"/>
        <w:divId w:val="1461345209"/>
        <w:rPr>
          <w:rFonts w:eastAsia="Times New Roman"/>
        </w:rPr>
      </w:pPr>
      <w:r>
        <w:rPr>
          <w:rFonts w:eastAsia="Times New Roman"/>
          <w:sz w:val="20"/>
          <w:szCs w:val="20"/>
        </w:rPr>
        <w:t>developments related to our existing or any future collaborations;</w:t>
      </w:r>
      <w:r>
        <w:rPr>
          <w:rFonts w:eastAsia="Times New Roman"/>
          <w:sz w:val="20"/>
          <w:szCs w:val="20"/>
        </w:rPr>
        <w:t xml:space="preserve"> </w:t>
      </w:r>
    </w:p>
    <w:p w:rsidR="00000000" w:rsidRDefault="00AF2D19">
      <w:pPr>
        <w:spacing w:before="120"/>
        <w:ind w:left="3"/>
        <w:jc w:val="both"/>
        <w:divId w:val="1183130394"/>
        <w:rPr>
          <w:rFonts w:eastAsia="Times New Roman"/>
        </w:rPr>
      </w:pPr>
      <w:r>
        <w:rPr>
          <w:rFonts w:eastAsia="Times New Roman"/>
          <w:sz w:val="20"/>
          <w:szCs w:val="20"/>
        </w:rPr>
        <w:t>●</w:t>
      </w:r>
    </w:p>
    <w:p w:rsidR="00000000" w:rsidRDefault="00AF2D19">
      <w:pPr>
        <w:jc w:val="both"/>
        <w:divId w:val="1817258742"/>
        <w:rPr>
          <w:rFonts w:eastAsia="Times New Roman"/>
        </w:rPr>
      </w:pPr>
      <w:r>
        <w:rPr>
          <w:rFonts w:eastAsia="Times New Roman"/>
          <w:sz w:val="20"/>
          <w:szCs w:val="20"/>
        </w:rPr>
        <w:t>regulatory or legal developments in the United States and other countries;</w:t>
      </w:r>
      <w:r>
        <w:rPr>
          <w:rFonts w:eastAsia="Times New Roman"/>
          <w:sz w:val="20"/>
          <w:szCs w:val="20"/>
        </w:rPr>
        <w:t xml:space="preserve"> </w:t>
      </w:r>
    </w:p>
    <w:p w:rsidR="00000000" w:rsidRDefault="00AF2D19">
      <w:pPr>
        <w:spacing w:before="120"/>
        <w:ind w:left="3"/>
        <w:jc w:val="both"/>
        <w:divId w:val="486557514"/>
        <w:rPr>
          <w:rFonts w:eastAsia="Times New Roman"/>
        </w:rPr>
      </w:pPr>
      <w:r>
        <w:rPr>
          <w:rFonts w:eastAsia="Times New Roman"/>
          <w:sz w:val="20"/>
          <w:szCs w:val="20"/>
        </w:rPr>
        <w:t>●</w:t>
      </w:r>
    </w:p>
    <w:p w:rsidR="00000000" w:rsidRDefault="00AF2D19">
      <w:pPr>
        <w:jc w:val="both"/>
        <w:divId w:val="616836700"/>
        <w:rPr>
          <w:rFonts w:eastAsia="Times New Roman"/>
        </w:rPr>
      </w:pPr>
      <w:r>
        <w:rPr>
          <w:rFonts w:eastAsia="Times New Roman"/>
          <w:sz w:val="20"/>
          <w:szCs w:val="20"/>
        </w:rPr>
        <w:t>developments or disputes concerning our intellectual property or other proprietary rights;</w:t>
      </w:r>
      <w:r>
        <w:rPr>
          <w:rFonts w:eastAsia="Times New Roman"/>
          <w:sz w:val="20"/>
          <w:szCs w:val="20"/>
        </w:rPr>
        <w:t xml:space="preserve"> </w:t>
      </w:r>
    </w:p>
    <w:p w:rsidR="00000000" w:rsidRDefault="00AF2D19">
      <w:pPr>
        <w:spacing w:before="120"/>
        <w:ind w:left="3"/>
        <w:jc w:val="both"/>
        <w:divId w:val="1525555807"/>
        <w:rPr>
          <w:rFonts w:eastAsia="Times New Roman"/>
        </w:rPr>
      </w:pPr>
      <w:r>
        <w:rPr>
          <w:rFonts w:eastAsia="Times New Roman"/>
          <w:sz w:val="20"/>
          <w:szCs w:val="20"/>
        </w:rPr>
        <w:t>●</w:t>
      </w:r>
    </w:p>
    <w:p w:rsidR="00000000" w:rsidRDefault="00AF2D19">
      <w:pPr>
        <w:jc w:val="both"/>
        <w:divId w:val="1972713398"/>
        <w:rPr>
          <w:rFonts w:eastAsia="Times New Roman"/>
        </w:rPr>
      </w:pPr>
      <w:r>
        <w:rPr>
          <w:rFonts w:eastAsia="Times New Roman"/>
          <w:sz w:val="20"/>
          <w:szCs w:val="20"/>
        </w:rPr>
        <w:t>the recruitment or departure of key personnel;</w:t>
      </w:r>
      <w:r>
        <w:rPr>
          <w:rFonts w:eastAsia="Times New Roman"/>
          <w:sz w:val="20"/>
          <w:szCs w:val="20"/>
        </w:rPr>
        <w:t xml:space="preserve"> </w:t>
      </w:r>
    </w:p>
    <w:p w:rsidR="00000000" w:rsidRDefault="00AF2D19">
      <w:pPr>
        <w:spacing w:before="120"/>
        <w:ind w:left="3"/>
        <w:jc w:val="both"/>
        <w:divId w:val="273682937"/>
        <w:rPr>
          <w:rFonts w:eastAsia="Times New Roman"/>
        </w:rPr>
      </w:pPr>
      <w:r>
        <w:rPr>
          <w:rFonts w:eastAsia="Times New Roman"/>
          <w:sz w:val="20"/>
          <w:szCs w:val="20"/>
        </w:rPr>
        <w:t>●</w:t>
      </w:r>
    </w:p>
    <w:p w:rsidR="00000000" w:rsidRDefault="00AF2D19">
      <w:pPr>
        <w:jc w:val="both"/>
        <w:divId w:val="718941057"/>
        <w:rPr>
          <w:rFonts w:eastAsia="Times New Roman"/>
        </w:rPr>
      </w:pPr>
      <w:r>
        <w:rPr>
          <w:rFonts w:eastAsia="Times New Roman"/>
          <w:sz w:val="20"/>
          <w:szCs w:val="20"/>
        </w:rPr>
        <w:t>actual or anticipated changes in e</w:t>
      </w:r>
      <w:r>
        <w:rPr>
          <w:rFonts w:eastAsia="Times New Roman"/>
          <w:sz w:val="20"/>
          <w:szCs w:val="20"/>
        </w:rPr>
        <w:t>stimates as to financial results, development timelines or recommendations by securities analysts;</w:t>
      </w:r>
      <w:r>
        <w:rPr>
          <w:rFonts w:eastAsia="Times New Roman"/>
          <w:sz w:val="20"/>
          <w:szCs w:val="20"/>
        </w:rPr>
        <w:t xml:space="preserve"> </w:t>
      </w:r>
    </w:p>
    <w:p w:rsidR="00000000" w:rsidRDefault="00AF2D19">
      <w:pPr>
        <w:spacing w:before="120"/>
        <w:ind w:left="3"/>
        <w:jc w:val="both"/>
        <w:divId w:val="876895802"/>
        <w:rPr>
          <w:rFonts w:eastAsia="Times New Roman"/>
        </w:rPr>
      </w:pPr>
      <w:r>
        <w:rPr>
          <w:rFonts w:eastAsia="Times New Roman"/>
          <w:sz w:val="20"/>
          <w:szCs w:val="20"/>
        </w:rPr>
        <w:t>●</w:t>
      </w:r>
    </w:p>
    <w:p w:rsidR="00000000" w:rsidRDefault="00AF2D19">
      <w:pPr>
        <w:jc w:val="both"/>
        <w:divId w:val="2123106212"/>
        <w:rPr>
          <w:rFonts w:eastAsia="Times New Roman"/>
        </w:rPr>
      </w:pPr>
      <w:r>
        <w:rPr>
          <w:rFonts w:eastAsia="Times New Roman"/>
          <w:sz w:val="20"/>
          <w:szCs w:val="20"/>
        </w:rPr>
        <w:t>variations in our financial results or those of companies that are perceived to be similar to us;</w:t>
      </w:r>
      <w:r>
        <w:rPr>
          <w:rFonts w:eastAsia="Times New Roman"/>
          <w:sz w:val="20"/>
          <w:szCs w:val="20"/>
        </w:rPr>
        <w:t xml:space="preserve"> </w:t>
      </w:r>
    </w:p>
    <w:p w:rsidR="00000000" w:rsidRDefault="00AF2D19">
      <w:pPr>
        <w:spacing w:before="120"/>
        <w:ind w:left="3"/>
        <w:jc w:val="both"/>
        <w:divId w:val="353582810"/>
        <w:rPr>
          <w:rFonts w:eastAsia="Times New Roman"/>
        </w:rPr>
      </w:pPr>
      <w:r>
        <w:rPr>
          <w:rFonts w:eastAsia="Times New Roman"/>
          <w:sz w:val="20"/>
          <w:szCs w:val="20"/>
        </w:rPr>
        <w:t>●</w:t>
      </w:r>
    </w:p>
    <w:p w:rsidR="00000000" w:rsidRDefault="00AF2D19">
      <w:pPr>
        <w:jc w:val="both"/>
        <w:divId w:val="2116364084"/>
        <w:rPr>
          <w:rFonts w:eastAsia="Times New Roman"/>
        </w:rPr>
      </w:pPr>
      <w:r>
        <w:rPr>
          <w:rFonts w:eastAsia="Times New Roman"/>
          <w:sz w:val="20"/>
          <w:szCs w:val="20"/>
        </w:rPr>
        <w:t>changes in the structure of healthcare payment system</w:t>
      </w:r>
      <w:r>
        <w:rPr>
          <w:rFonts w:eastAsia="Times New Roman"/>
          <w:sz w:val="20"/>
          <w:szCs w:val="20"/>
        </w:rPr>
        <w:t>s;</w:t>
      </w:r>
      <w:r>
        <w:rPr>
          <w:rFonts w:eastAsia="Times New Roman"/>
          <w:sz w:val="20"/>
          <w:szCs w:val="20"/>
        </w:rPr>
        <w:t xml:space="preserve"> </w:t>
      </w:r>
    </w:p>
    <w:p w:rsidR="00000000" w:rsidRDefault="00AF2D19">
      <w:pPr>
        <w:spacing w:before="120"/>
        <w:ind w:left="3"/>
        <w:jc w:val="both"/>
        <w:divId w:val="2105572616"/>
        <w:rPr>
          <w:rFonts w:eastAsia="Times New Roman"/>
        </w:rPr>
      </w:pPr>
      <w:r>
        <w:rPr>
          <w:rFonts w:eastAsia="Times New Roman"/>
          <w:sz w:val="20"/>
          <w:szCs w:val="20"/>
        </w:rPr>
        <w:t>●</w:t>
      </w:r>
    </w:p>
    <w:p w:rsidR="00000000" w:rsidRDefault="00AF2D19">
      <w:pPr>
        <w:jc w:val="both"/>
        <w:divId w:val="1359433220"/>
        <w:rPr>
          <w:rFonts w:eastAsia="Times New Roman"/>
        </w:rPr>
      </w:pPr>
      <w:r>
        <w:rPr>
          <w:rFonts w:eastAsia="Times New Roman"/>
          <w:sz w:val="20"/>
          <w:szCs w:val="20"/>
        </w:rPr>
        <w:t>changes in the market’s expectations about our operating results;</w:t>
      </w:r>
      <w:r>
        <w:rPr>
          <w:rFonts w:eastAsia="Times New Roman"/>
          <w:sz w:val="20"/>
          <w:szCs w:val="20"/>
        </w:rPr>
        <w:t xml:space="preserve"> </w:t>
      </w:r>
    </w:p>
    <w:p w:rsidR="00000000" w:rsidRDefault="00AF2D19">
      <w:pPr>
        <w:spacing w:before="120"/>
        <w:ind w:left="3"/>
        <w:jc w:val="both"/>
        <w:divId w:val="67002039"/>
        <w:rPr>
          <w:rFonts w:eastAsia="Times New Roman"/>
        </w:rPr>
      </w:pPr>
      <w:r>
        <w:rPr>
          <w:rFonts w:eastAsia="Times New Roman"/>
          <w:sz w:val="20"/>
          <w:szCs w:val="20"/>
        </w:rPr>
        <w:t>●</w:t>
      </w:r>
    </w:p>
    <w:p w:rsidR="00000000" w:rsidRDefault="00AF2D19">
      <w:pPr>
        <w:jc w:val="both"/>
        <w:divId w:val="986587021"/>
        <w:rPr>
          <w:rFonts w:eastAsia="Times New Roman"/>
        </w:rPr>
      </w:pPr>
      <w:r>
        <w:rPr>
          <w:rFonts w:eastAsia="Times New Roman"/>
          <w:sz w:val="20"/>
          <w:szCs w:val="20"/>
        </w:rPr>
        <w:t>the public’s reaction to our press releases, other public announcements and filings with the SEC;</w:t>
      </w:r>
      <w:r>
        <w:rPr>
          <w:rFonts w:eastAsia="Times New Roman"/>
          <w:sz w:val="20"/>
          <w:szCs w:val="20"/>
        </w:rPr>
        <w:t xml:space="preserve"> </w:t>
      </w:r>
    </w:p>
    <w:p w:rsidR="00000000" w:rsidRDefault="00AF2D19">
      <w:pPr>
        <w:spacing w:before="120"/>
        <w:ind w:left="3"/>
        <w:jc w:val="both"/>
        <w:divId w:val="1619022749"/>
        <w:rPr>
          <w:rFonts w:eastAsia="Times New Roman"/>
        </w:rPr>
      </w:pPr>
      <w:r>
        <w:rPr>
          <w:rFonts w:eastAsia="Times New Roman"/>
          <w:sz w:val="20"/>
          <w:szCs w:val="20"/>
        </w:rPr>
        <w:t>●</w:t>
      </w:r>
    </w:p>
    <w:p w:rsidR="00000000" w:rsidRDefault="00AF2D19">
      <w:pPr>
        <w:jc w:val="both"/>
        <w:divId w:val="736977079"/>
        <w:rPr>
          <w:rFonts w:eastAsia="Times New Roman"/>
        </w:rPr>
      </w:pPr>
      <w:r>
        <w:rPr>
          <w:rFonts w:eastAsia="Times New Roman"/>
          <w:sz w:val="20"/>
          <w:szCs w:val="20"/>
        </w:rPr>
        <w:t>speculation in the press or investment community;</w:t>
      </w:r>
      <w:r>
        <w:rPr>
          <w:rFonts w:eastAsia="Times New Roman"/>
          <w:sz w:val="20"/>
          <w:szCs w:val="20"/>
        </w:rPr>
        <w:t xml:space="preserve"> </w:t>
      </w:r>
    </w:p>
    <w:p w:rsidR="00000000" w:rsidRDefault="00AF2D19">
      <w:pPr>
        <w:spacing w:before="120"/>
        <w:ind w:left="3"/>
        <w:jc w:val="both"/>
        <w:divId w:val="728960932"/>
        <w:rPr>
          <w:rFonts w:eastAsia="Times New Roman"/>
        </w:rPr>
      </w:pPr>
      <w:r>
        <w:rPr>
          <w:rFonts w:eastAsia="Times New Roman"/>
          <w:sz w:val="20"/>
          <w:szCs w:val="20"/>
        </w:rPr>
        <w:t>●</w:t>
      </w:r>
    </w:p>
    <w:p w:rsidR="00000000" w:rsidRDefault="00AF2D19">
      <w:pPr>
        <w:jc w:val="both"/>
        <w:divId w:val="1636061134"/>
        <w:rPr>
          <w:rFonts w:eastAsia="Times New Roman"/>
        </w:rPr>
      </w:pPr>
      <w:r>
        <w:rPr>
          <w:rFonts w:eastAsia="Times New Roman"/>
          <w:sz w:val="20"/>
          <w:szCs w:val="20"/>
        </w:rPr>
        <w:t>commencement of, or involve</w:t>
      </w:r>
      <w:r>
        <w:rPr>
          <w:rFonts w:eastAsia="Times New Roman"/>
          <w:sz w:val="20"/>
          <w:szCs w:val="20"/>
        </w:rPr>
        <w:t>ment in, litigation involving us;</w:t>
      </w:r>
      <w:r>
        <w:rPr>
          <w:rFonts w:eastAsia="Times New Roman"/>
          <w:sz w:val="20"/>
          <w:szCs w:val="20"/>
        </w:rPr>
        <w:t xml:space="preserve"> </w:t>
      </w:r>
    </w:p>
    <w:p w:rsidR="00000000" w:rsidRDefault="00AF2D19">
      <w:pPr>
        <w:spacing w:before="120"/>
        <w:ind w:left="3"/>
        <w:jc w:val="both"/>
        <w:divId w:val="567034242"/>
        <w:rPr>
          <w:rFonts w:eastAsia="Times New Roman"/>
        </w:rPr>
      </w:pPr>
      <w:r>
        <w:rPr>
          <w:rFonts w:eastAsia="Times New Roman"/>
          <w:sz w:val="20"/>
          <w:szCs w:val="20"/>
        </w:rPr>
        <w:t>●</w:t>
      </w:r>
    </w:p>
    <w:p w:rsidR="00000000" w:rsidRDefault="00AF2D19">
      <w:pPr>
        <w:jc w:val="both"/>
        <w:divId w:val="76944580"/>
        <w:rPr>
          <w:rFonts w:eastAsia="Times New Roman"/>
        </w:rPr>
      </w:pPr>
      <w:r>
        <w:rPr>
          <w:rFonts w:eastAsia="Times New Roman"/>
          <w:sz w:val="20"/>
          <w:szCs w:val="20"/>
        </w:rPr>
        <w:t>changes in our capital structure, such as future issuances of securities or the incurrence of additional debt;</w:t>
      </w:r>
      <w:r>
        <w:rPr>
          <w:rFonts w:eastAsia="Times New Roman"/>
          <w:sz w:val="20"/>
          <w:szCs w:val="20"/>
        </w:rPr>
        <w:t xml:space="preserve"> </w:t>
      </w:r>
    </w:p>
    <w:p w:rsidR="00000000" w:rsidRDefault="00AF2D19">
      <w:pPr>
        <w:spacing w:before="120"/>
        <w:ind w:left="3"/>
        <w:jc w:val="both"/>
        <w:divId w:val="438381366"/>
        <w:rPr>
          <w:rFonts w:eastAsia="Times New Roman"/>
        </w:rPr>
      </w:pPr>
      <w:r>
        <w:rPr>
          <w:rFonts w:eastAsia="Times New Roman"/>
          <w:sz w:val="20"/>
          <w:szCs w:val="20"/>
        </w:rPr>
        <w:t>●</w:t>
      </w:r>
    </w:p>
    <w:p w:rsidR="00000000" w:rsidRDefault="00AF2D19">
      <w:pPr>
        <w:jc w:val="both"/>
        <w:divId w:val="579288379"/>
        <w:rPr>
          <w:rFonts w:eastAsia="Times New Roman"/>
        </w:rPr>
      </w:pPr>
      <w:r>
        <w:rPr>
          <w:rFonts w:eastAsia="Times New Roman"/>
          <w:sz w:val="20"/>
          <w:szCs w:val="20"/>
        </w:rPr>
        <w:t>the volume of our securities available for public sale;</w:t>
      </w:r>
      <w:r>
        <w:rPr>
          <w:rFonts w:eastAsia="Times New Roman"/>
          <w:sz w:val="20"/>
          <w:szCs w:val="20"/>
        </w:rPr>
        <w:t xml:space="preserve"> </w:t>
      </w:r>
    </w:p>
    <w:p w:rsidR="00000000" w:rsidRDefault="00AF2D19">
      <w:pPr>
        <w:spacing w:before="120"/>
        <w:ind w:left="3"/>
        <w:jc w:val="both"/>
        <w:divId w:val="98452226"/>
        <w:rPr>
          <w:rFonts w:eastAsia="Times New Roman"/>
        </w:rPr>
      </w:pPr>
      <w:r>
        <w:rPr>
          <w:rFonts w:eastAsia="Times New Roman"/>
          <w:sz w:val="20"/>
          <w:szCs w:val="20"/>
        </w:rPr>
        <w:t>●</w:t>
      </w:r>
    </w:p>
    <w:p w:rsidR="00000000" w:rsidRDefault="00AF2D19">
      <w:pPr>
        <w:jc w:val="both"/>
        <w:divId w:val="1480077679"/>
        <w:rPr>
          <w:rFonts w:eastAsia="Times New Roman"/>
        </w:rPr>
      </w:pPr>
      <w:r>
        <w:rPr>
          <w:rFonts w:eastAsia="Times New Roman"/>
          <w:sz w:val="20"/>
          <w:szCs w:val="20"/>
        </w:rPr>
        <w:t>changes in our board of directors or management;</w:t>
      </w:r>
      <w:r>
        <w:rPr>
          <w:rFonts w:eastAsia="Times New Roman"/>
          <w:sz w:val="20"/>
          <w:szCs w:val="20"/>
        </w:rPr>
        <w:t xml:space="preserve"> </w:t>
      </w:r>
    </w:p>
    <w:p w:rsidR="00000000" w:rsidRDefault="00AF2D19">
      <w:pPr>
        <w:spacing w:before="120"/>
        <w:ind w:left="3"/>
        <w:jc w:val="both"/>
        <w:divId w:val="101456538"/>
        <w:rPr>
          <w:rFonts w:eastAsia="Times New Roman"/>
        </w:rPr>
      </w:pPr>
      <w:r>
        <w:rPr>
          <w:rFonts w:eastAsia="Times New Roman"/>
          <w:sz w:val="20"/>
          <w:szCs w:val="20"/>
        </w:rPr>
        <w:t>●</w:t>
      </w:r>
    </w:p>
    <w:p w:rsidR="00000000" w:rsidRDefault="00AF2D19">
      <w:pPr>
        <w:jc w:val="both"/>
        <w:divId w:val="868371521"/>
        <w:rPr>
          <w:rFonts w:eastAsia="Times New Roman"/>
        </w:rPr>
      </w:pPr>
      <w:r>
        <w:rPr>
          <w:rFonts w:eastAsia="Times New Roman"/>
          <w:sz w:val="20"/>
          <w:szCs w:val="20"/>
        </w:rPr>
        <w:t>general economic, industry and market conditions; and</w:t>
      </w:r>
      <w:r>
        <w:rPr>
          <w:rFonts w:eastAsia="Times New Roman"/>
          <w:sz w:val="20"/>
          <w:szCs w:val="20"/>
        </w:rPr>
        <w:t xml:space="preserve"> </w:t>
      </w:r>
    </w:p>
    <w:p w:rsidR="00000000" w:rsidRDefault="00AF2D19">
      <w:pPr>
        <w:spacing w:before="120"/>
        <w:ind w:left="3"/>
        <w:jc w:val="both"/>
        <w:divId w:val="1746681892"/>
        <w:rPr>
          <w:rFonts w:eastAsia="Times New Roman"/>
        </w:rPr>
      </w:pPr>
      <w:r>
        <w:rPr>
          <w:rFonts w:eastAsia="Times New Roman"/>
          <w:sz w:val="20"/>
          <w:szCs w:val="20"/>
        </w:rPr>
        <w:t>●</w:t>
      </w:r>
    </w:p>
    <w:p w:rsidR="00000000" w:rsidRDefault="00AF2D19">
      <w:pPr>
        <w:jc w:val="both"/>
        <w:divId w:val="119304780"/>
        <w:rPr>
          <w:rFonts w:eastAsia="Times New Roman"/>
        </w:rPr>
      </w:pPr>
      <w:r>
        <w:rPr>
          <w:rFonts w:eastAsia="Times New Roman"/>
          <w:sz w:val="20"/>
          <w:szCs w:val="20"/>
        </w:rPr>
        <w:t>the other factors described in this “Risk Factors” section.</w:t>
      </w:r>
      <w:r>
        <w:rPr>
          <w:rFonts w:eastAsia="Times New Roman"/>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These market and industry factors may materially reduce the market price of our common stock and warrants regardless of our operating performance</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 xml:space="preserve">We may need to raise additional capital in the future in order to execute our business plans, which may not </w:t>
      </w:r>
      <w:r>
        <w:rPr>
          <w:b/>
          <w:bCs/>
          <w:i/>
          <w:iCs/>
          <w:sz w:val="20"/>
          <w:szCs w:val="20"/>
        </w:rPr>
        <w:t>be available on terms acceptable to us, or at all</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have experienced recurring losses from operations, and negative cash flows at operations, and we expect our operating expenses will increase in the foreseeable future. We believe our cash and cash equi</w:t>
      </w:r>
      <w:r>
        <w:rPr>
          <w:sz w:val="20"/>
          <w:szCs w:val="20"/>
        </w:rPr>
        <w:t>valents on hand following the Business Combination, together with cash we expect to generate from future operations, will be sufficient to meet our working capital and capital expenditure requirements in the near future. However, in the future we may still</w:t>
      </w:r>
      <w:r>
        <w:rPr>
          <w:sz w:val="20"/>
          <w:szCs w:val="20"/>
        </w:rPr>
        <w:t xml:space="preserve"> require additional capital to respond to technological advancements, competitive dynamics or technologies, customer demands, business opportunities, challenges, acquisitions or unforeseen circumstances and we may determine to engage in equity or debt fina</w:t>
      </w:r>
      <w:r>
        <w:rPr>
          <w:sz w:val="20"/>
          <w:szCs w:val="20"/>
        </w:rPr>
        <w:t>ncings or enter into credit facilities for other reasons. We may not be able to timely secure additional debt or equity financing on favorable terms, or at all. If we raise additional funds through the issuance of equity or convertible debt or other equity</w:t>
      </w:r>
      <w:r>
        <w:rPr>
          <w:sz w:val="20"/>
          <w:szCs w:val="20"/>
        </w:rPr>
        <w:t>-linked securities, our existing stockholders could experience significant dilution. Any debt financing obtained by us in the future could involve restrictive covenants relating to our capital raising activities and other financial and operational matters,</w:t>
      </w:r>
      <w:r>
        <w:rPr>
          <w:sz w:val="20"/>
          <w:szCs w:val="20"/>
        </w:rPr>
        <w:t xml:space="preserve"> which may make it more difficult for us to obtain additional capital and to pursue business opportunities, including potential acquisitions. If we are unable to obtain adequate financing or financing on terms satisfactory to us, when we require it, our ab</w:t>
      </w:r>
      <w:r>
        <w:rPr>
          <w:sz w:val="20"/>
          <w:szCs w:val="20"/>
        </w:rPr>
        <w:t>ility to continue to grow or support our business and to respond to business challenges could be significantly limited</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5</w:t>
      </w:r>
      <w:r>
        <w:rPr>
          <w:sz w:val="20"/>
          <w:szCs w:val="20"/>
        </w:rPr>
        <w:t>4</w:t>
      </w:r>
    </w:p>
    <w:p w:rsidR="00000000" w:rsidRDefault="00AF2D19">
      <w:pPr>
        <w:rPr>
          <w:rFonts w:eastAsia="Times New Roman"/>
        </w:rPr>
      </w:pPr>
      <w:r>
        <w:rPr>
          <w:rFonts w:eastAsia="Times New Roman"/>
        </w:rPr>
        <w:pict>
          <v:rect id="_x0000_i1081"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i/>
          <w:iCs/>
          <w:sz w:val="20"/>
          <w:szCs w:val="20"/>
        </w:rPr>
        <w:t>We may be subject to securities litigation, whi</w:t>
      </w:r>
      <w:r>
        <w:rPr>
          <w:b/>
          <w:bCs/>
          <w:i/>
          <w:iCs/>
          <w:sz w:val="20"/>
          <w:szCs w:val="20"/>
        </w:rPr>
        <w:t>ch is expensive and could divert management attention</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market price of our securities may be volatile and, in the past, companies that have experienced volatility in the market price of their securities have been subject to securities class action lit</w:t>
      </w:r>
      <w:r>
        <w:rPr>
          <w:sz w:val="20"/>
          <w:szCs w:val="20"/>
        </w:rPr>
        <w:t xml:space="preserve">igation. We may face allegations or litigation related to, among other things, securities issuances or business practices. For example, putative class action lawsuits have been filed by certain of our shareholders against us and certain of our current and </w:t>
      </w:r>
      <w:r>
        <w:rPr>
          <w:sz w:val="20"/>
          <w:szCs w:val="20"/>
        </w:rPr>
        <w:t>former officers and directors alleging certain violations of the federal securities laws in connection with certain statements we have made regarding our business and financial condition. See Note 9, “Commitments and Contingent Liabilities” in the notes to</w:t>
      </w:r>
      <w:r>
        <w:rPr>
          <w:sz w:val="20"/>
          <w:szCs w:val="20"/>
        </w:rPr>
        <w:t xml:space="preserve"> the consolidated financial statements for further details. Litigation disputes, including the disputes we are currently facing, could cause us to incur unforeseen expenses, result in content unavailability, and otherwise occupy a significant amount of our</w:t>
      </w:r>
      <w:r>
        <w:rPr>
          <w:sz w:val="20"/>
          <w:szCs w:val="20"/>
        </w:rPr>
        <w:t xml:space="preserve"> management’s time and attention, any of which could negatively affect our business operations and financial position. While the ultimate outcome of investigations, inquiries, information requests and related legal proceedings is difficult to predict, such</w:t>
      </w:r>
      <w:r>
        <w:rPr>
          <w:sz w:val="20"/>
          <w:szCs w:val="20"/>
        </w:rPr>
        <w:t xml:space="preserve"> matters can be expensive, time-consuming and distracting, and adverse resolutions or settlements of those matters may result in, among other things, modification of our business practices, reputational harm or costs and significant payments, any of which </w:t>
      </w:r>
      <w:r>
        <w:rPr>
          <w:sz w:val="20"/>
          <w:szCs w:val="20"/>
        </w:rPr>
        <w:t>could negatively affect our business operations and financial position</w:t>
      </w:r>
      <w:r>
        <w:rPr>
          <w:sz w:val="20"/>
          <w:szCs w:val="20"/>
        </w:rPr>
        <w:t>.</w:t>
      </w:r>
    </w:p>
    <w:p w:rsidR="00000000" w:rsidRDefault="00AF2D19">
      <w:pPr>
        <w:pStyle w:val="a3"/>
        <w:spacing w:before="240" w:beforeAutospacing="0" w:after="0" w:afterAutospacing="0"/>
        <w:jc w:val="both"/>
        <w:rPr>
          <w:sz w:val="20"/>
          <w:szCs w:val="20"/>
        </w:rPr>
      </w:pPr>
      <w:r>
        <w:rPr>
          <w:b/>
          <w:bCs/>
          <w:i/>
          <w:iCs/>
          <w:sz w:val="20"/>
          <w:szCs w:val="20"/>
        </w:rPr>
        <w:t>Reports published by analysts, including projections in those reports that differ from our actual results, could adversely affect the price and trading volume of our common stock</w:t>
      </w:r>
      <w:r>
        <w:rPr>
          <w:b/>
          <w:bCs/>
          <w:i/>
          <w:iCs/>
          <w:sz w:val="20"/>
          <w:szCs w:val="20"/>
        </w:rPr>
        <w: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Sec</w:t>
      </w:r>
      <w:r>
        <w:rPr>
          <w:sz w:val="20"/>
          <w:szCs w:val="20"/>
        </w:rPr>
        <w:t xml:space="preserve">urities research analysts may establish and publish their own periodic projections for our business. These projections may vary widely and may not accurately predict the results we actually achieve. Our share price may decline if our actual results do not </w:t>
      </w:r>
      <w:r>
        <w:rPr>
          <w:sz w:val="20"/>
          <w:szCs w:val="20"/>
        </w:rPr>
        <w:t>match the projections of these securities research analysts. Similarly, if one or more of the analysts who write reports on us downgrades our stock or publishes inaccurate or unfavorable research about our business, our share price could decline. If one or</w:t>
      </w:r>
      <w:r>
        <w:rPr>
          <w:sz w:val="20"/>
          <w:szCs w:val="20"/>
        </w:rPr>
        <w:t xml:space="preserve"> more of these analysts ceases coverage of us or fails to publish reports on us regularly, our securities price or trading volume could decline. While we expect to receive research analyst coverage, if no analysts commence coverage of us, the market price </w:t>
      </w:r>
      <w:r>
        <w:rPr>
          <w:sz w:val="20"/>
          <w:szCs w:val="20"/>
        </w:rPr>
        <w:t>and volume for our securities could be adversely affected</w:t>
      </w:r>
      <w:r>
        <w:rPr>
          <w:sz w:val="20"/>
          <w:szCs w:val="20"/>
        </w:rPr>
        <w:t>.</w:t>
      </w:r>
    </w:p>
    <w:p w:rsidR="00000000" w:rsidRDefault="00AF2D19">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1B. UNRESOLVED STAFF COMMENT</w:t>
      </w:r>
      <w:r>
        <w:rPr>
          <w:b/>
          <w:bCs/>
          <w:sz w:val="20"/>
          <w:szCs w:val="20"/>
        </w:rPr>
        <w:t>S</w:t>
      </w:r>
    </w:p>
    <w:p w:rsidR="00000000" w:rsidRDefault="00AF2D19">
      <w:pPr>
        <w:pStyle w:val="a3"/>
        <w:spacing w:before="120" w:beforeAutospacing="0" w:after="0" w:afterAutospacing="0"/>
        <w:rPr>
          <w:sz w:val="20"/>
          <w:szCs w:val="20"/>
        </w:rPr>
      </w:pPr>
      <w:r>
        <w:rPr>
          <w:sz w:val="20"/>
          <w:szCs w:val="20"/>
        </w:rPr>
        <w:t>None</w:t>
      </w:r>
      <w:r>
        <w:rPr>
          <w:sz w:val="20"/>
          <w:szCs w:val="20"/>
        </w:rPr>
        <w:t>.</w:t>
      </w:r>
    </w:p>
    <w:p w:rsidR="00000000" w:rsidRDefault="00AF2D19">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2. PROPERTIE</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Since terminating our prior office lease in New York City in August 2020, we currently have no permanent physical office space and the ma</w:t>
      </w:r>
      <w:r>
        <w:rPr>
          <w:sz w:val="20"/>
          <w:szCs w:val="20"/>
        </w:rPr>
        <w:t>jority of our employees are working remotely. In August 2021, the Company entered into a temporary short-term co-working space agreement in New York City which expires in February 2022, and will not be renewed</w:t>
      </w:r>
      <w:r>
        <w:rPr>
          <w:sz w:val="20"/>
          <w:szCs w:val="20"/>
        </w:rPr>
        <w:t>.</w:t>
      </w:r>
    </w:p>
    <w:p w:rsidR="00000000" w:rsidRDefault="00AF2D19">
      <w:pPr>
        <w:pStyle w:val="a3"/>
        <w:spacing w:before="120" w:beforeAutospacing="0" w:after="0" w:afterAutospacing="0"/>
        <w:jc w:val="both"/>
        <w:rPr>
          <w:sz w:val="20"/>
          <w:szCs w:val="20"/>
        </w:rPr>
      </w:pPr>
      <w:r>
        <w:rPr>
          <w:sz w:val="20"/>
          <w:szCs w:val="20"/>
        </w:rPr>
        <w:t>We have limited operations outside the United States. As of December 31, 2021, we have one foreign subsidiary located in Israel which leases its operating facilities under a non-cancelable short-term operating lease agreement, which expired in July, 2021 a</w:t>
      </w:r>
      <w:r>
        <w:rPr>
          <w:sz w:val="20"/>
          <w:szCs w:val="20"/>
        </w:rPr>
        <w:t>nd renews monthly on the first day of every month</w:t>
      </w:r>
      <w:r>
        <w:rPr>
          <w:sz w:val="20"/>
          <w:szCs w:val="20"/>
        </w:rPr>
        <w:t>.</w:t>
      </w:r>
    </w:p>
    <w:p w:rsidR="00000000" w:rsidRDefault="00AF2D19">
      <w:pPr>
        <w:pStyle w:val="a3"/>
        <w:spacing w:before="360" w:beforeAutospacing="0" w:after="0" w:afterAutospacing="0"/>
        <w:rPr>
          <w:sz w:val="20"/>
          <w:szCs w:val="20"/>
        </w:rPr>
      </w:pPr>
      <w:r>
        <w:rPr>
          <w:b/>
          <w:bCs/>
          <w:sz w:val="20"/>
          <w:szCs w:val="20"/>
        </w:rPr>
        <w:t>It</w:t>
      </w:r>
      <w:r>
        <w:rPr>
          <w:b/>
          <w:bCs/>
          <w:sz w:val="20"/>
          <w:szCs w:val="20"/>
        </w:rPr>
        <w:t>e</w:t>
      </w:r>
      <w:r>
        <w:rPr>
          <w:b/>
          <w:bCs/>
          <w:sz w:val="20"/>
          <w:szCs w:val="20"/>
        </w:rPr>
        <w:t>m 3. LEGAL PROCEEDING</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From time to time, we may become involved in legal proceedings arising in the ordinary course of our business. We are not presently a party to any legal proceedings that, in the o</w:t>
      </w:r>
      <w:r>
        <w:rPr>
          <w:sz w:val="20"/>
          <w:szCs w:val="20"/>
        </w:rPr>
        <w:t>pinion of our management, would individually or taken together have a material adverse effect on our business, financial condition, results of operations or cash flows. See Note 9, “Commitments and Contingent Liabilities” in the notes to the consolidated f</w:t>
      </w:r>
      <w:r>
        <w:rPr>
          <w:sz w:val="20"/>
          <w:szCs w:val="20"/>
        </w:rPr>
        <w:t>inancial statements for further details</w:t>
      </w:r>
      <w:r>
        <w:rPr>
          <w:sz w:val="20"/>
          <w:szCs w:val="20"/>
        </w:rPr>
        <w:t>.</w:t>
      </w:r>
    </w:p>
    <w:p w:rsidR="00000000" w:rsidRDefault="00AF2D19">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4. MINE SAFETY DISCLOSURE</w:t>
      </w:r>
      <w:r>
        <w:rPr>
          <w:b/>
          <w:bCs/>
          <w:sz w:val="20"/>
          <w:szCs w:val="20"/>
        </w:rPr>
        <w:t>S</w:t>
      </w:r>
    </w:p>
    <w:p w:rsidR="00000000" w:rsidRDefault="00AF2D19">
      <w:pPr>
        <w:pStyle w:val="a3"/>
        <w:spacing w:before="120" w:beforeAutospacing="0" w:after="0" w:afterAutospacing="0"/>
        <w:rPr>
          <w:sz w:val="20"/>
          <w:szCs w:val="20"/>
        </w:rPr>
      </w:pPr>
      <w:r>
        <w:rPr>
          <w:sz w:val="20"/>
          <w:szCs w:val="20"/>
        </w:rPr>
        <w:t>Not applicable</w:t>
      </w:r>
      <w:r>
        <w:rPr>
          <w:sz w:val="20"/>
          <w:szCs w:val="20"/>
        </w:rPr>
        <w:t>.</w:t>
      </w:r>
    </w:p>
    <w:p w:rsidR="00000000" w:rsidRDefault="00AF2D19">
      <w:pPr>
        <w:pStyle w:val="a3"/>
        <w:spacing w:before="0" w:beforeAutospacing="0" w:after="0" w:afterAutospacing="0"/>
        <w:jc w:val="center"/>
        <w:rPr>
          <w:sz w:val="20"/>
          <w:szCs w:val="20"/>
        </w:rPr>
      </w:pPr>
      <w:r>
        <w:rPr>
          <w:sz w:val="20"/>
          <w:szCs w:val="20"/>
        </w:rPr>
        <w:t>5</w:t>
      </w:r>
      <w:r>
        <w:rPr>
          <w:sz w:val="20"/>
          <w:szCs w:val="20"/>
        </w:rPr>
        <w:t>5</w:t>
      </w:r>
    </w:p>
    <w:p w:rsidR="00000000" w:rsidRDefault="00AF2D19">
      <w:pPr>
        <w:rPr>
          <w:rFonts w:eastAsia="Times New Roman"/>
        </w:rPr>
      </w:pPr>
      <w:r>
        <w:rPr>
          <w:rFonts w:eastAsia="Times New Roman"/>
        </w:rPr>
        <w:pict>
          <v:rect id="_x0000_i108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2"/>
          <w:szCs w:val="22"/>
        </w:rPr>
        <w:t>PART I</w:t>
      </w:r>
      <w:r>
        <w:rPr>
          <w:b/>
          <w:bCs/>
          <w:sz w:val="22"/>
          <w:szCs w:val="22"/>
        </w:rPr>
        <w:t>I</w:t>
      </w:r>
    </w:p>
    <w:p w:rsidR="00000000" w:rsidRDefault="00AF2D19">
      <w:pPr>
        <w:pStyle w:val="a3"/>
        <w:spacing w:before="240" w:beforeAutospacing="0" w:after="0" w:afterAutospacing="0"/>
        <w:rPr>
          <w:sz w:val="20"/>
          <w:szCs w:val="20"/>
        </w:rPr>
      </w:pPr>
      <w:r>
        <w:rPr>
          <w:b/>
          <w:bCs/>
          <w:sz w:val="20"/>
          <w:szCs w:val="20"/>
        </w:rPr>
        <w:t xml:space="preserve">Item 5. MARKET FOR THE REGISTRANT'S COMMON EQUITY, RELATED STOCKHOLDER </w:t>
      </w:r>
      <w:r>
        <w:rPr>
          <w:b/>
          <w:bCs/>
          <w:sz w:val="20"/>
          <w:szCs w:val="20"/>
        </w:rPr>
        <w:t xml:space="preserve">MATTERS AND ISSUER PURCHASES OF EQUITY </w:t>
      </w:r>
      <w:r>
        <w:rPr>
          <w:b/>
          <w:bCs/>
          <w:sz w:val="20"/>
          <w:szCs w:val="20"/>
        </w:rPr>
        <w:t>S</w:t>
      </w:r>
      <w:r>
        <w:rPr>
          <w:b/>
          <w:bCs/>
          <w:sz w:val="20"/>
          <w:szCs w:val="20"/>
        </w:rPr>
        <w:t>ECURITIE</w:t>
      </w:r>
      <w:r>
        <w:rPr>
          <w:b/>
          <w:bCs/>
          <w:sz w:val="20"/>
          <w:szCs w:val="20"/>
        </w:rPr>
        <w:t>S</w:t>
      </w:r>
    </w:p>
    <w:p w:rsidR="00000000" w:rsidRDefault="00AF2D19">
      <w:pPr>
        <w:pStyle w:val="a3"/>
        <w:spacing w:before="240" w:beforeAutospacing="0" w:after="0" w:afterAutospacing="0"/>
        <w:rPr>
          <w:sz w:val="20"/>
          <w:szCs w:val="20"/>
        </w:rPr>
      </w:pPr>
      <w:r>
        <w:rPr>
          <w:b/>
          <w:bCs/>
          <w:sz w:val="20"/>
          <w:szCs w:val="20"/>
        </w:rPr>
        <w:t>Market Informatio</w:t>
      </w:r>
      <w:r>
        <w:rPr>
          <w:b/>
          <w:bCs/>
          <w:sz w:val="20"/>
          <w:szCs w:val="20"/>
        </w:rPr>
        <w:t>n</w:t>
      </w:r>
    </w:p>
    <w:p w:rsidR="00000000" w:rsidRDefault="00AF2D19">
      <w:pPr>
        <w:pStyle w:val="a3"/>
        <w:spacing w:before="120" w:beforeAutospacing="0" w:after="0" w:afterAutospacing="0"/>
        <w:jc w:val="both"/>
        <w:rPr>
          <w:sz w:val="20"/>
          <w:szCs w:val="20"/>
        </w:rPr>
      </w:pPr>
      <w:r>
        <w:rPr>
          <w:sz w:val="20"/>
          <w:szCs w:val="20"/>
        </w:rPr>
        <w:t>On June 23, 2021, Talkspace, Inc.'s common stock and warrants began trading on the Nasdaq Global Select Market under the symbols “TALK” and “TALKW,” respectively. Prior to that time, ther</w:t>
      </w:r>
      <w:r>
        <w:rPr>
          <w:sz w:val="20"/>
          <w:szCs w:val="20"/>
        </w:rPr>
        <w:t>e was no public market for our common stock or warrants</w:t>
      </w:r>
      <w:r>
        <w:rPr>
          <w:sz w:val="20"/>
          <w:szCs w:val="20"/>
        </w:rPr>
        <w:t>.</w:t>
      </w:r>
    </w:p>
    <w:p w:rsidR="00000000" w:rsidRDefault="00AF2D19">
      <w:pPr>
        <w:pStyle w:val="a3"/>
        <w:spacing w:before="240" w:beforeAutospacing="0" w:after="0" w:afterAutospacing="0"/>
        <w:rPr>
          <w:sz w:val="20"/>
          <w:szCs w:val="20"/>
        </w:rPr>
      </w:pPr>
      <w:r>
        <w:rPr>
          <w:b/>
          <w:bCs/>
          <w:sz w:val="20"/>
          <w:szCs w:val="20"/>
        </w:rPr>
        <w:t>Holder</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As of February 21, 2022, there were 76 holders of record of our common stock and 13 holders of record of our warrants</w:t>
      </w:r>
      <w:r>
        <w:rPr>
          <w:sz w:val="20"/>
          <w:szCs w:val="20"/>
        </w:rPr>
        <w:t>.</w:t>
      </w:r>
    </w:p>
    <w:p w:rsidR="00000000" w:rsidRDefault="00AF2D19">
      <w:pPr>
        <w:pStyle w:val="a3"/>
        <w:spacing w:before="240" w:beforeAutospacing="0" w:after="0" w:afterAutospacing="0"/>
        <w:rPr>
          <w:sz w:val="20"/>
          <w:szCs w:val="20"/>
        </w:rPr>
      </w:pPr>
      <w:r>
        <w:rPr>
          <w:b/>
          <w:bCs/>
          <w:sz w:val="20"/>
          <w:szCs w:val="20"/>
        </w:rPr>
        <w:t>Dividend</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We have not paid any cash dividends on our common stock to dat</w:t>
      </w:r>
      <w:r>
        <w:rPr>
          <w:sz w:val="20"/>
          <w:szCs w:val="20"/>
        </w:rPr>
        <w:t>e and, prior to the Business Combination, HEC had not paid any dividends on its common stock. The payment of cash dividends in the future will be dependent upon our revenues and earnings, if any, capital requirements and general financial condition. The pa</w:t>
      </w:r>
      <w:r>
        <w:rPr>
          <w:sz w:val="20"/>
          <w:szCs w:val="20"/>
        </w:rPr>
        <w:t>yment of any cash dividends will be within the discretion of our board of directors. Our ability to declare dividends may be limited by the terms of financing or other agreements entered into by us or our subsidiaries from time to time</w:t>
      </w:r>
      <w:r>
        <w:rPr>
          <w:sz w:val="20"/>
          <w:szCs w:val="20"/>
        </w:rPr>
        <w:t>.</w:t>
      </w:r>
    </w:p>
    <w:p w:rsidR="00000000" w:rsidRDefault="00AF2D19">
      <w:pPr>
        <w:pStyle w:val="a3"/>
        <w:spacing w:before="240" w:beforeAutospacing="0" w:after="0" w:afterAutospacing="0"/>
        <w:rPr>
          <w:sz w:val="20"/>
          <w:szCs w:val="20"/>
        </w:rPr>
      </w:pPr>
      <w:r>
        <w:rPr>
          <w:b/>
          <w:bCs/>
          <w:sz w:val="20"/>
          <w:szCs w:val="20"/>
        </w:rPr>
        <w:t>Stock Performance G</w:t>
      </w:r>
      <w:r>
        <w:rPr>
          <w:b/>
          <w:bCs/>
          <w:sz w:val="20"/>
          <w:szCs w:val="20"/>
        </w:rPr>
        <w:t>rap</w:t>
      </w:r>
      <w:r>
        <w:rPr>
          <w:b/>
          <w:bCs/>
          <w:sz w:val="20"/>
          <w:szCs w:val="20"/>
        </w:rPr>
        <w:t>h</w:t>
      </w:r>
    </w:p>
    <w:p w:rsidR="00000000" w:rsidRDefault="00AF2D19">
      <w:pPr>
        <w:pStyle w:val="a3"/>
        <w:spacing w:before="120" w:beforeAutospacing="0" w:after="0" w:afterAutospacing="0"/>
        <w:jc w:val="both"/>
        <w:rPr>
          <w:sz w:val="20"/>
          <w:szCs w:val="20"/>
        </w:rPr>
      </w:pPr>
      <w:r>
        <w:rPr>
          <w:sz w:val="20"/>
          <w:szCs w:val="20"/>
        </w:rPr>
        <w:t>The following graph and table illustrate the total return from June 23, 2021 through December 31, 2021, for (i) our common stock, (ii) the Standard &amp; Poor’s 500 Index, (iii) the Standard &amp; Poor’s 500 Healthcare Index and (iv) the Russell 2000 Composit</w:t>
      </w:r>
      <w:r>
        <w:rPr>
          <w:sz w:val="20"/>
          <w:szCs w:val="20"/>
        </w:rPr>
        <w:t>e Index. The graph and the table assume that $100 was invested on June 23, 2021 in each of our common stock, the Standard &amp; Poor’s 500 Index, the Standard &amp; Poor’s 500 Healthcare Index and the Russell 2000 Composite Index, and that any dividends were reinv</w:t>
      </w:r>
      <w:r>
        <w:rPr>
          <w:sz w:val="20"/>
          <w:szCs w:val="20"/>
        </w:rPr>
        <w:t>ested. The comparisons reflected in the graph and table are not intended to forecast the future performance of our stock and may not be indicative of our future performance</w:t>
      </w:r>
      <w:r>
        <w:rPr>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5</w:t>
      </w:r>
      <w:r>
        <w:rPr>
          <w:sz w:val="20"/>
          <w:szCs w:val="20"/>
        </w:rPr>
        <w:t>6</w:t>
      </w:r>
    </w:p>
    <w:p w:rsidR="00000000" w:rsidRDefault="00AF2D19">
      <w:pPr>
        <w:rPr>
          <w:rFonts w:eastAsia="Times New Roman"/>
        </w:rPr>
      </w:pPr>
      <w:r>
        <w:rPr>
          <w:rFonts w:eastAsia="Times New Roman"/>
        </w:rPr>
        <w:pict>
          <v:rect id="_x0000_i1083"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 xml:space="preserve">Table of </w:t>
        </w:r>
        <w:r>
          <w:rPr>
            <w:rStyle w:val="a4"/>
            <w:sz w:val="20"/>
            <w:szCs w:val="20"/>
          </w:rPr>
          <w:t>Content</w:t>
        </w:r>
        <w:r>
          <w:rPr>
            <w:rStyle w:val="a4"/>
            <w:sz w:val="20"/>
            <w:szCs w:val="20"/>
          </w:rPr>
          <w:t>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5000" w:type="pct"/>
            <w:vAlign w:val="center"/>
            <w:hideMark/>
          </w:tcPr>
          <w:p w:rsidR="00000000" w:rsidRDefault="00AF2D19">
            <w:pPr>
              <w:rPr>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20"/>
                <w:szCs w:val="20"/>
              </w:rPr>
            </w:pPr>
            <w:r>
              <w:rPr>
                <w:b/>
                <w:bCs/>
                <w:sz w:val="20"/>
                <w:szCs w:val="20"/>
              </w:rPr>
              <w:t>Talkspace, In</w:t>
            </w:r>
            <w:r>
              <w:rPr>
                <w:b/>
                <w:bCs/>
                <w:sz w:val="20"/>
                <w:szCs w:val="20"/>
              </w:rPr>
              <w:t>c</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20"/>
                <w:szCs w:val="20"/>
              </w:rPr>
            </w:pPr>
            <w:r>
              <w:rPr>
                <w:b/>
                <w:bCs/>
                <w:sz w:val="20"/>
                <w:szCs w:val="20"/>
              </w:rPr>
              <w:t>Common Stock Pric</w:t>
            </w:r>
            <w:r>
              <w:rPr>
                <w:b/>
                <w:bCs/>
                <w:sz w:val="20"/>
                <w:szCs w:val="20"/>
              </w:rPr>
              <w:t>e</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20"/>
                <w:szCs w:val="20"/>
              </w:rPr>
            </w:pPr>
            <w:r>
              <w:rPr>
                <w:b/>
                <w:bCs/>
                <w:sz w:val="20"/>
                <w:szCs w:val="20"/>
              </w:rPr>
              <w:t>June 23, 2021 to December 31, 2021 Compariso</w:t>
            </w:r>
            <w:r>
              <w:rPr>
                <w:b/>
                <w:bCs/>
                <w:sz w:val="20"/>
                <w:szCs w:val="20"/>
              </w:rPr>
              <w:t>n</w:t>
            </w:r>
          </w:p>
        </w:tc>
      </w:tr>
    </w:tbl>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AF2D19">
      <w:pPr>
        <w:pStyle w:val="a3"/>
        <w:spacing w:before="0" w:beforeAutospacing="0" w:after="0" w:afterAutospacing="0"/>
        <w:jc w:val="center"/>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9"/>
        <w:gridCol w:w="95"/>
        <w:gridCol w:w="617"/>
        <w:gridCol w:w="95"/>
        <w:gridCol w:w="95"/>
        <w:gridCol w:w="617"/>
        <w:gridCol w:w="95"/>
        <w:gridCol w:w="95"/>
        <w:gridCol w:w="617"/>
        <w:gridCol w:w="95"/>
        <w:gridCol w:w="95"/>
        <w:gridCol w:w="617"/>
        <w:gridCol w:w="95"/>
        <w:gridCol w:w="95"/>
        <w:gridCol w:w="618"/>
        <w:gridCol w:w="95"/>
        <w:gridCol w:w="95"/>
        <w:gridCol w:w="618"/>
        <w:gridCol w:w="95"/>
        <w:gridCol w:w="95"/>
        <w:gridCol w:w="618"/>
        <w:gridCol w:w="110"/>
      </w:tblGrid>
      <w:tr w:rsidR="00000000">
        <w:trPr>
          <w:tblCellSpacing w:w="15" w:type="dxa"/>
        </w:trPr>
        <w:tc>
          <w:tcPr>
            <w:tcW w:w="1737" w:type="pct"/>
            <w:vAlign w:val="center"/>
            <w:hideMark/>
          </w:tcPr>
          <w:p w:rsidR="00000000" w:rsidRDefault="00AF2D19">
            <w:pPr>
              <w:rPr>
                <w:sz w:val="20"/>
                <w:szCs w:val="20"/>
              </w:rPr>
            </w:pPr>
          </w:p>
        </w:tc>
        <w:tc>
          <w:tcPr>
            <w:tcW w:w="22" w:type="pct"/>
            <w:vAlign w:val="center"/>
            <w:hideMark/>
          </w:tcPr>
          <w:p w:rsidR="00000000" w:rsidRDefault="00AF2D19">
            <w:pPr>
              <w:rPr>
                <w:rFonts w:eastAsia="Times New Roman"/>
                <w:sz w:val="20"/>
                <w:szCs w:val="20"/>
              </w:rPr>
            </w:pPr>
          </w:p>
        </w:tc>
        <w:tc>
          <w:tcPr>
            <w:tcW w:w="421"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421"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421"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421"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421"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421"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421"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b/>
                <w:bCs/>
                <w:sz w:val="14"/>
                <w:szCs w:val="14"/>
                <w:u w:val="single"/>
              </w:rPr>
              <w:t>23-Ju</w:t>
            </w:r>
            <w:r>
              <w:rPr>
                <w:b/>
                <w:bCs/>
                <w:sz w:val="14"/>
                <w:szCs w:val="14"/>
                <w:u w:val="single"/>
              </w:rPr>
              <w:t>n</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b/>
                <w:bCs/>
                <w:sz w:val="14"/>
                <w:szCs w:val="14"/>
                <w:u w:val="single"/>
              </w:rPr>
              <w:t>30-Ju</w:t>
            </w:r>
            <w:r>
              <w:rPr>
                <w:b/>
                <w:bCs/>
                <w:sz w:val="14"/>
                <w:szCs w:val="14"/>
                <w:u w:val="single"/>
              </w:rPr>
              <w:t>l</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b/>
                <w:bCs/>
                <w:sz w:val="14"/>
                <w:szCs w:val="14"/>
                <w:u w:val="single"/>
              </w:rPr>
              <w:t>31-Au</w:t>
            </w:r>
            <w:r>
              <w:rPr>
                <w:b/>
                <w:bCs/>
                <w:sz w:val="14"/>
                <w:szCs w:val="14"/>
                <w:u w:val="single"/>
              </w:rPr>
              <w:t>g</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b/>
                <w:bCs/>
                <w:sz w:val="14"/>
                <w:szCs w:val="14"/>
                <w:u w:val="single"/>
              </w:rPr>
              <w:t>30-Se</w:t>
            </w:r>
            <w:r>
              <w:rPr>
                <w:b/>
                <w:bCs/>
                <w:sz w:val="14"/>
                <w:szCs w:val="14"/>
                <w:u w:val="single"/>
              </w:rPr>
              <w:t>p</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b/>
                <w:bCs/>
                <w:sz w:val="14"/>
                <w:szCs w:val="14"/>
                <w:u w:val="single"/>
              </w:rPr>
              <w:t>29-Oc</w:t>
            </w:r>
            <w:r>
              <w:rPr>
                <w:b/>
                <w:bCs/>
                <w:sz w:val="14"/>
                <w:szCs w:val="14"/>
                <w:u w:val="single"/>
              </w:rPr>
              <w:t>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b/>
                <w:bCs/>
                <w:sz w:val="14"/>
                <w:szCs w:val="14"/>
                <w:u w:val="single"/>
              </w:rPr>
              <w:t>30-No</w:t>
            </w:r>
            <w:r>
              <w:rPr>
                <w:b/>
                <w:bCs/>
                <w:sz w:val="14"/>
                <w:szCs w:val="14"/>
                <w:u w:val="single"/>
              </w:rPr>
              <w:t>v</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b/>
                <w:bCs/>
                <w:sz w:val="14"/>
                <w:szCs w:val="14"/>
                <w:u w:val="single"/>
              </w:rPr>
              <w:t>31-De</w:t>
            </w:r>
            <w:r>
              <w:rPr>
                <w:b/>
                <w:bCs/>
                <w:sz w:val="14"/>
                <w:szCs w:val="14"/>
                <w:u w:val="single"/>
              </w:rPr>
              <w:t>c</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Talkspac</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S&amp;P 50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11</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S&amp;P 500 / Healthcare Inde</w:t>
            </w:r>
            <w:r>
              <w:rPr>
                <w:sz w:val="14"/>
                <w:szCs w:val="14"/>
              </w:rPr>
              <w:t>x</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11</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Russell 2000 Composite Inde</w:t>
            </w:r>
            <w:r>
              <w:rPr>
                <w:sz w:val="14"/>
                <w:szCs w:val="14"/>
              </w:rPr>
              <w:t>x</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240" w:beforeAutospacing="0" w:after="0" w:afterAutospacing="0"/>
        <w:rPr>
          <w:sz w:val="20"/>
          <w:szCs w:val="20"/>
        </w:rPr>
      </w:pPr>
      <w:r>
        <w:rPr>
          <w:b/>
          <w:bCs/>
          <w:sz w:val="20"/>
          <w:szCs w:val="20"/>
        </w:rPr>
        <w:t>Use of Proceed</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 xml:space="preserve">On June 11, 2020, HEC consummated the HEC IPO, in which it issued 41,400,000 units (the “HEC Units”), including the issuance of 5,400,000 Units as a result of the underwriters’ exercise of their over-allotment option in full. Each HEC Unit </w:t>
      </w:r>
      <w:r>
        <w:rPr>
          <w:sz w:val="20"/>
          <w:szCs w:val="20"/>
        </w:rPr>
        <w:t>consists of one share of Class A common stock of HEC, par value $0.0001 per share, and one-half of one redeemable warrant of HEC (each an “HEC Warrant”), with each whole HEC Warrant entitling the holder thereof to purchase one share of HEC’s Class A common</w:t>
      </w:r>
      <w:r>
        <w:rPr>
          <w:sz w:val="20"/>
          <w:szCs w:val="20"/>
        </w:rPr>
        <w:t xml:space="preserve"> stock for $11.50 per share, subject to adjustment. The HEC Units were sold at a price of $10.00 per Unit, generating gross proceeds to HEC of $414,000,000. Simultaneously with the consummation of the HEC IPO and the exercise of the over-allotment option i</w:t>
      </w:r>
      <w:r>
        <w:rPr>
          <w:sz w:val="20"/>
          <w:szCs w:val="20"/>
        </w:rPr>
        <w:t>n full, HEC consummated a private placement of 10,280,000 private placement warrants to its sponsor, HEC Sponsor LLC, at a price of $1.00 per private placement warrant, generating total additional proceeds of $10.3 million. Such securities were issued purs</w:t>
      </w:r>
      <w:r>
        <w:rPr>
          <w:sz w:val="20"/>
          <w:szCs w:val="20"/>
        </w:rPr>
        <w:t>uant to the exemption from registration contained in Section 4(a)(2) of the Securities Act</w:t>
      </w:r>
      <w:r>
        <w:rPr>
          <w:sz w:val="20"/>
          <w:szCs w:val="20"/>
        </w:rPr>
        <w:t>.</w:t>
      </w:r>
    </w:p>
    <w:p w:rsidR="00000000" w:rsidRDefault="00AF2D19">
      <w:pPr>
        <w:pStyle w:val="a3"/>
        <w:spacing w:before="120" w:beforeAutospacing="0" w:after="0" w:afterAutospacing="0"/>
        <w:jc w:val="both"/>
        <w:rPr>
          <w:sz w:val="20"/>
          <w:szCs w:val="20"/>
        </w:rPr>
      </w:pPr>
      <w:r>
        <w:rPr>
          <w:sz w:val="20"/>
          <w:szCs w:val="20"/>
        </w:rPr>
        <w:t>HEC incurred approximately $23.4 million in transaction costs, including $8.3 million of underwriting fees, $14.5 million of deferred underwriting fees and $0.6 mil</w:t>
      </w:r>
      <w:r>
        <w:rPr>
          <w:sz w:val="20"/>
          <w:szCs w:val="20"/>
        </w:rPr>
        <w:t>lion of other costs. Following the HEC IPO, the exercise of the over-allotment option in full and the sale of the private placement warrants, a total of $414.2 million was placed in a trust account. After deducting payments to existing shareholders</w:t>
      </w:r>
      <w:r>
        <w:rPr>
          <w:sz w:val="20"/>
          <w:szCs w:val="20"/>
        </w:rPr>
        <w:t xml:space="preserve"> </w:t>
      </w:r>
      <w:r>
        <w:rPr>
          <w:sz w:val="20"/>
          <w:szCs w:val="20"/>
        </w:rPr>
        <w:t>of $259</w:t>
      </w:r>
      <w:r>
        <w:rPr>
          <w:sz w:val="20"/>
          <w:szCs w:val="20"/>
        </w:rPr>
        <w:t>.8 million in</w:t>
      </w:r>
      <w:r>
        <w:rPr>
          <w:sz w:val="20"/>
          <w:szCs w:val="20"/>
        </w:rPr>
        <w:t xml:space="preserve"> </w:t>
      </w:r>
      <w:r>
        <w:rPr>
          <w:sz w:val="20"/>
          <w:szCs w:val="20"/>
        </w:rPr>
        <w:t>connection with their exercise of redemption rights, the payment of the $14.5 million of deferred underwriting fees and a total of $14.0 million in expenses in connection with the Business Combination paid from the trust account, the remainde</w:t>
      </w:r>
      <w:r>
        <w:rPr>
          <w:sz w:val="20"/>
          <w:szCs w:val="20"/>
        </w:rPr>
        <w:t>r of the trust account is now held on our balance sheet to fund our operations and continued growth</w:t>
      </w:r>
      <w:r>
        <w:rPr>
          <w:sz w:val="20"/>
          <w:szCs w:val="20"/>
        </w:rPr>
        <w:t>.</w:t>
      </w:r>
    </w:p>
    <w:p w:rsidR="00000000" w:rsidRDefault="00AF2D19">
      <w:pPr>
        <w:pStyle w:val="a3"/>
        <w:spacing w:before="0" w:beforeAutospacing="0" w:after="0" w:afterAutospacing="0"/>
        <w:jc w:val="center"/>
        <w:rPr>
          <w:sz w:val="20"/>
          <w:szCs w:val="20"/>
        </w:rPr>
      </w:pPr>
      <w:r>
        <w:rPr>
          <w:sz w:val="20"/>
          <w:szCs w:val="20"/>
        </w:rPr>
        <w:t>5</w:t>
      </w:r>
      <w:r>
        <w:rPr>
          <w:sz w:val="20"/>
          <w:szCs w:val="20"/>
        </w:rPr>
        <w:t>7</w:t>
      </w:r>
    </w:p>
    <w:p w:rsidR="00000000" w:rsidRDefault="00AF2D19">
      <w:pPr>
        <w:rPr>
          <w:rFonts w:eastAsia="Times New Roman"/>
        </w:rPr>
      </w:pPr>
      <w:r>
        <w:rPr>
          <w:rFonts w:eastAsia="Times New Roman"/>
        </w:rPr>
        <w:pict>
          <v:rect id="_x0000_i108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6. Reserved</w:t>
      </w:r>
      <w:r>
        <w:rPr>
          <w:b/>
          <w:bCs/>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5</w:t>
      </w:r>
      <w:r>
        <w:rPr>
          <w:sz w:val="20"/>
          <w:szCs w:val="20"/>
        </w:rPr>
        <w:t>8</w:t>
      </w:r>
    </w:p>
    <w:p w:rsidR="00000000" w:rsidRDefault="00AF2D19">
      <w:pPr>
        <w:rPr>
          <w:rFonts w:eastAsia="Times New Roman"/>
        </w:rPr>
      </w:pPr>
      <w:r>
        <w:rPr>
          <w:rFonts w:eastAsia="Times New Roman"/>
        </w:rPr>
        <w:pict>
          <v:rect id="_x0000_i1086"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sz w:val="20"/>
          <w:szCs w:val="20"/>
        </w:rPr>
        <w:t> </w:t>
      </w:r>
    </w:p>
    <w:p w:rsidR="00000000" w:rsidRDefault="00AF2D19">
      <w:pPr>
        <w:pStyle w:val="a3"/>
        <w:spacing w:before="120" w:beforeAutospacing="0" w:after="0" w:afterAutospacing="0"/>
        <w:rPr>
          <w:sz w:val="20"/>
          <w:szCs w:val="20"/>
        </w:rPr>
      </w:pPr>
      <w:r>
        <w:rPr>
          <w:b/>
          <w:bCs/>
          <w:sz w:val="20"/>
          <w:szCs w:val="20"/>
        </w:rPr>
        <w:t>I</w:t>
      </w:r>
      <w:r>
        <w:rPr>
          <w:b/>
          <w:bCs/>
          <w:sz w:val="20"/>
          <w:szCs w:val="20"/>
        </w:rPr>
        <w:t>t</w:t>
      </w:r>
      <w:r>
        <w:rPr>
          <w:b/>
          <w:bCs/>
          <w:sz w:val="20"/>
          <w:szCs w:val="20"/>
        </w:rPr>
        <w:t>em 7. MANAGEMENT'S DISCUSSION AND ANALYSIS OF FINANCIAL CONDITION AND RESULTS OF OPERATION</w:t>
      </w:r>
      <w:r>
        <w:rPr>
          <w:b/>
          <w:bCs/>
          <w:sz w:val="20"/>
          <w:szCs w:val="20"/>
        </w:rPr>
        <w:t>S</w:t>
      </w:r>
    </w:p>
    <w:p w:rsidR="00000000" w:rsidRDefault="00AF2D19">
      <w:pPr>
        <w:pStyle w:val="a3"/>
        <w:spacing w:before="120" w:beforeAutospacing="0" w:after="0" w:afterAutospacing="0"/>
        <w:rPr>
          <w:sz w:val="20"/>
          <w:szCs w:val="20"/>
        </w:rPr>
      </w:pPr>
      <w:r>
        <w:rPr>
          <w:i/>
          <w:iCs/>
          <w:sz w:val="20"/>
          <w:szCs w:val="20"/>
        </w:rPr>
        <w:t>Unless the context otherwise requires, all references in this section to as “Talkspace,” the “Company,” “we,” “our” or “us” refer to the business of Talkspace, Inc. and its subsidiaries</w:t>
      </w:r>
      <w:r>
        <w:rPr>
          <w:i/>
          <w:iCs/>
          <w:sz w:val="20"/>
          <w:szCs w:val="20"/>
        </w:rPr>
        <w:t>.</w:t>
      </w:r>
      <w:r>
        <w:rPr>
          <w:i/>
          <w:iCs/>
          <w:sz w:val="20"/>
          <w:szCs w:val="20"/>
        </w:rPr>
        <w:t xml:space="preserve"> </w:t>
      </w:r>
    </w:p>
    <w:p w:rsidR="00000000" w:rsidRDefault="00AF2D19">
      <w:pPr>
        <w:pStyle w:val="a3"/>
        <w:spacing w:before="120" w:beforeAutospacing="0" w:after="0" w:afterAutospacing="0"/>
        <w:jc w:val="both"/>
        <w:rPr>
          <w:sz w:val="20"/>
          <w:szCs w:val="20"/>
        </w:rPr>
      </w:pPr>
      <w:r>
        <w:rPr>
          <w:i/>
          <w:iCs/>
          <w:sz w:val="20"/>
          <w:szCs w:val="20"/>
        </w:rPr>
        <w:t>The following discussion and analysis of our financial condition and</w:t>
      </w:r>
      <w:r>
        <w:rPr>
          <w:i/>
          <w:iCs/>
          <w:sz w:val="20"/>
          <w:szCs w:val="20"/>
        </w:rPr>
        <w:t xml:space="preserve"> results of operations should be read together with the financial statements and the related notes contained in this Annual Report. This discussion contains forward-looking statements reflecting our plans, estimates, and beliefs, which involve risks and un</w:t>
      </w:r>
      <w:r>
        <w:rPr>
          <w:i/>
          <w:iCs/>
          <w:sz w:val="20"/>
          <w:szCs w:val="20"/>
        </w:rPr>
        <w:t>certainties. As a result of many factors, such as those set forth under the “Risk Factors” and “Forward-Looking Statements” sections and elsewhere in this Annual Report, our actual results may differ materially from those anticipated in these forward-looki</w:t>
      </w:r>
      <w:r>
        <w:rPr>
          <w:i/>
          <w:iCs/>
          <w:sz w:val="20"/>
          <w:szCs w:val="20"/>
        </w:rPr>
        <w:t>ng statements</w:t>
      </w:r>
      <w:r>
        <w:rPr>
          <w:i/>
          <w:iCs/>
          <w:sz w:val="20"/>
          <w:szCs w:val="20"/>
        </w:rPr>
        <w:t>.</w:t>
      </w:r>
    </w:p>
    <w:p w:rsidR="00000000" w:rsidRDefault="00AF2D19">
      <w:pPr>
        <w:pStyle w:val="a3"/>
        <w:spacing w:before="240" w:beforeAutospacing="0" w:after="0" w:afterAutospacing="0"/>
        <w:rPr>
          <w:sz w:val="20"/>
          <w:szCs w:val="20"/>
        </w:rPr>
      </w:pPr>
      <w:r>
        <w:rPr>
          <w:b/>
          <w:bCs/>
          <w:sz w:val="20"/>
          <w:szCs w:val="20"/>
        </w:rPr>
        <w:t>Overvie</w:t>
      </w:r>
      <w:r>
        <w:rPr>
          <w:b/>
          <w:bCs/>
          <w:sz w:val="20"/>
          <w:szCs w:val="20"/>
        </w:rPr>
        <w:t>w</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As a healthcare company enabled by a purpose-built technology platform, Talkspace offers convenient and affordable access to a fully-credentialed network of highly qualified providers. We are a leading virtual behavioral health com</w:t>
      </w:r>
      <w:r>
        <w:rPr>
          <w:sz w:val="20"/>
          <w:szCs w:val="20"/>
        </w:rPr>
        <w:t>pany and, since Talkspace’s founding in 2012, we have connected millions of patients, who we refer to as our members, with licensed mental health providers across a wide and growing spectrum of care through virtual counseling, psychotherapy and psychiatry.</w:t>
      </w:r>
      <w:r>
        <w:rPr>
          <w:sz w:val="20"/>
          <w:szCs w:val="20"/>
        </w:rPr>
        <w:t xml:space="preserve"> We created a purpose-built platform to address the vast, unmet and growing demand for mental health services of our members, serving our business-to-consumer (“B2C”) channel, comprised of individual consumers who subscribe directly to our platform, and ou</w:t>
      </w:r>
      <w:r>
        <w:rPr>
          <w:sz w:val="20"/>
          <w:szCs w:val="20"/>
        </w:rPr>
        <w:t xml:space="preserve">r business-to-business (“B2B”) channel, comprised of large enterprise clients such as Google and Expedia and large health plans and employee assistance programs (“health plan clients”) such as Aetna, Cigna, Premera and Optum (collectively, our “clients”), </w:t>
      </w:r>
      <w:r>
        <w:rPr>
          <w:sz w:val="20"/>
          <w:szCs w:val="20"/>
        </w:rPr>
        <w:t>who offer their employees and insured members access to our platform while their employer is under an active contract with Talkspace, or at in-network reimbursement rates, where applicable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For the year</w:t>
      </w:r>
      <w:r>
        <w:rPr>
          <w:sz w:val="20"/>
          <w:szCs w:val="20"/>
        </w:rPr>
        <w:t xml:space="preserve"> </w:t>
      </w:r>
      <w:r>
        <w:rPr>
          <w:sz w:val="20"/>
          <w:szCs w:val="20"/>
        </w:rPr>
        <w:t>ended December 31, 2021, approximately 280,000 membe</w:t>
      </w:r>
      <w:r>
        <w:rPr>
          <w:sz w:val="20"/>
          <w:szCs w:val="20"/>
        </w:rPr>
        <w:t>rs were registered on our platform, as compared to approximately 200,000 for the year ended December 31, 2020. As of December 31, 2021, we had approximately 56,000 active members receiving care through our B2C and B2B channels, including approximately 24,0</w:t>
      </w:r>
      <w:r>
        <w:rPr>
          <w:sz w:val="20"/>
          <w:szCs w:val="20"/>
        </w:rPr>
        <w:t>00 B2C active members, and approximately 69 million B2B eligible lives. We consider members “active” (i) in the case of our B2C members, commencing on the date such member initiates contact with a provider on our platform until the term of their monthly, q</w:t>
      </w:r>
      <w:r>
        <w:rPr>
          <w:sz w:val="20"/>
          <w:szCs w:val="20"/>
        </w:rPr>
        <w:t>uarterly or bi-annual subscription plan expires, unless terminated early, and (ii) in the case of our B2B members, if such members have engaged on our platform during the preceding 25 days, such as sending a text, video or audio message to, or participatin</w:t>
      </w:r>
      <w:r>
        <w:rPr>
          <w:sz w:val="20"/>
          <w:szCs w:val="20"/>
        </w:rPr>
        <w:t>g in a video call with, a provider, completing a satisfaction or progress report survey or signing up for our platform. While a growth in active members typically highlights strong engagement with our members, not all active members are associated with rev</w:t>
      </w:r>
      <w:r>
        <w:rPr>
          <w:sz w:val="20"/>
          <w:szCs w:val="20"/>
        </w:rPr>
        <w:t>enue in that particular period. We consider B2B lives “eligible” if such persons are eligible to receive treatment on the Talkspace platform, in the case of our enterprise clients, while their employer is under an active contract with Talkspace, or, in the</w:t>
      </w:r>
      <w:r>
        <w:rPr>
          <w:sz w:val="20"/>
          <w:szCs w:val="20"/>
        </w:rPr>
        <w:t xml:space="preserve"> case of health plan clients, at an agreed upon reimbursement rate through insurance under an employee assistance program or other network behavioral health paid benefit program.</w:t>
      </w:r>
      <w:r>
        <w:rPr>
          <w:sz w:val="20"/>
          <w:szCs w:val="20"/>
        </w:rPr>
        <w:t xml:space="preserve"> </w:t>
      </w:r>
      <w:r>
        <w:rPr>
          <w:sz w:val="20"/>
          <w:szCs w:val="20"/>
        </w:rPr>
        <w:t>There may be instances where a person may be covered through multiple solutio</w:t>
      </w:r>
      <w:r>
        <w:rPr>
          <w:sz w:val="20"/>
          <w:szCs w:val="20"/>
        </w:rPr>
        <w:t>ns, typically through behavioral health plans and employee assistance programs. In these instances, the person is counted each time they are covered in the B2B eligible lives calculation, which may cause this amount to reflect a higher number of members th</w:t>
      </w:r>
      <w:r>
        <w:rPr>
          <w:sz w:val="20"/>
          <w:szCs w:val="20"/>
        </w:rPr>
        <w:t>an we actually serve</w:t>
      </w:r>
      <w:r>
        <w:rPr>
          <w:sz w:val="20"/>
          <w:szCs w:val="20"/>
        </w:rPr>
        <w:t>.</w:t>
      </w:r>
      <w:r>
        <w:rPr>
          <w:sz w:val="20"/>
          <w:szCs w:val="20"/>
        </w:rPr>
        <w:t xml:space="preserve"> For the year ended December 31, 2021, our clinicians completed 273,700 B2B sessions related to members covered under our health plan clients, as compared to 114,600 completed B2B sessions for the year ended December 31, 2020</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beh</w:t>
      </w:r>
      <w:r>
        <w:rPr>
          <w:sz w:val="20"/>
          <w:szCs w:val="20"/>
        </w:rPr>
        <w:t>avioral health market has traditionally been underserved for a number of reasons, including as a result of inadequate access, a limited universe of qualified providers, high cost and social stigma. We believe virtual is the ideal modality for mental health</w:t>
      </w:r>
      <w:r>
        <w:rPr>
          <w:sz w:val="20"/>
          <w:szCs w:val="20"/>
        </w:rPr>
        <w:t xml:space="preserve"> treatment because it removes or reduces these burdens associated with traditional face-to-face mental health services by improving convenience through 24/7 access to our platform, providing more accessible entry level price points, and reducing associated</w:t>
      </w:r>
      <w:r>
        <w:rPr>
          <w:sz w:val="20"/>
          <w:szCs w:val="20"/>
        </w:rPr>
        <w:t xml:space="preserve"> stigmas by promoting transparency, increasing ease of access and preserving privacy. Our platform connects consumers in need, including many of whom have never had an opportunity to benefit from high-quality behavioral healthcare, with experienced provide</w:t>
      </w:r>
      <w:r>
        <w:rPr>
          <w:sz w:val="20"/>
          <w:szCs w:val="20"/>
        </w:rPr>
        <w:t>rs across all 50 U.S. states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Through our psychotherapy offerings, our licensed therapists and counselors treat mental health conditions in o</w:t>
      </w:r>
      <w:r>
        <w:rPr>
          <w:sz w:val="20"/>
          <w:szCs w:val="20"/>
        </w:rPr>
        <w:t>v</w:t>
      </w:r>
      <w:r>
        <w:rPr>
          <w:sz w:val="20"/>
          <w:szCs w:val="20"/>
        </w:rPr>
        <w:t>er 21 specializations, such as depression, anxiety, trauma and other human challenges. Through our psychiatry off</w:t>
      </w:r>
      <w:r>
        <w:rPr>
          <w:sz w:val="20"/>
          <w:szCs w:val="20"/>
        </w:rPr>
        <w:t>erings, our board-certified psychiatrists and prescription-eligible nurse practitioners treat a higher acuity patient demographic, including thos</w:t>
      </w:r>
      <w:r>
        <w:rPr>
          <w:sz w:val="20"/>
          <w:szCs w:val="20"/>
        </w:rPr>
        <w:t>e</w:t>
      </w:r>
      <w:r>
        <w:rPr>
          <w:sz w:val="20"/>
          <w:szCs w:val="20"/>
        </w:rPr>
        <w:t xml:space="preserve"> who may have pharmacological needs. Like the traditional face-to-face models, Talkspace providers are able to</w:t>
      </w:r>
      <w:r>
        <w:rPr>
          <w:sz w:val="20"/>
          <w:szCs w:val="20"/>
        </w:rPr>
        <w:t xml:space="preserve"> treat a wide range of mental health conditions, such as schizophrenia-spectrum disorders, bipolar disorders and depression, including through prescription medication and management from psychiatrists, up and until the point that the provider, in their dis</w:t>
      </w:r>
      <w:r>
        <w:rPr>
          <w:sz w:val="20"/>
          <w:szCs w:val="20"/>
        </w:rPr>
        <w:t>cretion, feels i</w:t>
      </w:r>
      <w:r>
        <w:rPr>
          <w:sz w:val="20"/>
          <w:szCs w:val="20"/>
        </w:rPr>
        <w:t>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5</w:t>
      </w:r>
      <w:r>
        <w:rPr>
          <w:sz w:val="20"/>
          <w:szCs w:val="20"/>
        </w:rPr>
        <w:t>9</w:t>
      </w:r>
    </w:p>
    <w:p w:rsidR="00000000" w:rsidRDefault="00AF2D19">
      <w:pPr>
        <w:rPr>
          <w:rFonts w:eastAsia="Times New Roman"/>
        </w:rPr>
      </w:pPr>
      <w:r>
        <w:rPr>
          <w:rFonts w:eastAsia="Times New Roman"/>
        </w:rPr>
        <w:pict>
          <v:rect id="_x0000_i1087"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prudent to refer the member to a face-to-face psychiatrist to address potential needs for “controlled substances” under the federal Controlled Substa</w:t>
      </w:r>
      <w:r>
        <w:rPr>
          <w:sz w:val="20"/>
          <w:szCs w:val="20"/>
        </w:rPr>
        <w:t>nces Act, which generally prohibits the prescribing and dispensing of controlled substances via telehealth without performing an in-person examination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While optimizing consumers’ access to care, we believe our platform also provides benefits to providers</w:t>
      </w:r>
      <w:r>
        <w:rPr>
          <w:sz w:val="20"/>
          <w:szCs w:val="20"/>
        </w:rPr>
        <w:t xml:space="preserve"> through expanded reach, steady access to member leads, reduced administrative burdens, more efficient time utilization and data-driven insights. These features, together with continuous training and professional growth opportunities we offer, empower prov</w:t>
      </w:r>
      <w:r>
        <w:rPr>
          <w:sz w:val="20"/>
          <w:szCs w:val="20"/>
        </w:rPr>
        <w:t>iders to deliver what we believe will enable an enhanced care journey, higher member lifetime engagement, meaningful outcomes and greater margins when compared to face-to-face treatment</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sz w:val="20"/>
          <w:szCs w:val="20"/>
        </w:rPr>
        <w:t>Recent Event</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On January 12, 2021, HEC, entered into an Agreement an</w:t>
      </w:r>
      <w:r>
        <w:rPr>
          <w:sz w:val="20"/>
          <w:szCs w:val="20"/>
        </w:rPr>
        <w:t>d Plan of Merger, dated as of January 12, 2021 (the “Merger Agreement”), with Groop Internet Platform, Inc. (“Old Talkspace”), Tailwind Merger Sub I, Inc., a Delaware corporation and a direct wholly owned subsidiary of HEC (“First Merger Sub”), and Tailwin</w:t>
      </w:r>
      <w:r>
        <w:rPr>
          <w:sz w:val="20"/>
          <w:szCs w:val="20"/>
        </w:rPr>
        <w:t>d Merger Sub II, LLC, a Delaware limited liability company (“Second Merger Sub”)</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On June 22, 2021, as contemplated by the Merger Agreement, First Merger Sub merged with and into Old Talkspace (the “First Merger”) with Old Talkspace surviving the First Me</w:t>
      </w:r>
      <w:r>
        <w:rPr>
          <w:sz w:val="20"/>
          <w:szCs w:val="20"/>
        </w:rPr>
        <w:t>rger, and immediately following the First Merger and as part of the same overall transaction as the First Merger, Old Talkspace merged with and into Second Merger Sub, with Second Merger Sub surviving the merger as a wholly owned subsidiary of HEC (the “Se</w:t>
      </w:r>
      <w:r>
        <w:rPr>
          <w:sz w:val="20"/>
          <w:szCs w:val="20"/>
        </w:rPr>
        <w:t>cond Merger” and, together with the First Merger, the “Business Combination”). In connection with the Business Combination, HEC filed the Certificate of Incorporation and changed its name to “Talkspace, Inc.</w:t>
      </w:r>
      <w:r>
        <w:rPr>
          <w:sz w:val="20"/>
          <w:szCs w:val="20"/>
        </w:rPr>
        <w:t>”</w:t>
      </w:r>
    </w:p>
    <w:p w:rsidR="00000000" w:rsidRDefault="00AF2D19">
      <w:pPr>
        <w:pStyle w:val="a3"/>
        <w:spacing w:before="120" w:beforeAutospacing="0" w:after="0" w:afterAutospacing="0"/>
        <w:jc w:val="both"/>
        <w:rPr>
          <w:sz w:val="20"/>
          <w:szCs w:val="20"/>
        </w:rPr>
      </w:pPr>
      <w:r>
        <w:rPr>
          <w:sz w:val="20"/>
          <w:szCs w:val="20"/>
        </w:rPr>
        <w:t>See Note 3, “Business Combination” in the notes</w:t>
      </w:r>
      <w:r>
        <w:rPr>
          <w:sz w:val="20"/>
          <w:szCs w:val="20"/>
        </w:rPr>
        <w:t xml:space="preserve"> to the consolidated financial statements for further details</w:t>
      </w:r>
      <w:r>
        <w:rPr>
          <w:sz w:val="20"/>
          <w:szCs w:val="20"/>
        </w:rPr>
        <w:t>.</w:t>
      </w:r>
    </w:p>
    <w:p w:rsidR="00000000" w:rsidRDefault="00AF2D19">
      <w:pPr>
        <w:pStyle w:val="a3"/>
        <w:spacing w:before="240" w:beforeAutospacing="0" w:after="0" w:afterAutospacing="0"/>
        <w:jc w:val="both"/>
        <w:rPr>
          <w:sz w:val="20"/>
          <w:szCs w:val="20"/>
        </w:rPr>
      </w:pPr>
      <w:r>
        <w:rPr>
          <w:b/>
          <w:bCs/>
          <w:sz w:val="20"/>
          <w:szCs w:val="20"/>
        </w:rPr>
        <w:t>COVID-19 Updat</w:t>
      </w:r>
      <w:r>
        <w:rPr>
          <w:b/>
          <w:bCs/>
          <w:sz w:val="20"/>
          <w:szCs w:val="20"/>
        </w:rPr>
        <w:t>e</w:t>
      </w:r>
    </w:p>
    <w:p w:rsidR="00000000" w:rsidRDefault="00AF2D19">
      <w:pPr>
        <w:pStyle w:val="a3"/>
        <w:spacing w:before="120" w:beforeAutospacing="0" w:after="0" w:afterAutospacing="0"/>
        <w:jc w:val="both"/>
        <w:rPr>
          <w:sz w:val="20"/>
          <w:szCs w:val="20"/>
        </w:rPr>
      </w:pPr>
      <w:r>
        <w:rPr>
          <w:sz w:val="20"/>
          <w:szCs w:val="20"/>
        </w:rPr>
        <w:t>While the global crisis resulting from the spread of COVID-19 has not had a negative impact on our business and results of operations so far, the COVID-19 pandemic has caused ge</w:t>
      </w:r>
      <w:r>
        <w:rPr>
          <w:sz w:val="20"/>
          <w:szCs w:val="20"/>
        </w:rPr>
        <w:t>neral business disruption worldwide. The full extent to which the COVID-19 pandemic will directly or indirectly impact our business, results of operations and financial condition will depend on future developments that are highly uncertain and cannot be ac</w:t>
      </w:r>
      <w:r>
        <w:rPr>
          <w:sz w:val="20"/>
          <w:szCs w:val="20"/>
        </w:rPr>
        <w:t>curately predicted, and we continue to closely monitor how the COVID-19 pandemic is impacting our business. Thus far, we believe that the COVID-19 pandemic has been a contributing factor to the acceleration of growth of our business. However, we cannot det</w:t>
      </w:r>
      <w:r>
        <w:rPr>
          <w:sz w:val="20"/>
          <w:szCs w:val="20"/>
        </w:rPr>
        <w:t>ermine the extent to which our results of operations and overall financial performance have been affected by the COVID-19 pandemic. While our financial condition and results of operations were not negatively impacted by the COVID-19 pandemic, the impact of</w:t>
      </w:r>
      <w:r>
        <w:rPr>
          <w:sz w:val="20"/>
          <w:szCs w:val="20"/>
        </w:rPr>
        <w:t xml:space="preserve"> the pandemic on our future growth, results of operations, cash flow and financial condition is unknown, and we are unable to accurately predict such future impact. There can be no assurance that the circumstances that have accelerated the growth of our bu</w:t>
      </w:r>
      <w:r>
        <w:rPr>
          <w:sz w:val="20"/>
          <w:szCs w:val="20"/>
        </w:rPr>
        <w:t>siness stemming from the effects of the COVID-19 pandemic will continue over time whether during or after the COVID-19 pandemic</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sz w:val="20"/>
          <w:szCs w:val="20"/>
        </w:rPr>
        <w:t>Operating Segment</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operate our business in a single segment and as one reporting unit, which is how our chief operating de</w:t>
      </w:r>
      <w:r>
        <w:rPr>
          <w:sz w:val="20"/>
          <w:szCs w:val="20"/>
        </w:rPr>
        <w:t>cision maker (who is our interim chief executive officer) reviews financial performance and allocates resources</w:t>
      </w:r>
      <w:r>
        <w:rPr>
          <w:sz w:val="20"/>
          <w:szCs w:val="20"/>
        </w:rPr>
        <w:t>.</w:t>
      </w:r>
    </w:p>
    <w:p w:rsidR="00000000" w:rsidRDefault="00AF2D19">
      <w:pPr>
        <w:pStyle w:val="a3"/>
        <w:spacing w:before="120" w:beforeAutospacing="0" w:after="0" w:afterAutospacing="0"/>
        <w:jc w:val="both"/>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6</w:t>
      </w:r>
      <w:r>
        <w:rPr>
          <w:sz w:val="20"/>
          <w:szCs w:val="20"/>
        </w:rPr>
        <w:t>0</w:t>
      </w:r>
    </w:p>
    <w:p w:rsidR="00000000" w:rsidRDefault="00AF2D19">
      <w:pPr>
        <w:rPr>
          <w:rFonts w:eastAsia="Times New Roman"/>
        </w:rPr>
      </w:pPr>
      <w:r>
        <w:rPr>
          <w:rFonts w:eastAsia="Times New Roman"/>
        </w:rPr>
        <w:pict>
          <v:rect id="_x0000_i1088"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sz w:val="20"/>
          <w:szCs w:val="20"/>
        </w:rPr>
        <w:t>Key Business Metric</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monitor the following key metrics to help us evaluate our business, identify trends affecting our business, formulate business plans and make stra</w:t>
      </w:r>
      <w:r>
        <w:rPr>
          <w:sz w:val="20"/>
          <w:szCs w:val="20"/>
        </w:rPr>
        <w:t>tegic decisions. We believe the following metrics are useful in evaluating our business</w:t>
      </w:r>
      <w:r>
        <w:rPr>
          <w:sz w:val="20"/>
          <w:szCs w:val="20"/>
        </w:rPr>
        <w:t>:</w:t>
      </w:r>
      <w:r>
        <w:rPr>
          <w:sz w:val="20"/>
          <w:szCs w:val="20"/>
        </w:rPr>
        <w:t xml:space="preserve"> </w:t>
      </w:r>
    </w:p>
    <w:p w:rsidR="00000000" w:rsidRDefault="00AF2D19">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5"/>
        <w:gridCol w:w="134"/>
        <w:gridCol w:w="110"/>
        <w:gridCol w:w="1109"/>
        <w:gridCol w:w="110"/>
        <w:gridCol w:w="134"/>
        <w:gridCol w:w="110"/>
        <w:gridCol w:w="1109"/>
        <w:gridCol w:w="125"/>
      </w:tblGrid>
      <w:tr w:rsidR="00000000">
        <w:trPr>
          <w:tblCellSpacing w:w="15" w:type="dxa"/>
        </w:trPr>
        <w:tc>
          <w:tcPr>
            <w:tcW w:w="3333" w:type="pct"/>
            <w:vAlign w:val="center"/>
            <w:hideMark/>
          </w:tcPr>
          <w:p w:rsidR="00000000" w:rsidRDefault="00AF2D19">
            <w:pPr>
              <w:rPr>
                <w:sz w:val="20"/>
                <w:szCs w:val="20"/>
              </w:rPr>
            </w:pPr>
          </w:p>
        </w:tc>
        <w:tc>
          <w:tcPr>
            <w:tcW w:w="80" w:type="pct"/>
            <w:vAlign w:val="center"/>
            <w:hideMark/>
          </w:tcPr>
          <w:p w:rsidR="00000000" w:rsidRDefault="00AF2D19">
            <w:pPr>
              <w:rPr>
                <w:rFonts w:eastAsia="Times New Roman"/>
                <w:sz w:val="20"/>
                <w:szCs w:val="20"/>
              </w:rPr>
            </w:pPr>
          </w:p>
        </w:tc>
        <w:tc>
          <w:tcPr>
            <w:tcW w:w="31" w:type="pct"/>
            <w:vAlign w:val="center"/>
            <w:hideMark/>
          </w:tcPr>
          <w:p w:rsidR="00000000" w:rsidRDefault="00AF2D19">
            <w:pPr>
              <w:rPr>
                <w:rFonts w:eastAsia="Times New Roman"/>
                <w:sz w:val="20"/>
                <w:szCs w:val="20"/>
              </w:rPr>
            </w:pPr>
          </w:p>
        </w:tc>
        <w:tc>
          <w:tcPr>
            <w:tcW w:w="688" w:type="pct"/>
            <w:vAlign w:val="center"/>
            <w:hideMark/>
          </w:tcPr>
          <w:p w:rsidR="00000000" w:rsidRDefault="00AF2D19">
            <w:pPr>
              <w:rPr>
                <w:rFonts w:eastAsia="Times New Roman"/>
                <w:sz w:val="20"/>
                <w:szCs w:val="20"/>
              </w:rPr>
            </w:pPr>
          </w:p>
        </w:tc>
        <w:tc>
          <w:tcPr>
            <w:tcW w:w="31" w:type="pct"/>
            <w:vAlign w:val="center"/>
            <w:hideMark/>
          </w:tcPr>
          <w:p w:rsidR="00000000" w:rsidRDefault="00AF2D19">
            <w:pPr>
              <w:rPr>
                <w:rFonts w:eastAsia="Times New Roman"/>
                <w:sz w:val="20"/>
                <w:szCs w:val="20"/>
              </w:rPr>
            </w:pPr>
          </w:p>
        </w:tc>
        <w:tc>
          <w:tcPr>
            <w:tcW w:w="80" w:type="pct"/>
            <w:vAlign w:val="center"/>
            <w:hideMark/>
          </w:tcPr>
          <w:p w:rsidR="00000000" w:rsidRDefault="00AF2D19">
            <w:pPr>
              <w:rPr>
                <w:rFonts w:eastAsia="Times New Roman"/>
                <w:sz w:val="20"/>
                <w:szCs w:val="20"/>
              </w:rPr>
            </w:pPr>
          </w:p>
        </w:tc>
        <w:tc>
          <w:tcPr>
            <w:tcW w:w="31" w:type="pct"/>
            <w:vAlign w:val="center"/>
            <w:hideMark/>
          </w:tcPr>
          <w:p w:rsidR="00000000" w:rsidRDefault="00AF2D19">
            <w:pPr>
              <w:rPr>
                <w:rFonts w:eastAsia="Times New Roman"/>
                <w:sz w:val="20"/>
                <w:szCs w:val="20"/>
              </w:rPr>
            </w:pPr>
          </w:p>
        </w:tc>
        <w:tc>
          <w:tcPr>
            <w:tcW w:w="688" w:type="pct"/>
            <w:vAlign w:val="center"/>
            <w:hideMark/>
          </w:tcPr>
          <w:p w:rsidR="00000000" w:rsidRDefault="00AF2D19">
            <w:pPr>
              <w:rPr>
                <w:rFonts w:eastAsia="Times New Roman"/>
                <w:sz w:val="20"/>
                <w:szCs w:val="20"/>
              </w:rPr>
            </w:pPr>
          </w:p>
        </w:tc>
        <w:tc>
          <w:tcPr>
            <w:tcW w:w="31"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F2D19">
            <w:pPr>
              <w:pStyle w:val="a3"/>
              <w:spacing w:before="0" w:beforeAutospacing="0" w:after="0" w:afterAutospacing="0"/>
              <w:jc w:val="center"/>
              <w:rPr>
                <w:sz w:val="16"/>
                <w:szCs w:val="16"/>
              </w:rPr>
            </w:pPr>
            <w:r>
              <w:rPr>
                <w:b/>
                <w:bCs/>
                <w:sz w:val="16"/>
                <w:szCs w:val="16"/>
              </w:rPr>
              <w:t>For the Years Ended</w:t>
            </w:r>
            <w:r>
              <w:rPr>
                <w:b/>
                <w:bCs/>
                <w:sz w:val="16"/>
                <w:szCs w:val="16"/>
              </w:rPr>
              <w:br/>
              <w:t>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 except number of health plan and enterprise clients or otherwise indicated</w:t>
            </w:r>
            <w:r>
              <w:rPr>
                <w:i/>
                <w:i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Number of B2C active members at year en</w:t>
            </w:r>
            <w:r>
              <w:rPr>
                <w:sz w:val="20"/>
                <w:szCs w:val="20"/>
              </w:rPr>
              <w:t>d</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23.</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29.</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Number of B2B eligible lives at year end</w:t>
            </w:r>
            <w:r>
              <w:rPr>
                <w:sz w:val="20"/>
                <w:szCs w:val="20"/>
              </w:rPr>
              <w:t xml:space="preserve"> </w:t>
            </w:r>
            <w:r>
              <w:rPr>
                <w:i/>
                <w:iCs/>
                <w:sz w:val="20"/>
                <w:szCs w:val="20"/>
              </w:rPr>
              <w:t>(in millions</w:t>
            </w:r>
            <w:r>
              <w:rPr>
                <w:i/>
                <w:iCs/>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Number of completed B2B session</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273.</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114.</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Number of health plan clients at year en</w:t>
            </w:r>
            <w:r>
              <w:rPr>
                <w:sz w:val="20"/>
                <w:szCs w:val="20"/>
              </w:rPr>
              <w:t>d</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Number of enterprise clients at year en</w:t>
            </w:r>
            <w:r>
              <w:rPr>
                <w:sz w:val="20"/>
                <w:szCs w:val="20"/>
              </w:rPr>
              <w:t>d</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15</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Total number of active members at year en</w:t>
            </w:r>
            <w:r>
              <w:rPr>
                <w:sz w:val="20"/>
                <w:szCs w:val="20"/>
              </w:rPr>
              <w:t>d</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55.</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50.</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Total number of members treated on Talkspace platfor</w:t>
            </w:r>
            <w:r>
              <w:rPr>
                <w:sz w:val="20"/>
                <w:szCs w:val="20"/>
              </w:rPr>
              <w:t>m</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279.</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197.</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0" w:beforeAutospacing="0" w:after="0" w:afterAutospacing="0"/>
        <w:jc w:val="both"/>
        <w:rPr>
          <w:sz w:val="20"/>
          <w:szCs w:val="20"/>
        </w:rPr>
      </w:pPr>
      <w:r>
        <w:t> </w:t>
      </w:r>
    </w:p>
    <w:p w:rsidR="00000000" w:rsidRDefault="00AF2D19">
      <w:pPr>
        <w:pStyle w:val="a3"/>
        <w:spacing w:before="0" w:beforeAutospacing="0" w:after="0" w:afterAutospacing="0"/>
        <w:jc w:val="both"/>
        <w:rPr>
          <w:sz w:val="20"/>
          <w:szCs w:val="20"/>
        </w:rPr>
      </w:pPr>
      <w:r>
        <w:rPr>
          <w:i/>
          <w:iCs/>
          <w:sz w:val="20"/>
          <w:szCs w:val="20"/>
        </w:rPr>
        <w:t>Active Members</w:t>
      </w:r>
      <w:r>
        <w:rPr>
          <w:i/>
          <w:iCs/>
          <w:sz w:val="20"/>
          <w:szCs w:val="20"/>
        </w:rPr>
        <w:t>:</w:t>
      </w:r>
      <w:r>
        <w:rPr>
          <w:sz w:val="20"/>
          <w:szCs w:val="20"/>
        </w:rPr>
        <w:t xml:space="preserve"> We consider members “active” </w:t>
      </w:r>
      <w:r>
        <w:rPr>
          <w:sz w:val="20"/>
          <w:szCs w:val="20"/>
        </w:rPr>
        <w:t>(i) in the case of our B2C members, commencing on the date such member initiates contact with a provider on our platform until the term of their monthly, quarterly or bi-annual subscription plan expires, unless terminated early, and (ii) in the case of our</w:t>
      </w:r>
      <w:r>
        <w:rPr>
          <w:sz w:val="20"/>
          <w:szCs w:val="20"/>
        </w:rPr>
        <w:t xml:space="preserve"> B2B members, if such members have engaged on our platform during the preceding 25 days, such as sending a text, video or audio message to, or participating in a video call with, a provider, completing a satisfaction or progress report survey or signing up</w:t>
      </w:r>
      <w:r>
        <w:rPr>
          <w:sz w:val="20"/>
          <w:szCs w:val="20"/>
        </w:rPr>
        <w:t xml:space="preserve"> for our platform. While a growth in active members typically highlights strong engagement with our members, not all active members are associated with revenue in that particular period</w:t>
      </w:r>
      <w:r>
        <w:rPr>
          <w:sz w:val="20"/>
          <w:szCs w:val="20"/>
        </w:rPr>
        <w:t>.</w:t>
      </w:r>
    </w:p>
    <w:p w:rsidR="00000000" w:rsidRDefault="00AF2D19">
      <w:pPr>
        <w:pStyle w:val="a3"/>
        <w:spacing w:before="120" w:beforeAutospacing="0" w:after="0" w:afterAutospacing="0"/>
        <w:jc w:val="both"/>
        <w:rPr>
          <w:sz w:val="20"/>
          <w:szCs w:val="20"/>
        </w:rPr>
      </w:pPr>
      <w:r>
        <w:rPr>
          <w:i/>
          <w:iCs/>
          <w:sz w:val="20"/>
          <w:szCs w:val="20"/>
        </w:rPr>
        <w:t>B2B Eligible Lives</w:t>
      </w:r>
      <w:r>
        <w:rPr>
          <w:i/>
          <w:iCs/>
          <w:sz w:val="20"/>
          <w:szCs w:val="20"/>
        </w:rPr>
        <w:t>:</w:t>
      </w:r>
      <w:r>
        <w:rPr>
          <w:sz w:val="20"/>
          <w:szCs w:val="20"/>
        </w:rPr>
        <w:t xml:space="preserve"> We consider B2B lives “eligible” if such persons </w:t>
      </w:r>
      <w:r>
        <w:rPr>
          <w:sz w:val="20"/>
          <w:szCs w:val="20"/>
        </w:rPr>
        <w:t>are eligible to receive treatment on the Talkspace platform, in the case of our enterprise clients, while their employer is under an active contract with Talkspace, or, in the case of health plan clients, at an agreed upon reimbursement rate through insura</w:t>
      </w:r>
      <w:r>
        <w:rPr>
          <w:sz w:val="20"/>
          <w:szCs w:val="20"/>
        </w:rPr>
        <w:t>nce under an employee assistance program or other network behavioral health paid benefit program. There may be instances where a person may be covered through multiple solutions, typically through behavioral health plans and employee assistance programs. I</w:t>
      </w:r>
      <w:r>
        <w:rPr>
          <w:sz w:val="20"/>
          <w:szCs w:val="20"/>
        </w:rPr>
        <w:t>n these instances, the person is counted each time they are covered in the B2B eligible lives calculation, which may cause this amount to reflect a higher number of members than we actually serve</w:t>
      </w:r>
      <w:r>
        <w:rPr>
          <w:sz w:val="20"/>
          <w:szCs w:val="20"/>
        </w:rPr>
        <w:t>.</w:t>
      </w:r>
    </w:p>
    <w:p w:rsidR="00000000" w:rsidRDefault="00AF2D19">
      <w:pPr>
        <w:pStyle w:val="a3"/>
        <w:spacing w:before="240" w:beforeAutospacing="0" w:after="0" w:afterAutospacing="0"/>
        <w:jc w:val="both"/>
        <w:rPr>
          <w:sz w:val="20"/>
          <w:szCs w:val="20"/>
        </w:rPr>
      </w:pPr>
      <w:r>
        <w:rPr>
          <w:b/>
          <w:bCs/>
          <w:sz w:val="20"/>
          <w:szCs w:val="20"/>
        </w:rPr>
        <w:t>Non-GAAP Financial Measure</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to our financial r</w:t>
      </w:r>
      <w:r>
        <w:rPr>
          <w:sz w:val="20"/>
          <w:szCs w:val="20"/>
        </w:rPr>
        <w:t>esults determined in accordance with GAAP, we believe adjusted EBITDA, a non-GAAP measure, is useful in evaluating our operating performance. We use adjusted EBITDA to evaluate our ongoing operations and for internal planning and forecasting purposes. We b</w:t>
      </w:r>
      <w:r>
        <w:rPr>
          <w:sz w:val="20"/>
          <w:szCs w:val="20"/>
        </w:rPr>
        <w:t>elieve that this non-GAAP financial measure, when taken together with the corresponding GAAP financial measures, provides meaningful supplemental information regarding our performance by excluding certain items that may not be indicative of our business, r</w:t>
      </w:r>
      <w:r>
        <w:rPr>
          <w:sz w:val="20"/>
          <w:szCs w:val="20"/>
        </w:rPr>
        <w:t>esults of operations or outlook. We believe that the use of adjusted EBITDA is helpful to our investors as it is a metric used by management in assessing the health of our business and our operating performance. However, non-GAAP financial information is p</w:t>
      </w:r>
      <w:r>
        <w:rPr>
          <w:sz w:val="20"/>
          <w:szCs w:val="20"/>
        </w:rPr>
        <w:t>resented for supplemental informational purposes only, has limitations as an analytical tool and should not be considered in isolation or as a substitute for financial information presented in accordance with GAAP. In addition, other companies, including c</w:t>
      </w:r>
      <w:r>
        <w:rPr>
          <w:sz w:val="20"/>
          <w:szCs w:val="20"/>
        </w:rPr>
        <w:t>ompanies in our industry, may calculate similarly titled non-GAAP measures differently or may use other measures to evaluate their performance, all of which could reduce the usefulness of our non-GAAP financial measure as a tool for comparison. A reconcili</w:t>
      </w:r>
      <w:r>
        <w:rPr>
          <w:sz w:val="20"/>
          <w:szCs w:val="20"/>
        </w:rPr>
        <w:t>ation is provided below for this non-GAAP financial measure to net loss, the most directly comparable financial measure stated in accordance with GAAP. Investors are encouraged to review our GAAP financial measure and the reconciliation of our non-GAAP fin</w:t>
      </w:r>
      <w:r>
        <w:rPr>
          <w:sz w:val="20"/>
          <w:szCs w:val="20"/>
        </w:rPr>
        <w:t>ancial measure to its most directly comparable GAAP financial measure, and not to rely on any single financial measure to evaluate our business</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i/>
          <w:iCs/>
          <w:sz w:val="20"/>
          <w:szCs w:val="20"/>
        </w:rPr>
        <w:t>Adjusted EBITD</w:t>
      </w:r>
      <w:r>
        <w:rPr>
          <w:b/>
          <w:bCs/>
          <w:i/>
          <w:iCs/>
          <w:sz w:val="20"/>
          <w:szCs w:val="20"/>
        </w:rPr>
        <w:t>A</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Adjusted EBITDA is a key performance measure that our management uses to assess our operating</w:t>
      </w:r>
      <w:r>
        <w:rPr>
          <w:sz w:val="20"/>
          <w:szCs w:val="20"/>
        </w:rPr>
        <w:t xml:space="preserve"> performance. Because adjusted EBITDA facilitates internal comparisons of our historical operating performance on a more consistent basis, we use this measure for business planning purposes and in evaluating acquisition opportunities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calculate adjuste</w:t>
      </w:r>
      <w:r>
        <w:rPr>
          <w:sz w:val="20"/>
          <w:szCs w:val="20"/>
        </w:rPr>
        <w:t>d EBITDA as net loss adjusted to exclude (i) interest and other expenses (income), net, (ii) tax expense, (iii) depreciation and amortization (iv) stock-based compensation expense and (v) certain non-recurring expenses, where applicable</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6</w:t>
      </w:r>
      <w:r>
        <w:rPr>
          <w:sz w:val="20"/>
          <w:szCs w:val="20"/>
        </w:rPr>
        <w:t>1</w:t>
      </w:r>
    </w:p>
    <w:p w:rsidR="00000000" w:rsidRDefault="00AF2D19">
      <w:pPr>
        <w:rPr>
          <w:rFonts w:eastAsia="Times New Roman"/>
        </w:rPr>
      </w:pPr>
      <w:r>
        <w:rPr>
          <w:rFonts w:eastAsia="Times New Roman"/>
        </w:rPr>
        <w:pict>
          <v:rect id="_x0000_i1089"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The following table presents a reconciliation of adjusted EBITDA from the most comparable GAAP measure, net loss for the year ended December 31, 2021 and 2020</w:t>
      </w:r>
      <w:r>
        <w:rPr>
          <w:sz w:val="20"/>
          <w:szCs w:val="20"/>
        </w:rPr>
        <w:t>:</w:t>
      </w:r>
      <w:r>
        <w:rPr>
          <w:sz w:val="20"/>
          <w:szCs w:val="20"/>
        </w:rPr>
        <w:t xml:space="preserve"> </w:t>
      </w:r>
    </w:p>
    <w:p w:rsidR="00000000" w:rsidRDefault="00AF2D19">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3"/>
        <w:gridCol w:w="140"/>
        <w:gridCol w:w="140"/>
        <w:gridCol w:w="160"/>
        <w:gridCol w:w="1107"/>
        <w:gridCol w:w="127"/>
        <w:gridCol w:w="140"/>
        <w:gridCol w:w="160"/>
        <w:gridCol w:w="1107"/>
        <w:gridCol w:w="142"/>
      </w:tblGrid>
      <w:tr w:rsidR="00000000">
        <w:trPr>
          <w:tblCellSpacing w:w="15" w:type="dxa"/>
        </w:trPr>
        <w:tc>
          <w:tcPr>
            <w:tcW w:w="3168" w:type="pct"/>
            <w:vAlign w:val="center"/>
            <w:hideMark/>
          </w:tcPr>
          <w:p w:rsidR="00000000" w:rsidRDefault="00AF2D19">
            <w:pPr>
              <w:rPr>
                <w:sz w:val="20"/>
                <w:szCs w:val="20"/>
              </w:rPr>
            </w:pPr>
          </w:p>
        </w:tc>
        <w:tc>
          <w:tcPr>
            <w:tcW w:w="81" w:type="pct"/>
            <w:vAlign w:val="center"/>
            <w:hideMark/>
          </w:tcPr>
          <w:p w:rsidR="00000000" w:rsidRDefault="00AF2D19">
            <w:pPr>
              <w:rPr>
                <w:rFonts w:eastAsia="Times New Roman"/>
                <w:sz w:val="20"/>
                <w:szCs w:val="20"/>
              </w:rPr>
            </w:pPr>
          </w:p>
        </w:tc>
        <w:tc>
          <w:tcPr>
            <w:tcW w:w="81"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687"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81"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687"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F2D19">
            <w:pPr>
              <w:pStyle w:val="a3"/>
              <w:spacing w:before="0" w:beforeAutospacing="0" w:after="0" w:afterAutospacing="0"/>
              <w:jc w:val="center"/>
              <w:rPr>
                <w:sz w:val="16"/>
                <w:szCs w:val="16"/>
              </w:rPr>
            </w:pPr>
            <w:r>
              <w:rPr>
                <w:b/>
                <w:bCs/>
                <w:sz w:val="16"/>
                <w:szCs w:val="16"/>
              </w:rPr>
              <w:t>For the Years Ended</w:t>
            </w:r>
            <w:r>
              <w:rPr>
                <w:b/>
                <w:bCs/>
                <w:sz w:val="16"/>
                <w:szCs w:val="16"/>
              </w:rPr>
              <w:br/>
              <w:t>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(62,74</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(22,37</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Add</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1,97</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37</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Financial (income) expense, net</w:t>
            </w:r>
            <w:r>
              <w:rPr>
                <w:sz w:val="20"/>
                <w:szCs w:val="20"/>
              </w:rPr>
              <w:t xml:space="preserve"> </w:t>
            </w:r>
            <w:r>
              <w:rPr>
                <w:sz w:val="13"/>
                <w:szCs w:val="13"/>
              </w:rPr>
              <w:t>(1</w:t>
            </w:r>
            <w:r>
              <w:rPr>
                <w:sz w:val="13"/>
                <w:szCs w:val="13"/>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(31,22</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36</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Taxes on incom</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27,40</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2,97</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Non-recurring expenses</w:t>
            </w:r>
            <w:r>
              <w:rPr>
                <w:sz w:val="20"/>
                <w:szCs w:val="20"/>
              </w:rPr>
              <w:t xml:space="preserve"> </w:t>
            </w:r>
            <w:r>
              <w:rPr>
                <w:sz w:val="13"/>
                <w:szCs w:val="13"/>
              </w:rPr>
              <w:t>(2</w:t>
            </w:r>
            <w:r>
              <w:rPr>
                <w:sz w:val="13"/>
                <w:szCs w:val="13"/>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3,67</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17</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Adjusted EBITD</w:t>
            </w:r>
            <w:r>
              <w:rPr>
                <w:sz w:val="20"/>
                <w:szCs w:val="20"/>
              </w:rPr>
              <w:t>A</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(60,86</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(18,44</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bl>
    <w:p w:rsidR="00000000" w:rsidRDefault="00AF2D19">
      <w:pPr>
        <w:pStyle w:val="a3"/>
        <w:spacing w:before="0" w:beforeAutospacing="0" w:after="0" w:afterAutospacing="0"/>
        <w:jc w:val="both"/>
        <w:rPr>
          <w:sz w:val="20"/>
          <w:szCs w:val="20"/>
        </w:rPr>
      </w:pPr>
      <w:r>
        <w:rPr>
          <w:sz w:val="17"/>
          <w:szCs w:val="17"/>
        </w:rPr>
        <w:t> </w:t>
      </w:r>
    </w:p>
    <w:p w:rsidR="00000000" w:rsidRDefault="00AF2D19">
      <w:pPr>
        <w:jc w:val="both"/>
        <w:rPr>
          <w:rFonts w:eastAsia="Times New Roman"/>
        </w:rPr>
      </w:pPr>
      <w:r>
        <w:rPr>
          <w:rFonts w:eastAsia="Times New Roman"/>
          <w:sz w:val="17"/>
          <w:szCs w:val="17"/>
        </w:rPr>
        <w:t>(1</w:t>
      </w:r>
      <w:r>
        <w:rPr>
          <w:rFonts w:eastAsia="Times New Roman"/>
          <w:sz w:val="17"/>
          <w:szCs w:val="17"/>
        </w:rPr>
        <w:t>)</w:t>
      </w:r>
    </w:p>
    <w:p w:rsidR="00000000" w:rsidRDefault="00AF2D19">
      <w:pPr>
        <w:jc w:val="both"/>
        <w:divId w:val="809517916"/>
        <w:rPr>
          <w:rFonts w:eastAsia="Times New Roman"/>
        </w:rPr>
      </w:pPr>
      <w:r>
        <w:rPr>
          <w:rFonts w:eastAsia="Times New Roman"/>
          <w:sz w:val="17"/>
          <w:szCs w:val="17"/>
        </w:rPr>
        <w:t>For the year ended December 31, 2021, financial income, net, primarily consisted of $36.0 million in gains resulting from the revaluation of warrant liabilities, partially offset by $4.2 million in warrant issuance costs in connection with the Closin</w:t>
      </w:r>
      <w:r>
        <w:rPr>
          <w:rFonts w:eastAsia="Times New Roman"/>
          <w:sz w:val="17"/>
          <w:szCs w:val="17"/>
        </w:rPr>
        <w:t>g of the Business Combination</w:t>
      </w:r>
      <w:r>
        <w:rPr>
          <w:rFonts w:eastAsia="Times New Roman"/>
          <w:sz w:val="17"/>
          <w:szCs w:val="17"/>
        </w:rPr>
        <w:t>.</w:t>
      </w:r>
    </w:p>
    <w:p w:rsidR="00000000" w:rsidRDefault="00AF2D19">
      <w:pPr>
        <w:jc w:val="both"/>
        <w:divId w:val="1869293293"/>
        <w:rPr>
          <w:rFonts w:eastAsia="Times New Roman"/>
        </w:rPr>
      </w:pPr>
      <w:r>
        <w:rPr>
          <w:rFonts w:eastAsia="Times New Roman"/>
          <w:sz w:val="17"/>
          <w:szCs w:val="17"/>
        </w:rPr>
        <w:t>(2</w:t>
      </w:r>
      <w:r>
        <w:rPr>
          <w:rFonts w:eastAsia="Times New Roman"/>
          <w:sz w:val="17"/>
          <w:szCs w:val="17"/>
        </w:rPr>
        <w:t>)</w:t>
      </w:r>
    </w:p>
    <w:p w:rsidR="00000000" w:rsidRDefault="00AF2D19">
      <w:pPr>
        <w:jc w:val="both"/>
        <w:divId w:val="778835806"/>
        <w:rPr>
          <w:rFonts w:eastAsia="Times New Roman"/>
        </w:rPr>
      </w:pPr>
      <w:r>
        <w:rPr>
          <w:rFonts w:eastAsia="Times New Roman"/>
          <w:sz w:val="17"/>
          <w:szCs w:val="17"/>
        </w:rPr>
        <w:t xml:space="preserve">For the year ended December 31, 2021, non-recurring expenses primarily consisted of severance costs related to the separation of Oren Frank and Roni Frank, co-founders and former executives of the Company, in November 2021. For the year ended December 31, </w:t>
      </w:r>
      <w:r>
        <w:rPr>
          <w:rFonts w:eastAsia="Times New Roman"/>
          <w:sz w:val="17"/>
          <w:szCs w:val="17"/>
        </w:rPr>
        <w:t>2020, nonrecurring expenses consisted of legal expenses related to the acquisition of Lasting in November 2020</w:t>
      </w:r>
      <w:r>
        <w:rPr>
          <w:rFonts w:eastAsia="Times New Roman"/>
          <w:sz w:val="17"/>
          <w:szCs w:val="17"/>
        </w:rPr>
        <w:t>.</w:t>
      </w:r>
    </w:p>
    <w:p w:rsidR="00000000" w:rsidRDefault="00AF2D19">
      <w:pPr>
        <w:pStyle w:val="a3"/>
        <w:spacing w:before="240" w:beforeAutospacing="0" w:after="0" w:afterAutospacing="0"/>
        <w:jc w:val="both"/>
        <w:rPr>
          <w:sz w:val="20"/>
          <w:szCs w:val="20"/>
        </w:rPr>
      </w:pPr>
      <w:r>
        <w:rPr>
          <w:sz w:val="20"/>
          <w:szCs w:val="20"/>
        </w:rPr>
        <w:t>Some of the limitations of adjusted EBITDA include (i) adjusted EBITDA does not properly reflect capital commitments to be paid in the future an</w:t>
      </w:r>
      <w:r>
        <w:rPr>
          <w:sz w:val="20"/>
          <w:szCs w:val="20"/>
        </w:rPr>
        <w:t>d (ii) although depreciation and amortization are non-cash charges, the underlying assets may need to be replaced and adjusted EBITDA does not reflect these capital expenditures. Our adjusted EBITDA may not be comparable to similarly titled measures of oth</w:t>
      </w:r>
      <w:r>
        <w:rPr>
          <w:sz w:val="20"/>
          <w:szCs w:val="20"/>
        </w:rPr>
        <w:t>er companies because they may not calculate adjusted EBITDA in the same manner as we calculate the measure, limiting its usefulness as a comparative measure. In evaluating adjusted EBITDA, you should be aware that in the future we will incur expenses simil</w:t>
      </w:r>
      <w:r>
        <w:rPr>
          <w:sz w:val="20"/>
          <w:szCs w:val="20"/>
        </w:rPr>
        <w:t>ar to the adjustments described herein. Our presentation of adjusted EBITDA should not be construed as an inference that our future results will be unaffected by these expenses or any unusual or non-recurring items. Adjusted EBITDA should not be considered</w:t>
      </w:r>
      <w:r>
        <w:rPr>
          <w:sz w:val="20"/>
          <w:szCs w:val="20"/>
        </w:rPr>
        <w:t xml:space="preserve"> as an alternative to loss before income taxes, net loss, loss per share, or any other performance measures derived in accordance with U.S. GAAP. When evaluating our performance, you should consider adjusted EBITDA alongside other financial performance mea</w:t>
      </w:r>
      <w:r>
        <w:rPr>
          <w:sz w:val="20"/>
          <w:szCs w:val="20"/>
        </w:rPr>
        <w:t>sures, including our net loss and other GAAP results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sz w:val="20"/>
          <w:szCs w:val="20"/>
        </w:rPr>
        <w:t>Components of Results of Operation</w:t>
      </w:r>
      <w:r>
        <w:rPr>
          <w:b/>
          <w:bCs/>
          <w:sz w:val="20"/>
          <w:szCs w:val="20"/>
        </w:rPr>
        <w:t>s</w:t>
      </w:r>
      <w:r>
        <w:rPr>
          <w:b/>
          <w:bCs/>
          <w:sz w:val="20"/>
          <w:szCs w:val="20"/>
        </w:rPr>
        <w:t xml:space="preserve"> </w:t>
      </w:r>
    </w:p>
    <w:p w:rsidR="00000000" w:rsidRDefault="00AF2D19">
      <w:pPr>
        <w:pStyle w:val="a3"/>
        <w:spacing w:before="120" w:beforeAutospacing="0" w:after="0" w:afterAutospacing="0"/>
        <w:rPr>
          <w:sz w:val="20"/>
          <w:szCs w:val="20"/>
        </w:rPr>
      </w:pPr>
      <w:r>
        <w:rPr>
          <w:b/>
          <w:bCs/>
          <w:i/>
          <w:iCs/>
          <w:sz w:val="20"/>
          <w:szCs w:val="20"/>
        </w:rPr>
        <w:t>Revenue</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 xml:space="preserve">We generate revenues from the sale of monthly, quarterly, bi-annual and annual membership subscriptions to our therapy platform as well as supplementary a </w:t>
      </w:r>
      <w:r>
        <w:rPr>
          <w:sz w:val="20"/>
          <w:szCs w:val="20"/>
        </w:rPr>
        <w:t>la carte offerings, payments from members and their respective insurance companies and annually contracted platform access fees paid to us by our enterprise clients for the delivery of therapy services to their members or employees. We recognize B2C member</w:t>
      </w:r>
      <w:r>
        <w:rPr>
          <w:sz w:val="20"/>
          <w:szCs w:val="20"/>
        </w:rPr>
        <w:t xml:space="preserve"> subscription revenues ratably over the subscription period, beginning when therapy services commence. B2C members may cancel at any time and will receive a pro-rata refund for the subscription price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recognize contracted revenue from our enterprise cl</w:t>
      </w:r>
      <w:r>
        <w:rPr>
          <w:sz w:val="20"/>
          <w:szCs w:val="20"/>
        </w:rPr>
        <w:t>ients from the commencement of their contracted term through the annual period based primarily on a per-member-per month model. We recognize revenues from services provided to insured members at a point in time, as virtual therapy session is rendered. Reve</w:t>
      </w:r>
      <w:r>
        <w:rPr>
          <w:sz w:val="20"/>
          <w:szCs w:val="20"/>
        </w:rPr>
        <w:t>nue is recognized in an amount that reflects the consideration that is expected in exchange for the servi</w:t>
      </w:r>
      <w:r>
        <w:rPr>
          <w:sz w:val="20"/>
          <w:szCs w:val="20"/>
        </w:rPr>
        <w:t>c</w:t>
      </w:r>
      <w:r>
        <w:rPr>
          <w:sz w:val="20"/>
          <w:szCs w:val="20"/>
        </w:rPr>
        <w:t>e. Contracts with our enterprise clients are for one or more years with the ability to provide 60 days advance notice prior to termination at each yea</w:t>
      </w:r>
      <w:r>
        <w:rPr>
          <w:sz w:val="20"/>
          <w:szCs w:val="20"/>
        </w:rPr>
        <w:t>r mark during the term. On</w:t>
      </w:r>
      <w:r>
        <w:rPr>
          <w:sz w:val="20"/>
          <w:szCs w:val="20"/>
        </w:rPr>
        <w:t xml:space="preserve"> </w:t>
      </w:r>
      <w:r>
        <w:rPr>
          <w:sz w:val="20"/>
          <w:szCs w:val="20"/>
        </w:rPr>
        <w:t>occasion and depending on the client, we allow a 60 or 90 day intra-year termination notice but only after the client has completed the first year of service</w:t>
      </w:r>
      <w:r>
        <w:rPr>
          <w:sz w:val="20"/>
          <w:szCs w:val="20"/>
        </w:rPr>
        <w:t>.</w:t>
      </w:r>
    </w:p>
    <w:p w:rsidR="00000000" w:rsidRDefault="00AF2D19">
      <w:pPr>
        <w:pStyle w:val="a3"/>
        <w:spacing w:before="120" w:beforeAutospacing="0" w:after="0" w:afterAutospacing="0"/>
        <w:jc w:val="both"/>
        <w:rPr>
          <w:sz w:val="20"/>
          <w:szCs w:val="20"/>
        </w:rPr>
      </w:pPr>
      <w:r>
        <w:rPr>
          <w:sz w:val="20"/>
          <w:szCs w:val="20"/>
        </w:rPr>
        <w:t>Revenue growth is generated from increasing our membership subscriptio</w:t>
      </w:r>
      <w:r>
        <w:rPr>
          <w:sz w:val="20"/>
          <w:szCs w:val="20"/>
        </w:rPr>
        <w:t>ns, contracting with enterprise clients and health plans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have demonstrated continued revenue growth during the last three years as a direct result of the increased penetration of the direct-to-consumer market, and the Company’s 2018 entry into the com</w:t>
      </w:r>
      <w:r>
        <w:rPr>
          <w:sz w:val="20"/>
          <w:szCs w:val="20"/>
        </w:rPr>
        <w:t>mercial insurance and enterprise sales markets. The Company’s revenues grew 49.2% from $76.2 million for the year ended December 31, 2020 to $113.7 million for the year ended December 31, 2021</w:t>
      </w:r>
      <w:r>
        <w:rPr>
          <w:sz w:val="20"/>
          <w:szCs w:val="20"/>
        </w:rPr>
        <w:t>.</w:t>
      </w:r>
    </w:p>
    <w:p w:rsidR="00000000" w:rsidRDefault="00AF2D19">
      <w:pPr>
        <w:pStyle w:val="a3"/>
        <w:spacing w:before="0" w:beforeAutospacing="0" w:after="0" w:afterAutospacing="0"/>
        <w:jc w:val="center"/>
        <w:rPr>
          <w:sz w:val="20"/>
          <w:szCs w:val="20"/>
        </w:rPr>
      </w:pPr>
      <w:r>
        <w:rPr>
          <w:sz w:val="20"/>
          <w:szCs w:val="20"/>
        </w:rPr>
        <w:t>6</w:t>
      </w:r>
      <w:r>
        <w:rPr>
          <w:sz w:val="20"/>
          <w:szCs w:val="20"/>
        </w:rPr>
        <w:t>2</w:t>
      </w:r>
    </w:p>
    <w:p w:rsidR="00000000" w:rsidRDefault="00AF2D19">
      <w:pPr>
        <w:rPr>
          <w:rFonts w:eastAsia="Times New Roman"/>
        </w:rPr>
      </w:pPr>
      <w:r>
        <w:rPr>
          <w:rFonts w:eastAsia="Times New Roman"/>
        </w:rPr>
        <w:pict>
          <v:rect id="_x0000_i109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rPr>
          <w:sz w:val="20"/>
          <w:szCs w:val="20"/>
        </w:rPr>
      </w:pPr>
      <w:r>
        <w:rPr>
          <w:b/>
          <w:bCs/>
          <w:i/>
          <w:iCs/>
          <w:sz w:val="20"/>
          <w:szCs w:val="20"/>
        </w:rPr>
        <w:t>Cost of Revenue</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Cost of revenues is comprised of therapist payments and hosting costs. Cost of revenues is largely driven by the size of our provider network that is required to service the growth of our customer base, in addit</w:t>
      </w:r>
      <w:r>
        <w:rPr>
          <w:sz w:val="20"/>
          <w:szCs w:val="20"/>
        </w:rPr>
        <w:t>ion to the growth of our health plan and enterprise clients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designed our business model and our provider network to be scalable and to leverage a hybrid model of both employee providers and independently contracted providers to support multiple growth</w:t>
      </w:r>
      <w:r>
        <w:rPr>
          <w:sz w:val="20"/>
          <w:szCs w:val="20"/>
        </w:rPr>
        <w:t xml:space="preserve"> scenarios. The compensation paid to our independently contracted providers is variable, and the amount paid to a provider is generally based on the amount of time committed by such provider to our members. In addition, our network supervisors have broad a</w:t>
      </w:r>
      <w:r>
        <w:rPr>
          <w:sz w:val="20"/>
          <w:szCs w:val="20"/>
        </w:rPr>
        <w:t>uthority to approve the payment of incentive bonuses to providers with certain licenses during periods of higher demand for providers with such licenses. For our employee providers, they receive a fixed-salary and discretionary bonuses, where applicable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While we expect increased investments to support accelerated growth and the required investment to scale our provider network, we also expect increased efficiencies and economies of scale. Our cost of revenues as a percentage of revenues is expected to flu</w:t>
      </w:r>
      <w:r>
        <w:rPr>
          <w:sz w:val="20"/>
          <w:szCs w:val="20"/>
        </w:rPr>
        <w:t>ctuate from period to period depending on the interplay of these aforementioned factors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Operating Expense</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Operating expenses consist of research and development, clinical operations, sales and marketing, and general and administrative expenses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i/>
          <w:iCs/>
          <w:sz w:val="20"/>
          <w:szCs w:val="20"/>
        </w:rPr>
        <w:t>Resear</w:t>
      </w:r>
      <w:r>
        <w:rPr>
          <w:i/>
          <w:iCs/>
          <w:sz w:val="20"/>
          <w:szCs w:val="20"/>
        </w:rPr>
        <w:t>ch and Development Expense</w:t>
      </w:r>
      <w:r>
        <w:rPr>
          <w:i/>
          <w:iCs/>
          <w:sz w:val="20"/>
          <w:szCs w:val="20"/>
        </w:rPr>
        <w:t>s</w:t>
      </w:r>
      <w:r>
        <w:rPr>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Research and development expenses include personnel and related expenses for software development and engineering, information technology infrastructure, security and privacy compliance and product development (inclusive of sto</w:t>
      </w:r>
      <w:r>
        <w:rPr>
          <w:sz w:val="20"/>
          <w:szCs w:val="20"/>
        </w:rPr>
        <w:t>ck-based compensation for our research and development employees), third-party services and contractors related to research and development, information technology, software-related costs, and cost savings related to the application of research grant proce</w:t>
      </w:r>
      <w:r>
        <w:rPr>
          <w:sz w:val="20"/>
          <w:szCs w:val="20"/>
        </w:rPr>
        <w:t>eds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We expect research and development expenses will increase on an absolute dollar basis as we continue to grow our platform and product offerings; however, the anticipated corresponding future revenue growth is expected to result in lower research and </w:t>
      </w:r>
      <w:r>
        <w:rPr>
          <w:sz w:val="20"/>
          <w:szCs w:val="20"/>
        </w:rPr>
        <w:t>development expenses as a percentage of revenue</w:t>
      </w:r>
      <w:r>
        <w:rPr>
          <w:sz w:val="20"/>
          <w:szCs w:val="20"/>
        </w:rPr>
        <w:t>.</w:t>
      </w:r>
      <w:r>
        <w:rPr>
          <w:i/>
          <w:iCs/>
          <w:sz w:val="20"/>
          <w:szCs w:val="20"/>
        </w:rPr>
        <w:t xml:space="preserve"> </w:t>
      </w:r>
    </w:p>
    <w:p w:rsidR="00000000" w:rsidRDefault="00AF2D19">
      <w:pPr>
        <w:pStyle w:val="a3"/>
        <w:spacing w:before="240" w:beforeAutospacing="0" w:after="0" w:afterAutospacing="0"/>
        <w:jc w:val="both"/>
        <w:rPr>
          <w:sz w:val="20"/>
          <w:szCs w:val="20"/>
        </w:rPr>
      </w:pPr>
      <w:r>
        <w:rPr>
          <w:i/>
          <w:iCs/>
          <w:sz w:val="20"/>
          <w:szCs w:val="20"/>
        </w:rPr>
        <w:t>Clinical Operations Expense</w:t>
      </w:r>
      <w:r>
        <w:rPr>
          <w:i/>
          <w:iCs/>
          <w:sz w:val="20"/>
          <w:szCs w:val="20"/>
        </w:rPr>
        <w:t>s</w:t>
      </w:r>
      <w:r>
        <w:rPr>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Clinical operations expenses are associated with the management of our provider network of therapists. Such costs are comprised of costs related to recruiting, onboarding, credentialing, training and ongoing quality assurance activities (inclusive of stock</w:t>
      </w:r>
      <w:r>
        <w:rPr>
          <w:sz w:val="20"/>
          <w:szCs w:val="20"/>
        </w:rPr>
        <w:t>-based compensation for our clinical operations employees), costs of third-party services and contractors related to recruiting and training and software-related costs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expect clinical operations expenses will increase on an absolute dollar basis as we</w:t>
      </w:r>
      <w:r>
        <w:rPr>
          <w:sz w:val="20"/>
          <w:szCs w:val="20"/>
        </w:rPr>
        <w:t xml:space="preserve"> continue to grow our provider network and product offerings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i/>
          <w:iCs/>
          <w:sz w:val="20"/>
          <w:szCs w:val="20"/>
        </w:rPr>
        <w:t>Sales and Marketing Expense</w:t>
      </w:r>
      <w:r>
        <w:rPr>
          <w:i/>
          <w:iCs/>
          <w:sz w:val="20"/>
          <w:szCs w:val="20"/>
        </w:rPr>
        <w:t>s</w:t>
      </w:r>
      <w:r>
        <w:rPr>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Sales expenses consist primarily of employee-related expenses, including salaries, benefits, commissions, travel and stock-based compensation costs for our employe</w:t>
      </w:r>
      <w:r>
        <w:rPr>
          <w:sz w:val="20"/>
          <w:szCs w:val="20"/>
        </w:rPr>
        <w:t>es engaged in sales and account management</w:t>
      </w:r>
      <w:r>
        <w:rPr>
          <w:sz w:val="20"/>
          <w:szCs w:val="20"/>
        </w:rPr>
        <w:t>.</w:t>
      </w:r>
      <w:r>
        <w:rPr>
          <w:i/>
          <w:iCs/>
          <w:sz w:val="20"/>
          <w:szCs w:val="20"/>
        </w:rPr>
        <w:t xml:space="preserve"> </w:t>
      </w:r>
      <w:r>
        <w:rPr>
          <w:sz w:val="20"/>
          <w:szCs w:val="20"/>
        </w:rPr>
        <w:t>We expect our sales expenses to increase as we continue to invest in the expansion of our health plan and enterprise business. We expect to hire additional sales personnel and related account management personnel</w:t>
      </w:r>
      <w:r>
        <w:rPr>
          <w:sz w:val="20"/>
          <w:szCs w:val="20"/>
        </w:rPr>
        <w:t xml:space="preserve"> to properly service our increasing client base, to develop additional growth opportunities within existing clients and to develop new market opportunities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Marketing expenses consist primarily of advertising and marketing expenses for consumer acquisitio</w:t>
      </w:r>
      <w:r>
        <w:rPr>
          <w:sz w:val="20"/>
          <w:szCs w:val="20"/>
        </w:rPr>
        <w:t>n and engagement, as well as personnel costs, including salaries, benefits, bonuses, stock-based compensation expense for marketing employees, third-party services and contractors. Marketing expenses also include third-party software subscription services,</w:t>
      </w:r>
      <w:r>
        <w:rPr>
          <w:sz w:val="20"/>
          <w:szCs w:val="20"/>
        </w:rPr>
        <w:t xml:space="preserve"> third-party independent research, participation in trade shows, brand messaging and costs of communications materials that are produced for our clients to generate greater awareness and utilization of our platform among our health plan and enterprise clie</w:t>
      </w:r>
      <w:r>
        <w:rPr>
          <w:sz w:val="20"/>
          <w:szCs w:val="20"/>
        </w:rPr>
        <w:t>nts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Consumer marketing expenses are primarily driven by investments to grow and retain our consumer base and may fluctuate as a percentage of our total revenue from period to period due to the timing and extent of our advertising and marketing expenses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6</w:t>
      </w:r>
      <w:r>
        <w:rPr>
          <w:sz w:val="20"/>
          <w:szCs w:val="20"/>
        </w:rPr>
        <w:t>3</w:t>
      </w:r>
    </w:p>
    <w:p w:rsidR="00000000" w:rsidRDefault="00AF2D19">
      <w:pPr>
        <w:rPr>
          <w:rFonts w:eastAsia="Times New Roman"/>
        </w:rPr>
      </w:pPr>
      <w:r>
        <w:rPr>
          <w:rFonts w:eastAsia="Times New Roman"/>
        </w:rPr>
        <w:pict>
          <v:rect id="_x0000_i1091"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i/>
          <w:iCs/>
          <w:sz w:val="20"/>
          <w:szCs w:val="20"/>
        </w:rPr>
        <w:t>General and Administrative Expense</w:t>
      </w:r>
      <w:r>
        <w:rPr>
          <w:i/>
          <w:iCs/>
          <w:sz w:val="20"/>
          <w:szCs w:val="20"/>
        </w:rPr>
        <w:t>s</w:t>
      </w:r>
      <w:r>
        <w:rPr>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General and administrative expenses consist primarily of personnel costs, including salaries, benefits, bonuses and stock-based compensation expense for our executive, finance, accounting, legal and human resources functions, as well as professional fees, </w:t>
      </w:r>
      <w:r>
        <w:rPr>
          <w:sz w:val="20"/>
          <w:szCs w:val="20"/>
        </w:rPr>
        <w:t>occupancy costs, and other general overhead costs. We expect to incur additional general and administrative expenses in compliance, legal, investor relations, director’s and officer’s insurance, and professional services related to our compliance and repor</w:t>
      </w:r>
      <w:r>
        <w:rPr>
          <w:sz w:val="20"/>
          <w:szCs w:val="20"/>
        </w:rPr>
        <w:t>ting obligations as a public company</w:t>
      </w:r>
      <w:r>
        <w:rPr>
          <w:sz w:val="20"/>
          <w:szCs w:val="20"/>
        </w:rPr>
        <w:t>.</w:t>
      </w:r>
      <w:r>
        <w:rPr>
          <w:i/>
          <w:iCs/>
          <w:sz w:val="20"/>
          <w:szCs w:val="20"/>
        </w:rPr>
        <w:t xml:space="preserve"> </w:t>
      </w:r>
      <w:r>
        <w:rPr>
          <w:sz w:val="20"/>
          <w:szCs w:val="20"/>
        </w:rPr>
        <w:t>We also anticipate that as we continue to grow as a company our general and administrative expenses will increase on an absolute dollar basis. However, we expect our general and administrative expenses to decrease as a</w:t>
      </w:r>
      <w:r>
        <w:rPr>
          <w:sz w:val="20"/>
          <w:szCs w:val="20"/>
        </w:rPr>
        <w:t xml:space="preserve"> percentage of our total revenue over the next several years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Financial income (expense), ne</w:t>
      </w:r>
      <w:r>
        <w:rPr>
          <w:b/>
          <w:bCs/>
          <w:i/>
          <w:iCs/>
          <w:sz w:val="20"/>
          <w:szCs w:val="20"/>
        </w:rPr>
        <w:t>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Financial income (expense), net, includes the impact from changes in the fair value of our warrant liabilities, issuance costs related to our warrant liabilitie</w:t>
      </w:r>
      <w:r>
        <w:rPr>
          <w:sz w:val="20"/>
          <w:szCs w:val="20"/>
        </w:rPr>
        <w:t>s, interest earned on cash equivalents deposited in our bank accounts and other financial expenses in connection with bank charges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Taxes on incom</w:t>
      </w:r>
      <w:r>
        <w:rPr>
          <w:b/>
          <w:bCs/>
          <w:i/>
          <w:iCs/>
          <w:sz w:val="20"/>
          <w:szCs w:val="20"/>
        </w:rPr>
        <w:t>e</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taxes on income consists primarily of foreign income taxes related to income generated by our subsidia</w:t>
      </w:r>
      <w:r>
        <w:rPr>
          <w:sz w:val="20"/>
          <w:szCs w:val="20"/>
        </w:rPr>
        <w:t>ry organized under the laws of Israel. As we expand the scale of our international business activities, any changes in the U.S. and foreign taxation of such activities may increase our overall provision for income taxes in the future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have a full valua</w:t>
      </w:r>
      <w:r>
        <w:rPr>
          <w:sz w:val="20"/>
          <w:szCs w:val="20"/>
        </w:rPr>
        <w:t>tion allowance for our U.S. deferred tax assets, including federal and state NOLs. We expect to maintain this valuation allowance until it becomes more likely than not that the benefit of our federal and state deferred tax assets will be realized through e</w:t>
      </w:r>
      <w:r>
        <w:rPr>
          <w:sz w:val="20"/>
          <w:szCs w:val="20"/>
        </w:rPr>
        <w:t>xpected future taxable income in the United States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sz w:val="20"/>
          <w:szCs w:val="20"/>
        </w:rPr>
        <w:t>Results of Operation</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following table presents the results of operations for the years ended December 31, 2021 and 2020 and the dollar and percentage change between the respective periods</w:t>
      </w:r>
      <w:r>
        <w:rPr>
          <w:sz w:val="20"/>
          <w:szCs w:val="20"/>
        </w:rPr>
        <w:t>:</w:t>
      </w:r>
    </w:p>
    <w:p w:rsidR="00000000" w:rsidRDefault="00AF2D19">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6"/>
        <w:gridCol w:w="124"/>
        <w:gridCol w:w="124"/>
        <w:gridCol w:w="130"/>
        <w:gridCol w:w="967"/>
        <w:gridCol w:w="107"/>
        <w:gridCol w:w="125"/>
        <w:gridCol w:w="130"/>
        <w:gridCol w:w="956"/>
        <w:gridCol w:w="95"/>
        <w:gridCol w:w="125"/>
        <w:gridCol w:w="130"/>
        <w:gridCol w:w="956"/>
        <w:gridCol w:w="107"/>
        <w:gridCol w:w="125"/>
        <w:gridCol w:w="95"/>
        <w:gridCol w:w="982"/>
        <w:gridCol w:w="122"/>
      </w:tblGrid>
      <w:tr w:rsidR="00000000">
        <w:trPr>
          <w:tblCellSpacing w:w="15" w:type="dxa"/>
        </w:trPr>
        <w:tc>
          <w:tcPr>
            <w:tcW w:w="1861" w:type="pct"/>
            <w:vAlign w:val="center"/>
            <w:hideMark/>
          </w:tcPr>
          <w:p w:rsidR="00000000" w:rsidRDefault="00AF2D19">
            <w:pPr>
              <w:rPr>
                <w:sz w:val="20"/>
                <w:szCs w:val="20"/>
              </w:rPr>
            </w:pPr>
          </w:p>
        </w:tc>
        <w:tc>
          <w:tcPr>
            <w:tcW w:w="77" w:type="pct"/>
            <w:vAlign w:val="center"/>
            <w:hideMark/>
          </w:tcPr>
          <w:p w:rsidR="00000000" w:rsidRDefault="00AF2D19">
            <w:pPr>
              <w:rPr>
                <w:rFonts w:eastAsia="Times New Roman"/>
                <w:sz w:val="20"/>
                <w:szCs w:val="20"/>
              </w:rPr>
            </w:pPr>
          </w:p>
        </w:tc>
        <w:tc>
          <w:tcPr>
            <w:tcW w:w="77"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620" w:type="pct"/>
            <w:vAlign w:val="center"/>
            <w:hideMark/>
          </w:tcPr>
          <w:p w:rsidR="00000000" w:rsidRDefault="00AF2D19">
            <w:pPr>
              <w:rPr>
                <w:rFonts w:eastAsia="Times New Roman"/>
                <w:sz w:val="20"/>
                <w:szCs w:val="20"/>
              </w:rPr>
            </w:pPr>
          </w:p>
        </w:tc>
        <w:tc>
          <w:tcPr>
            <w:tcW w:w="29" w:type="pct"/>
            <w:vAlign w:val="center"/>
            <w:hideMark/>
          </w:tcPr>
          <w:p w:rsidR="00000000" w:rsidRDefault="00AF2D19">
            <w:pPr>
              <w:rPr>
                <w:rFonts w:eastAsia="Times New Roman"/>
                <w:sz w:val="20"/>
                <w:szCs w:val="20"/>
              </w:rPr>
            </w:pPr>
          </w:p>
        </w:tc>
        <w:tc>
          <w:tcPr>
            <w:tcW w:w="77"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613" w:type="pct"/>
            <w:vAlign w:val="center"/>
            <w:hideMark/>
          </w:tcPr>
          <w:p w:rsidR="00000000" w:rsidRDefault="00AF2D19">
            <w:pPr>
              <w:rPr>
                <w:rFonts w:eastAsia="Times New Roman"/>
                <w:sz w:val="20"/>
                <w:szCs w:val="20"/>
              </w:rPr>
            </w:pPr>
          </w:p>
        </w:tc>
        <w:tc>
          <w:tcPr>
            <w:tcW w:w="24" w:type="pct"/>
            <w:vAlign w:val="center"/>
            <w:hideMark/>
          </w:tcPr>
          <w:p w:rsidR="00000000" w:rsidRDefault="00AF2D19">
            <w:pPr>
              <w:rPr>
                <w:rFonts w:eastAsia="Times New Roman"/>
                <w:sz w:val="20"/>
                <w:szCs w:val="20"/>
              </w:rPr>
            </w:pPr>
          </w:p>
        </w:tc>
        <w:tc>
          <w:tcPr>
            <w:tcW w:w="77"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613" w:type="pct"/>
            <w:vAlign w:val="center"/>
            <w:hideMark/>
          </w:tcPr>
          <w:p w:rsidR="00000000" w:rsidRDefault="00AF2D19">
            <w:pPr>
              <w:rPr>
                <w:rFonts w:eastAsia="Times New Roman"/>
                <w:sz w:val="20"/>
                <w:szCs w:val="20"/>
              </w:rPr>
            </w:pPr>
          </w:p>
        </w:tc>
        <w:tc>
          <w:tcPr>
            <w:tcW w:w="29" w:type="pct"/>
            <w:vAlign w:val="center"/>
            <w:hideMark/>
          </w:tcPr>
          <w:p w:rsidR="00000000" w:rsidRDefault="00AF2D19">
            <w:pPr>
              <w:rPr>
                <w:rFonts w:eastAsia="Times New Roman"/>
                <w:sz w:val="20"/>
                <w:szCs w:val="20"/>
              </w:rPr>
            </w:pPr>
          </w:p>
        </w:tc>
        <w:tc>
          <w:tcPr>
            <w:tcW w:w="77" w:type="pct"/>
            <w:vAlign w:val="center"/>
            <w:hideMark/>
          </w:tcPr>
          <w:p w:rsidR="00000000" w:rsidRDefault="00AF2D19">
            <w:pPr>
              <w:rPr>
                <w:rFonts w:eastAsia="Times New Roman"/>
                <w:sz w:val="20"/>
                <w:szCs w:val="20"/>
              </w:rPr>
            </w:pPr>
          </w:p>
        </w:tc>
        <w:tc>
          <w:tcPr>
            <w:tcW w:w="21" w:type="pct"/>
            <w:vAlign w:val="center"/>
            <w:hideMark/>
          </w:tcPr>
          <w:p w:rsidR="00000000" w:rsidRDefault="00AF2D19">
            <w:pPr>
              <w:rPr>
                <w:rFonts w:eastAsia="Times New Roman"/>
                <w:sz w:val="20"/>
                <w:szCs w:val="20"/>
              </w:rPr>
            </w:pPr>
          </w:p>
        </w:tc>
        <w:tc>
          <w:tcPr>
            <w:tcW w:w="629" w:type="pct"/>
            <w:vAlign w:val="center"/>
            <w:hideMark/>
          </w:tcPr>
          <w:p w:rsidR="00000000" w:rsidRDefault="00AF2D19">
            <w:pPr>
              <w:rPr>
                <w:rFonts w:eastAsia="Times New Roman"/>
                <w:sz w:val="20"/>
                <w:szCs w:val="20"/>
              </w:rPr>
            </w:pPr>
          </w:p>
        </w:tc>
        <w:tc>
          <w:tcPr>
            <w:tcW w:w="29" w:type="pct"/>
            <w:vAlign w:val="center"/>
            <w:hideMark/>
          </w:tcPr>
          <w:p w:rsidR="00000000" w:rsidRDefault="00AF2D19">
            <w:pPr>
              <w:rPr>
                <w:rFonts w:eastAsia="Times New Roman"/>
                <w:sz w:val="20"/>
                <w:szCs w:val="20"/>
              </w:rPr>
            </w:pP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14"/>
            <w:vAlign w:val="bottom"/>
            <w:hideMark/>
          </w:tcPr>
          <w:p w:rsidR="00000000" w:rsidRDefault="00AF2D19">
            <w:pPr>
              <w:pStyle w:val="a3"/>
              <w:spacing w:before="0" w:beforeAutospacing="0" w:after="0" w:afterAutospacing="0"/>
              <w:jc w:val="center"/>
              <w:rPr>
                <w:sz w:val="14"/>
                <w:szCs w:val="14"/>
              </w:rPr>
            </w:pPr>
            <w:r>
              <w:rPr>
                <w:b/>
                <w:bCs/>
                <w:sz w:val="14"/>
                <w:szCs w:val="14"/>
              </w:rPr>
              <w:t>Years Ended December 31</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1</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0</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Varianc</w:t>
            </w:r>
            <w:r>
              <w:rPr>
                <w:b/>
                <w:bCs/>
                <w:sz w:val="14"/>
                <w:szCs w:val="14"/>
              </w:rPr>
              <w:t>e</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i/>
                <w:iCs/>
                <w:sz w:val="14"/>
                <w:szCs w:val="14"/>
              </w:rPr>
              <w:t>(in thousands, except percentages, share and per share data</w:t>
            </w:r>
            <w:r>
              <w:rPr>
                <w:i/>
                <w:i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14"/>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Revenue</w:t>
            </w:r>
            <w:r>
              <w:rPr>
                <w:sz w:val="14"/>
                <w:szCs w:val="14"/>
              </w:rPr>
              <w:t>s</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113,67</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76,19</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37,48</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49.</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Cost of revenue</w:t>
            </w:r>
            <w:r>
              <w:rPr>
                <w:sz w:val="14"/>
                <w:szCs w:val="14"/>
              </w:rPr>
              <w:t>s</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46,89</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26,35</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20,54</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78.</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Gross profi</w:t>
            </w:r>
            <w:r>
              <w:rPr>
                <w:sz w:val="14"/>
                <w:szCs w:val="14"/>
              </w:rPr>
              <w:t>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66,77</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49,83</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16,93</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34.</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Operating expenses</w:t>
            </w: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ind w:left="200"/>
              <w:rPr>
                <w:sz w:val="14"/>
                <w:szCs w:val="14"/>
              </w:rPr>
            </w:pPr>
            <w:r>
              <w:rPr>
                <w:sz w:val="14"/>
                <w:szCs w:val="14"/>
              </w:rPr>
              <w:t>Research and development, ne</w:t>
            </w:r>
            <w:r>
              <w:rPr>
                <w:sz w:val="14"/>
                <w:szCs w:val="14"/>
              </w:rPr>
              <w:t>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15,91</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9,58</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6,33</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66.</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ind w:left="200"/>
              <w:rPr>
                <w:sz w:val="14"/>
                <w:szCs w:val="14"/>
              </w:rPr>
            </w:pPr>
            <w:r>
              <w:rPr>
                <w:sz w:val="14"/>
                <w:szCs w:val="14"/>
              </w:rPr>
              <w:t>Clinical operation</w:t>
            </w:r>
            <w:r>
              <w:rPr>
                <w:sz w:val="14"/>
                <w:szCs w:val="14"/>
              </w:rPr>
              <w:t>s</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9,36</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4,33</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5,03</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116.</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ind w:left="200"/>
              <w:rPr>
                <w:sz w:val="14"/>
                <w:szCs w:val="14"/>
              </w:rPr>
            </w:pPr>
            <w:r>
              <w:rPr>
                <w:sz w:val="14"/>
                <w:szCs w:val="14"/>
              </w:rPr>
              <w:t>Sales and marketin</w:t>
            </w:r>
            <w:r>
              <w:rPr>
                <w:sz w:val="14"/>
                <w:szCs w:val="14"/>
              </w:rPr>
              <w:t>g</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100,64</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47,70</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52,93</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111.</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ind w:left="200"/>
              <w:rPr>
                <w:sz w:val="14"/>
                <w:szCs w:val="14"/>
              </w:rPr>
            </w:pPr>
            <w:r>
              <w:rPr>
                <w:sz w:val="14"/>
                <w:szCs w:val="14"/>
              </w:rPr>
              <w:t>General and administrativ</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34,77</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10,19</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24,57</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240.</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Total operating expense</w:t>
            </w:r>
            <w:r>
              <w:rPr>
                <w:sz w:val="14"/>
                <w:szCs w:val="14"/>
              </w:rPr>
              <w:t>s</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160,69</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71,81</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88,87</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123.</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Operating los</w:t>
            </w:r>
            <w:r>
              <w:rPr>
                <w:sz w:val="14"/>
                <w:szCs w:val="14"/>
              </w:rPr>
              <w:t>s</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93,92</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21,98</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71,94</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327.</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Financial (income) expense, ne</w:t>
            </w:r>
            <w:r>
              <w:rPr>
                <w:sz w:val="14"/>
                <w:szCs w:val="14"/>
              </w:rPr>
              <w:t>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(31,22</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36</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(31,59</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Loss before taxes on incom</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62,69</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22,34</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40,34</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180.</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Taxes on incom</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95.</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62,74</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22,37</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40,37</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180.</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Net loss per share</w:t>
            </w:r>
            <w:r>
              <w:rPr>
                <w:sz w:val="14"/>
                <w:szCs w:val="14"/>
              </w:rPr>
              <w:t xml:space="preserve"> </w:t>
            </w:r>
            <w:r>
              <w:rPr>
                <w:sz w:val="9"/>
                <w:szCs w:val="9"/>
              </w:rPr>
              <w:t>(1</w:t>
            </w:r>
            <w:r>
              <w:rPr>
                <w:sz w:val="9"/>
                <w:szCs w:val="9"/>
              </w:rPr>
              <w:t>)</w:t>
            </w: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Basic and Dilute</w:t>
            </w:r>
            <w:r>
              <w:rPr>
                <w:sz w:val="14"/>
                <w:szCs w:val="14"/>
              </w:rPr>
              <w:t>d</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0.7</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1.6</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(0.9</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(56.</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Weighted average number of common shares</w:t>
            </w:r>
            <w:r>
              <w:rPr>
                <w:sz w:val="14"/>
                <w:szCs w:val="14"/>
              </w:rPr>
              <w:t xml:space="preserve"> </w:t>
            </w:r>
            <w:r>
              <w:rPr>
                <w:sz w:val="9"/>
                <w:szCs w:val="9"/>
              </w:rPr>
              <w:t>(1)</w:t>
            </w:r>
            <w:r>
              <w:rPr>
                <w:sz w:val="9"/>
                <w:szCs w:val="9"/>
              </w:rPr>
              <w:t xml:space="preserve"> </w:t>
            </w: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Basic and Dilute</w:t>
            </w:r>
            <w:r>
              <w:rPr>
                <w:sz w:val="14"/>
                <w:szCs w:val="14"/>
              </w:rPr>
              <w:t>d</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86,775,94</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13,359,35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73,416,59</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549.</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120" w:beforeAutospacing="0" w:after="0" w:afterAutospacing="0"/>
        <w:rPr>
          <w:sz w:val="20"/>
          <w:szCs w:val="20"/>
        </w:rPr>
      </w:pPr>
      <w:r>
        <w:rPr>
          <w:i/>
          <w:iCs/>
          <w:sz w:val="17"/>
          <w:szCs w:val="17"/>
        </w:rPr>
        <w:t>* Percentage not meaningfu</w:t>
      </w:r>
      <w:r>
        <w:rPr>
          <w:i/>
          <w:iCs/>
          <w:sz w:val="17"/>
          <w:szCs w:val="17"/>
        </w:rPr>
        <w:t>l</w:t>
      </w:r>
    </w:p>
    <w:p w:rsidR="00000000" w:rsidRDefault="00AF2D19">
      <w:pPr>
        <w:pStyle w:val="a3"/>
        <w:spacing w:before="40" w:beforeAutospacing="0" w:after="0" w:afterAutospacing="0"/>
        <w:jc w:val="both"/>
        <w:rPr>
          <w:sz w:val="20"/>
          <w:szCs w:val="20"/>
        </w:rPr>
      </w:pPr>
      <w:r>
        <w:rPr>
          <w:sz w:val="17"/>
          <w:szCs w:val="17"/>
        </w:rPr>
        <w:t>(1) Prior period results have been adjusted to reflect the exchange of Old Talkspace’s common stock for Talkspace’s common stock at an exchange ratio of approximately 1.134140 in June 2021 as a result of the Business Combination</w:t>
      </w:r>
      <w:r>
        <w:rPr>
          <w:sz w:val="17"/>
          <w:szCs w:val="17"/>
        </w:rPr>
        <w:t>. See Note 3, “Business Combination” in the notes to the consolidated financial statements for further details</w:t>
      </w:r>
      <w:r>
        <w:rPr>
          <w:sz w:val="17"/>
          <w:szCs w:val="17"/>
        </w:rPr>
        <w:t>.</w:t>
      </w:r>
    </w:p>
    <w:p w:rsidR="00000000" w:rsidRDefault="00AF2D19">
      <w:pPr>
        <w:pStyle w:val="a3"/>
        <w:spacing w:before="240" w:beforeAutospacing="0" w:after="0" w:afterAutospacing="0"/>
        <w:rPr>
          <w:sz w:val="20"/>
          <w:szCs w:val="20"/>
        </w:rPr>
      </w:pPr>
      <w:r>
        <w:rPr>
          <w:b/>
          <w:bCs/>
          <w:sz w:val="20"/>
          <w:szCs w:val="20"/>
          <w:u w:val="single"/>
        </w:rPr>
        <w:t>Year Ended December 31, 2021 Compared to December 31, 202</w:t>
      </w:r>
      <w:r>
        <w:rPr>
          <w:b/>
          <w:bCs/>
          <w:sz w:val="20"/>
          <w:szCs w:val="20"/>
          <w:u w:val="single"/>
        </w:rPr>
        <w:t>0</w:t>
      </w:r>
    </w:p>
    <w:p w:rsidR="00000000" w:rsidRDefault="00AF2D19">
      <w:pPr>
        <w:pStyle w:val="a3"/>
        <w:spacing w:before="120" w:beforeAutospacing="0" w:after="0" w:afterAutospacing="0"/>
        <w:rPr>
          <w:sz w:val="20"/>
          <w:szCs w:val="20"/>
        </w:rPr>
      </w:pPr>
      <w:r>
        <w:rPr>
          <w:b/>
          <w:bCs/>
          <w:sz w:val="20"/>
          <w:szCs w:val="20"/>
        </w:rPr>
        <w:t>Revenue</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Revenues increased by $37.5 million, or 49.2%, to $113.7 million for the yea</w:t>
      </w:r>
      <w:r>
        <w:rPr>
          <w:sz w:val="20"/>
          <w:szCs w:val="20"/>
        </w:rPr>
        <w:t>r ended December 31, 2021 from $76.2 million for the year ended December 31, 2020. The increase was principally driven by an increase in year-over-year revenue from existing health plan clients, increased B2C member subscriptions and the addition of new en</w:t>
      </w:r>
      <w:r>
        <w:rPr>
          <w:sz w:val="20"/>
          <w:szCs w:val="20"/>
        </w:rPr>
        <w:t>terprise clients, partially offset by higher revenue reserves primarily from our existing health plan clients. Revenue from our health plan clients, prior to the impact o</w:t>
      </w:r>
      <w:r>
        <w:rPr>
          <w:sz w:val="20"/>
          <w:szCs w:val="20"/>
        </w:rPr>
        <w:t>f</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6</w:t>
      </w:r>
      <w:r>
        <w:rPr>
          <w:sz w:val="20"/>
          <w:szCs w:val="20"/>
        </w:rPr>
        <w:t>4</w:t>
      </w:r>
    </w:p>
    <w:p w:rsidR="00000000" w:rsidRDefault="00AF2D19">
      <w:pPr>
        <w:rPr>
          <w:rFonts w:eastAsia="Times New Roman"/>
        </w:rPr>
      </w:pPr>
      <w:r>
        <w:rPr>
          <w:rFonts w:eastAsia="Times New Roman"/>
        </w:rPr>
        <w:pict>
          <v:rect id="_x0000_i109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revenue reserves, increased by $16.5 million, or 166.1%, to $26.4 million for the year ended December 31, 2021 from $9.9 million for the year ended December 31, 2020. Duri</w:t>
      </w:r>
      <w:r>
        <w:rPr>
          <w:sz w:val="20"/>
          <w:szCs w:val="20"/>
        </w:rPr>
        <w:t>ng the year ended December 31, 2021, the Company recorded an increase in the revenue reserves of $4.1 million related to receivables from its health plan clients. This compares to an increase of $0.8 million in revenue reserves recorded during the year end</w:t>
      </w:r>
      <w:r>
        <w:rPr>
          <w:sz w:val="20"/>
          <w:szCs w:val="20"/>
        </w:rPr>
        <w:t>ed December 31, 2020. B2C member subscriptions revenue increased by $13.2 million, or 21.4%, to $74.8 million for the year ended December 31, 2021 from $61.6 million for the year ended December 31, 2020.</w:t>
      </w:r>
      <w:r>
        <w:rPr>
          <w:sz w:val="20"/>
          <w:szCs w:val="20"/>
        </w:rPr>
        <w:t xml:space="preserve"> </w:t>
      </w:r>
      <w:r>
        <w:rPr>
          <w:sz w:val="20"/>
          <w:szCs w:val="20"/>
        </w:rPr>
        <w:t>Enterprise client contracts increased by 86 clients,</w:t>
      </w:r>
      <w:r>
        <w:rPr>
          <w:sz w:val="20"/>
          <w:szCs w:val="20"/>
        </w:rPr>
        <w:t xml:space="preserve"> or 119.4%, to 158 clients as of December 31, 2021 from 72 clients as of December 31, 2020.</w:t>
      </w:r>
      <w:r>
        <w:rPr>
          <w:sz w:val="20"/>
          <w:szCs w:val="20"/>
        </w:rPr>
        <w:t xml:space="preserve"> </w:t>
      </w:r>
      <w:r>
        <w:rPr>
          <w:sz w:val="20"/>
          <w:szCs w:val="20"/>
        </w:rPr>
        <w:t>The increase in the number of enterprise clients increased revenue by $11.1 million, or 201.4%, to $16.6 million for the year ended December 31, 2021 from $5.5 mill</w:t>
      </w:r>
      <w:r>
        <w:rPr>
          <w:sz w:val="20"/>
          <w:szCs w:val="20"/>
        </w:rPr>
        <w:t>ion for the year ended December 31, 2020. We believe that the appeal of our technology platform, the quality of our providers and the cost of our services will continue to represent the primary drivers of revenue growth from B2C members and B2B clients</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sz w:val="20"/>
          <w:szCs w:val="20"/>
        </w:rPr>
        <w:t>C</w:t>
      </w:r>
      <w:r>
        <w:rPr>
          <w:b/>
          <w:bCs/>
          <w:sz w:val="20"/>
          <w:szCs w:val="20"/>
        </w:rPr>
        <w:t>osts of revenue</w:t>
      </w:r>
      <w:r>
        <w:rPr>
          <w:b/>
          <w:bCs/>
          <w:sz w:val="20"/>
          <w:szCs w:val="20"/>
        </w:rPr>
        <w:t>s</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Cost of revenues increased by $20.5 million, or 78.0%, to $46.9 million for the year ended December 31, 2021 from $26.4 million for the year ended December 31, 2020, primarily due to costs associated with an increase of providers on our p</w:t>
      </w:r>
      <w:r>
        <w:rPr>
          <w:sz w:val="20"/>
          <w:szCs w:val="20"/>
        </w:rPr>
        <w:t>latform. This increase of providers was required to service the increased demand for our therapy services in both our B2C and B2B businesses</w:t>
      </w:r>
      <w:r>
        <w:rPr>
          <w:sz w:val="20"/>
          <w:szCs w:val="20"/>
        </w:rPr>
        <w:t>.</w:t>
      </w:r>
    </w:p>
    <w:p w:rsidR="00000000" w:rsidRDefault="00AF2D19">
      <w:pPr>
        <w:pStyle w:val="a3"/>
        <w:spacing w:before="120" w:beforeAutospacing="0" w:after="0" w:afterAutospacing="0"/>
        <w:jc w:val="both"/>
        <w:rPr>
          <w:sz w:val="20"/>
          <w:szCs w:val="20"/>
        </w:rPr>
      </w:pPr>
      <w:r>
        <w:rPr>
          <w:sz w:val="20"/>
          <w:szCs w:val="20"/>
        </w:rPr>
        <w:t>Total employee provider headcount was 287 as of December 31, 2021</w:t>
      </w:r>
      <w:r>
        <w:rPr>
          <w:sz w:val="20"/>
          <w:szCs w:val="20"/>
        </w:rPr>
        <w:t>.</w:t>
      </w:r>
    </w:p>
    <w:p w:rsidR="00000000" w:rsidRDefault="00AF2D19">
      <w:pPr>
        <w:pStyle w:val="a3"/>
        <w:spacing w:before="240" w:beforeAutospacing="0" w:after="0" w:afterAutospacing="0"/>
        <w:jc w:val="both"/>
        <w:rPr>
          <w:sz w:val="20"/>
          <w:szCs w:val="20"/>
        </w:rPr>
      </w:pPr>
      <w:r>
        <w:rPr>
          <w:b/>
          <w:bCs/>
          <w:sz w:val="20"/>
          <w:szCs w:val="20"/>
        </w:rPr>
        <w:t>Gross profi</w:t>
      </w:r>
      <w:r>
        <w:rPr>
          <w:b/>
          <w:bCs/>
          <w:sz w:val="20"/>
          <w:szCs w:val="20"/>
        </w:rPr>
        <w:t>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Gross profit increased by $16.9 m</w:t>
      </w:r>
      <w:r>
        <w:rPr>
          <w:sz w:val="20"/>
          <w:szCs w:val="20"/>
        </w:rPr>
        <w:t>illion, or 34.0%, to $66.8 million for the year ended December 31, 2021 from $49.8 million for the year ended December 31, 2020. This increase was primarily due to the 49.2% increase in revenues, partially offset by higher cost of revenues due to an increa</w:t>
      </w:r>
      <w:r>
        <w:rPr>
          <w:sz w:val="20"/>
          <w:szCs w:val="20"/>
        </w:rPr>
        <w:t>se of providers on our platform to support our increased demand. Gross margin was 58.7% for the year ended December 31, 2021, compared to 65.4% during the year ended December 31, 2020. The decrease in gross margin was due primarily to a revenue shift to ou</w:t>
      </w:r>
      <w:r>
        <w:rPr>
          <w:sz w:val="20"/>
          <w:szCs w:val="20"/>
        </w:rPr>
        <w:t>r B2B business, higher revenue reserves and growth in our employee provider headcount during the year ended December 31, 2021</w:t>
      </w:r>
      <w:r>
        <w:rPr>
          <w:sz w:val="20"/>
          <w:szCs w:val="20"/>
        </w:rPr>
        <w:t>.</w:t>
      </w:r>
    </w:p>
    <w:p w:rsidR="00000000" w:rsidRDefault="00AF2D19">
      <w:pPr>
        <w:pStyle w:val="a3"/>
        <w:spacing w:before="240" w:beforeAutospacing="0" w:after="0" w:afterAutospacing="0"/>
        <w:rPr>
          <w:sz w:val="20"/>
          <w:szCs w:val="20"/>
        </w:rPr>
      </w:pPr>
      <w:r>
        <w:rPr>
          <w:b/>
          <w:bCs/>
          <w:sz w:val="20"/>
          <w:szCs w:val="20"/>
        </w:rPr>
        <w:t>Research and development expense</w:t>
      </w:r>
      <w:r>
        <w:rPr>
          <w:b/>
          <w:bCs/>
          <w:sz w:val="20"/>
          <w:szCs w:val="20"/>
        </w:rPr>
        <w:t>s</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Research and development expenses increased by $6.3 million, or 66.1%, to $15.9 million for th</w:t>
      </w:r>
      <w:r>
        <w:rPr>
          <w:sz w:val="20"/>
          <w:szCs w:val="20"/>
        </w:rPr>
        <w:t>e year ended December 31, 2021 from $9.6 million for the year ended December 31, 2020. This was primarily due to an increase of $6.4 million in employee-related costs, inclusive of non-cash stock compensation expense, partially offset by $1.0 million in co</w:t>
      </w:r>
      <w:r>
        <w:rPr>
          <w:sz w:val="20"/>
          <w:szCs w:val="20"/>
        </w:rPr>
        <w:t>st savings related to the application of research grant proceeds</w:t>
      </w:r>
      <w:r>
        <w:rPr>
          <w:sz w:val="20"/>
          <w:szCs w:val="20"/>
        </w:rPr>
        <w:t>.</w:t>
      </w:r>
    </w:p>
    <w:p w:rsidR="00000000" w:rsidRDefault="00AF2D19">
      <w:pPr>
        <w:pStyle w:val="a3"/>
        <w:spacing w:before="120" w:beforeAutospacing="0" w:after="0" w:afterAutospacing="0"/>
        <w:jc w:val="both"/>
        <w:rPr>
          <w:sz w:val="20"/>
          <w:szCs w:val="20"/>
        </w:rPr>
      </w:pPr>
      <w:r>
        <w:rPr>
          <w:sz w:val="20"/>
          <w:szCs w:val="20"/>
        </w:rPr>
        <w:t>Total research and development employee headcount increased to 57 employees as of December 31, 2021, as compared to 38 employees as of December 31, 2020</w:t>
      </w:r>
      <w:r>
        <w:rPr>
          <w:sz w:val="20"/>
          <w:szCs w:val="20"/>
        </w:rPr>
        <w:t>.</w:t>
      </w:r>
    </w:p>
    <w:p w:rsidR="00000000" w:rsidRDefault="00AF2D19">
      <w:pPr>
        <w:pStyle w:val="a3"/>
        <w:spacing w:before="240" w:beforeAutospacing="0" w:after="0" w:afterAutospacing="0"/>
        <w:rPr>
          <w:sz w:val="20"/>
          <w:szCs w:val="20"/>
        </w:rPr>
      </w:pPr>
      <w:r>
        <w:rPr>
          <w:b/>
          <w:bCs/>
          <w:sz w:val="20"/>
          <w:szCs w:val="20"/>
        </w:rPr>
        <w:t>Clinical operations expense</w:t>
      </w:r>
      <w:r>
        <w:rPr>
          <w:b/>
          <w:bCs/>
          <w:sz w:val="20"/>
          <w:szCs w:val="20"/>
        </w:rPr>
        <w:t>s</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Clinic</w:t>
      </w:r>
      <w:r>
        <w:rPr>
          <w:sz w:val="20"/>
          <w:szCs w:val="20"/>
        </w:rPr>
        <w:t>al operations expenses increased by $5.0 million, or 116.2%, to $9.4 million for the year ended December 31, 2021 from $4.3 million for the year ended December 31, 2020. This was primarily due to an increase of $3.6 million in employee-related costs, inclu</w:t>
      </w:r>
      <w:r>
        <w:rPr>
          <w:sz w:val="20"/>
          <w:szCs w:val="20"/>
        </w:rPr>
        <w:t>sive of non-cash stock compensation expense, and a $0.9 million increase in provider recruiting costs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Total clinical operation employee headcount increased to 31 employees as of December 31, 2021, as compared to 21 employees as of December 31, 2020</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sz w:val="20"/>
          <w:szCs w:val="20"/>
        </w:rPr>
        <w:t>Sal</w:t>
      </w:r>
      <w:r>
        <w:rPr>
          <w:b/>
          <w:bCs/>
          <w:sz w:val="20"/>
          <w:szCs w:val="20"/>
        </w:rPr>
        <w:t>es and marketing expense</w:t>
      </w:r>
      <w:r>
        <w:rPr>
          <w:b/>
          <w:bCs/>
          <w:sz w:val="20"/>
          <w:szCs w:val="20"/>
        </w:rPr>
        <w:t>s</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Sales and marketing expenses increased by $52.9 million, or 111.0%, to $100.6 million for the year ended December 31, 2021 from $47.7 million for the year ended December 31, 2020. The increase in sales and marketing expenses prim</w:t>
      </w:r>
      <w:r>
        <w:rPr>
          <w:sz w:val="20"/>
          <w:szCs w:val="20"/>
        </w:rPr>
        <w:t>arily consisted of a $38.4 million increase in direct marketing and promotional costs and a $10.6 million increase in employee-related costs inclusive of commissions and non-cash stock compensation expense</w:t>
      </w:r>
      <w:r>
        <w:rPr>
          <w:sz w:val="20"/>
          <w:szCs w:val="20"/>
        </w:rPr>
        <w:t>.</w:t>
      </w:r>
    </w:p>
    <w:p w:rsidR="00000000" w:rsidRDefault="00AF2D19">
      <w:pPr>
        <w:pStyle w:val="a3"/>
        <w:spacing w:before="120" w:beforeAutospacing="0" w:after="0" w:afterAutospacing="0"/>
        <w:jc w:val="both"/>
        <w:rPr>
          <w:sz w:val="20"/>
          <w:szCs w:val="20"/>
        </w:rPr>
      </w:pPr>
      <w:r>
        <w:rPr>
          <w:sz w:val="20"/>
          <w:szCs w:val="20"/>
        </w:rPr>
        <w:t>Total sales and marketing employee headcount incr</w:t>
      </w:r>
      <w:r>
        <w:rPr>
          <w:sz w:val="20"/>
          <w:szCs w:val="20"/>
        </w:rPr>
        <w:t>eased to 84 employees as of December 31, 2021, as compared to 61 employees as of December 31, 2020</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6</w:t>
      </w:r>
      <w:r>
        <w:rPr>
          <w:sz w:val="20"/>
          <w:szCs w:val="20"/>
        </w:rPr>
        <w:t>5</w:t>
      </w:r>
    </w:p>
    <w:p w:rsidR="00000000" w:rsidRDefault="00AF2D19">
      <w:pPr>
        <w:rPr>
          <w:rFonts w:eastAsia="Times New Roman"/>
        </w:rPr>
      </w:pPr>
      <w:r>
        <w:rPr>
          <w:rFonts w:eastAsia="Times New Roman"/>
        </w:rPr>
        <w:pict>
          <v:rect id="_x0000_i1093"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rPr>
          <w:sz w:val="20"/>
          <w:szCs w:val="20"/>
        </w:rPr>
      </w:pPr>
      <w:r>
        <w:rPr>
          <w:b/>
          <w:bCs/>
          <w:sz w:val="20"/>
          <w:szCs w:val="20"/>
        </w:rPr>
        <w:t>General and administrative expense</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General and administrative expenses increased by $24.6 million, or 240.9% , to $34.8 million for the year ended December 31, 2021 from $10.2 million for the year ended December 31, 2020. This was primarily due to an incr</w:t>
      </w:r>
      <w:r>
        <w:rPr>
          <w:sz w:val="20"/>
          <w:szCs w:val="20"/>
        </w:rPr>
        <w:t>ease of $19.5 million in employee-related costs inclusive of non-cash stock compensation expense of which $10.1 million related primarily to the Closing of the Business Combination, a $3.1 million increase in consulting and professional fees, and a $1.7 mi</w:t>
      </w:r>
      <w:r>
        <w:rPr>
          <w:sz w:val="20"/>
          <w:szCs w:val="20"/>
        </w:rPr>
        <w:t>llion increase in insurance costs</w:t>
      </w:r>
      <w:r>
        <w:rPr>
          <w:sz w:val="20"/>
          <w:szCs w:val="20"/>
        </w:rPr>
        <w:t>.</w:t>
      </w:r>
    </w:p>
    <w:p w:rsidR="00000000" w:rsidRDefault="00AF2D19">
      <w:pPr>
        <w:pStyle w:val="a3"/>
        <w:spacing w:before="120" w:beforeAutospacing="0" w:after="0" w:afterAutospacing="0"/>
        <w:jc w:val="both"/>
        <w:rPr>
          <w:sz w:val="20"/>
          <w:szCs w:val="20"/>
        </w:rPr>
      </w:pPr>
      <w:r>
        <w:rPr>
          <w:sz w:val="20"/>
          <w:szCs w:val="20"/>
        </w:rPr>
        <w:t>We expect to incur additional general and administrative costs in compliance, legal, investor relations, insurance, and professional services related to our compliance and reporting obligations as a public company. We als</w:t>
      </w:r>
      <w:r>
        <w:rPr>
          <w:sz w:val="20"/>
          <w:szCs w:val="20"/>
        </w:rPr>
        <w:t xml:space="preserve">o anticipate that as we continue to grow as a company our general and administrative costs will increase on an absolute dollar basis. However, we expect our general and administrative expenses to decrease as a percentage of our total revenue over the next </w:t>
      </w:r>
      <w:r>
        <w:rPr>
          <w:sz w:val="20"/>
          <w:szCs w:val="20"/>
        </w:rPr>
        <w:t>several years</w:t>
      </w:r>
      <w:r>
        <w:rPr>
          <w:sz w:val="20"/>
          <w:szCs w:val="20"/>
        </w:rPr>
        <w:t>.</w:t>
      </w:r>
    </w:p>
    <w:p w:rsidR="00000000" w:rsidRDefault="00AF2D19">
      <w:pPr>
        <w:pStyle w:val="a3"/>
        <w:spacing w:before="120" w:beforeAutospacing="0" w:after="0" w:afterAutospacing="0"/>
        <w:jc w:val="both"/>
        <w:rPr>
          <w:sz w:val="20"/>
          <w:szCs w:val="20"/>
        </w:rPr>
      </w:pPr>
      <w:r>
        <w:rPr>
          <w:sz w:val="20"/>
          <w:szCs w:val="20"/>
        </w:rPr>
        <w:t>Total general and administrative employee headcount increased to 37 employees as of December 31, 2021, as compared to 18 employees as of December 31, 2020</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sz w:val="20"/>
          <w:szCs w:val="20"/>
        </w:rPr>
        <w:t>Financial income (expense), ne</w:t>
      </w:r>
      <w:r>
        <w:rPr>
          <w:b/>
          <w:bCs/>
          <w:sz w:val="20"/>
          <w:szCs w:val="20"/>
        </w:rPr>
        <w:t>t</w:t>
      </w:r>
    </w:p>
    <w:p w:rsidR="00000000" w:rsidRDefault="00AF2D19">
      <w:pPr>
        <w:pStyle w:val="a3"/>
        <w:spacing w:before="120" w:beforeAutospacing="0" w:after="0" w:afterAutospacing="0"/>
        <w:jc w:val="both"/>
        <w:rPr>
          <w:sz w:val="20"/>
          <w:szCs w:val="20"/>
        </w:rPr>
      </w:pPr>
      <w:r>
        <w:rPr>
          <w:sz w:val="20"/>
          <w:szCs w:val="20"/>
        </w:rPr>
        <w:t>Financial income, net was $31.2 million for the year ended December 31, 2021, compared to financial expense, net of $0.4 million for the year ended December 31, 2020. The change in financial income (expense), net was primarily driven by gains resulting fro</w:t>
      </w:r>
      <w:r>
        <w:rPr>
          <w:sz w:val="20"/>
          <w:szCs w:val="20"/>
        </w:rPr>
        <w:t>m the revaluation of warrant liabilities during the year ended December 31, 2021, partially offset by $4.2 million in warrant issuance costs related to the Closing of the Business Combination</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sz w:val="20"/>
          <w:szCs w:val="20"/>
        </w:rPr>
        <w:t>Taxes on incom</w:t>
      </w:r>
      <w:r>
        <w:rPr>
          <w:b/>
          <w:bCs/>
          <w:sz w:val="20"/>
          <w:szCs w:val="20"/>
        </w:rPr>
        <w:t>e</w:t>
      </w:r>
    </w:p>
    <w:p w:rsidR="00000000" w:rsidRDefault="00AF2D19">
      <w:pPr>
        <w:pStyle w:val="a3"/>
        <w:spacing w:before="120" w:beforeAutospacing="0" w:after="0" w:afterAutospacing="0"/>
        <w:jc w:val="both"/>
        <w:rPr>
          <w:sz w:val="20"/>
          <w:szCs w:val="20"/>
        </w:rPr>
      </w:pPr>
      <w:r>
        <w:rPr>
          <w:sz w:val="20"/>
          <w:szCs w:val="20"/>
        </w:rPr>
        <w:t>Taxes on income were minimal for the years end</w:t>
      </w:r>
      <w:r>
        <w:rPr>
          <w:sz w:val="20"/>
          <w:szCs w:val="20"/>
        </w:rPr>
        <w:t>ed December 31, 2021 and 2020</w:t>
      </w:r>
      <w:r>
        <w:rPr>
          <w:sz w:val="20"/>
          <w:szCs w:val="20"/>
        </w:rPr>
        <w:t>.</w:t>
      </w:r>
    </w:p>
    <w:p w:rsidR="00000000" w:rsidRDefault="00AF2D19">
      <w:pPr>
        <w:pStyle w:val="a3"/>
        <w:spacing w:before="240" w:beforeAutospacing="0" w:after="0" w:afterAutospacing="0"/>
        <w:rPr>
          <w:sz w:val="20"/>
          <w:szCs w:val="20"/>
        </w:rPr>
      </w:pPr>
      <w:r>
        <w:rPr>
          <w:b/>
          <w:bCs/>
          <w:sz w:val="20"/>
          <w:szCs w:val="20"/>
          <w:u w:val="single"/>
        </w:rPr>
        <w:t>Year Ended December 31, 2020 Compared to December 31, 201</w:t>
      </w:r>
      <w:r>
        <w:rPr>
          <w:b/>
          <w:bCs/>
          <w:sz w:val="20"/>
          <w:szCs w:val="20"/>
          <w:u w:val="single"/>
        </w:rPr>
        <w:t>9</w:t>
      </w:r>
    </w:p>
    <w:p w:rsidR="00000000" w:rsidRDefault="00AF2D19">
      <w:pPr>
        <w:pStyle w:val="a3"/>
        <w:spacing w:before="120" w:beforeAutospacing="0" w:after="0" w:afterAutospacing="0"/>
        <w:jc w:val="both"/>
        <w:rPr>
          <w:sz w:val="20"/>
          <w:szCs w:val="20"/>
        </w:rPr>
      </w:pPr>
      <w:r>
        <w:rPr>
          <w:sz w:val="20"/>
          <w:szCs w:val="20"/>
        </w:rPr>
        <w:t>For a detailed discussion of the results for the year ended December 31, 2020 compared to the year ended December 31, 2019, please refer to the “Management’s Discussi</w:t>
      </w:r>
      <w:r>
        <w:rPr>
          <w:sz w:val="20"/>
          <w:szCs w:val="20"/>
        </w:rPr>
        <w:t>on and Analysis of Financial Condition and Results of Operations” section of the Company’s Form S-1 Registration Statement, filed on July 2, 2021</w:t>
      </w:r>
      <w:r>
        <w:rPr>
          <w:sz w:val="20"/>
          <w:szCs w:val="20"/>
        </w:rPr>
        <w:t>.</w:t>
      </w:r>
    </w:p>
    <w:p w:rsidR="00000000" w:rsidRDefault="00AF2D19">
      <w:pPr>
        <w:pStyle w:val="a3"/>
        <w:spacing w:before="240" w:beforeAutospacing="0" w:after="0" w:afterAutospacing="0"/>
        <w:rPr>
          <w:sz w:val="20"/>
          <w:szCs w:val="20"/>
        </w:rPr>
      </w:pPr>
      <w:r>
        <w:rPr>
          <w:b/>
          <w:bCs/>
          <w:sz w:val="20"/>
          <w:szCs w:val="20"/>
        </w:rPr>
        <w:t>Liquidity and Capital Resource</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Prior to the completion of the Business Combination, we have historically fi</w:t>
      </w:r>
      <w:r>
        <w:rPr>
          <w:sz w:val="20"/>
          <w:szCs w:val="20"/>
        </w:rPr>
        <w:t>nanced our operations and working capital through periodic issuances of convertible preferred stock. As a result of the Business Combination, we received $249.3 million in proceeds after the payment of transaction costs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As of December 31, 2021, we had $1</w:t>
      </w:r>
      <w:r>
        <w:rPr>
          <w:sz w:val="20"/>
          <w:szCs w:val="20"/>
        </w:rPr>
        <w:t>98.3 million of cash and cash equivalents, which were held to finance our operations and support a variety of growth initiatives and investments. We had no debt as of December 31, 2021 or December 31, 2020 and expect to generate operating losses for the fo</w:t>
      </w:r>
      <w:r>
        <w:rPr>
          <w:sz w:val="20"/>
          <w:szCs w:val="20"/>
        </w:rPr>
        <w:t>reseeable future</w:t>
      </w:r>
      <w:r>
        <w:rPr>
          <w:sz w:val="20"/>
          <w:szCs w:val="20"/>
        </w:rPr>
        <w:t>.</w:t>
      </w:r>
    </w:p>
    <w:p w:rsidR="00000000" w:rsidRDefault="00AF2D19">
      <w:pPr>
        <w:pStyle w:val="a3"/>
        <w:spacing w:before="120" w:beforeAutospacing="0" w:after="0" w:afterAutospacing="0"/>
        <w:jc w:val="both"/>
        <w:rPr>
          <w:sz w:val="20"/>
          <w:szCs w:val="20"/>
        </w:rPr>
      </w:pPr>
      <w:r>
        <w:rPr>
          <w:sz w:val="20"/>
          <w:szCs w:val="20"/>
        </w:rPr>
        <w:t>Our primary cash needs are to fund operating activities and invest in technology development. Our future capital requirements will depend on many factors including our growth rate, contract renewal activity, the timing and extent of inves</w:t>
      </w:r>
      <w:r>
        <w:rPr>
          <w:sz w:val="20"/>
          <w:szCs w:val="20"/>
        </w:rPr>
        <w:t xml:space="preserve">tments to support product development efforts, our expansion of sales and marketing activities, the introduction of new and enhanced service offerings, and the continuing market acceptance of virtual behavioral services. Additionally, we may in the future </w:t>
      </w:r>
      <w:r>
        <w:rPr>
          <w:sz w:val="20"/>
          <w:szCs w:val="20"/>
        </w:rPr>
        <w:t>enter into arrangements to acquire or invest in complementary businesses, services and technologies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currently anticipate to be able to fund our cash needs for at least the next twelve months using available cash and cash equivalent balances as of Dece</w:t>
      </w:r>
      <w:r>
        <w:rPr>
          <w:sz w:val="20"/>
          <w:szCs w:val="20"/>
        </w:rPr>
        <w:t>mber 31, 2021. However, in the future we may still require additional capital to respond to technological advancements, competitive dynamics or technologies, customer demands, business opportunities, challenges, acquisitions or unforeseen circumstances and</w:t>
      </w:r>
      <w:r>
        <w:rPr>
          <w:sz w:val="20"/>
          <w:szCs w:val="20"/>
        </w:rPr>
        <w:t xml:space="preserve"> we may determine to engage in equity or debt financings or enter into credit facilities for other reasons. We may not be able to timely secure additional debt or equity financing on favorable terms, or at all. If we raise additional funds through the issu</w:t>
      </w:r>
      <w:r>
        <w:rPr>
          <w:sz w:val="20"/>
          <w:szCs w:val="20"/>
        </w:rPr>
        <w:t>ance of equity or convertible debt or other equity-linked securities, our existing stockholders could experience significant dilution. Any debt financing obtained by us in the future could involve restrictive covenants relating to our capital raising activ</w:t>
      </w:r>
      <w:r>
        <w:rPr>
          <w:sz w:val="20"/>
          <w:szCs w:val="20"/>
        </w:rPr>
        <w:t>ities and other financial and operational matters, which may make it more difficult for us to obtain additional capital and to pursue business opportunities, including potential acquisitions. If we are unable to obtain adequate financing or financing on te</w:t>
      </w:r>
      <w:r>
        <w:rPr>
          <w:sz w:val="20"/>
          <w:szCs w:val="20"/>
        </w:rPr>
        <w:t>rms satisfactory to us, when we require it, our ability to continue to grow or support our business and to respond to business challenges could be significantly limited</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6</w:t>
      </w:r>
      <w:r>
        <w:rPr>
          <w:sz w:val="20"/>
          <w:szCs w:val="20"/>
        </w:rPr>
        <w:t>6</w:t>
      </w:r>
    </w:p>
    <w:p w:rsidR="00000000" w:rsidRDefault="00AF2D19">
      <w:pPr>
        <w:rPr>
          <w:rFonts w:eastAsia="Times New Roman"/>
        </w:rPr>
      </w:pPr>
      <w:r>
        <w:rPr>
          <w:rFonts w:eastAsia="Times New Roman"/>
        </w:rPr>
        <w:pict>
          <v:rect id="_x0000_i1094"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w:t>
        </w:r>
        <w:r>
          <w:rPr>
            <w:rStyle w:val="a4"/>
            <w:sz w:val="20"/>
            <w:szCs w:val="20"/>
          </w:rPr>
          <w:t>t</w:t>
        </w:r>
        <w:r>
          <w:rPr>
            <w:rStyle w:val="a4"/>
            <w:sz w:val="20"/>
            <w:szCs w:val="20"/>
          </w:rPr>
          <w:t>s</w:t>
        </w:r>
      </w:hyperlink>
    </w:p>
    <w:p w:rsidR="00000000" w:rsidRDefault="00AF2D19">
      <w:pPr>
        <w:pStyle w:val="a3"/>
        <w:spacing w:before="240" w:beforeAutospacing="0" w:after="0" w:afterAutospacing="0"/>
        <w:rPr>
          <w:sz w:val="20"/>
          <w:szCs w:val="20"/>
        </w:rPr>
      </w:pPr>
      <w:r>
        <w:rPr>
          <w:b/>
          <w:bCs/>
          <w:i/>
          <w:iCs/>
          <w:sz w:val="20"/>
          <w:szCs w:val="20"/>
        </w:rPr>
        <w:t>Cash Flows from Operating, Investing and Financing Activitie</w:t>
      </w:r>
      <w:r>
        <w:rPr>
          <w:b/>
          <w:bCs/>
          <w:i/>
          <w:iCs/>
          <w:sz w:val="20"/>
          <w:szCs w:val="20"/>
        </w:rPr>
        <w:t>s</w:t>
      </w:r>
      <w:r>
        <w:rPr>
          <w:b/>
          <w:bCs/>
          <w:i/>
          <w:iCs/>
          <w:sz w:val="22"/>
          <w:szCs w:val="22"/>
        </w:rPr>
        <w:t xml:space="preserve"> </w:t>
      </w:r>
    </w:p>
    <w:p w:rsidR="00000000" w:rsidRDefault="00AF2D19">
      <w:pPr>
        <w:pStyle w:val="a3"/>
        <w:spacing w:before="120" w:beforeAutospacing="0" w:after="0" w:afterAutospacing="0"/>
        <w:rPr>
          <w:sz w:val="20"/>
          <w:szCs w:val="20"/>
        </w:rPr>
      </w:pPr>
      <w:r>
        <w:rPr>
          <w:sz w:val="20"/>
          <w:szCs w:val="20"/>
        </w:rPr>
        <w:t>The following table presents the summary consolidated cash flow information for the periods presented</w:t>
      </w:r>
      <w:r>
        <w:rPr>
          <w:sz w:val="20"/>
          <w:szCs w:val="20"/>
        </w:rPr>
        <w:t>:</w:t>
      </w:r>
      <w:r>
        <w:rPr>
          <w:sz w:val="20"/>
          <w:szCs w:val="20"/>
        </w:rPr>
        <w:t xml:space="preserve"> </w:t>
      </w:r>
    </w:p>
    <w:p w:rsidR="00000000" w:rsidRDefault="00AF2D19">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28"/>
        <w:gridCol w:w="135"/>
        <w:gridCol w:w="160"/>
        <w:gridCol w:w="1066"/>
        <w:gridCol w:w="127"/>
        <w:gridCol w:w="136"/>
        <w:gridCol w:w="160"/>
        <w:gridCol w:w="1052"/>
        <w:gridCol w:w="142"/>
      </w:tblGrid>
      <w:tr w:rsidR="00000000">
        <w:trPr>
          <w:tblCellSpacing w:w="15" w:type="dxa"/>
        </w:trPr>
        <w:tc>
          <w:tcPr>
            <w:tcW w:w="3313" w:type="pct"/>
            <w:vAlign w:val="center"/>
            <w:hideMark/>
          </w:tcPr>
          <w:p w:rsidR="00000000" w:rsidRDefault="00AF2D19">
            <w:pPr>
              <w:rPr>
                <w:sz w:val="20"/>
                <w:szCs w:val="20"/>
              </w:rPr>
            </w:pPr>
          </w:p>
        </w:tc>
        <w:tc>
          <w:tcPr>
            <w:tcW w:w="80"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661"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80"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652"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F2D19">
            <w:pPr>
              <w:pStyle w:val="a3"/>
              <w:spacing w:before="0" w:beforeAutospacing="0" w:after="0" w:afterAutospacing="0"/>
              <w:jc w:val="center"/>
              <w:rPr>
                <w:sz w:val="16"/>
                <w:szCs w:val="16"/>
              </w:rPr>
            </w:pPr>
            <w:r>
              <w:rPr>
                <w:b/>
                <w:bCs/>
                <w:sz w:val="16"/>
                <w:szCs w:val="16"/>
              </w:rPr>
              <w:t>For the Years Ended</w:t>
            </w:r>
            <w:r>
              <w:rPr>
                <w:b/>
                <w:bCs/>
                <w:sz w:val="16"/>
                <w:szCs w:val="16"/>
              </w:rPr>
              <w:br/>
              <w:t>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(65,71</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(15,17</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(66</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(11,30</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251,38</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increase (decrease) in cash and cash equivalent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185,00</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(26,38</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bl>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i/>
          <w:iCs/>
          <w:sz w:val="20"/>
          <w:szCs w:val="20"/>
        </w:rPr>
        <w:t>Operating Activitie</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Net cash used in operating activities was $65.7 million and $15.2 million for the year ended December 31, 2021 and 2020, respectively. The increase in net cash used in operating activities was driven primarily by the negative impact from a higher net loss </w:t>
      </w:r>
      <w:r>
        <w:rPr>
          <w:sz w:val="20"/>
          <w:szCs w:val="20"/>
        </w:rPr>
        <w:t>and unfavorable changes in working capital during the year ended December 31, 2021 compared to the year ended December 31, 2020. The higher net loss for the year ended December 31, 2021 was driven by higher investments in direct marketing and promotional c</w:t>
      </w:r>
      <w:r>
        <w:rPr>
          <w:sz w:val="20"/>
          <w:szCs w:val="20"/>
        </w:rPr>
        <w:t>osts to support future growth, partially offset by the additional gross profit generated from increased revenue. The unfavorable changes in working capital were driven primarily by higher payments on our payable balances and unfavorable timing on collectio</w:t>
      </w:r>
      <w:r>
        <w:rPr>
          <w:sz w:val="20"/>
          <w:szCs w:val="20"/>
        </w:rPr>
        <w:t>ns of receivables compared to prior year</w:t>
      </w:r>
      <w:r>
        <w:rPr>
          <w:sz w:val="20"/>
          <w:szCs w:val="20"/>
        </w:rPr>
        <w:t>.</w:t>
      </w:r>
    </w:p>
    <w:p w:rsidR="00000000" w:rsidRDefault="00AF2D19">
      <w:pPr>
        <w:pStyle w:val="a3"/>
        <w:spacing w:before="240" w:beforeAutospacing="0" w:after="0" w:afterAutospacing="0"/>
        <w:rPr>
          <w:sz w:val="20"/>
          <w:szCs w:val="20"/>
        </w:rPr>
      </w:pPr>
      <w:r>
        <w:rPr>
          <w:b/>
          <w:bCs/>
          <w:i/>
          <w:iCs/>
          <w:sz w:val="20"/>
          <w:szCs w:val="20"/>
        </w:rPr>
        <w:t>Investing Activitie</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Net cash used in investing activities was $0.7 million for the year ended December 31, 2021, compared to $11.3 million for the year ended December 31, 2020. The change was driven primarily by </w:t>
      </w:r>
      <w:r>
        <w:rPr>
          <w:sz w:val="20"/>
          <w:szCs w:val="20"/>
        </w:rPr>
        <w:t>the acquisition of Lasting in November 2020. The activity for the year ended December 31, 2021 relates to the purchases of computer equipment to support increased headcount</w:t>
      </w:r>
      <w:r>
        <w:rPr>
          <w:sz w:val="20"/>
          <w:szCs w:val="20"/>
        </w:rPr>
        <w:t>.</w:t>
      </w:r>
    </w:p>
    <w:p w:rsidR="00000000" w:rsidRDefault="00AF2D19">
      <w:pPr>
        <w:pStyle w:val="a3"/>
        <w:spacing w:before="240" w:beforeAutospacing="0" w:after="0" w:afterAutospacing="0"/>
        <w:rPr>
          <w:sz w:val="20"/>
          <w:szCs w:val="20"/>
        </w:rPr>
      </w:pPr>
      <w:r>
        <w:rPr>
          <w:b/>
          <w:bCs/>
          <w:i/>
          <w:iCs/>
          <w:sz w:val="20"/>
          <w:szCs w:val="20"/>
        </w:rPr>
        <w:t>Financing Activitie</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Net cash provided by financing activities was $251.4 million</w:t>
      </w:r>
      <w:r>
        <w:rPr>
          <w:sz w:val="20"/>
          <w:szCs w:val="20"/>
        </w:rPr>
        <w:t xml:space="preserve"> and $0.1 million for the year ended December 31, 2021 and 2020, respectively. The increase was driven primarily by $249.3 million in proceeds, net of the payment of transaction costs, as a result of the closing of the Business Combination</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sz w:val="20"/>
          <w:szCs w:val="20"/>
        </w:rPr>
        <w:t>Contractual Ob</w:t>
      </w:r>
      <w:r>
        <w:rPr>
          <w:b/>
          <w:bCs/>
          <w:sz w:val="20"/>
          <w:szCs w:val="20"/>
        </w:rPr>
        <w:t>ligations, Commitments and Contingencie</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As of December 31, 2021, we did not have any short-term or long-term debt, capital lease obligations, long-term operating lease obligations, or long-term liabilities</w:t>
      </w:r>
      <w:r>
        <w:rPr>
          <w:sz w:val="20"/>
          <w:szCs w:val="20"/>
        </w:rPr>
        <w:t>.</w:t>
      </w:r>
    </w:p>
    <w:p w:rsidR="00000000" w:rsidRDefault="00AF2D19">
      <w:pPr>
        <w:pStyle w:val="a3"/>
        <w:spacing w:before="120" w:beforeAutospacing="0" w:after="0" w:afterAutospacing="0"/>
        <w:jc w:val="both"/>
        <w:rPr>
          <w:sz w:val="20"/>
          <w:szCs w:val="20"/>
        </w:rPr>
      </w:pPr>
      <w:r>
        <w:rPr>
          <w:sz w:val="20"/>
          <w:szCs w:val="20"/>
        </w:rPr>
        <w:t xml:space="preserve">Our commercial contract arrangements generally </w:t>
      </w:r>
      <w:r>
        <w:rPr>
          <w:sz w:val="20"/>
          <w:szCs w:val="20"/>
        </w:rPr>
        <w:t>include certain provisions for indemnifying clients against liabilities if there is a breach of a client’s data or if our service infringes a third party’s intellectual property rights. To date, we have not incurred any material costs as a result of such i</w:t>
      </w:r>
      <w:r>
        <w:rPr>
          <w:sz w:val="20"/>
          <w:szCs w:val="20"/>
        </w:rPr>
        <w:t>ndemnifications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have also agreed to indemnify our officers and directors for costs associated with any fees, expenses, judgments, fines and settlement amounts incurred by any of these persons in any action or proceeding to which any of those persons i</w:t>
      </w:r>
      <w:r>
        <w:rPr>
          <w:sz w:val="20"/>
          <w:szCs w:val="20"/>
        </w:rPr>
        <w:t>s, or is threatened to be, made a party by reason of the person’s service as a director or officer, including any action by us, arising out of that person’s services as our director or officer or that person’s services provided to any other company or ente</w:t>
      </w:r>
      <w:r>
        <w:rPr>
          <w:sz w:val="20"/>
          <w:szCs w:val="20"/>
        </w:rPr>
        <w:t>rprise at our request. We maintain director and officer liability insurance coverage that would generally enable us to recover a portion of any future amounts paid. We may also be subject to indemnification obligations by law with respect to the actions of</w:t>
      </w:r>
      <w:r>
        <w:rPr>
          <w:sz w:val="20"/>
          <w:szCs w:val="20"/>
        </w:rPr>
        <w:t xml:space="preserve"> our employees under certain circumstances and in certain jurisdictions</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sz w:val="20"/>
          <w:szCs w:val="20"/>
        </w:rPr>
        <w:t>Off-Balance Sheet Arrangement</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do not invest in any off-balance sheet vehicles that provide liquidity, capital resources, market or credit risk support, or engage in any activities that expose us to any liability that is not reflected in our condensed consolidated financial statement</w:t>
      </w:r>
      <w:r>
        <w:rPr>
          <w:sz w:val="20"/>
          <w:szCs w:val="20"/>
        </w:rPr>
        <w:t>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6</w:t>
      </w:r>
      <w:r>
        <w:rPr>
          <w:sz w:val="20"/>
          <w:szCs w:val="20"/>
        </w:rPr>
        <w:t>7</w:t>
      </w:r>
    </w:p>
    <w:p w:rsidR="00000000" w:rsidRDefault="00AF2D19">
      <w:pPr>
        <w:rPr>
          <w:rFonts w:eastAsia="Times New Roman"/>
        </w:rPr>
      </w:pPr>
      <w:r>
        <w:rPr>
          <w:rFonts w:eastAsia="Times New Roman"/>
        </w:rPr>
        <w:pict>
          <v:rect id="_x0000_i109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sz w:val="20"/>
          <w:szCs w:val="20"/>
        </w:rPr>
        <w:t>Critical Accounting Policies and Estimate</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Our management’s discussion and analysis of our financial condition and results of operations is based on our consolidated finan</w:t>
      </w:r>
      <w:r>
        <w:rPr>
          <w:sz w:val="20"/>
          <w:szCs w:val="20"/>
        </w:rPr>
        <w:t xml:space="preserve">cial statements and accompanying notes, which have been prepared in accordance with accounting principles generally accepted in the United States (“GAAP”). The preparation of consolidated financial statements in conformity with GAAP requires management to </w:t>
      </w:r>
      <w:r>
        <w:rPr>
          <w:sz w:val="20"/>
          <w:szCs w:val="20"/>
        </w:rPr>
        <w:t>make estimates and assumptions that affect the reported amounts of assets, liabilities, revenue and expenses. We base our estimates on historical experience, current business factors, and various other assumptions that the Company believes are necessary to</w:t>
      </w:r>
      <w:r>
        <w:rPr>
          <w:sz w:val="20"/>
          <w:szCs w:val="20"/>
        </w:rPr>
        <w:t xml:space="preserve"> consider to form a basis for making judgments about the carrying values of assets and liabilities, the recorded amounts of revenue and expenses, and the disclosure of contingent assets and liabilities. We are subject to uncertainties such as the impact of</w:t>
      </w:r>
      <w:r>
        <w:rPr>
          <w:sz w:val="20"/>
          <w:szCs w:val="20"/>
        </w:rPr>
        <w:t xml:space="preserve"> future events, economic and political factors, and changes in our business environment; therefore, actual results could differ from these estimates. Accordingly, the accounting estimates used in the preparation of our consolidated financial statements wil</w:t>
      </w:r>
      <w:r>
        <w:rPr>
          <w:sz w:val="20"/>
          <w:szCs w:val="20"/>
        </w:rPr>
        <w:t>l change as new events occur, as more experience is acquired, as additional information is obtained, and as our operating environment evolves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Changes in estimates are made when circumstances warrant. Such changes in estimates are reflected in the reporte</w:t>
      </w:r>
      <w:r>
        <w:rPr>
          <w:sz w:val="20"/>
          <w:szCs w:val="20"/>
        </w:rPr>
        <w:t>d results of operations; if material, the effects of changes in estimates are disclosed in the notes to the consolidated financial statements. Significant estimates and assumptions reflected in these consolidated financial statements include, but are not l</w:t>
      </w:r>
      <w:r>
        <w:rPr>
          <w:sz w:val="20"/>
          <w:szCs w:val="20"/>
        </w:rPr>
        <w:t>imited to, revenue recognition, revenue reserves, business combinations, goodwill and intangible assets, warrant liabilities and stock-based compensation</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believe that the accounting policies discussed below are critical to understanding our historical</w:t>
      </w:r>
      <w:r>
        <w:rPr>
          <w:sz w:val="20"/>
          <w:szCs w:val="20"/>
        </w:rPr>
        <w:t xml:space="preserve"> and future performance, as these policies relate to the significant areas involving management’s judgments and estimates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u w:val="single"/>
        </w:rPr>
        <w:t>Revenue Recognitio</w:t>
      </w:r>
      <w:r>
        <w:rPr>
          <w:b/>
          <w:bCs/>
          <w:i/>
          <w:iCs/>
          <w:sz w:val="20"/>
          <w:szCs w:val="20"/>
          <w:u w:val="single"/>
        </w:rPr>
        <w:t>n</w:t>
      </w:r>
    </w:p>
    <w:p w:rsidR="00000000" w:rsidRDefault="00AF2D19">
      <w:pPr>
        <w:pStyle w:val="a3"/>
        <w:spacing w:before="120" w:beforeAutospacing="0" w:after="0" w:afterAutospacing="0"/>
        <w:jc w:val="both"/>
        <w:rPr>
          <w:sz w:val="20"/>
          <w:szCs w:val="20"/>
        </w:rPr>
      </w:pPr>
      <w:r>
        <w:rPr>
          <w:sz w:val="20"/>
          <w:szCs w:val="20"/>
        </w:rPr>
        <w:t>We were an early adopter of the requirements of the new revenue recognition standard, known as ASC 606, effectiv</w:t>
      </w:r>
      <w:r>
        <w:rPr>
          <w:sz w:val="20"/>
          <w:szCs w:val="20"/>
        </w:rPr>
        <w:t>e January 1, 2018, which utilizes the modified retrospective method of transition. Revenue is recognized upon satisfaction of our performance obligation to provide virtual behavioral healthcare services, which occur over time, when our customers have acces</w:t>
      </w:r>
      <w:r>
        <w:rPr>
          <w:sz w:val="20"/>
          <w:szCs w:val="20"/>
        </w:rPr>
        <w:t>s to our platform and services. The Company also contracts with health insurance organizations to provide its therapy services to their eligible insured members, revenue is recognized at a point in time, as virtual therapy session is rendered. Revenue is r</w:t>
      </w:r>
      <w:r>
        <w:rPr>
          <w:sz w:val="20"/>
          <w:szCs w:val="20"/>
        </w:rPr>
        <w:t>ecognized in an amount that reflects the consideration that we expect to receive in exchange for the services we provide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Company elected to use the practical expedient and recognize the incremental costs of obtaining contracts as an expense since the</w:t>
      </w:r>
      <w:r>
        <w:rPr>
          <w:sz w:val="20"/>
          <w:szCs w:val="20"/>
        </w:rPr>
        <w:t xml:space="preserve"> amortization period of the assets that the Company otherwise would have recognized is one year or less</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i/>
          <w:iCs/>
          <w:sz w:val="20"/>
          <w:szCs w:val="20"/>
        </w:rPr>
        <w:t>Deferred Revenu</w:t>
      </w:r>
      <w:r>
        <w:rPr>
          <w:i/>
          <w:iCs/>
          <w:sz w:val="20"/>
          <w:szCs w:val="20"/>
        </w:rPr>
        <w:t>e</w:t>
      </w:r>
    </w:p>
    <w:p w:rsidR="00000000" w:rsidRDefault="00AF2D19">
      <w:pPr>
        <w:pStyle w:val="a3"/>
        <w:spacing w:before="120" w:beforeAutospacing="0" w:after="0" w:afterAutospacing="0"/>
        <w:jc w:val="both"/>
        <w:rPr>
          <w:sz w:val="20"/>
          <w:szCs w:val="20"/>
        </w:rPr>
      </w:pPr>
      <w:r>
        <w:rPr>
          <w:sz w:val="20"/>
          <w:szCs w:val="20"/>
        </w:rPr>
        <w:t xml:space="preserve">The deferred revenue balance consists of payments received from customers for which revenues have not yet been earned and recognized </w:t>
      </w:r>
      <w:r>
        <w:rPr>
          <w:sz w:val="20"/>
          <w:szCs w:val="20"/>
        </w:rPr>
        <w:t>according to the criteria described above. The Company recognizes deferred revenues as revenues in the statement of operations and comprehensive loss once performance obligations have been performed and satisfied</w:t>
      </w:r>
      <w:r>
        <w:rPr>
          <w:sz w:val="20"/>
          <w:szCs w:val="20"/>
        </w:rPr>
        <w:t>.</w:t>
      </w:r>
    </w:p>
    <w:p w:rsidR="00000000" w:rsidRDefault="00AF2D19">
      <w:pPr>
        <w:pStyle w:val="a3"/>
        <w:spacing w:before="240" w:beforeAutospacing="0" w:after="0" w:afterAutospacing="0"/>
        <w:jc w:val="both"/>
        <w:rPr>
          <w:sz w:val="20"/>
          <w:szCs w:val="20"/>
        </w:rPr>
      </w:pPr>
      <w:r>
        <w:rPr>
          <w:b/>
          <w:bCs/>
          <w:i/>
          <w:iCs/>
          <w:sz w:val="20"/>
          <w:szCs w:val="20"/>
          <w:u w:val="single"/>
        </w:rPr>
        <w:t>Revenue Reserve</w:t>
      </w:r>
      <w:r>
        <w:rPr>
          <w:b/>
          <w:bCs/>
          <w:i/>
          <w:iCs/>
          <w:sz w:val="20"/>
          <w:szCs w:val="20"/>
          <w:u w:val="single"/>
        </w:rPr>
        <w:t>s</w:t>
      </w:r>
    </w:p>
    <w:p w:rsidR="00000000" w:rsidRDefault="00AF2D19">
      <w:pPr>
        <w:pStyle w:val="a3"/>
        <w:spacing w:before="120" w:beforeAutospacing="0" w:after="0" w:afterAutospacing="0"/>
        <w:jc w:val="both"/>
        <w:rPr>
          <w:sz w:val="20"/>
          <w:szCs w:val="20"/>
        </w:rPr>
      </w:pPr>
      <w:r>
        <w:rPr>
          <w:sz w:val="20"/>
          <w:szCs w:val="20"/>
        </w:rPr>
        <w:t>Revenue reserves relate p</w:t>
      </w:r>
      <w:r>
        <w:rPr>
          <w:sz w:val="20"/>
          <w:szCs w:val="20"/>
        </w:rPr>
        <w:t>rimarily to allowances for balances which collection is uncertain and estimated refunds. Account receivables are recorded at the invoiced amount and amounts for which revenue has been recognized but not invoiced, net of the impact from revenue reserves. Re</w:t>
      </w:r>
      <w:r>
        <w:rPr>
          <w:sz w:val="20"/>
          <w:szCs w:val="20"/>
        </w:rPr>
        <w:t>venue reserves are based on the Company’s assessment of historical collection experience. The Company regularly reviews the adequacy of its reserve based on a combination of factors, including an assessment of the current customer’s aging balance, the natu</w:t>
      </w:r>
      <w:r>
        <w:rPr>
          <w:sz w:val="20"/>
          <w:szCs w:val="20"/>
        </w:rPr>
        <w:t xml:space="preserve">re of the balance and any receivables in dispute. </w:t>
      </w:r>
      <w:r>
        <w:rPr>
          <w:sz w:val="20"/>
          <w:szCs w:val="20"/>
        </w:rPr>
        <w:t>T</w:t>
      </w:r>
      <w:r>
        <w:rPr>
          <w:sz w:val="20"/>
          <w:szCs w:val="20"/>
        </w:rPr>
        <w:t>he Company accrues for estimated refunds in the period in which the related revenue is recognized.</w:t>
      </w:r>
      <w:r>
        <w:rPr>
          <w:sz w:val="20"/>
          <w:szCs w:val="20"/>
        </w:rPr>
        <w:t xml:space="preserve"> </w:t>
      </w:r>
      <w:r>
        <w:rPr>
          <w:sz w:val="20"/>
          <w:szCs w:val="20"/>
        </w:rPr>
        <w:t>Revenue reserves are recorded as a reduction against revenue when identified</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u w:val="single"/>
        </w:rPr>
        <w:t>Business Combinatio</w:t>
      </w:r>
      <w:r>
        <w:rPr>
          <w:b/>
          <w:bCs/>
          <w:i/>
          <w:iCs/>
          <w:sz w:val="20"/>
          <w:szCs w:val="20"/>
          <w:u w:val="single"/>
        </w:rPr>
        <w:t>n</w:t>
      </w:r>
    </w:p>
    <w:p w:rsidR="00000000" w:rsidRDefault="00AF2D19">
      <w:pPr>
        <w:pStyle w:val="a3"/>
        <w:spacing w:before="120" w:beforeAutospacing="0" w:after="0" w:afterAutospacing="0"/>
        <w:jc w:val="both"/>
        <w:rPr>
          <w:sz w:val="20"/>
          <w:szCs w:val="20"/>
        </w:rPr>
      </w:pPr>
      <w:r>
        <w:rPr>
          <w:sz w:val="20"/>
          <w:szCs w:val="20"/>
        </w:rPr>
        <w:t>On Jun</w:t>
      </w:r>
      <w:r>
        <w:rPr>
          <w:sz w:val="20"/>
          <w:szCs w:val="20"/>
        </w:rPr>
        <w:t>e 22, 2021, the Company completed the Business Combination pursuant to the Merger Agreement dated January 12, 2021. The Business Combination was accounted for as a reverse recapitalization in accordance with GAAP. Under this method of accounting, HEC who w</w:t>
      </w:r>
      <w:r>
        <w:rPr>
          <w:sz w:val="20"/>
          <w:szCs w:val="20"/>
        </w:rPr>
        <w:t>as the legal acquirer, is treated as the “acquired” company for financial reporting purposes. Accordingly, the Business Combination was treated as the equivalent of Old Talkspace issuing stock for the net assets of HEC, accompanied by a recapitalization. T</w:t>
      </w:r>
      <w:r>
        <w:rPr>
          <w:sz w:val="20"/>
          <w:szCs w:val="20"/>
        </w:rPr>
        <w:t>he net assets of HEC are stated at historical cost, with no goodwill or other intangible assets recorded. Old Talkspace was determined to be the accounting acquirer based on the following predominant factors</w:t>
      </w:r>
      <w:r>
        <w:rPr>
          <w:sz w:val="20"/>
          <w:szCs w:val="20"/>
        </w:rPr>
        <w:t>:</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6</w:t>
      </w:r>
      <w:r>
        <w:rPr>
          <w:sz w:val="20"/>
          <w:szCs w:val="20"/>
        </w:rPr>
        <w:t>8</w:t>
      </w:r>
    </w:p>
    <w:p w:rsidR="00000000" w:rsidRDefault="00AF2D19">
      <w:pPr>
        <w:rPr>
          <w:rFonts w:eastAsia="Times New Roman"/>
        </w:rPr>
      </w:pPr>
      <w:r>
        <w:rPr>
          <w:rFonts w:eastAsia="Times New Roman"/>
        </w:rPr>
        <w:pict>
          <v:rect id="_x0000_i1096"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jc w:val="both"/>
        <w:divId w:val="633605470"/>
        <w:rPr>
          <w:rFonts w:eastAsia="Times New Roman"/>
        </w:rPr>
      </w:pPr>
      <w:r>
        <w:rPr>
          <w:rFonts w:eastAsia="Times New Roman"/>
          <w:sz w:val="20"/>
          <w:szCs w:val="20"/>
        </w:rPr>
        <w:t>o</w:t>
      </w:r>
    </w:p>
    <w:p w:rsidR="00000000" w:rsidRDefault="00AF2D19">
      <w:pPr>
        <w:jc w:val="both"/>
        <w:divId w:val="1111896178"/>
        <w:rPr>
          <w:rFonts w:eastAsia="Times New Roman"/>
        </w:rPr>
      </w:pPr>
      <w:r>
        <w:rPr>
          <w:rFonts w:eastAsia="Times New Roman"/>
          <w:sz w:val="20"/>
          <w:szCs w:val="20"/>
        </w:rPr>
        <w:t>Old Talkspace’s shareholders represent a relative majority of the voting rights in the Company and have the ability to nominate the members of the board of directors for the Company</w:t>
      </w:r>
      <w:r>
        <w:rPr>
          <w:rFonts w:eastAsia="Times New Roman"/>
          <w:sz w:val="20"/>
          <w:szCs w:val="20"/>
        </w:rPr>
        <w:t>;</w:t>
      </w:r>
    </w:p>
    <w:p w:rsidR="00000000" w:rsidRDefault="00AF2D19">
      <w:pPr>
        <w:pStyle w:val="a3"/>
        <w:spacing w:before="0" w:beforeAutospacing="0" w:after="0" w:afterAutospacing="0"/>
        <w:ind w:left="714"/>
        <w:jc w:val="both"/>
        <w:rPr>
          <w:sz w:val="20"/>
          <w:szCs w:val="20"/>
        </w:rPr>
      </w:pPr>
      <w:r>
        <w:rPr>
          <w:sz w:val="12"/>
          <w:szCs w:val="12"/>
        </w:rPr>
        <w:t> </w:t>
      </w:r>
    </w:p>
    <w:p w:rsidR="00000000" w:rsidRDefault="00AF2D19">
      <w:pPr>
        <w:jc w:val="both"/>
        <w:divId w:val="780298034"/>
        <w:rPr>
          <w:rFonts w:eastAsia="Times New Roman"/>
        </w:rPr>
      </w:pPr>
      <w:r>
        <w:rPr>
          <w:rFonts w:eastAsia="Times New Roman"/>
          <w:sz w:val="20"/>
          <w:szCs w:val="20"/>
        </w:rPr>
        <w:t>o</w:t>
      </w:r>
    </w:p>
    <w:p w:rsidR="00000000" w:rsidRDefault="00AF2D19">
      <w:pPr>
        <w:jc w:val="both"/>
        <w:divId w:val="1558011328"/>
        <w:rPr>
          <w:rFonts w:eastAsia="Times New Roman"/>
        </w:rPr>
      </w:pPr>
      <w:r>
        <w:rPr>
          <w:rFonts w:eastAsia="Times New Roman"/>
          <w:sz w:val="20"/>
          <w:szCs w:val="20"/>
        </w:rPr>
        <w:t>Old Talkspace’s operations prior to the acquisition represent the ongoing operations of the Company; an</w:t>
      </w:r>
      <w:r>
        <w:rPr>
          <w:rFonts w:eastAsia="Times New Roman"/>
          <w:sz w:val="20"/>
          <w:szCs w:val="20"/>
        </w:rPr>
        <w:t>d</w:t>
      </w:r>
    </w:p>
    <w:p w:rsidR="00000000" w:rsidRDefault="00AF2D19">
      <w:pPr>
        <w:pStyle w:val="a3"/>
        <w:spacing w:before="0" w:beforeAutospacing="0" w:after="0" w:afterAutospacing="0"/>
        <w:ind w:left="714"/>
        <w:jc w:val="both"/>
        <w:rPr>
          <w:sz w:val="20"/>
          <w:szCs w:val="20"/>
        </w:rPr>
      </w:pPr>
      <w:r>
        <w:rPr>
          <w:sz w:val="12"/>
          <w:szCs w:val="12"/>
        </w:rPr>
        <w:t> </w:t>
      </w:r>
    </w:p>
    <w:p w:rsidR="00000000" w:rsidRDefault="00AF2D19">
      <w:pPr>
        <w:jc w:val="both"/>
        <w:divId w:val="561675223"/>
        <w:rPr>
          <w:rFonts w:eastAsia="Times New Roman"/>
        </w:rPr>
      </w:pPr>
      <w:r>
        <w:rPr>
          <w:rFonts w:eastAsia="Times New Roman"/>
          <w:sz w:val="20"/>
          <w:szCs w:val="20"/>
        </w:rPr>
        <w:t>o</w:t>
      </w:r>
    </w:p>
    <w:p w:rsidR="00000000" w:rsidRDefault="00AF2D19">
      <w:pPr>
        <w:jc w:val="both"/>
        <w:divId w:val="2107076553"/>
        <w:rPr>
          <w:rFonts w:eastAsia="Times New Roman"/>
        </w:rPr>
      </w:pPr>
      <w:r>
        <w:rPr>
          <w:rFonts w:eastAsia="Times New Roman"/>
          <w:sz w:val="20"/>
          <w:szCs w:val="20"/>
        </w:rPr>
        <w:t>Old Talkspace’s senior management represents a majority of the senior management of the Company</w:t>
      </w:r>
      <w:r>
        <w:rPr>
          <w:rFonts w:eastAsia="Times New Roman"/>
          <w:sz w:val="20"/>
          <w:szCs w:val="20"/>
        </w:rPr>
        <w:t>.</w:t>
      </w:r>
    </w:p>
    <w:p w:rsidR="00000000" w:rsidRDefault="00AF2D19">
      <w:pPr>
        <w:pStyle w:val="a3"/>
        <w:spacing w:before="120" w:beforeAutospacing="0" w:after="0" w:afterAutospacing="0"/>
        <w:jc w:val="both"/>
        <w:rPr>
          <w:sz w:val="20"/>
          <w:szCs w:val="20"/>
        </w:rPr>
      </w:pPr>
      <w:r>
        <w:rPr>
          <w:sz w:val="20"/>
          <w:szCs w:val="20"/>
        </w:rPr>
        <w:t>The consolidated assets, liabilities and results o</w:t>
      </w:r>
      <w:r>
        <w:rPr>
          <w:sz w:val="20"/>
          <w:szCs w:val="20"/>
        </w:rPr>
        <w:t xml:space="preserve">f operations prior to the Business Combination are those of Old Talkspace. The shares and corresponding capital amounts and losses per share, prior to the Business Combination, have been retroactively restated based on shares reflecting the exchange ratio </w:t>
      </w:r>
      <w:r>
        <w:rPr>
          <w:sz w:val="20"/>
          <w:szCs w:val="20"/>
        </w:rPr>
        <w:t>established in the Business Combination</w:t>
      </w:r>
      <w:r>
        <w:rPr>
          <w:sz w:val="20"/>
          <w:szCs w:val="20"/>
        </w:rPr>
        <w:t>.</w:t>
      </w:r>
    </w:p>
    <w:p w:rsidR="00000000" w:rsidRDefault="00AF2D19">
      <w:pPr>
        <w:pStyle w:val="a3"/>
        <w:spacing w:before="240" w:beforeAutospacing="0" w:after="0" w:afterAutospacing="0"/>
        <w:jc w:val="both"/>
        <w:rPr>
          <w:sz w:val="20"/>
          <w:szCs w:val="20"/>
        </w:rPr>
      </w:pPr>
      <w:r>
        <w:rPr>
          <w:b/>
          <w:bCs/>
          <w:i/>
          <w:iCs/>
          <w:sz w:val="20"/>
          <w:szCs w:val="20"/>
          <w:u w:val="single"/>
        </w:rPr>
        <w:t>Warrant liabilitie</w:t>
      </w:r>
      <w:r>
        <w:rPr>
          <w:b/>
          <w:bCs/>
          <w:i/>
          <w:iCs/>
          <w:sz w:val="20"/>
          <w:szCs w:val="20"/>
          <w:u w:val="single"/>
        </w:rPr>
        <w:t>s</w:t>
      </w:r>
    </w:p>
    <w:p w:rsidR="00000000" w:rsidRDefault="00AF2D19">
      <w:pPr>
        <w:pStyle w:val="a3"/>
        <w:spacing w:before="120" w:beforeAutospacing="0" w:after="0" w:afterAutospacing="0"/>
        <w:jc w:val="both"/>
        <w:rPr>
          <w:sz w:val="20"/>
          <w:szCs w:val="20"/>
        </w:rPr>
      </w:pPr>
      <w:r>
        <w:rPr>
          <w:sz w:val="20"/>
          <w:szCs w:val="20"/>
        </w:rPr>
        <w:t>In connection with the consummation of the Business Combination, the Company acquired Private Placement Warrants from HEC. Additionally, there were Private Placement Warrants that were issued rel</w:t>
      </w:r>
      <w:r>
        <w:rPr>
          <w:sz w:val="20"/>
          <w:szCs w:val="20"/>
        </w:rPr>
        <w:t>ated to the closing of the Forward Purchase Agreement with the HEC Fund. The Private Placement Warrants are accounted for as liabilities in accordance with ASC 815-40 and are presented within warrant liabilities in the accompanying consolidated balance she</w:t>
      </w:r>
      <w:r>
        <w:rPr>
          <w:sz w:val="20"/>
          <w:szCs w:val="20"/>
        </w:rPr>
        <w:t>ets. The warrant liabilities are measured at fair value at inception and on a recurring basis, with changes in fair value presented within financial income (expense), net in the consolidated statement of operations and comprehensive loss. The Private Place</w:t>
      </w:r>
      <w:r>
        <w:rPr>
          <w:sz w:val="20"/>
          <w:szCs w:val="20"/>
        </w:rPr>
        <w:t>ment Warrants were valued using the Black-Scholes-Merton Model, which is considered to be a Level 3 fair value measurement. The primary unobservable input utilized in determining the fair value of the Private Placement Warrants is the expected volatility o</w:t>
      </w:r>
      <w:r>
        <w:rPr>
          <w:sz w:val="20"/>
          <w:szCs w:val="20"/>
        </w:rPr>
        <w:t>f the Company’s common stock. The expected volatility of the Company’s common stock was estimated to be approximately 67.8% as of December 31, 2021</w:t>
      </w:r>
      <w:r>
        <w:rPr>
          <w:sz w:val="20"/>
          <w:szCs w:val="20"/>
        </w:rPr>
        <w:t>.</w:t>
      </w:r>
    </w:p>
    <w:p w:rsidR="00000000" w:rsidRDefault="00AF2D19">
      <w:pPr>
        <w:pStyle w:val="a3"/>
        <w:spacing w:before="240" w:beforeAutospacing="0" w:after="0" w:afterAutospacing="0"/>
        <w:jc w:val="both"/>
        <w:rPr>
          <w:sz w:val="20"/>
          <w:szCs w:val="20"/>
        </w:rPr>
      </w:pPr>
      <w:r>
        <w:rPr>
          <w:b/>
          <w:bCs/>
          <w:i/>
          <w:iCs/>
          <w:sz w:val="20"/>
          <w:szCs w:val="20"/>
          <w:u w:val="single"/>
        </w:rPr>
        <w:t>Stock-based Compensatio</w:t>
      </w:r>
      <w:r>
        <w:rPr>
          <w:b/>
          <w:bCs/>
          <w:i/>
          <w:iCs/>
          <w:sz w:val="20"/>
          <w:szCs w:val="20"/>
          <w:u w:val="single"/>
        </w:rPr>
        <w:t>n</w:t>
      </w:r>
    </w:p>
    <w:p w:rsidR="00000000" w:rsidRDefault="00AF2D19">
      <w:pPr>
        <w:pStyle w:val="a3"/>
        <w:spacing w:before="120" w:beforeAutospacing="0" w:after="0" w:afterAutospacing="0"/>
        <w:jc w:val="both"/>
        <w:rPr>
          <w:sz w:val="20"/>
          <w:szCs w:val="20"/>
        </w:rPr>
      </w:pPr>
      <w:r>
        <w:rPr>
          <w:sz w:val="20"/>
          <w:szCs w:val="20"/>
        </w:rPr>
        <w:t>We account for stock-based compensation in accordance with ASC No. 718, “Compensat</w:t>
      </w:r>
      <w:r>
        <w:rPr>
          <w:sz w:val="20"/>
          <w:szCs w:val="20"/>
        </w:rPr>
        <w:t>ion—Stock Compensation.” which requires equity-based awards to be measured at fair value on the grant date and the resulting compensation cost to be recognized over the requisite service period</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ASC No. 718 requires companies to estimate the fair value of</w:t>
      </w:r>
      <w:r>
        <w:rPr>
          <w:sz w:val="20"/>
          <w:szCs w:val="20"/>
        </w:rPr>
        <w:t xml:space="preserve"> stock options awards using an option-pricing model. We have selected the Black-Scholes-Merton option pricing model as the most appropriate fair value method for our stock-options awards. The option-pricing model requires a number of assumptions, of which </w:t>
      </w:r>
      <w:r>
        <w:rPr>
          <w:sz w:val="20"/>
          <w:szCs w:val="20"/>
        </w:rPr>
        <w:t>the most significant are the expected stock price volatility and the expected option term. Expected volatility was calculated based upon similar traded companies’ historical share price movements as adequate historical experience is not available to provid</w:t>
      </w:r>
      <w:r>
        <w:rPr>
          <w:sz w:val="20"/>
          <w:szCs w:val="20"/>
        </w:rPr>
        <w:t>e a reasonable estimate. Expected term is calculated based on the simplified method as adequate historical experience is not available to provide a reasonable estimate. The simplified method will continue to apply until enough historical experience is avai</w:t>
      </w:r>
      <w:r>
        <w:rPr>
          <w:sz w:val="20"/>
          <w:szCs w:val="20"/>
        </w:rPr>
        <w:t>lable to provide a reasonable estimate of the expected term. The risk-free interest rate is calculated based on the yield from U.S. Treasury zero-coupon bonds with an equivalent term. We have historically not paid dividends and have no foreseeable plans to</w:t>
      </w:r>
      <w:r>
        <w:rPr>
          <w:sz w:val="20"/>
          <w:szCs w:val="20"/>
        </w:rPr>
        <w:t xml:space="preserve"> pay dividends. We recognize forfeitures of awards as they occur</w:t>
      </w:r>
      <w:r>
        <w:rPr>
          <w:sz w:val="20"/>
          <w:szCs w:val="20"/>
        </w:rPr>
        <w:t>.</w:t>
      </w:r>
    </w:p>
    <w:p w:rsidR="00000000" w:rsidRDefault="00AF2D19">
      <w:pPr>
        <w:pStyle w:val="a3"/>
        <w:spacing w:before="240" w:beforeAutospacing="0" w:after="0" w:afterAutospacing="0"/>
        <w:rPr>
          <w:sz w:val="20"/>
          <w:szCs w:val="20"/>
        </w:rPr>
      </w:pPr>
      <w:r>
        <w:rPr>
          <w:i/>
          <w:iCs/>
          <w:sz w:val="20"/>
          <w:szCs w:val="20"/>
          <w:u w:val="single"/>
        </w:rPr>
        <w:t>Determination of Fair Value of our Common Stock prior to the Business Combinatio</w:t>
      </w:r>
      <w:r>
        <w:rPr>
          <w:i/>
          <w:iCs/>
          <w:sz w:val="20"/>
          <w:szCs w:val="20"/>
          <w:u w:val="single"/>
        </w:rPr>
        <w:t>n</w:t>
      </w:r>
    </w:p>
    <w:p w:rsidR="00000000" w:rsidRDefault="00AF2D19">
      <w:pPr>
        <w:pStyle w:val="a3"/>
        <w:spacing w:before="120" w:beforeAutospacing="0" w:after="0" w:afterAutospacing="0"/>
        <w:jc w:val="both"/>
        <w:rPr>
          <w:sz w:val="20"/>
          <w:szCs w:val="20"/>
        </w:rPr>
      </w:pPr>
      <w:r>
        <w:rPr>
          <w:sz w:val="20"/>
          <w:szCs w:val="20"/>
        </w:rPr>
        <w:t>Due to the absence of an active market for our shares of common stock prior to the Business Combination, the</w:t>
      </w:r>
      <w:r>
        <w:rPr>
          <w:sz w:val="20"/>
          <w:szCs w:val="20"/>
        </w:rPr>
        <w:t xml:space="preserve"> grant-date fair market value of the common shares underlying stock options was historically determined by management with the assistance of third-party valuation specialists and approved by the Company’s board of directors. Because there was no public mar</w:t>
      </w:r>
      <w:r>
        <w:rPr>
          <w:sz w:val="20"/>
          <w:szCs w:val="20"/>
        </w:rPr>
        <w:t>ket for the Company’s common shares, the Board of Directors exercised reasonable judgment and considered a number of objective and subjective factors to determine the best estimate of the fair market value, which included important developments in the Comp</w:t>
      </w:r>
      <w:r>
        <w:rPr>
          <w:sz w:val="20"/>
          <w:szCs w:val="20"/>
        </w:rPr>
        <w:t>any’s operations, the prices at which the Company sold shares of its convertible preferred shares, the rights, preferences and privileges of the Company’s convertible preferred shares relative to those of the Company’s common shares, actual operating resul</w:t>
      </w:r>
      <w:r>
        <w:rPr>
          <w:sz w:val="20"/>
          <w:szCs w:val="20"/>
        </w:rPr>
        <w:t>ts, financial performance and the lack of marketability of the Company’s common shares</w:t>
      </w:r>
      <w:r>
        <w:rPr>
          <w:sz w:val="20"/>
          <w:szCs w:val="20"/>
        </w:rPr>
        <w:t>.</w:t>
      </w:r>
    </w:p>
    <w:p w:rsidR="00000000" w:rsidRDefault="00AF2D19">
      <w:pPr>
        <w:pStyle w:val="a3"/>
        <w:spacing w:before="240" w:beforeAutospacing="0" w:after="0" w:afterAutospacing="0"/>
        <w:jc w:val="both"/>
        <w:rPr>
          <w:sz w:val="20"/>
          <w:szCs w:val="20"/>
        </w:rPr>
      </w:pPr>
      <w:r>
        <w:rPr>
          <w:sz w:val="20"/>
          <w:szCs w:val="20"/>
        </w:rPr>
        <w:t>See Note 2, “Summary of Significant Accounting Policies and Estimates” in the notes to the consolidated financial statements for additional information regarding the Co</w:t>
      </w:r>
      <w:r>
        <w:rPr>
          <w:sz w:val="20"/>
          <w:szCs w:val="20"/>
        </w:rPr>
        <w:t>mpany’s critical accounting policies and estimates</w:t>
      </w:r>
      <w:r>
        <w:rPr>
          <w:sz w:val="20"/>
          <w:szCs w:val="20"/>
        </w:rPr>
        <w:t>.</w:t>
      </w:r>
    </w:p>
    <w:p w:rsidR="00000000" w:rsidRDefault="00AF2D19">
      <w:pPr>
        <w:pStyle w:val="a3"/>
        <w:spacing w:before="240" w:beforeAutospacing="0" w:after="0" w:afterAutospacing="0"/>
        <w:rPr>
          <w:sz w:val="20"/>
          <w:szCs w:val="20"/>
        </w:rPr>
      </w:pPr>
      <w:r>
        <w:rPr>
          <w:b/>
          <w:bCs/>
          <w:sz w:val="20"/>
          <w:szCs w:val="20"/>
        </w:rPr>
        <w:t>Recent Accounting Pronouncement</w:t>
      </w:r>
      <w:r>
        <w:rPr>
          <w:b/>
          <w:bCs/>
          <w:sz w:val="20"/>
          <w:szCs w:val="20"/>
        </w:rPr>
        <w:t>s</w:t>
      </w:r>
      <w:r>
        <w:rPr>
          <w:b/>
          <w:bCs/>
          <w:sz w:val="20"/>
          <w:szCs w:val="20"/>
        </w:rPr>
        <w:t xml:space="preserve"> </w:t>
      </w:r>
    </w:p>
    <w:p w:rsidR="00000000" w:rsidRDefault="00AF2D19">
      <w:pPr>
        <w:pStyle w:val="a3"/>
        <w:spacing w:before="120" w:beforeAutospacing="0" w:after="0" w:afterAutospacing="0"/>
        <w:rPr>
          <w:sz w:val="20"/>
          <w:szCs w:val="20"/>
        </w:rPr>
      </w:pPr>
      <w:r>
        <w:rPr>
          <w:sz w:val="20"/>
          <w:szCs w:val="20"/>
        </w:rPr>
        <w:t>See Note 2, “Summary of Significant Accounting Policies and Estimates” in the notes to the consolidated financial statements for information regarding recent accounting d</w:t>
      </w:r>
      <w:r>
        <w:rPr>
          <w:sz w:val="20"/>
          <w:szCs w:val="20"/>
        </w:rPr>
        <w:t>evelopments and their impact on our results</w:t>
      </w:r>
      <w:r>
        <w:rPr>
          <w:sz w:val="20"/>
          <w:szCs w:val="20"/>
        </w:rPr>
        <w:t>.</w:t>
      </w:r>
    </w:p>
    <w:p w:rsidR="00000000" w:rsidRDefault="00AF2D19">
      <w:pPr>
        <w:pStyle w:val="a3"/>
        <w:spacing w:before="0" w:beforeAutospacing="0" w:after="0" w:afterAutospacing="0"/>
        <w:jc w:val="center"/>
        <w:rPr>
          <w:sz w:val="20"/>
          <w:szCs w:val="20"/>
        </w:rPr>
      </w:pPr>
      <w:r>
        <w:rPr>
          <w:sz w:val="20"/>
          <w:szCs w:val="20"/>
        </w:rPr>
        <w:t>6</w:t>
      </w:r>
      <w:r>
        <w:rPr>
          <w:sz w:val="20"/>
          <w:szCs w:val="20"/>
        </w:rPr>
        <w:t>9</w:t>
      </w:r>
    </w:p>
    <w:p w:rsidR="00000000" w:rsidRDefault="00AF2D19">
      <w:pPr>
        <w:rPr>
          <w:rFonts w:eastAsia="Times New Roman"/>
        </w:rPr>
      </w:pPr>
      <w:r>
        <w:rPr>
          <w:rFonts w:eastAsia="Times New Roman"/>
        </w:rPr>
        <w:pict>
          <v:rect id="_x0000_i1097"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sz w:val="20"/>
          <w:szCs w:val="20"/>
        </w:rPr>
        <w:t>It</w:t>
      </w:r>
      <w:r>
        <w:rPr>
          <w:b/>
          <w:bCs/>
          <w:sz w:val="20"/>
          <w:szCs w:val="20"/>
        </w:rPr>
        <w:t>e</w:t>
      </w:r>
      <w:r>
        <w:rPr>
          <w:b/>
          <w:bCs/>
          <w:sz w:val="20"/>
          <w:szCs w:val="20"/>
        </w:rPr>
        <w:t>m 7A. QUANTITATIVE AND QUALITATIVE DISCLOSURES ABOUT MARKET RIS</w:t>
      </w:r>
      <w:r>
        <w:rPr>
          <w:b/>
          <w:bCs/>
          <w:sz w:val="20"/>
          <w:szCs w:val="20"/>
        </w:rPr>
        <w:t>K</w:t>
      </w:r>
    </w:p>
    <w:p w:rsidR="00000000" w:rsidRDefault="00AF2D19">
      <w:pPr>
        <w:pStyle w:val="a3"/>
        <w:spacing w:before="240" w:beforeAutospacing="0" w:after="0" w:afterAutospacing="0"/>
        <w:rPr>
          <w:sz w:val="20"/>
          <w:szCs w:val="20"/>
        </w:rPr>
      </w:pPr>
      <w:r>
        <w:rPr>
          <w:b/>
          <w:bCs/>
          <w:i/>
          <w:iCs/>
          <w:sz w:val="20"/>
          <w:szCs w:val="20"/>
        </w:rPr>
        <w:t>Interest Rate Ris</w:t>
      </w:r>
      <w:r>
        <w:rPr>
          <w:b/>
          <w:bCs/>
          <w:i/>
          <w:iCs/>
          <w:sz w:val="20"/>
          <w:szCs w:val="20"/>
        </w:rPr>
        <w:t>k</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had cash and cash equivalents totaling $198.3 million and $13.2 million as of December 31, 2021 and December 31, 2020, respectively. Cash and cash equivalents are held for a variety of growth and investments as well as working capital purposes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do n</w:t>
      </w:r>
      <w:r>
        <w:rPr>
          <w:sz w:val="20"/>
          <w:szCs w:val="20"/>
        </w:rPr>
        <w:t>ot believe that a hypothetical increase or decrease of 100 basis points in interest rates would have a material effect on our business, financial condition or results of operations. However, our cash equivalents are subject to market risk due to changes in</w:t>
      </w:r>
      <w:r>
        <w:rPr>
          <w:sz w:val="20"/>
          <w:szCs w:val="20"/>
        </w:rPr>
        <w:t xml:space="preserve"> interest rates</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i/>
          <w:iCs/>
          <w:sz w:val="20"/>
          <w:szCs w:val="20"/>
        </w:rPr>
        <w:t>Foreign Currency Exchange Ris</w:t>
      </w:r>
      <w:r>
        <w:rPr>
          <w:b/>
          <w:bCs/>
          <w:i/>
          <w:iCs/>
          <w:sz w:val="20"/>
          <w:szCs w:val="20"/>
        </w:rPr>
        <w:t>k</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To date, a substantial majority of our revenue from customer arrangements has been denominated in U.S. dollars. We have limited operations outside the United States. Accordingly, we believe we do not have a</w:t>
      </w:r>
      <w:r>
        <w:rPr>
          <w:sz w:val="20"/>
          <w:szCs w:val="20"/>
        </w:rPr>
        <w:t xml:space="preserve"> material exposure to foreign currency risk. In the future, we may choose to focus on international expansion, which may increase our exposure to foreign currency exchange risk</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b/>
          <w:bCs/>
          <w:i/>
          <w:iCs/>
          <w:sz w:val="20"/>
          <w:szCs w:val="20"/>
        </w:rPr>
        <w:t>Inflation Ris</w:t>
      </w:r>
      <w:r>
        <w:rPr>
          <w:b/>
          <w:bCs/>
          <w:i/>
          <w:iCs/>
          <w:sz w:val="20"/>
          <w:szCs w:val="20"/>
        </w:rPr>
        <w:t>k</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do not believe that inflation has had a material effect on</w:t>
      </w:r>
      <w:r>
        <w:rPr>
          <w:sz w:val="20"/>
          <w:szCs w:val="20"/>
        </w:rPr>
        <w:t xml:space="preserve"> our business, financial condition or results of operations. If our costs were to become subject to significant inflationary pressures, we may not be able to fully offset such higher costs through price increases. Our inability or failure to do so could ha</w:t>
      </w:r>
      <w:r>
        <w:rPr>
          <w:sz w:val="20"/>
          <w:szCs w:val="20"/>
        </w:rPr>
        <w:t>rm our business, financial condition or results of operations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7</w:t>
      </w:r>
      <w:r>
        <w:rPr>
          <w:sz w:val="20"/>
          <w:szCs w:val="20"/>
        </w:rPr>
        <w:t>0</w:t>
      </w:r>
    </w:p>
    <w:p w:rsidR="00000000" w:rsidRDefault="00AF2D19">
      <w:pPr>
        <w:rPr>
          <w:rFonts w:eastAsia="Times New Roman"/>
        </w:rPr>
      </w:pPr>
      <w:r>
        <w:rPr>
          <w:rFonts w:eastAsia="Times New Roman"/>
        </w:rPr>
        <w:pict>
          <v:rect id="_x0000_i1098"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360" w:beforeAutospacing="0" w:after="0" w:afterAutospacing="0"/>
        <w:rPr>
          <w:sz w:val="20"/>
          <w:szCs w:val="20"/>
        </w:rPr>
      </w:pPr>
      <w:r>
        <w:rPr>
          <w:b/>
          <w:bCs/>
          <w:sz w:val="20"/>
          <w:szCs w:val="20"/>
        </w:rPr>
        <w:t>It</w:t>
      </w:r>
      <w:r>
        <w:rPr>
          <w:b/>
          <w:bCs/>
          <w:sz w:val="20"/>
          <w:szCs w:val="20"/>
        </w:rPr>
        <w:t>e</w:t>
      </w:r>
      <w:r>
        <w:rPr>
          <w:b/>
          <w:bCs/>
          <w:sz w:val="20"/>
          <w:szCs w:val="20"/>
        </w:rPr>
        <w:t>m 8. FINANCIAL STATEMENTS AND SUPPLEMENTARY DAT</w:t>
      </w:r>
      <w:r>
        <w:rPr>
          <w:b/>
          <w:bCs/>
          <w:sz w:val="20"/>
          <w:szCs w:val="20"/>
        </w:rPr>
        <w:t>A</w:t>
      </w:r>
    </w:p>
    <w:p w:rsidR="00000000" w:rsidRDefault="00AF2D19">
      <w:pPr>
        <w:pStyle w:val="a3"/>
        <w:spacing w:before="0" w:beforeAutospacing="0" w:after="0" w:afterAutospacing="0"/>
        <w:rPr>
          <w:sz w:val="20"/>
          <w:szCs w:val="20"/>
        </w:rPr>
      </w:pPr>
      <w:r>
        <w:rPr>
          <w:sz w:val="12"/>
          <w:szCs w:val="12"/>
        </w:rPr>
        <w:t> </w:t>
      </w:r>
    </w:p>
    <w:p w:rsidR="00000000" w:rsidRDefault="00AF2D19">
      <w:pPr>
        <w:pStyle w:val="a3"/>
        <w:spacing w:before="0" w:beforeAutospacing="0" w:after="0" w:afterAutospacing="0"/>
        <w:jc w:val="center"/>
        <w:rPr>
          <w:sz w:val="20"/>
          <w:szCs w:val="20"/>
        </w:rPr>
      </w:pPr>
      <w:r>
        <w:rPr>
          <w:b/>
          <w:bCs/>
          <w:sz w:val="20"/>
          <w:szCs w:val="20"/>
        </w:rPr>
        <w:t>INDEX TO CONSOLIDATED FINANCIAL STATEMENT</w:t>
      </w:r>
      <w:r>
        <w:rPr>
          <w:b/>
          <w:bCs/>
          <w:sz w:val="20"/>
          <w:szCs w:val="20"/>
        </w:rPr>
        <w:t>S</w:t>
      </w:r>
    </w:p>
    <w:p w:rsidR="00000000" w:rsidRDefault="00AF2D19">
      <w:pPr>
        <w:pStyle w:val="a3"/>
        <w:spacing w:before="4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32"/>
        <w:gridCol w:w="374"/>
      </w:tblGrid>
      <w:tr w:rsidR="00000000">
        <w:trPr>
          <w:tblCellSpacing w:w="15" w:type="dxa"/>
        </w:trPr>
        <w:tc>
          <w:tcPr>
            <w:tcW w:w="4800" w:type="pct"/>
            <w:vAlign w:val="center"/>
            <w:hideMark/>
          </w:tcPr>
          <w:p w:rsidR="00000000" w:rsidRDefault="00AF2D19">
            <w:pPr>
              <w:rPr>
                <w:sz w:val="20"/>
                <w:szCs w:val="20"/>
              </w:rPr>
            </w:pPr>
          </w:p>
        </w:tc>
        <w:tc>
          <w:tcPr>
            <w:tcW w:w="200" w:type="pct"/>
            <w:vAlign w:val="center"/>
            <w:hideMark/>
          </w:tcPr>
          <w:p w:rsidR="00000000" w:rsidRDefault="00AF2D19">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rPr>
                <w:sz w:val="20"/>
                <w:szCs w:val="20"/>
              </w:rPr>
            </w:pPr>
            <w:hyperlink w:anchor="report_of_independent_registered_public" w:history="1">
              <w:r>
                <w:rPr>
                  <w:rStyle w:val="a4"/>
                  <w:sz w:val="20"/>
                  <w:szCs w:val="20"/>
                </w:rPr>
                <w:t>Report of Independent Registered Public Accounting Fir</w:t>
              </w:r>
              <w:r>
                <w:rPr>
                  <w:rStyle w:val="a4"/>
                  <w:sz w:val="20"/>
                  <w:szCs w:val="20"/>
                </w:rPr>
                <w:t>m</w:t>
              </w:r>
            </w:hyperlink>
          </w:p>
        </w:tc>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jc w:val="right"/>
              <w:rPr>
                <w:sz w:val="20"/>
                <w:szCs w:val="20"/>
              </w:rPr>
            </w:pPr>
            <w:r>
              <w:rPr>
                <w:sz w:val="20"/>
                <w:szCs w:val="20"/>
              </w:rPr>
              <w:t>7</w:t>
            </w: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rPr>
                <w:sz w:val="20"/>
                <w:szCs w:val="20"/>
              </w:rPr>
            </w:pPr>
            <w:hyperlink w:anchor="consolidated_balance_sheets" w:history="1">
              <w:r>
                <w:rPr>
                  <w:rStyle w:val="a4"/>
                  <w:sz w:val="20"/>
                  <w:szCs w:val="20"/>
                </w:rPr>
                <w:t>Consolidated Balance Sheets as of December 31, 2021 and 202</w:t>
              </w:r>
              <w:r>
                <w:rPr>
                  <w:rStyle w:val="a4"/>
                  <w:sz w:val="20"/>
                  <w:szCs w:val="20"/>
                </w:rPr>
                <w:t>0</w:t>
              </w:r>
            </w:hyperlink>
          </w:p>
        </w:tc>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jc w:val="right"/>
              <w:rPr>
                <w:sz w:val="20"/>
                <w:szCs w:val="20"/>
              </w:rPr>
            </w:pPr>
            <w:r>
              <w:rPr>
                <w:sz w:val="20"/>
                <w:szCs w:val="20"/>
              </w:rPr>
              <w:t>7</w:t>
            </w:r>
            <w:r>
              <w:rPr>
                <w:sz w:val="20"/>
                <w:szCs w:val="20"/>
              </w:rPr>
              <w:t>4</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rPr>
                <w:sz w:val="20"/>
                <w:szCs w:val="20"/>
              </w:rPr>
            </w:pPr>
            <w:hyperlink w:anchor="stmt_operations_and_comprehensive_loss" w:history="1">
              <w:r>
                <w:rPr>
                  <w:rStyle w:val="a4"/>
                  <w:sz w:val="20"/>
                  <w:szCs w:val="20"/>
                </w:rPr>
                <w:t>Consolidated Statements of Operations and Comprehensive Loss for the years ended December 31, 2021, 2020 and 201</w:t>
              </w:r>
              <w:r>
                <w:rPr>
                  <w:rStyle w:val="a4"/>
                  <w:sz w:val="20"/>
                  <w:szCs w:val="20"/>
                </w:rPr>
                <w:t>9</w:t>
              </w:r>
            </w:hyperlink>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right"/>
              <w:rPr>
                <w:sz w:val="20"/>
                <w:szCs w:val="20"/>
              </w:rPr>
            </w:pPr>
            <w:r>
              <w:rPr>
                <w:sz w:val="20"/>
                <w:szCs w:val="20"/>
              </w:rPr>
              <w:t>7</w:t>
            </w:r>
            <w:r>
              <w:rPr>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rPr>
                <w:sz w:val="20"/>
                <w:szCs w:val="20"/>
              </w:rPr>
            </w:pPr>
            <w:hyperlink w:anchor="stockholders_equity_deficit" w:history="1">
              <w:r>
                <w:rPr>
                  <w:rStyle w:val="a4"/>
                  <w:sz w:val="20"/>
                  <w:szCs w:val="20"/>
                </w:rPr>
                <w:t>Consolidated Statements of Stockholders’ Equity for the years ended December 31, 2021, 2020 and 201</w:t>
              </w:r>
              <w:r>
                <w:rPr>
                  <w:rStyle w:val="a4"/>
                  <w:sz w:val="20"/>
                  <w:szCs w:val="20"/>
                </w:rPr>
                <w:t>9</w:t>
              </w:r>
            </w:hyperlink>
          </w:p>
        </w:tc>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jc w:val="right"/>
              <w:rPr>
                <w:sz w:val="20"/>
                <w:szCs w:val="20"/>
              </w:rPr>
            </w:pPr>
            <w:r>
              <w:rPr>
                <w:sz w:val="20"/>
                <w:szCs w:val="20"/>
              </w:rPr>
              <w:t>7</w:t>
            </w:r>
            <w:r>
              <w:rPr>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rPr>
                <w:sz w:val="20"/>
                <w:szCs w:val="20"/>
              </w:rPr>
            </w:pPr>
            <w:hyperlink w:anchor="consolidated_statements_of_cash_flows" w:history="1">
              <w:r>
                <w:rPr>
                  <w:rStyle w:val="a4"/>
                  <w:sz w:val="20"/>
                  <w:szCs w:val="20"/>
                </w:rPr>
                <w:t>Consolidated Statements of Cash Flows for the years e</w:t>
              </w:r>
              <w:r>
                <w:rPr>
                  <w:rStyle w:val="a4"/>
                  <w:sz w:val="20"/>
                  <w:szCs w:val="20"/>
                </w:rPr>
                <w:t>nded December 31, 2021, 2020 and 201</w:t>
              </w:r>
              <w:r>
                <w:rPr>
                  <w:rStyle w:val="a4"/>
                  <w:sz w:val="20"/>
                  <w:szCs w:val="20"/>
                </w:rPr>
                <w:t>9</w:t>
              </w:r>
            </w:hyperlink>
          </w:p>
        </w:tc>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jc w:val="right"/>
              <w:rPr>
                <w:sz w:val="20"/>
                <w:szCs w:val="20"/>
              </w:rPr>
            </w:pPr>
            <w:r>
              <w:rPr>
                <w:sz w:val="20"/>
                <w:szCs w:val="20"/>
              </w:rPr>
              <w:t>7</w:t>
            </w: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rPr>
                <w:sz w:val="20"/>
                <w:szCs w:val="20"/>
              </w:rPr>
            </w:pPr>
            <w:hyperlink w:anchor="notes_to_consolidated_fs" w:history="1">
              <w:r>
                <w:rPr>
                  <w:rStyle w:val="a4"/>
                  <w:sz w:val="20"/>
                  <w:szCs w:val="20"/>
                </w:rPr>
                <w:t>Notes to Consolidated Financial Statement</w:t>
              </w:r>
              <w:r>
                <w:rPr>
                  <w:rStyle w:val="a4"/>
                  <w:sz w:val="20"/>
                  <w:szCs w:val="20"/>
                </w:rPr>
                <w:t>s</w:t>
              </w:r>
            </w:hyperlink>
          </w:p>
        </w:tc>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jc w:val="right"/>
              <w:rPr>
                <w:sz w:val="20"/>
                <w:szCs w:val="20"/>
              </w:rPr>
            </w:pPr>
            <w:r>
              <w:rPr>
                <w:sz w:val="20"/>
                <w:szCs w:val="20"/>
              </w:rPr>
              <w:t>7</w:t>
            </w:r>
            <w:r>
              <w:rPr>
                <w:sz w:val="20"/>
                <w:szCs w:val="20"/>
              </w:rPr>
              <w:t>8</w:t>
            </w:r>
          </w:p>
        </w:tc>
      </w:tr>
    </w:tbl>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7</w:t>
      </w:r>
      <w:r>
        <w:rPr>
          <w:sz w:val="20"/>
          <w:szCs w:val="20"/>
        </w:rPr>
        <w:t>1</w:t>
      </w:r>
    </w:p>
    <w:p w:rsidR="00000000" w:rsidRDefault="00AF2D19">
      <w:pPr>
        <w:rPr>
          <w:rFonts w:eastAsia="Times New Roman"/>
        </w:rPr>
      </w:pPr>
      <w:r>
        <w:rPr>
          <w:rFonts w:eastAsia="Times New Roman"/>
        </w:rPr>
        <w:pict>
          <v:rect id="_x0000_i1099"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0"/>
          <w:szCs w:val="20"/>
        </w:rPr>
        <w:t>RE</w:t>
      </w:r>
      <w:r>
        <w:rPr>
          <w:b/>
          <w:bCs/>
          <w:sz w:val="20"/>
          <w:szCs w:val="20"/>
        </w:rPr>
        <w:t>P</w:t>
      </w:r>
      <w:r>
        <w:rPr>
          <w:b/>
          <w:bCs/>
          <w:sz w:val="20"/>
          <w:szCs w:val="20"/>
        </w:rPr>
        <w:t>ORT OF INDEPENDENT REGISTERED PUBLIC ACCOUNTING FIR</w:t>
      </w:r>
      <w:r>
        <w:rPr>
          <w:b/>
          <w:bCs/>
          <w:sz w:val="20"/>
          <w:szCs w:val="20"/>
        </w:rPr>
        <w:t>M</w:t>
      </w:r>
    </w:p>
    <w:p w:rsidR="00000000" w:rsidRDefault="00AF2D19">
      <w:pPr>
        <w:pStyle w:val="a3"/>
        <w:spacing w:before="240" w:beforeAutospacing="0" w:after="0" w:afterAutospacing="0"/>
        <w:rPr>
          <w:sz w:val="20"/>
          <w:szCs w:val="20"/>
        </w:rPr>
      </w:pPr>
      <w:r>
        <w:rPr>
          <w:sz w:val="20"/>
          <w:szCs w:val="20"/>
        </w:rPr>
        <w:t>To the Board of Directors and Shareholders of Talkspace, Inc</w:t>
      </w:r>
      <w:r>
        <w:rPr>
          <w:sz w:val="20"/>
          <w:szCs w:val="20"/>
        </w:rPr>
        <w:t>.</w:t>
      </w:r>
      <w:r>
        <w:rPr>
          <w:sz w:val="20"/>
          <w:szCs w:val="20"/>
        </w:rPr>
        <w:t xml:space="preserve"> </w:t>
      </w:r>
    </w:p>
    <w:p w:rsidR="00000000" w:rsidRDefault="00AF2D19">
      <w:pPr>
        <w:pStyle w:val="a3"/>
        <w:spacing w:before="360" w:beforeAutospacing="0" w:after="0" w:afterAutospacing="0"/>
        <w:rPr>
          <w:sz w:val="20"/>
          <w:szCs w:val="20"/>
        </w:rPr>
      </w:pPr>
      <w:r>
        <w:rPr>
          <w:b/>
          <w:bCs/>
          <w:sz w:val="20"/>
          <w:szCs w:val="20"/>
        </w:rPr>
        <w:t>Opinion on the financial statement</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have audited the accompanying consolidated balance sheets of Talkspace Inc. (the “Company”) as of December 31, 2021 and 2020, the related consolidated statements of operations and comprehensive loss, stockholders’ equity (deficit) and cash flows for eac</w:t>
      </w:r>
      <w:r>
        <w:rPr>
          <w:sz w:val="20"/>
          <w:szCs w:val="20"/>
        </w:rPr>
        <w:t>h of the three years in the period ended December 31, 2021, and the related notes (collectively referred to as the “consolidated financial statements”). In our opinion, the consolidated financial statements present fairly, in all material respects, the fin</w:t>
      </w:r>
      <w:r>
        <w:rPr>
          <w:sz w:val="20"/>
          <w:szCs w:val="20"/>
        </w:rPr>
        <w:t>ancial position of the Company at December 31, 2021 and 2020, and the results of its operations and its cash flows for each of the three years in the period ended December 31, 2021, in conformity with U.S. generally accepted accounting principles</w:t>
      </w:r>
      <w:r>
        <w:rPr>
          <w:sz w:val="20"/>
          <w:szCs w:val="20"/>
        </w:rPr>
        <w:t>.</w:t>
      </w:r>
      <w:r>
        <w:rPr>
          <w:sz w:val="20"/>
          <w:szCs w:val="20"/>
        </w:rPr>
        <w:t xml:space="preserve"> </w:t>
      </w:r>
    </w:p>
    <w:p w:rsidR="00000000" w:rsidRDefault="00AF2D19">
      <w:pPr>
        <w:pStyle w:val="a3"/>
        <w:spacing w:before="360" w:beforeAutospacing="0" w:after="0" w:afterAutospacing="0"/>
        <w:jc w:val="both"/>
        <w:rPr>
          <w:sz w:val="20"/>
          <w:szCs w:val="20"/>
        </w:rPr>
      </w:pPr>
      <w:r>
        <w:rPr>
          <w:b/>
          <w:bCs/>
          <w:sz w:val="20"/>
          <w:szCs w:val="20"/>
        </w:rPr>
        <w:t>Basis f</w:t>
      </w:r>
      <w:r>
        <w:rPr>
          <w:b/>
          <w:bCs/>
          <w:sz w:val="20"/>
          <w:szCs w:val="20"/>
        </w:rPr>
        <w:t>or Opinio</w:t>
      </w:r>
      <w:r>
        <w:rPr>
          <w:b/>
          <w:bCs/>
          <w:sz w:val="20"/>
          <w:szCs w:val="20"/>
        </w:rPr>
        <w:t>n</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These financial statements are the responsibility of the Company’s management. Our responsibility is to express an opinion on the Company’s financial statements based on our audits. We are a public accounting firm registered with the Public Com</w:t>
      </w:r>
      <w:r>
        <w:rPr>
          <w:sz w:val="20"/>
          <w:szCs w:val="20"/>
        </w:rPr>
        <w:t>pany Accounting Oversight Board (United States) (PCAOB) and are required to be independent with respect to the Company in accordance with the U.S. federal securities laws and the applicable rules and regulations of the Securities and Exchange Commission an</w:t>
      </w:r>
      <w:r>
        <w:rPr>
          <w:sz w:val="20"/>
          <w:szCs w:val="20"/>
        </w:rPr>
        <w:t>d the PCAOB</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sz w:val="20"/>
          <w:szCs w:val="20"/>
        </w:rPr>
        <w:t>We conducted our audits in accordance with the standards of the PCAOB. Those standards require that we plan and perform the audit to obtain reasonable assurance about whether the financial statements are free of material misstatement, whether</w:t>
      </w:r>
      <w:r>
        <w:rPr>
          <w:sz w:val="20"/>
          <w:szCs w:val="20"/>
        </w:rPr>
        <w:t xml:space="preserve"> due to error or fraud. The Company is not required to have, nor were we engaged to perform, an audit of its internal control over financial reporting. As part of our audits we are required to obtain an understanding of internal control over financial repo</w:t>
      </w:r>
      <w:r>
        <w:rPr>
          <w:sz w:val="20"/>
          <w:szCs w:val="20"/>
        </w:rPr>
        <w:t>rting but not for the purpose of expressing an opinion on the effectiveness of the Company’s internal control over financial reporting. Accordingly, we express no such opinion</w:t>
      </w:r>
      <w:r>
        <w:rPr>
          <w:sz w:val="20"/>
          <w:szCs w:val="20"/>
        </w:rPr>
        <w:t>.</w:t>
      </w:r>
    </w:p>
    <w:p w:rsidR="00000000" w:rsidRDefault="00AF2D19">
      <w:pPr>
        <w:pStyle w:val="a3"/>
        <w:spacing w:before="240" w:beforeAutospacing="0" w:after="240" w:afterAutospacing="0"/>
        <w:jc w:val="both"/>
        <w:rPr>
          <w:sz w:val="20"/>
          <w:szCs w:val="20"/>
        </w:rPr>
      </w:pPr>
      <w:r>
        <w:rPr>
          <w:sz w:val="20"/>
          <w:szCs w:val="20"/>
        </w:rPr>
        <w:t>Our audits included performing procedures to assess the risks of material misst</w:t>
      </w:r>
      <w:r>
        <w:rPr>
          <w:sz w:val="20"/>
          <w:szCs w:val="20"/>
        </w:rPr>
        <w:t xml:space="preserve">atement of the financial statements, whether due to error or fraud, and performing procedures that respond to those risks. Such procedures included examining, on a test basis, evidence regarding the amounts and disclosures in the financial statements. Our </w:t>
      </w:r>
      <w:r>
        <w:rPr>
          <w:sz w:val="20"/>
          <w:szCs w:val="20"/>
        </w:rPr>
        <w:t>audits also included evaluating the accounting principles used and significant estimates made by management, as well as evaluating the overall presentation of the financial statements. We believe that our audits provide a reasonable basis for our opinion</w:t>
      </w:r>
      <w:r>
        <w:rPr>
          <w:sz w:val="20"/>
          <w:szCs w:val="20"/>
        </w:rPr>
        <w:t>.</w:t>
      </w:r>
      <w:r>
        <w:rPr>
          <w:sz w:val="20"/>
          <w:szCs w:val="20"/>
        </w:rPr>
        <w:t xml:space="preserve"> </w:t>
      </w:r>
    </w:p>
    <w:p w:rsidR="00000000" w:rsidRDefault="00AF2D19">
      <w:pPr>
        <w:pStyle w:val="a3"/>
        <w:spacing w:before="360" w:beforeAutospacing="0" w:after="0" w:afterAutospacing="0"/>
        <w:jc w:val="both"/>
        <w:rPr>
          <w:sz w:val="20"/>
          <w:szCs w:val="20"/>
        </w:rPr>
      </w:pPr>
      <w:r>
        <w:rPr>
          <w:b/>
          <w:bCs/>
          <w:sz w:val="20"/>
          <w:szCs w:val="20"/>
        </w:rPr>
        <w:t>Critical audit matter</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 xml:space="preserve">The critical audit matter communicated below is a matter arising from the current period audit of the financial statements that was communicated or required to be communicated to the audit committee and that (1) relates to accounts or disclosures that are </w:t>
      </w:r>
      <w:r>
        <w:rPr>
          <w:sz w:val="20"/>
          <w:szCs w:val="20"/>
        </w:rPr>
        <w:t>material to the financial statements and (2) involved our especially challenging, subjective or complex judgments. The communication of the critical audit matter does not alter in any way our opinion on the consolidated financial statements taken as a whol</w:t>
      </w:r>
      <w:r>
        <w:rPr>
          <w:sz w:val="20"/>
          <w:szCs w:val="20"/>
        </w:rPr>
        <w:t>e, and we are not, by communicating the critical audit matter below, providing a separate opinion on the critical audit matter or on the accounts or disclosures to which it relates</w:t>
      </w:r>
      <w:r>
        <w:rPr>
          <w:sz w:val="20"/>
          <w:szCs w:val="20"/>
        </w:rPr>
        <w:t>.</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7</w:t>
      </w:r>
      <w:r>
        <w:rPr>
          <w:sz w:val="20"/>
          <w:szCs w:val="20"/>
        </w:rPr>
        <w:t>2</w:t>
      </w:r>
    </w:p>
    <w:p w:rsidR="00000000" w:rsidRDefault="00AF2D19">
      <w:pPr>
        <w:rPr>
          <w:rFonts w:eastAsia="Times New Roman"/>
        </w:rPr>
      </w:pPr>
      <w:r>
        <w:rPr>
          <w:rFonts w:eastAsia="Times New Roman"/>
        </w:rPr>
        <w:pict>
          <v:rect id="_x0000_i110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w:t>
        </w:r>
        <w:r>
          <w:rPr>
            <w:rStyle w:val="a4"/>
            <w:sz w:val="20"/>
            <w:szCs w:val="20"/>
          </w:rPr>
          <w:t>able of Content</w:t>
        </w:r>
        <w:r>
          <w:rPr>
            <w:rStyle w:val="a4"/>
            <w:sz w:val="20"/>
            <w:szCs w:val="20"/>
          </w:rPr>
          <w:t>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8"/>
        <w:gridCol w:w="357"/>
        <w:gridCol w:w="6841"/>
      </w:tblGrid>
      <w:tr w:rsidR="00000000">
        <w:trPr>
          <w:tblCellSpacing w:w="15" w:type="dxa"/>
        </w:trPr>
        <w:tc>
          <w:tcPr>
            <w:tcW w:w="649" w:type="pct"/>
            <w:vAlign w:val="center"/>
            <w:hideMark/>
          </w:tcPr>
          <w:p w:rsidR="00000000" w:rsidRDefault="00AF2D19">
            <w:pPr>
              <w:rPr>
                <w:sz w:val="20"/>
                <w:szCs w:val="20"/>
              </w:rPr>
            </w:pPr>
          </w:p>
        </w:tc>
        <w:tc>
          <w:tcPr>
            <w:tcW w:w="200" w:type="pct"/>
            <w:vAlign w:val="center"/>
            <w:hideMark/>
          </w:tcPr>
          <w:p w:rsidR="00000000" w:rsidRDefault="00AF2D19">
            <w:pPr>
              <w:rPr>
                <w:rFonts w:eastAsia="Times New Roman"/>
                <w:sz w:val="20"/>
                <w:szCs w:val="20"/>
              </w:rPr>
            </w:pPr>
          </w:p>
        </w:tc>
        <w:tc>
          <w:tcPr>
            <w:tcW w:w="4150" w:type="pct"/>
            <w:vAlign w:val="center"/>
            <w:hideMark/>
          </w:tcPr>
          <w:p w:rsidR="00000000" w:rsidRDefault="00AF2D19">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b/>
                <w:bCs/>
                <w:i/>
                <w:iCs/>
                <w:sz w:val="20"/>
                <w:szCs w:val="20"/>
              </w:rPr>
              <w:t>Valuations of Private Warrant Liability and Stock Option</w:t>
            </w:r>
            <w:r>
              <w:rPr>
                <w:b/>
                <w:bCs/>
                <w:i/>
                <w:iCs/>
                <w:sz w:val="20"/>
                <w:szCs w:val="20"/>
              </w:rPr>
              <w:t>s</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i/>
                <w:iCs/>
                <w:sz w:val="20"/>
                <w:szCs w:val="20"/>
              </w:rPr>
              <w:t>Description of the Matte</w:t>
            </w:r>
            <w:r>
              <w:rPr>
                <w:i/>
                <w:iCs/>
                <w:sz w:val="20"/>
                <w:szCs w:val="20"/>
              </w:rPr>
              <w:t>r</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both"/>
              <w:rPr>
                <w:sz w:val="20"/>
                <w:szCs w:val="20"/>
              </w:rPr>
            </w:pPr>
            <w:r>
              <w:rPr>
                <w:sz w:val="20"/>
                <w:szCs w:val="20"/>
              </w:rPr>
              <w:t xml:space="preserve">As discussed in Notes 8 and 13 to the consolidated financial statements, the fair value of the Private Warrant Liability (“Warrant”) as of December 31, 2021 totaled $4.1 million and the fair value adjustments for the Warrant during the year ended December </w:t>
            </w:r>
            <w:r>
              <w:rPr>
                <w:sz w:val="20"/>
                <w:szCs w:val="20"/>
              </w:rPr>
              <w:t>31, 2021 tota</w:t>
            </w:r>
            <w:r>
              <w:rPr>
                <w:sz w:val="20"/>
                <w:szCs w:val="20"/>
              </w:rPr>
              <w:t>l</w:t>
            </w:r>
            <w:r>
              <w:rPr>
                <w:sz w:val="20"/>
                <w:szCs w:val="20"/>
              </w:rPr>
              <w:t xml:space="preserve">ed $36.0 </w:t>
            </w:r>
            <w:r>
              <w:rPr>
                <w:sz w:val="20"/>
                <w:szCs w:val="20"/>
              </w:rPr>
              <w:t>m</w:t>
            </w:r>
            <w:r>
              <w:rPr>
                <w:sz w:val="20"/>
                <w:szCs w:val="20"/>
              </w:rPr>
              <w:t>illion. In addition, the grant date fair value of the Stock Options (“Options”) granted during the year ended December 31, 2021 t</w:t>
            </w:r>
            <w:r>
              <w:rPr>
                <w:sz w:val="20"/>
                <w:szCs w:val="20"/>
              </w:rPr>
              <w:t>o</w:t>
            </w:r>
            <w:r>
              <w:rPr>
                <w:sz w:val="20"/>
                <w:szCs w:val="20"/>
              </w:rPr>
              <w:t>taled $30.4 milli</w:t>
            </w:r>
            <w:r>
              <w:rPr>
                <w:sz w:val="20"/>
                <w:szCs w:val="20"/>
              </w:rPr>
              <w:t>o</w:t>
            </w:r>
            <w:r>
              <w:rPr>
                <w:sz w:val="20"/>
                <w:szCs w:val="20"/>
              </w:rPr>
              <w:t xml:space="preserve">n, and the unrecognized compensation expense related to the Options as of this date </w:t>
            </w:r>
            <w:r>
              <w:rPr>
                <w:sz w:val="20"/>
                <w:szCs w:val="20"/>
              </w:rPr>
              <w:t>totaled $17.4 million. The Warrant and Options were valued using a Black-Scholes model that utilized various assumptions, including term, stock price, volatility, risk free rate and dividend yield. The volatility assumption was the most critical assumption</w:t>
            </w:r>
            <w:r>
              <w:rPr>
                <w:sz w:val="20"/>
                <w:szCs w:val="20"/>
              </w:rPr>
              <w:t xml:space="preserve"> as it had a significant effect on the fair value of the Warrant and the grant date fair value of the Options and the correlated compensation expense. The volatility assumption was calculated mainly using the equity volatilities of guideline public compani</w:t>
            </w:r>
            <w:r>
              <w:rPr>
                <w:sz w:val="20"/>
                <w:szCs w:val="20"/>
              </w:rPr>
              <w:t>es, which were selected based on the similarity of their operations and duration to that of the Company</w:t>
            </w:r>
            <w:r>
              <w:rPr>
                <w:sz w:val="20"/>
                <w:szCs w:val="20"/>
              </w:rPr>
              <w:t>.</w:t>
            </w:r>
          </w:p>
        </w:tc>
      </w:tr>
      <w:tr w:rsidR="00000000">
        <w:trPr>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both"/>
              <w:rPr>
                <w:sz w:val="20"/>
                <w:szCs w:val="20"/>
              </w:rPr>
            </w:pPr>
            <w:r>
              <w:rPr>
                <w:sz w:val="20"/>
                <w:szCs w:val="20"/>
              </w:rPr>
              <w:t>Auditing the fair value of the Warrant and the Options were complex due to the highly judgmental nature of selecting appropriate model assu</w:t>
            </w:r>
            <w:r>
              <w:rPr>
                <w:sz w:val="20"/>
                <w:szCs w:val="20"/>
              </w:rPr>
              <w:t>mptions, especially the guideline public companies used to determine the critical volatility assumption used in the calculation of the grant date fair value and the correlated recognition of compensation expense</w:t>
            </w:r>
            <w:r>
              <w:rPr>
                <w:sz w:val="20"/>
                <w:szCs w:val="20"/>
              </w:rPr>
              <w:t>.</w:t>
            </w:r>
          </w:p>
        </w:tc>
      </w:tr>
      <w:tr w:rsidR="00000000">
        <w:trPr>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i/>
                <w:iCs/>
                <w:sz w:val="20"/>
                <w:szCs w:val="20"/>
              </w:rPr>
              <w:t xml:space="preserve">How We Addressed the Matter in Our </w:t>
            </w:r>
            <w:r>
              <w:rPr>
                <w:i/>
                <w:iCs/>
                <w:sz w:val="20"/>
                <w:szCs w:val="20"/>
              </w:rPr>
              <w:t>Audi</w:t>
            </w:r>
            <w:r>
              <w:rPr>
                <w:i/>
                <w:iCs/>
                <w:sz w:val="20"/>
                <w:szCs w:val="20"/>
              </w:rPr>
              <w:t>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both"/>
              <w:rPr>
                <w:sz w:val="20"/>
                <w:szCs w:val="20"/>
              </w:rPr>
            </w:pPr>
            <w:r>
              <w:rPr>
                <w:sz w:val="20"/>
                <w:szCs w:val="20"/>
              </w:rPr>
              <w:t>To test the fair value of the Warrant and the Options, our audit procedures included, among others, assessing the appropriateness of the use of the Black-Scholes model and accuracy of the underlying calculation, including testing the assumptions us</w:t>
            </w:r>
            <w:r>
              <w:rPr>
                <w:sz w:val="20"/>
                <w:szCs w:val="20"/>
              </w:rPr>
              <w:t>ed to calculate the fair value of the Warrant and the grant date fair value of the Options. We compared the term, stock price, risk free rate and dividend yield to readily available information as of the valuation dates for each reporting period. For the c</w:t>
            </w:r>
            <w:r>
              <w:rPr>
                <w:sz w:val="20"/>
                <w:szCs w:val="20"/>
              </w:rPr>
              <w:t>ritical volatility assumption, we assessed the suitability of the guideline public companies used based on the similarity of their operations and duration to that of the Company. We compared the equity volatilities of the guideline public companies used in</w:t>
            </w:r>
            <w:r>
              <w:rPr>
                <w:sz w:val="20"/>
                <w:szCs w:val="20"/>
              </w:rPr>
              <w:t xml:space="preserve"> the estimate to actual stock price performance, we developed an independent range of volatility based on the cumulative volatilities of the guideline public companies adjusted for the relative size of the Company as compared to the guideline public compan</w:t>
            </w:r>
            <w:r>
              <w:rPr>
                <w:sz w:val="20"/>
                <w:szCs w:val="20"/>
              </w:rPr>
              <w:t>ies. We involved our specialists to assist us with evaluating the Black-Scholes model, as well as to perform comparative range calculations using the assumptions previously discussed. We have also evaluated the appropriateness of the related disclosures in</w:t>
            </w:r>
            <w:r>
              <w:rPr>
                <w:sz w:val="20"/>
                <w:szCs w:val="20"/>
              </w:rPr>
              <w:t>cluded in Note 8 and 13 to the consolidated financial statements</w:t>
            </w:r>
            <w:r>
              <w:rPr>
                <w:sz w:val="20"/>
                <w:szCs w:val="20"/>
              </w:rPr>
              <w:t>.</w:t>
            </w:r>
          </w:p>
        </w:tc>
      </w:tr>
    </w:tbl>
    <w:p w:rsidR="00000000" w:rsidRDefault="00AF2D19">
      <w:pPr>
        <w:pStyle w:val="a3"/>
        <w:spacing w:before="360" w:beforeAutospacing="0" w:after="0" w:afterAutospacing="0"/>
        <w:rPr>
          <w:sz w:val="20"/>
          <w:szCs w:val="20"/>
        </w:rPr>
      </w:pPr>
      <w:r>
        <w:rPr>
          <w:sz w:val="20"/>
          <w:szCs w:val="20"/>
        </w:rPr>
        <w:t> </w:t>
      </w:r>
    </w:p>
    <w:p w:rsidR="00000000" w:rsidRDefault="00AF2D19">
      <w:pPr>
        <w:pStyle w:val="a3"/>
        <w:spacing w:before="360" w:beforeAutospacing="0" w:after="0" w:afterAutospacing="0"/>
        <w:rPr>
          <w:sz w:val="20"/>
          <w:szCs w:val="20"/>
        </w:rPr>
      </w:pPr>
      <w:r>
        <w:rPr>
          <w:sz w:val="20"/>
          <w:szCs w:val="20"/>
        </w:rPr>
        <w:t>Kost Forer Gabbay &amp; Kasiere</w:t>
      </w:r>
      <w:r>
        <w:rPr>
          <w:sz w:val="20"/>
          <w:szCs w:val="20"/>
        </w:rPr>
        <w:t>r</w:t>
      </w:r>
      <w:r>
        <w:rPr>
          <w:sz w:val="20"/>
          <w:szCs w:val="20"/>
        </w:rPr>
        <w:t xml:space="preserve"> </w:t>
      </w:r>
    </w:p>
    <w:p w:rsidR="00000000" w:rsidRDefault="00AF2D19">
      <w:pPr>
        <w:pStyle w:val="a3"/>
        <w:spacing w:before="0" w:beforeAutospacing="0" w:after="0" w:afterAutospacing="0"/>
        <w:rPr>
          <w:sz w:val="20"/>
          <w:szCs w:val="20"/>
        </w:rPr>
      </w:pPr>
      <w:r>
        <w:rPr>
          <w:sz w:val="20"/>
          <w:szCs w:val="20"/>
        </w:rPr>
        <w:t>A Member of EY Globa</w:t>
      </w:r>
      <w:r>
        <w:rPr>
          <w:sz w:val="20"/>
          <w:szCs w:val="20"/>
        </w:rPr>
        <w:t>l</w:t>
      </w:r>
      <w:r>
        <w:rPr>
          <w:sz w:val="20"/>
          <w:szCs w:val="20"/>
        </w:rPr>
        <w:t xml:space="preserve"> </w:t>
      </w:r>
    </w:p>
    <w:p w:rsidR="00000000" w:rsidRDefault="00AF2D19">
      <w:pPr>
        <w:pStyle w:val="a3"/>
        <w:spacing w:before="240" w:beforeAutospacing="0" w:after="0" w:afterAutospacing="0"/>
        <w:rPr>
          <w:sz w:val="20"/>
          <w:szCs w:val="20"/>
        </w:rPr>
      </w:pPr>
      <w:r>
        <w:rPr>
          <w:sz w:val="20"/>
          <w:szCs w:val="20"/>
        </w:rPr>
        <w:t>We have served as the Company’s auditor since 2014</w:t>
      </w:r>
      <w:r>
        <w:rPr>
          <w:sz w:val="20"/>
          <w:szCs w:val="20"/>
        </w:rPr>
        <w:t>.</w:t>
      </w:r>
      <w:r>
        <w:rPr>
          <w:sz w:val="20"/>
          <w:szCs w:val="20"/>
        </w:rPr>
        <w:t xml:space="preserve"> </w:t>
      </w:r>
    </w:p>
    <w:p w:rsidR="00000000" w:rsidRDefault="00AF2D19">
      <w:pPr>
        <w:pStyle w:val="a3"/>
        <w:spacing w:before="240" w:beforeAutospacing="0" w:after="0" w:afterAutospacing="0"/>
        <w:rPr>
          <w:sz w:val="20"/>
          <w:szCs w:val="20"/>
        </w:rPr>
      </w:pPr>
      <w:r>
        <w:rPr>
          <w:sz w:val="20"/>
          <w:szCs w:val="20"/>
        </w:rPr>
        <w:t>Tel-Aviv, Israe</w:t>
      </w:r>
      <w:r>
        <w:rPr>
          <w:sz w:val="20"/>
          <w:szCs w:val="20"/>
        </w:rPr>
        <w:t>l</w:t>
      </w:r>
      <w:r>
        <w:rPr>
          <w:sz w:val="20"/>
          <w:szCs w:val="20"/>
        </w:rPr>
        <w:t xml:space="preserve"> </w:t>
      </w:r>
    </w:p>
    <w:p w:rsidR="00000000" w:rsidRDefault="00AF2D19">
      <w:pPr>
        <w:pStyle w:val="a3"/>
        <w:spacing w:before="0" w:beforeAutospacing="0" w:after="0" w:afterAutospacing="0"/>
        <w:rPr>
          <w:sz w:val="20"/>
          <w:szCs w:val="20"/>
        </w:rPr>
      </w:pPr>
      <w:r>
        <w:rPr>
          <w:sz w:val="20"/>
          <w:szCs w:val="20"/>
        </w:rPr>
        <w:t>February 25, 202</w:t>
      </w:r>
      <w:r>
        <w:rPr>
          <w:sz w:val="20"/>
          <w:szCs w:val="20"/>
        </w:rPr>
        <w:t>2</w:t>
      </w:r>
      <w:r>
        <w:rPr>
          <w:sz w:val="20"/>
          <w:szCs w:val="20"/>
        </w:rPr>
        <w:t xml:space="preserve">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7</w:t>
      </w:r>
      <w:r>
        <w:rPr>
          <w:sz w:val="20"/>
          <w:szCs w:val="20"/>
        </w:rPr>
        <w:t>3</w:t>
      </w:r>
    </w:p>
    <w:p w:rsidR="00000000" w:rsidRDefault="00AF2D19">
      <w:pPr>
        <w:rPr>
          <w:rFonts w:eastAsia="Times New Roman"/>
        </w:rPr>
      </w:pPr>
      <w:r>
        <w:rPr>
          <w:rFonts w:eastAsia="Times New Roman"/>
        </w:rPr>
        <w:pict>
          <v:rect id="_x0000_i1101"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AF2D19">
      <w:pPr>
        <w:pStyle w:val="a3"/>
        <w:spacing w:before="0" w:beforeAutospacing="0" w:after="0" w:afterAutospacing="0"/>
        <w:jc w:val="center"/>
        <w:rPr>
          <w:sz w:val="20"/>
          <w:szCs w:val="20"/>
        </w:rPr>
      </w:pPr>
      <w:r>
        <w:rPr>
          <w:b/>
          <w:bCs/>
          <w:sz w:val="20"/>
          <w:szCs w:val="20"/>
        </w:rPr>
        <w:t>CONSOLIDATED BALANCE SHEET</w:t>
      </w:r>
      <w:r>
        <w:rPr>
          <w:b/>
          <w:bCs/>
          <w:sz w:val="20"/>
          <w:szCs w:val="20"/>
        </w:rPr>
        <w:t>S</w:t>
      </w:r>
    </w:p>
    <w:p w:rsidR="00000000" w:rsidRDefault="00AF2D19">
      <w:pPr>
        <w:pStyle w:val="a3"/>
        <w:spacing w:before="0" w:beforeAutospacing="0" w:after="0" w:afterAutospacing="0"/>
        <w:jc w:val="center"/>
        <w:rPr>
          <w:sz w:val="20"/>
          <w:szCs w:val="20"/>
        </w:rPr>
      </w:pPr>
      <w:r>
        <w:rPr>
          <w:b/>
          <w:bCs/>
          <w:sz w:val="19"/>
          <w:szCs w:val="19"/>
        </w:rPr>
        <w:t>U.S. dollars in thousands (except share and per share data</w:t>
      </w:r>
      <w:r>
        <w:rPr>
          <w:b/>
          <w:bCs/>
          <w:sz w:val="19"/>
          <w:szCs w:val="19"/>
        </w:rPr>
        <w:t>)</w:t>
      </w:r>
      <w:r>
        <w:rPr>
          <w:b/>
          <w:bCs/>
          <w:sz w:val="19"/>
          <w:szCs w:val="19"/>
        </w:rPr>
        <w:t xml:space="preserve"> </w:t>
      </w:r>
    </w:p>
    <w:p w:rsidR="00000000" w:rsidRDefault="00AF2D19">
      <w:pPr>
        <w:pStyle w:val="a3"/>
        <w:spacing w:before="0" w:beforeAutospacing="0" w:after="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43"/>
        <w:gridCol w:w="135"/>
        <w:gridCol w:w="160"/>
        <w:gridCol w:w="1051"/>
        <w:gridCol w:w="127"/>
        <w:gridCol w:w="136"/>
        <w:gridCol w:w="160"/>
        <w:gridCol w:w="1052"/>
        <w:gridCol w:w="142"/>
      </w:tblGrid>
      <w:tr w:rsidR="00000000">
        <w:trPr>
          <w:tblCellSpacing w:w="15" w:type="dxa"/>
        </w:trPr>
        <w:tc>
          <w:tcPr>
            <w:tcW w:w="3321" w:type="pct"/>
            <w:vAlign w:val="center"/>
            <w:hideMark/>
          </w:tcPr>
          <w:p w:rsidR="00000000" w:rsidRDefault="00AF2D19">
            <w:pPr>
              <w:rPr>
                <w:sz w:val="20"/>
                <w:szCs w:val="20"/>
              </w:rPr>
            </w:pPr>
          </w:p>
        </w:tc>
        <w:tc>
          <w:tcPr>
            <w:tcW w:w="80"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652"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80"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652"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F2D19">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ASSET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198,25</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13,24</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 xml:space="preserve">Accounts receivable, net of allowance of </w:t>
            </w:r>
            <w:r>
              <w:rPr>
                <w:sz w:val="20"/>
                <w:szCs w:val="20"/>
              </w:rPr>
              <w:t>$</w:t>
            </w:r>
            <w:r>
              <w:rPr>
                <w:sz w:val="20"/>
                <w:szCs w:val="20"/>
              </w:rPr>
              <w:t>4,91</w:t>
            </w:r>
            <w:r>
              <w:rPr>
                <w:sz w:val="20"/>
                <w:szCs w:val="20"/>
              </w:rPr>
              <w:t>8</w:t>
            </w:r>
            <w:r>
              <w:rPr>
                <w:sz w:val="20"/>
                <w:szCs w:val="20"/>
              </w:rPr>
              <w:t xml:space="preserve"> and </w:t>
            </w:r>
            <w:r>
              <w:rPr>
                <w:sz w:val="20"/>
                <w:szCs w:val="20"/>
              </w:rPr>
              <w:t>$</w:t>
            </w:r>
            <w:r>
              <w:rPr>
                <w:sz w:val="20"/>
                <w:szCs w:val="20"/>
              </w:rPr>
              <w:t>82</w:t>
            </w:r>
            <w:r>
              <w:rPr>
                <w:sz w:val="20"/>
                <w:szCs w:val="20"/>
              </w:rPr>
              <w:t>4</w:t>
            </w:r>
            <w:r>
              <w:rPr>
                <w:sz w:val="20"/>
                <w:szCs w:val="20"/>
              </w:rPr>
              <w:t> as of December 31, 2021 and 2020, respectivel</w:t>
            </w:r>
            <w:r>
              <w:rPr>
                <w:sz w:val="20"/>
                <w:szCs w:val="20"/>
              </w:rPr>
              <w:t>y</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5,51</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5,91</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9,56</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1,51</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Total current asset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213,33</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20,67</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Property and equipment, ne</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62</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17</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Deferred issuance cos</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69</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Intangible assets, ne</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3,43</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5,19</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Goodwil</w:t>
            </w:r>
            <w:r>
              <w:rPr>
                <w:sz w:val="20"/>
                <w:szCs w:val="20"/>
              </w:rPr>
              <w:t>l</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6,13</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6,13</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Other long-term asset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8</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Total asset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223,60</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32,87</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LIABILITIES, CONVERTIBLE PREFERRED STOCK AND</w:t>
            </w:r>
            <w:r>
              <w:rPr>
                <w:sz w:val="20"/>
                <w:szCs w:val="20"/>
              </w:rPr>
              <w:br/>
              <w:t>   STOCKHOLDERS’ EQUITY (DEFICIT</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7,42</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7,90</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Deferred revenue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7,18</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5,17</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12,56</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7,41</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Total current liabilitie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27,17</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20,48</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Warrant liabilitie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4,07</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8</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31,33</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20,48</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Commitments and contingencies (Note 9</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CONVERTIBLE PREFERRED STOCK</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Convertible preferred stock (Series Seed, Seed-1, Seed-2, A, B, C and D)</w:t>
            </w:r>
            <w:r>
              <w:rPr>
                <w:sz w:val="20"/>
                <w:szCs w:val="20"/>
              </w:rPr>
              <w:br/>
              <w:t xml:space="preserve">   of </w:t>
            </w:r>
            <w:r>
              <w:rPr>
                <w:sz w:val="20"/>
                <w:szCs w:val="20"/>
              </w:rPr>
              <w:t>$</w:t>
            </w:r>
            <w:r>
              <w:rPr>
                <w:sz w:val="20"/>
                <w:szCs w:val="20"/>
              </w:rPr>
              <w:t>0.000</w:t>
            </w:r>
            <w:r>
              <w:rPr>
                <w:sz w:val="20"/>
                <w:szCs w:val="20"/>
              </w:rPr>
              <w:t>1</w:t>
            </w:r>
            <w:r>
              <w:rPr>
                <w:sz w:val="20"/>
                <w:szCs w:val="20"/>
              </w:rPr>
              <w:t> par value — Authorized:</w:t>
            </w:r>
            <w:r>
              <w:rPr>
                <w:sz w:val="20"/>
                <w:szCs w:val="20"/>
              </w:rPr>
              <w:t xml:space="preserve"> </w:t>
            </w:r>
            <w:r>
              <w:rPr>
                <w:sz w:val="20"/>
                <w:szCs w:val="20"/>
              </w:rPr>
              <w:t>0</w:t>
            </w:r>
            <w:r>
              <w:rPr>
                <w:sz w:val="20"/>
                <w:szCs w:val="20"/>
              </w:rPr>
              <w:t> and</w:t>
            </w:r>
            <w:r>
              <w:rPr>
                <w:sz w:val="20"/>
                <w:szCs w:val="20"/>
              </w:rPr>
              <w:t xml:space="preserve"> </w:t>
            </w:r>
            <w:r>
              <w:rPr>
                <w:sz w:val="20"/>
                <w:szCs w:val="20"/>
              </w:rPr>
              <w:t>95,709,14</w:t>
            </w:r>
            <w:r>
              <w:rPr>
                <w:sz w:val="20"/>
                <w:szCs w:val="20"/>
              </w:rPr>
              <w:t>6</w:t>
            </w:r>
            <w:r>
              <w:rPr>
                <w:sz w:val="20"/>
                <w:szCs w:val="20"/>
              </w:rPr>
              <w:t> shares at</w:t>
            </w:r>
            <w:r>
              <w:rPr>
                <w:sz w:val="20"/>
                <w:szCs w:val="20"/>
              </w:rPr>
              <w:br/>
              <w:t>   December 31, 2021 and 2020, respectively; Issued and outstanding:</w:t>
            </w:r>
            <w:r>
              <w:rPr>
                <w:sz w:val="20"/>
                <w:szCs w:val="20"/>
              </w:rPr>
              <w:br/>
              <w:t>  </w:t>
            </w:r>
            <w:r>
              <w:rPr>
                <w:sz w:val="20"/>
                <w:szCs w:val="20"/>
              </w:rPr>
              <w:t> </w:t>
            </w:r>
            <w:r>
              <w:rPr>
                <w:sz w:val="20"/>
                <w:szCs w:val="20"/>
              </w:rPr>
              <w:t>0</w:t>
            </w:r>
            <w:r>
              <w:rPr>
                <w:sz w:val="20"/>
                <w:szCs w:val="20"/>
              </w:rPr>
              <w:t> and</w:t>
            </w:r>
            <w:r>
              <w:rPr>
                <w:sz w:val="20"/>
                <w:szCs w:val="20"/>
              </w:rPr>
              <w:t xml:space="preserve"> </w:t>
            </w:r>
            <w:r>
              <w:rPr>
                <w:sz w:val="20"/>
                <w:szCs w:val="20"/>
              </w:rPr>
              <w:t>94,582,55</w:t>
            </w:r>
            <w:r>
              <w:rPr>
                <w:sz w:val="20"/>
                <w:szCs w:val="20"/>
              </w:rPr>
              <w:t>0</w:t>
            </w:r>
            <w:r>
              <w:rPr>
                <w:sz w:val="20"/>
                <w:szCs w:val="20"/>
              </w:rPr>
              <w:t> shares at December 31, 2021 a</w:t>
            </w:r>
            <w:r>
              <w:rPr>
                <w:sz w:val="20"/>
                <w:szCs w:val="20"/>
              </w:rPr>
              <w:t>nd 2020, respectively</w:t>
            </w:r>
            <w:r>
              <w:rPr>
                <w:sz w:val="20"/>
                <w:szCs w:val="20"/>
              </w:rPr>
              <w:t xml:space="preserve"> </w:t>
            </w:r>
            <w:r>
              <w:rPr>
                <w:sz w:val="13"/>
                <w:szCs w:val="13"/>
              </w:rPr>
              <w:t>(1</w:t>
            </w:r>
            <w:r>
              <w:rPr>
                <w:sz w:val="13"/>
                <w:szCs w:val="13"/>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111,28</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STOCKHOLDERS’ EQUITY (DEFICIT)</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 xml:space="preserve">Common stock of </w:t>
            </w:r>
            <w:r>
              <w:rPr>
                <w:sz w:val="20"/>
                <w:szCs w:val="20"/>
              </w:rPr>
              <w:t>$</w:t>
            </w:r>
            <w:r>
              <w:rPr>
                <w:sz w:val="20"/>
                <w:szCs w:val="20"/>
              </w:rPr>
              <w:t>0.000</w:t>
            </w:r>
            <w:r>
              <w:rPr>
                <w:sz w:val="20"/>
                <w:szCs w:val="20"/>
              </w:rPr>
              <w:t>1</w:t>
            </w:r>
            <w:r>
              <w:rPr>
                <w:sz w:val="20"/>
                <w:szCs w:val="20"/>
              </w:rPr>
              <w:t> par value — Authorized:</w:t>
            </w:r>
            <w:r>
              <w:rPr>
                <w:sz w:val="20"/>
                <w:szCs w:val="20"/>
              </w:rPr>
              <w:t xml:space="preserve"> </w:t>
            </w:r>
            <w:r>
              <w:rPr>
                <w:sz w:val="20"/>
                <w:szCs w:val="20"/>
              </w:rPr>
              <w:t>1,000,000,00</w:t>
            </w:r>
            <w:r>
              <w:rPr>
                <w:sz w:val="20"/>
                <w:szCs w:val="20"/>
              </w:rPr>
              <w:t>0</w:t>
            </w:r>
            <w:r>
              <w:rPr>
                <w:sz w:val="20"/>
                <w:szCs w:val="20"/>
              </w:rPr>
              <w:t> and</w:t>
            </w:r>
            <w:r>
              <w:rPr>
                <w:sz w:val="20"/>
                <w:szCs w:val="20"/>
              </w:rPr>
              <w:br/>
              <w:t>  </w:t>
            </w:r>
            <w:r>
              <w:rPr>
                <w:sz w:val="20"/>
                <w:szCs w:val="20"/>
              </w:rPr>
              <w:t> </w:t>
            </w:r>
            <w:r>
              <w:rPr>
                <w:sz w:val="20"/>
                <w:szCs w:val="20"/>
              </w:rPr>
              <w:t>129,397,27</w:t>
            </w:r>
            <w:r>
              <w:rPr>
                <w:sz w:val="20"/>
                <w:szCs w:val="20"/>
              </w:rPr>
              <w:t>8</w:t>
            </w:r>
            <w:r>
              <w:rPr>
                <w:sz w:val="20"/>
                <w:szCs w:val="20"/>
              </w:rPr>
              <w:t> </w:t>
            </w:r>
            <w:r>
              <w:rPr>
                <w:sz w:val="20"/>
                <w:szCs w:val="20"/>
              </w:rPr>
              <w:t>shares at December 31, 2021 and 2020, respectively;</w:t>
            </w:r>
            <w:r>
              <w:rPr>
                <w:sz w:val="20"/>
                <w:szCs w:val="20"/>
              </w:rPr>
              <w:br/>
              <w:t>   Issued and outstanding:</w:t>
            </w:r>
            <w:r>
              <w:rPr>
                <w:sz w:val="20"/>
                <w:szCs w:val="20"/>
              </w:rPr>
              <w:t xml:space="preserve"> </w:t>
            </w:r>
            <w:r>
              <w:rPr>
                <w:sz w:val="20"/>
                <w:szCs w:val="20"/>
              </w:rPr>
              <w:t>152,862,44</w:t>
            </w:r>
            <w:r>
              <w:rPr>
                <w:sz w:val="20"/>
                <w:szCs w:val="20"/>
              </w:rPr>
              <w:t>7</w:t>
            </w:r>
            <w:r>
              <w:rPr>
                <w:sz w:val="20"/>
                <w:szCs w:val="20"/>
              </w:rPr>
              <w:t> and</w:t>
            </w:r>
            <w:r>
              <w:rPr>
                <w:sz w:val="20"/>
                <w:szCs w:val="20"/>
              </w:rPr>
              <w:t xml:space="preserve"> </w:t>
            </w:r>
            <w:r>
              <w:rPr>
                <w:sz w:val="20"/>
                <w:szCs w:val="20"/>
              </w:rPr>
              <w:t>13,413,43</w:t>
            </w:r>
            <w:r>
              <w:rPr>
                <w:sz w:val="20"/>
                <w:szCs w:val="20"/>
              </w:rPr>
              <w:t>1</w:t>
            </w:r>
            <w:r>
              <w:rPr>
                <w:sz w:val="20"/>
                <w:szCs w:val="20"/>
              </w:rPr>
              <w:t> shares at</w:t>
            </w:r>
            <w:r>
              <w:rPr>
                <w:sz w:val="20"/>
                <w:szCs w:val="20"/>
              </w:rPr>
              <w:br/>
              <w:t>   December 31, 2021 and 2020, respectively</w:t>
            </w:r>
            <w:r>
              <w:rPr>
                <w:sz w:val="20"/>
                <w:szCs w:val="20"/>
              </w:rPr>
              <w:t xml:space="preserve"> </w:t>
            </w:r>
            <w:r>
              <w:rPr>
                <w:sz w:val="13"/>
                <w:szCs w:val="13"/>
              </w:rPr>
              <w:t>(1</w:t>
            </w:r>
            <w:r>
              <w:rPr>
                <w:sz w:val="13"/>
                <w:szCs w:val="13"/>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Additional paid-in capital</w:t>
            </w:r>
            <w:r>
              <w:rPr>
                <w:sz w:val="20"/>
                <w:szCs w:val="20"/>
              </w:rPr>
              <w:t xml:space="preserve"> </w:t>
            </w:r>
            <w:r>
              <w:rPr>
                <w:sz w:val="13"/>
                <w:szCs w:val="13"/>
              </w:rPr>
              <w:t>(1</w:t>
            </w:r>
            <w:r>
              <w:rPr>
                <w:sz w:val="13"/>
                <w:szCs w:val="13"/>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363,78</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9,88</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171,53</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108,78</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Total stockholders’ equity (deficit</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192,27</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98,89</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Total liabilities, convertible preferred stock and stockholders’ equity (deficit</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223,60</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32,87</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0" w:beforeAutospacing="0" w:after="0" w:afterAutospacing="0"/>
        <w:rPr>
          <w:sz w:val="20"/>
          <w:szCs w:val="20"/>
        </w:rPr>
      </w:pPr>
      <w:r>
        <w:t> </w:t>
      </w:r>
    </w:p>
    <w:p w:rsidR="00000000" w:rsidRDefault="00AF2D19">
      <w:pPr>
        <w:jc w:val="both"/>
        <w:rPr>
          <w:rFonts w:eastAsia="Times New Roman"/>
        </w:rPr>
      </w:pPr>
      <w:r>
        <w:rPr>
          <w:rFonts w:eastAsia="Times New Roman"/>
          <w:sz w:val="18"/>
          <w:szCs w:val="18"/>
        </w:rPr>
        <w:t>(1</w:t>
      </w:r>
      <w:r>
        <w:rPr>
          <w:rFonts w:eastAsia="Times New Roman"/>
          <w:sz w:val="18"/>
          <w:szCs w:val="18"/>
        </w:rPr>
        <w:t>)</w:t>
      </w:r>
    </w:p>
    <w:p w:rsidR="00000000" w:rsidRDefault="00AF2D19">
      <w:pPr>
        <w:jc w:val="both"/>
        <w:divId w:val="1480266800"/>
        <w:rPr>
          <w:rFonts w:eastAsia="Times New Roman"/>
        </w:rPr>
      </w:pPr>
      <w:r>
        <w:rPr>
          <w:rFonts w:eastAsia="Times New Roman"/>
          <w:sz w:val="18"/>
          <w:szCs w:val="18"/>
        </w:rPr>
        <w:t>Prior period results have been adjusted to reflect the exchange of Old Talkspace’s common stock for Talkspace’s common stock at an exchange ratio of approximately</w:t>
      </w:r>
      <w:r>
        <w:rPr>
          <w:rFonts w:eastAsia="Times New Roman"/>
          <w:sz w:val="18"/>
          <w:szCs w:val="18"/>
        </w:rPr>
        <w:t xml:space="preserve"> </w:t>
      </w:r>
      <w:r>
        <w:rPr>
          <w:rFonts w:eastAsia="Times New Roman"/>
          <w:sz w:val="18"/>
          <w:szCs w:val="18"/>
        </w:rPr>
        <w:t>1.13414</w:t>
      </w:r>
      <w:r>
        <w:rPr>
          <w:rFonts w:eastAsia="Times New Roman"/>
          <w:sz w:val="18"/>
          <w:szCs w:val="18"/>
        </w:rPr>
        <w:t>0</w:t>
      </w:r>
      <w:r>
        <w:rPr>
          <w:rFonts w:eastAsia="Times New Roman"/>
          <w:sz w:val="18"/>
          <w:szCs w:val="18"/>
        </w:rPr>
        <w:t xml:space="preserve"> in June 2021 as a result of the Business Combination. See Note 3, “Business Combinat</w:t>
      </w:r>
      <w:r>
        <w:rPr>
          <w:rFonts w:eastAsia="Times New Roman"/>
          <w:sz w:val="18"/>
          <w:szCs w:val="18"/>
        </w:rPr>
        <w:t>ion” in the notes to the consolidated financial statements for further details</w:t>
      </w:r>
      <w:r>
        <w:rPr>
          <w:rFonts w:eastAsia="Times New Roman"/>
          <w:sz w:val="18"/>
          <w:szCs w:val="18"/>
        </w:rPr>
        <w:t>.</w:t>
      </w:r>
    </w:p>
    <w:p w:rsidR="00000000" w:rsidRDefault="00AF2D19">
      <w:pPr>
        <w:pStyle w:val="a3"/>
        <w:spacing w:before="0" w:beforeAutospacing="0" w:after="0" w:afterAutospacing="0"/>
        <w:rPr>
          <w:sz w:val="20"/>
          <w:szCs w:val="20"/>
        </w:rPr>
      </w:pPr>
      <w:r>
        <w:rPr>
          <w:sz w:val="18"/>
          <w:szCs w:val="18"/>
        </w:rPr>
        <w:t> </w:t>
      </w:r>
    </w:p>
    <w:p w:rsidR="00000000" w:rsidRDefault="00AF2D19">
      <w:pPr>
        <w:pStyle w:val="a3"/>
        <w:spacing w:before="240" w:beforeAutospacing="0" w:after="0" w:afterAutospacing="0"/>
        <w:jc w:val="center"/>
        <w:rPr>
          <w:sz w:val="20"/>
          <w:szCs w:val="20"/>
        </w:rPr>
      </w:pPr>
      <w:r>
        <w:rPr>
          <w:sz w:val="20"/>
          <w:szCs w:val="20"/>
        </w:rPr>
        <w:t>The accompanying notes are an integral part of the consolidated financial statements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7</w:t>
      </w:r>
      <w:r>
        <w:rPr>
          <w:sz w:val="20"/>
          <w:szCs w:val="20"/>
        </w:rPr>
        <w:t>4</w:t>
      </w:r>
    </w:p>
    <w:p w:rsidR="00000000" w:rsidRDefault="00AF2D19">
      <w:pPr>
        <w:rPr>
          <w:rFonts w:eastAsia="Times New Roman"/>
        </w:rPr>
      </w:pPr>
      <w:r>
        <w:rPr>
          <w:rFonts w:eastAsia="Times New Roman"/>
        </w:rPr>
        <w:pict>
          <v:rect id="_x0000_i110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AF2D19">
      <w:pPr>
        <w:pStyle w:val="a3"/>
        <w:spacing w:before="0" w:beforeAutospacing="0" w:after="0" w:afterAutospacing="0"/>
        <w:jc w:val="center"/>
        <w:rPr>
          <w:sz w:val="20"/>
          <w:szCs w:val="20"/>
        </w:rPr>
      </w:pPr>
      <w:r>
        <w:rPr>
          <w:b/>
          <w:bCs/>
          <w:sz w:val="20"/>
          <w:szCs w:val="20"/>
        </w:rPr>
        <w:t>CONSOLIDATED STATEMENTS OF OPERATIONS AND COMPREHENSIVE LOS</w:t>
      </w:r>
      <w:r>
        <w:rPr>
          <w:b/>
          <w:bCs/>
          <w:sz w:val="20"/>
          <w:szCs w:val="20"/>
        </w:rPr>
        <w:t>S</w:t>
      </w:r>
    </w:p>
    <w:p w:rsidR="00000000" w:rsidRDefault="00AF2D19">
      <w:pPr>
        <w:pStyle w:val="a3"/>
        <w:spacing w:before="0" w:beforeAutospacing="0" w:after="0" w:afterAutospacing="0"/>
        <w:jc w:val="center"/>
        <w:rPr>
          <w:sz w:val="20"/>
          <w:szCs w:val="20"/>
        </w:rPr>
      </w:pPr>
      <w:r>
        <w:rPr>
          <w:b/>
          <w:bCs/>
          <w:sz w:val="19"/>
          <w:szCs w:val="19"/>
        </w:rPr>
        <w:t>U.S. dollars in thousands (except share and per share data</w:t>
      </w:r>
      <w:r>
        <w:rPr>
          <w:b/>
          <w:bCs/>
          <w:sz w:val="19"/>
          <w:szCs w:val="19"/>
        </w:rPr>
        <w:t>)</w:t>
      </w:r>
      <w:r>
        <w:rPr>
          <w:b/>
          <w:bCs/>
          <w:sz w:val="19"/>
          <w:szCs w:val="19"/>
        </w:rPr>
        <w:t xml:space="preserve"> </w:t>
      </w:r>
    </w:p>
    <w:p w:rsidR="00000000" w:rsidRDefault="00AF2D19">
      <w:pPr>
        <w:pStyle w:val="a3"/>
        <w:spacing w:before="0" w:beforeAutospacing="0" w:after="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7"/>
        <w:gridCol w:w="121"/>
        <w:gridCol w:w="160"/>
        <w:gridCol w:w="960"/>
        <w:gridCol w:w="127"/>
        <w:gridCol w:w="114"/>
        <w:gridCol w:w="160"/>
        <w:gridCol w:w="960"/>
        <w:gridCol w:w="110"/>
        <w:gridCol w:w="115"/>
        <w:gridCol w:w="160"/>
        <w:gridCol w:w="960"/>
        <w:gridCol w:w="142"/>
      </w:tblGrid>
      <w:tr w:rsidR="00000000">
        <w:trPr>
          <w:tblCellSpacing w:w="15" w:type="dxa"/>
        </w:trPr>
        <w:tc>
          <w:tcPr>
            <w:tcW w:w="2663" w:type="pct"/>
            <w:vAlign w:val="center"/>
            <w:hideMark/>
          </w:tcPr>
          <w:p w:rsidR="00000000" w:rsidRDefault="00AF2D19">
            <w:pPr>
              <w:rPr>
                <w:sz w:val="20"/>
                <w:szCs w:val="20"/>
              </w:rPr>
            </w:pPr>
          </w:p>
        </w:tc>
        <w:tc>
          <w:tcPr>
            <w:tcW w:w="78" w:type="pct"/>
            <w:vAlign w:val="center"/>
            <w:hideMark/>
          </w:tcPr>
          <w:p w:rsidR="00000000" w:rsidRDefault="00AF2D19">
            <w:pPr>
              <w:rPr>
                <w:rFonts w:eastAsia="Times New Roman"/>
                <w:sz w:val="20"/>
                <w:szCs w:val="20"/>
              </w:rPr>
            </w:pPr>
          </w:p>
        </w:tc>
        <w:tc>
          <w:tcPr>
            <w:tcW w:w="63" w:type="pct"/>
            <w:vAlign w:val="center"/>
            <w:hideMark/>
          </w:tcPr>
          <w:p w:rsidR="00000000" w:rsidRDefault="00AF2D19">
            <w:pPr>
              <w:rPr>
                <w:rFonts w:eastAsia="Times New Roman"/>
                <w:sz w:val="20"/>
                <w:szCs w:val="20"/>
              </w:rPr>
            </w:pPr>
          </w:p>
        </w:tc>
        <w:tc>
          <w:tcPr>
            <w:tcW w:w="601"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78" w:type="pct"/>
            <w:vAlign w:val="center"/>
            <w:hideMark/>
          </w:tcPr>
          <w:p w:rsidR="00000000" w:rsidRDefault="00AF2D19">
            <w:pPr>
              <w:rPr>
                <w:rFonts w:eastAsia="Times New Roman"/>
                <w:sz w:val="20"/>
                <w:szCs w:val="20"/>
              </w:rPr>
            </w:pPr>
          </w:p>
        </w:tc>
        <w:tc>
          <w:tcPr>
            <w:tcW w:w="63" w:type="pct"/>
            <w:vAlign w:val="center"/>
            <w:hideMark/>
          </w:tcPr>
          <w:p w:rsidR="00000000" w:rsidRDefault="00AF2D19">
            <w:pPr>
              <w:rPr>
                <w:rFonts w:eastAsia="Times New Roman"/>
                <w:sz w:val="20"/>
                <w:szCs w:val="20"/>
              </w:rPr>
            </w:pPr>
          </w:p>
        </w:tc>
        <w:tc>
          <w:tcPr>
            <w:tcW w:w="601" w:type="pct"/>
            <w:vAlign w:val="center"/>
            <w:hideMark/>
          </w:tcPr>
          <w:p w:rsidR="00000000" w:rsidRDefault="00AF2D19">
            <w:pPr>
              <w:rPr>
                <w:rFonts w:eastAsia="Times New Roman"/>
                <w:sz w:val="20"/>
                <w:szCs w:val="20"/>
              </w:rPr>
            </w:pPr>
          </w:p>
        </w:tc>
        <w:tc>
          <w:tcPr>
            <w:tcW w:w="31" w:type="pct"/>
            <w:vAlign w:val="center"/>
            <w:hideMark/>
          </w:tcPr>
          <w:p w:rsidR="00000000" w:rsidRDefault="00AF2D19">
            <w:pPr>
              <w:rPr>
                <w:rFonts w:eastAsia="Times New Roman"/>
                <w:sz w:val="20"/>
                <w:szCs w:val="20"/>
              </w:rPr>
            </w:pPr>
          </w:p>
        </w:tc>
        <w:tc>
          <w:tcPr>
            <w:tcW w:w="78" w:type="pct"/>
            <w:vAlign w:val="center"/>
            <w:hideMark/>
          </w:tcPr>
          <w:p w:rsidR="00000000" w:rsidRDefault="00AF2D19">
            <w:pPr>
              <w:rPr>
                <w:rFonts w:eastAsia="Times New Roman"/>
                <w:sz w:val="20"/>
                <w:szCs w:val="20"/>
              </w:rPr>
            </w:pPr>
          </w:p>
        </w:tc>
        <w:tc>
          <w:tcPr>
            <w:tcW w:w="63" w:type="pct"/>
            <w:vAlign w:val="center"/>
            <w:hideMark/>
          </w:tcPr>
          <w:p w:rsidR="00000000" w:rsidRDefault="00AF2D19">
            <w:pPr>
              <w:rPr>
                <w:rFonts w:eastAsia="Times New Roman"/>
                <w:sz w:val="20"/>
                <w:szCs w:val="20"/>
              </w:rPr>
            </w:pPr>
          </w:p>
        </w:tc>
        <w:tc>
          <w:tcPr>
            <w:tcW w:w="592"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F2D19">
            <w:pPr>
              <w:pStyle w:val="a3"/>
              <w:spacing w:before="0" w:beforeAutospacing="0" w:after="0" w:afterAutospacing="0"/>
              <w:jc w:val="center"/>
              <w:rPr>
                <w:sz w:val="16"/>
                <w:szCs w:val="16"/>
              </w:rPr>
            </w:pPr>
            <w:r>
              <w:rPr>
                <w:b/>
                <w:bCs/>
                <w:sz w:val="16"/>
                <w:szCs w:val="16"/>
              </w:rPr>
              <w:t>For the Years Ended</w:t>
            </w:r>
            <w:r>
              <w:rPr>
                <w:b/>
                <w:bCs/>
                <w:sz w:val="16"/>
                <w:szCs w:val="16"/>
              </w:rPr>
              <w:br/>
              <w:t>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113,67</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76,19</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38,17</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Cost of revenue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46,89</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26,35</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18,04</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66,77</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49,83</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20,13</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Research and development, ne</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15,91</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9,58</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11,99</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Clinical operation</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9,36</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4,33</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4,67</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100,64</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47,70</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27,53</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34,77</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10,19</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5,35</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Total operating expense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160,69</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71,81</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49,56</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Operating los</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93,92</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21,98</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29,42</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Financial (income) expense, ne</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31,22</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36</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35</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Loss before taxes on incom</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62,69</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22,34</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29,07</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Taxes on incom</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62,74</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22,37</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29,08</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Other comprehensive income (loss</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Comprehensive los</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62,74</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22,37</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29,08</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loss per share</w:t>
            </w:r>
            <w:r>
              <w:rPr>
                <w:sz w:val="20"/>
                <w:szCs w:val="20"/>
              </w:rPr>
              <w:t xml:space="preserve"> </w:t>
            </w:r>
            <w:r>
              <w:rPr>
                <w:sz w:val="13"/>
                <w:szCs w:val="13"/>
              </w:rPr>
              <w:t>(1</w:t>
            </w:r>
            <w:r>
              <w:rPr>
                <w:sz w:val="13"/>
                <w:szCs w:val="13"/>
              </w:rPr>
              <w:t>)</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Basic and diluted net loss per shar</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0.7</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1.6</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Weighted average number of common shares used in computing basic and diluted net loss per share</w:t>
            </w:r>
            <w:r>
              <w:rPr>
                <w:sz w:val="20"/>
                <w:szCs w:val="20"/>
              </w:rPr>
              <w:t xml:space="preserve"> </w:t>
            </w:r>
            <w:r>
              <w:rPr>
                <w:sz w:val="13"/>
                <w:szCs w:val="13"/>
              </w:rPr>
              <w:t>(1</w:t>
            </w:r>
            <w:r>
              <w:rPr>
                <w:sz w:val="13"/>
                <w:szCs w:val="13"/>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86,775,94</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13,359,35</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12,721,42</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0" w:beforeAutospacing="0" w:after="0" w:afterAutospacing="0"/>
        <w:rPr>
          <w:sz w:val="20"/>
          <w:szCs w:val="20"/>
        </w:rPr>
      </w:pPr>
      <w:r>
        <w:rPr>
          <w:sz w:val="14"/>
          <w:szCs w:val="14"/>
        </w:rPr>
        <w:t> </w:t>
      </w:r>
    </w:p>
    <w:p w:rsidR="00000000" w:rsidRDefault="00AF2D19">
      <w:pPr>
        <w:jc w:val="both"/>
        <w:divId w:val="439491407"/>
        <w:rPr>
          <w:rFonts w:eastAsia="Times New Roman"/>
        </w:rPr>
      </w:pPr>
      <w:r>
        <w:rPr>
          <w:rFonts w:eastAsia="Times New Roman"/>
          <w:sz w:val="18"/>
          <w:szCs w:val="18"/>
        </w:rPr>
        <w:t>(1</w:t>
      </w:r>
      <w:r>
        <w:rPr>
          <w:rFonts w:eastAsia="Times New Roman"/>
          <w:sz w:val="18"/>
          <w:szCs w:val="18"/>
        </w:rPr>
        <w:t>)</w:t>
      </w:r>
    </w:p>
    <w:p w:rsidR="00000000" w:rsidRDefault="00AF2D19">
      <w:pPr>
        <w:jc w:val="both"/>
        <w:divId w:val="464394783"/>
        <w:rPr>
          <w:rFonts w:eastAsia="Times New Roman"/>
        </w:rPr>
      </w:pPr>
      <w:r>
        <w:rPr>
          <w:rFonts w:eastAsia="Times New Roman"/>
          <w:sz w:val="18"/>
          <w:szCs w:val="18"/>
        </w:rPr>
        <w:t>Prior period results have been adjusted to reflect the exchange of Old Talkspace’s common stock for Talkspace’s common stock at an exchange ratio of approximately</w:t>
      </w:r>
      <w:r>
        <w:rPr>
          <w:rFonts w:eastAsia="Times New Roman"/>
          <w:sz w:val="18"/>
          <w:szCs w:val="18"/>
        </w:rPr>
        <w:t xml:space="preserve"> </w:t>
      </w:r>
      <w:r>
        <w:rPr>
          <w:rFonts w:eastAsia="Times New Roman"/>
          <w:sz w:val="18"/>
          <w:szCs w:val="18"/>
        </w:rPr>
        <w:t>1.13414</w:t>
      </w:r>
      <w:r>
        <w:rPr>
          <w:rFonts w:eastAsia="Times New Roman"/>
          <w:sz w:val="18"/>
          <w:szCs w:val="18"/>
        </w:rPr>
        <w:t>0</w:t>
      </w:r>
      <w:r>
        <w:rPr>
          <w:rFonts w:eastAsia="Times New Roman"/>
          <w:sz w:val="18"/>
          <w:szCs w:val="18"/>
        </w:rPr>
        <w:t xml:space="preserve"> in June 2021 as a result of the Business Combination. See Note 3, “Business Combinat</w:t>
      </w:r>
      <w:r>
        <w:rPr>
          <w:rFonts w:eastAsia="Times New Roman"/>
          <w:sz w:val="18"/>
          <w:szCs w:val="18"/>
        </w:rPr>
        <w:t>ion” in the notes to the consolidated financial statements for further detail</w:t>
      </w:r>
      <w:r>
        <w:rPr>
          <w:rFonts w:eastAsia="Times New Roman"/>
          <w:sz w:val="18"/>
          <w:szCs w:val="18"/>
        </w:rPr>
        <w:t>s</w:t>
      </w:r>
      <w:r>
        <w:rPr>
          <w:rFonts w:eastAsia="Times New Roman"/>
          <w:sz w:val="18"/>
          <w:szCs w:val="18"/>
        </w:rPr>
        <w:t>.</w:t>
      </w:r>
    </w:p>
    <w:p w:rsidR="00000000" w:rsidRDefault="00AF2D19">
      <w:pPr>
        <w:pStyle w:val="a3"/>
        <w:spacing w:beforeAutospacing="0" w:after="0" w:afterAutospacing="0"/>
        <w:rPr>
          <w:sz w:val="20"/>
          <w:szCs w:val="20"/>
        </w:rPr>
      </w:pPr>
      <w:r>
        <w:rPr>
          <w:sz w:val="18"/>
          <w:szCs w:val="18"/>
        </w:rPr>
        <w:t> </w:t>
      </w:r>
    </w:p>
    <w:p w:rsidR="00000000" w:rsidRDefault="00AF2D19">
      <w:pPr>
        <w:pStyle w:val="a3"/>
        <w:spacing w:before="0" w:beforeAutospacing="0" w:after="0" w:afterAutospacing="0"/>
        <w:jc w:val="center"/>
        <w:rPr>
          <w:sz w:val="20"/>
          <w:szCs w:val="20"/>
        </w:rPr>
      </w:pPr>
      <w:r>
        <w:t> </w:t>
      </w:r>
    </w:p>
    <w:p w:rsidR="00000000" w:rsidRDefault="00AF2D19">
      <w:pPr>
        <w:pStyle w:val="a3"/>
        <w:spacing w:before="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rsidR="00000000" w:rsidRDefault="00AF2D19">
      <w:pPr>
        <w:pStyle w:val="a3"/>
        <w:spacing w:before="0" w:beforeAutospacing="0" w:after="0" w:afterAutospacing="0"/>
        <w:jc w:val="center"/>
        <w:rPr>
          <w:sz w:val="20"/>
          <w:szCs w:val="20"/>
        </w:rPr>
      </w:pPr>
      <w:r>
        <w:rPr>
          <w:sz w:val="20"/>
          <w:szCs w:val="20"/>
        </w:rPr>
        <w:t>7</w:t>
      </w:r>
      <w:r>
        <w:rPr>
          <w:sz w:val="20"/>
          <w:szCs w:val="20"/>
        </w:rPr>
        <w:t>5</w:t>
      </w:r>
    </w:p>
    <w:p w:rsidR="00000000" w:rsidRDefault="00AF2D19">
      <w:pPr>
        <w:rPr>
          <w:rFonts w:eastAsia="Times New Roman"/>
        </w:rPr>
      </w:pPr>
      <w:r>
        <w:rPr>
          <w:rFonts w:eastAsia="Times New Roman"/>
        </w:rPr>
        <w:pict>
          <v:rect id="_x0000_i1103"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AF2D19">
      <w:pPr>
        <w:pStyle w:val="a3"/>
        <w:spacing w:before="0" w:beforeAutospacing="0" w:after="0" w:afterAutospacing="0"/>
        <w:jc w:val="center"/>
        <w:rPr>
          <w:sz w:val="20"/>
          <w:szCs w:val="20"/>
        </w:rPr>
      </w:pPr>
      <w:r>
        <w:rPr>
          <w:b/>
          <w:bCs/>
          <w:sz w:val="20"/>
          <w:szCs w:val="20"/>
        </w:rPr>
        <w:t>CONSOLIDATED STATEMENTS OF CHANGES IN STOCKHOLDERS’ EQUITY (DEFICIT</w:t>
      </w:r>
      <w:r>
        <w:rPr>
          <w:b/>
          <w:bCs/>
          <w:sz w:val="20"/>
          <w:szCs w:val="20"/>
        </w:rPr>
        <w:t>)</w:t>
      </w:r>
    </w:p>
    <w:p w:rsidR="00000000" w:rsidRDefault="00AF2D19">
      <w:pPr>
        <w:pStyle w:val="a3"/>
        <w:spacing w:before="0" w:beforeAutospacing="0" w:after="0" w:afterAutospacing="0"/>
        <w:jc w:val="center"/>
        <w:rPr>
          <w:sz w:val="20"/>
          <w:szCs w:val="20"/>
        </w:rPr>
      </w:pPr>
      <w:r>
        <w:rPr>
          <w:b/>
          <w:bCs/>
          <w:sz w:val="19"/>
          <w:szCs w:val="19"/>
        </w:rPr>
        <w:t>U.S. dollars in thousands (except share and per share data</w:t>
      </w:r>
      <w:r>
        <w:rPr>
          <w:b/>
          <w:bCs/>
          <w:sz w:val="19"/>
          <w:szCs w:val="19"/>
        </w:rPr>
        <w:t>)</w:t>
      </w:r>
      <w:r>
        <w:rPr>
          <w:b/>
          <w:bCs/>
          <w:sz w:val="19"/>
          <w:szCs w:val="19"/>
        </w:rPr>
        <w:t xml:space="preserve"> </w:t>
      </w:r>
    </w:p>
    <w:p w:rsidR="00000000" w:rsidRDefault="00AF2D19">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3"/>
        <w:gridCol w:w="100"/>
        <w:gridCol w:w="100"/>
        <w:gridCol w:w="834"/>
        <w:gridCol w:w="114"/>
        <w:gridCol w:w="100"/>
        <w:gridCol w:w="140"/>
        <w:gridCol w:w="634"/>
        <w:gridCol w:w="114"/>
        <w:gridCol w:w="100"/>
        <w:gridCol w:w="100"/>
        <w:gridCol w:w="100"/>
        <w:gridCol w:w="860"/>
        <w:gridCol w:w="100"/>
        <w:gridCol w:w="100"/>
        <w:gridCol w:w="141"/>
        <w:gridCol w:w="473"/>
        <w:gridCol w:w="100"/>
        <w:gridCol w:w="100"/>
        <w:gridCol w:w="140"/>
        <w:gridCol w:w="580"/>
        <w:gridCol w:w="114"/>
        <w:gridCol w:w="100"/>
        <w:gridCol w:w="141"/>
        <w:gridCol w:w="745"/>
        <w:gridCol w:w="114"/>
        <w:gridCol w:w="100"/>
        <w:gridCol w:w="140"/>
        <w:gridCol w:w="580"/>
        <w:gridCol w:w="129"/>
      </w:tblGrid>
      <w:tr w:rsidR="00000000">
        <w:trPr>
          <w:tblCellSpacing w:w="15" w:type="dxa"/>
        </w:trPr>
        <w:tc>
          <w:tcPr>
            <w:tcW w:w="1483" w:type="pct"/>
            <w:vAlign w:val="center"/>
            <w:hideMark/>
          </w:tcPr>
          <w:p w:rsidR="00000000" w:rsidRDefault="00AF2D19">
            <w:pPr>
              <w:rPr>
                <w:sz w:val="20"/>
                <w:szCs w:val="20"/>
              </w:rPr>
            </w:pPr>
          </w:p>
        </w:tc>
        <w:tc>
          <w:tcPr>
            <w:tcW w:w="45" w:type="pct"/>
            <w:vAlign w:val="center"/>
            <w:hideMark/>
          </w:tcPr>
          <w:p w:rsidR="00000000" w:rsidRDefault="00AF2D19">
            <w:pPr>
              <w:rPr>
                <w:rFonts w:eastAsia="Times New Roman"/>
                <w:sz w:val="20"/>
                <w:szCs w:val="20"/>
              </w:rPr>
            </w:pPr>
          </w:p>
        </w:tc>
        <w:tc>
          <w:tcPr>
            <w:tcW w:w="20" w:type="pct"/>
            <w:vAlign w:val="center"/>
            <w:hideMark/>
          </w:tcPr>
          <w:p w:rsidR="00000000" w:rsidRDefault="00AF2D19">
            <w:pPr>
              <w:rPr>
                <w:rFonts w:eastAsia="Times New Roman"/>
                <w:sz w:val="20"/>
                <w:szCs w:val="20"/>
              </w:rPr>
            </w:pPr>
          </w:p>
        </w:tc>
        <w:tc>
          <w:tcPr>
            <w:tcW w:w="407" w:type="pct"/>
            <w:vAlign w:val="center"/>
            <w:hideMark/>
          </w:tcPr>
          <w:p w:rsidR="00000000" w:rsidRDefault="00AF2D19">
            <w:pPr>
              <w:rPr>
                <w:rFonts w:eastAsia="Times New Roman"/>
                <w:sz w:val="20"/>
                <w:szCs w:val="20"/>
              </w:rPr>
            </w:pPr>
          </w:p>
        </w:tc>
        <w:tc>
          <w:tcPr>
            <w:tcW w:w="28"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385" w:type="pct"/>
            <w:vAlign w:val="center"/>
            <w:hideMark/>
          </w:tcPr>
          <w:p w:rsidR="00000000" w:rsidRDefault="00AF2D19">
            <w:pPr>
              <w:rPr>
                <w:rFonts w:eastAsia="Times New Roman"/>
                <w:sz w:val="20"/>
                <w:szCs w:val="20"/>
              </w:rPr>
            </w:pPr>
          </w:p>
        </w:tc>
        <w:tc>
          <w:tcPr>
            <w:tcW w:w="28" w:type="pct"/>
            <w:vAlign w:val="center"/>
            <w:hideMark/>
          </w:tcPr>
          <w:p w:rsidR="00000000" w:rsidRDefault="00AF2D19">
            <w:pPr>
              <w:rPr>
                <w:rFonts w:eastAsia="Times New Roman"/>
                <w:sz w:val="20"/>
                <w:szCs w:val="20"/>
              </w:rPr>
            </w:pPr>
          </w:p>
        </w:tc>
        <w:tc>
          <w:tcPr>
            <w:tcW w:w="25" w:type="pct"/>
            <w:vAlign w:val="center"/>
            <w:hideMark/>
          </w:tcPr>
          <w:p w:rsidR="00000000" w:rsidRDefault="00AF2D19">
            <w:pPr>
              <w:rPr>
                <w:rFonts w:eastAsia="Times New Roman"/>
                <w:sz w:val="20"/>
                <w:szCs w:val="20"/>
              </w:rPr>
            </w:pPr>
          </w:p>
        </w:tc>
        <w:tc>
          <w:tcPr>
            <w:tcW w:w="25" w:type="pct"/>
            <w:vAlign w:val="center"/>
            <w:hideMark/>
          </w:tcPr>
          <w:p w:rsidR="00000000" w:rsidRDefault="00AF2D19">
            <w:pPr>
              <w:rPr>
                <w:rFonts w:eastAsia="Times New Roman"/>
                <w:sz w:val="20"/>
                <w:szCs w:val="20"/>
              </w:rPr>
            </w:pPr>
          </w:p>
        </w:tc>
        <w:tc>
          <w:tcPr>
            <w:tcW w:w="20" w:type="pct"/>
            <w:vAlign w:val="center"/>
            <w:hideMark/>
          </w:tcPr>
          <w:p w:rsidR="00000000" w:rsidRDefault="00AF2D19">
            <w:pPr>
              <w:rPr>
                <w:rFonts w:eastAsia="Times New Roman"/>
                <w:sz w:val="20"/>
                <w:szCs w:val="20"/>
              </w:rPr>
            </w:pPr>
          </w:p>
        </w:tc>
        <w:tc>
          <w:tcPr>
            <w:tcW w:w="414" w:type="pct"/>
            <w:vAlign w:val="center"/>
            <w:hideMark/>
          </w:tcPr>
          <w:p w:rsidR="00000000" w:rsidRDefault="00AF2D19">
            <w:pPr>
              <w:rPr>
                <w:rFonts w:eastAsia="Times New Roman"/>
                <w:sz w:val="20"/>
                <w:szCs w:val="20"/>
              </w:rPr>
            </w:pPr>
          </w:p>
        </w:tc>
        <w:tc>
          <w:tcPr>
            <w:tcW w:w="20"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392" w:type="pct"/>
            <w:vAlign w:val="center"/>
            <w:hideMark/>
          </w:tcPr>
          <w:p w:rsidR="00000000" w:rsidRDefault="00AF2D19">
            <w:pPr>
              <w:rPr>
                <w:rFonts w:eastAsia="Times New Roman"/>
                <w:sz w:val="20"/>
                <w:szCs w:val="20"/>
              </w:rPr>
            </w:pPr>
          </w:p>
        </w:tc>
        <w:tc>
          <w:tcPr>
            <w:tcW w:w="20"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385" w:type="pct"/>
            <w:vAlign w:val="center"/>
            <w:hideMark/>
          </w:tcPr>
          <w:p w:rsidR="00000000" w:rsidRDefault="00AF2D19">
            <w:pPr>
              <w:rPr>
                <w:rFonts w:eastAsia="Times New Roman"/>
                <w:sz w:val="20"/>
                <w:szCs w:val="20"/>
              </w:rPr>
            </w:pPr>
          </w:p>
        </w:tc>
        <w:tc>
          <w:tcPr>
            <w:tcW w:w="28"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385" w:type="pct"/>
            <w:vAlign w:val="center"/>
            <w:hideMark/>
          </w:tcPr>
          <w:p w:rsidR="00000000" w:rsidRDefault="00AF2D19">
            <w:pPr>
              <w:rPr>
                <w:rFonts w:eastAsia="Times New Roman"/>
                <w:sz w:val="20"/>
                <w:szCs w:val="20"/>
              </w:rPr>
            </w:pPr>
          </w:p>
        </w:tc>
        <w:tc>
          <w:tcPr>
            <w:tcW w:w="28"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385" w:type="pct"/>
            <w:vAlign w:val="center"/>
            <w:hideMark/>
          </w:tcPr>
          <w:p w:rsidR="00000000" w:rsidRDefault="00AF2D19">
            <w:pPr>
              <w:rPr>
                <w:rFonts w:eastAsia="Times New Roman"/>
                <w:sz w:val="20"/>
                <w:szCs w:val="20"/>
              </w:rPr>
            </w:pPr>
          </w:p>
        </w:tc>
        <w:tc>
          <w:tcPr>
            <w:tcW w:w="28" w:type="pct"/>
            <w:vAlign w:val="center"/>
            <w:hideMark/>
          </w:tcPr>
          <w:p w:rsidR="00000000" w:rsidRDefault="00AF2D19">
            <w:pPr>
              <w:rPr>
                <w:rFonts w:eastAsia="Times New Roman"/>
                <w:sz w:val="20"/>
                <w:szCs w:val="20"/>
              </w:rPr>
            </w:pP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AF2D19">
            <w:pPr>
              <w:pStyle w:val="a3"/>
              <w:spacing w:before="0" w:beforeAutospacing="0" w:after="0" w:afterAutospacing="0"/>
              <w:jc w:val="center"/>
              <w:rPr>
                <w:sz w:val="14"/>
                <w:szCs w:val="14"/>
              </w:rPr>
            </w:pPr>
            <w:r>
              <w:rPr>
                <w:b/>
                <w:bCs/>
                <w:sz w:val="14"/>
                <w:szCs w:val="14"/>
              </w:rPr>
              <w:t>Convertible Preferred Stock</w:t>
            </w:r>
            <w:r>
              <w:rPr>
                <w:b/>
                <w:bCs/>
                <w:sz w:val="14"/>
                <w:szCs w:val="14"/>
              </w:rPr>
              <w:t xml:space="preserve"> </w:t>
            </w:r>
            <w:r>
              <w:rPr>
                <w:b/>
                <w:bCs/>
                <w:sz w:val="9"/>
                <w:szCs w:val="9"/>
              </w:rPr>
              <w:t>(1</w:t>
            </w:r>
            <w:r>
              <w:rPr>
                <w:b/>
                <w:bCs/>
                <w:sz w:val="9"/>
                <w:szCs w:val="9"/>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AF2D19">
            <w:pPr>
              <w:pStyle w:val="a3"/>
              <w:spacing w:before="0" w:beforeAutospacing="0" w:after="0" w:afterAutospacing="0"/>
              <w:jc w:val="center"/>
              <w:rPr>
                <w:sz w:val="14"/>
                <w:szCs w:val="14"/>
              </w:rPr>
            </w:pPr>
            <w:r>
              <w:rPr>
                <w:b/>
                <w:bCs/>
                <w:sz w:val="14"/>
                <w:szCs w:val="14"/>
              </w:rPr>
              <w:t>Common Stock</w:t>
            </w:r>
            <w:r>
              <w:rPr>
                <w:b/>
                <w:bCs/>
                <w:sz w:val="14"/>
                <w:szCs w:val="14"/>
              </w:rPr>
              <w:t xml:space="preserve"> </w:t>
            </w:r>
            <w:r>
              <w:rPr>
                <w:b/>
                <w:bCs/>
                <w:sz w:val="9"/>
                <w:szCs w:val="9"/>
              </w:rPr>
              <w:t>(1</w:t>
            </w:r>
            <w:r>
              <w:rPr>
                <w:b/>
                <w:bCs/>
                <w:sz w:val="9"/>
                <w:szCs w:val="9"/>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Number of</w:t>
            </w:r>
            <w:r>
              <w:rPr>
                <w:b/>
                <w:bCs/>
                <w:sz w:val="14"/>
                <w:szCs w:val="14"/>
              </w:rPr>
              <w:br/>
              <w:t>Shares</w:t>
            </w:r>
            <w:r>
              <w:rPr>
                <w:b/>
                <w:bCs/>
                <w:sz w:val="14"/>
                <w:szCs w:val="14"/>
              </w:rPr>
              <w:br/>
              <w:t>Outstandin</w:t>
            </w:r>
            <w:r>
              <w:rPr>
                <w:b/>
                <w:bCs/>
                <w:sz w:val="14"/>
                <w:szCs w:val="14"/>
              </w:rPr>
              <w:t>g</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Number of</w:t>
            </w:r>
            <w:r>
              <w:rPr>
                <w:b/>
                <w:bCs/>
                <w:sz w:val="14"/>
                <w:szCs w:val="14"/>
              </w:rPr>
              <w:br/>
              <w:t>Shares</w:t>
            </w:r>
            <w:r>
              <w:rPr>
                <w:b/>
                <w:bCs/>
                <w:sz w:val="14"/>
                <w:szCs w:val="14"/>
              </w:rPr>
              <w:br/>
              <w:t>Outstandin</w:t>
            </w:r>
            <w:r>
              <w:rPr>
                <w:b/>
                <w:bCs/>
                <w:sz w:val="14"/>
                <w:szCs w:val="14"/>
              </w:rPr>
              <w:t>g</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Additional</w:t>
            </w:r>
            <w:r>
              <w:rPr>
                <w:b/>
                <w:bCs/>
                <w:sz w:val="14"/>
                <w:szCs w:val="14"/>
              </w:rPr>
              <w:br/>
              <w:t>paid-in</w:t>
            </w:r>
            <w:r>
              <w:rPr>
                <w:b/>
                <w:bCs/>
                <w:sz w:val="14"/>
                <w:szCs w:val="14"/>
              </w:rPr>
              <w:br/>
              <w:t>capital</w:t>
            </w:r>
            <w:r>
              <w:rPr>
                <w:b/>
                <w:bCs/>
                <w:sz w:val="14"/>
                <w:szCs w:val="14"/>
              </w:rPr>
              <w:t xml:space="preserve"> </w:t>
            </w:r>
            <w:r>
              <w:rPr>
                <w:b/>
                <w:bCs/>
                <w:sz w:val="9"/>
                <w:szCs w:val="9"/>
              </w:rPr>
              <w:t>(1</w:t>
            </w:r>
            <w:r>
              <w:rPr>
                <w:b/>
                <w:bCs/>
                <w:sz w:val="9"/>
                <w:szCs w:val="9"/>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Accumulated</w:t>
            </w:r>
            <w:r>
              <w:rPr>
                <w:b/>
                <w:bCs/>
                <w:sz w:val="14"/>
                <w:szCs w:val="14"/>
              </w:rPr>
              <w:br/>
              <w:t>defici</w:t>
            </w:r>
            <w:r>
              <w:rPr>
                <w:b/>
                <w:bCs/>
                <w:sz w:val="14"/>
                <w:szCs w:val="14"/>
              </w:rPr>
              <w:t>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Balance as of January 1, 201</w:t>
            </w:r>
            <w:r>
              <w:rPr>
                <w:sz w:val="16"/>
                <w:szCs w:val="16"/>
              </w:rPr>
              <w:t>9</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73,424,07</w:t>
            </w:r>
            <w:r>
              <w:rPr>
                <w:sz w:val="16"/>
                <w:szCs w:val="16"/>
              </w:rPr>
              <w:t>1</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60,07</w:t>
            </w:r>
            <w:r>
              <w:rPr>
                <w:sz w:val="16"/>
                <w:szCs w:val="16"/>
              </w:rPr>
              <w:t>8</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11,713,49</w:t>
            </w:r>
            <w:r>
              <w:rPr>
                <w:sz w:val="16"/>
                <w:szCs w:val="16"/>
              </w:rPr>
              <w:t>1</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3,11</w:t>
            </w:r>
            <w:r>
              <w:rPr>
                <w:sz w:val="16"/>
                <w:szCs w:val="16"/>
              </w:rPr>
              <w:t>7</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57,33</w:t>
            </w:r>
            <w:r>
              <w:rPr>
                <w:sz w:val="16"/>
                <w:szCs w:val="16"/>
              </w:rPr>
              <w:t>2</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54,21</w:t>
            </w:r>
            <w:r>
              <w:rPr>
                <w:sz w:val="16"/>
                <w:szCs w:val="16"/>
              </w:rPr>
              <w:t>4</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Issuance of series D convertible preferred stock, net of issuance cost</w:t>
            </w:r>
            <w:r>
              <w:rPr>
                <w:sz w:val="16"/>
                <w:szCs w:val="16"/>
              </w:rPr>
              <w:t>s</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21,158,47</w:t>
            </w:r>
            <w:r>
              <w:rPr>
                <w:sz w:val="16"/>
                <w:szCs w:val="16"/>
              </w:rPr>
              <w:t>9</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51,20</w:t>
            </w:r>
            <w:r>
              <w:rPr>
                <w:sz w:val="16"/>
                <w:szCs w:val="16"/>
              </w:rPr>
              <w:t>4</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Exercise of stock option</w:t>
            </w:r>
            <w:r>
              <w:rPr>
                <w:sz w:val="16"/>
                <w:szCs w:val="16"/>
              </w:rPr>
              <w:t>s</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1,510,18</w:t>
            </w:r>
            <w:r>
              <w:rPr>
                <w:sz w:val="16"/>
                <w:szCs w:val="16"/>
              </w:rPr>
              <w:t>1</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29</w:t>
            </w:r>
            <w:r>
              <w:rPr>
                <w:sz w:val="16"/>
                <w:szCs w:val="16"/>
              </w:rPr>
              <w:t>7</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29</w:t>
            </w:r>
            <w:r>
              <w:rPr>
                <w:sz w:val="16"/>
                <w:szCs w:val="16"/>
              </w:rPr>
              <w:t>7</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Stock-based compensatio</w:t>
            </w:r>
            <w:r>
              <w:rPr>
                <w:sz w:val="16"/>
                <w:szCs w:val="16"/>
              </w:rPr>
              <w:t>n</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3,40</w:t>
            </w:r>
            <w:r>
              <w:rPr>
                <w:sz w:val="16"/>
                <w:szCs w:val="16"/>
              </w:rPr>
              <w:t>4</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3,40</w:t>
            </w:r>
            <w:r>
              <w:rPr>
                <w:sz w:val="16"/>
                <w:szCs w:val="16"/>
              </w:rPr>
              <w:t>4</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Net los</w:t>
            </w:r>
            <w:r>
              <w:rPr>
                <w:sz w:val="16"/>
                <w:szCs w:val="16"/>
              </w:rPr>
              <w:t>s</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29,08</w:t>
            </w:r>
            <w:r>
              <w:rPr>
                <w:sz w:val="16"/>
                <w:szCs w:val="16"/>
              </w:rPr>
              <w:t>6</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29,08</w:t>
            </w:r>
            <w:r>
              <w:rPr>
                <w:sz w:val="16"/>
                <w:szCs w:val="16"/>
              </w:rPr>
              <w:t>6</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Balance as of December 31, 201</w:t>
            </w:r>
            <w:r>
              <w:rPr>
                <w:sz w:val="16"/>
                <w:szCs w:val="16"/>
              </w:rPr>
              <w:t>9</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94,582,55</w:t>
            </w: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111,28</w:t>
            </w:r>
            <w:r>
              <w:rPr>
                <w:sz w:val="16"/>
                <w:szCs w:val="16"/>
              </w:rPr>
              <w:t>2</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13,223,67</w:t>
            </w:r>
            <w:r>
              <w:rPr>
                <w:sz w:val="16"/>
                <w:szCs w:val="16"/>
              </w:rPr>
              <w:t>2</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6,81</w:t>
            </w:r>
            <w:r>
              <w:rPr>
                <w:sz w:val="16"/>
                <w:szCs w:val="16"/>
              </w:rPr>
              <w:t>8</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86,41</w:t>
            </w:r>
            <w:r>
              <w:rPr>
                <w:sz w:val="16"/>
                <w:szCs w:val="16"/>
              </w:rPr>
              <w:t>8</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79,59</w:t>
            </w:r>
            <w:r>
              <w:rPr>
                <w:sz w:val="16"/>
                <w:szCs w:val="16"/>
              </w:rPr>
              <w:t>9</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Exercise of stock option</w:t>
            </w:r>
            <w:r>
              <w:rPr>
                <w:sz w:val="16"/>
                <w:szCs w:val="16"/>
              </w:rPr>
              <w:t>s</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189,75</w:t>
            </w:r>
            <w:r>
              <w:rPr>
                <w:sz w:val="16"/>
                <w:szCs w:val="16"/>
              </w:rPr>
              <w:t>9</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9</w:t>
            </w:r>
            <w:r>
              <w:rPr>
                <w:sz w:val="16"/>
                <w:szCs w:val="16"/>
              </w:rPr>
              <w:t>4</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9</w:t>
            </w:r>
            <w:r>
              <w:rPr>
                <w:sz w:val="16"/>
                <w:szCs w:val="16"/>
              </w:rPr>
              <w:t>4</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Stock-based compensatio</w:t>
            </w:r>
            <w:r>
              <w:rPr>
                <w:sz w:val="16"/>
                <w:szCs w:val="16"/>
              </w:rPr>
              <w:t>n</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2,97</w:t>
            </w:r>
            <w:r>
              <w:rPr>
                <w:sz w:val="16"/>
                <w:szCs w:val="16"/>
              </w:rPr>
              <w:t>7</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2,97</w:t>
            </w:r>
            <w:r>
              <w:rPr>
                <w:sz w:val="16"/>
                <w:szCs w:val="16"/>
              </w:rPr>
              <w:t>7</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Net los</w:t>
            </w:r>
            <w:r>
              <w:rPr>
                <w:sz w:val="16"/>
                <w:szCs w:val="16"/>
              </w:rPr>
              <w:t>s</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22,37</w:t>
            </w: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22,37</w:t>
            </w: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Balance as of December 31, 202</w:t>
            </w: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94,582,55</w:t>
            </w: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111,28</w:t>
            </w:r>
            <w:r>
              <w:rPr>
                <w:sz w:val="16"/>
                <w:szCs w:val="16"/>
              </w:rPr>
              <w:t>2</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13,413,43</w:t>
            </w:r>
            <w:r>
              <w:rPr>
                <w:sz w:val="16"/>
                <w:szCs w:val="16"/>
              </w:rPr>
              <w:t>1</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9,88</w:t>
            </w:r>
            <w:r>
              <w:rPr>
                <w:sz w:val="16"/>
                <w:szCs w:val="16"/>
              </w:rPr>
              <w:t>9</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108,78</w:t>
            </w:r>
            <w:r>
              <w:rPr>
                <w:sz w:val="16"/>
                <w:szCs w:val="16"/>
              </w:rPr>
              <w:t>8</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98,89</w:t>
            </w:r>
            <w:r>
              <w:rPr>
                <w:sz w:val="16"/>
                <w:szCs w:val="16"/>
              </w:rPr>
              <w:t>8</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Exercise of stock option</w:t>
            </w:r>
            <w:r>
              <w:rPr>
                <w:sz w:val="16"/>
                <w:szCs w:val="16"/>
              </w:rPr>
              <w:t>s</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3,627,12</w:t>
            </w:r>
            <w:r>
              <w:rPr>
                <w:sz w:val="16"/>
                <w:szCs w:val="16"/>
              </w:rPr>
              <w:t>7</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2,09</w:t>
            </w:r>
            <w:r>
              <w:rPr>
                <w:sz w:val="16"/>
                <w:szCs w:val="16"/>
              </w:rPr>
              <w:t>8</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2,09</w:t>
            </w:r>
            <w:r>
              <w:rPr>
                <w:sz w:val="16"/>
                <w:szCs w:val="16"/>
              </w:rPr>
              <w:t>8</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Restricted stock units vested, net of ta</w:t>
            </w:r>
            <w:r>
              <w:rPr>
                <w:sz w:val="16"/>
                <w:szCs w:val="16"/>
              </w:rPr>
              <w:t>x</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282,41</w:t>
            </w:r>
            <w:r>
              <w:rPr>
                <w:sz w:val="16"/>
                <w:szCs w:val="16"/>
              </w:rPr>
              <w:t>5</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49</w:t>
            </w:r>
            <w:r>
              <w:rPr>
                <w:sz w:val="16"/>
                <w:szCs w:val="16"/>
              </w:rPr>
              <w:t>1</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49</w:t>
            </w:r>
            <w:r>
              <w:rPr>
                <w:sz w:val="16"/>
                <w:szCs w:val="16"/>
              </w:rPr>
              <w:t>1</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Stock-based compensatio</w:t>
            </w:r>
            <w:r>
              <w:rPr>
                <w:sz w:val="16"/>
                <w:szCs w:val="16"/>
              </w:rPr>
              <w:t>n</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27,40</w:t>
            </w:r>
            <w:r>
              <w:rPr>
                <w:sz w:val="16"/>
                <w:szCs w:val="16"/>
              </w:rPr>
              <w:t>5</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27,40</w:t>
            </w:r>
            <w:r>
              <w:rPr>
                <w:sz w:val="16"/>
                <w:szCs w:val="16"/>
              </w:rPr>
              <w:t>5</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Issuance of warrant</w:t>
            </w:r>
            <w:r>
              <w:rPr>
                <w:sz w:val="16"/>
                <w:szCs w:val="16"/>
              </w:rPr>
              <w:t>s</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12</w:t>
            </w:r>
            <w:r>
              <w:rPr>
                <w:sz w:val="16"/>
                <w:szCs w:val="16"/>
              </w:rPr>
              <w:t>5</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12</w:t>
            </w:r>
            <w:r>
              <w:rPr>
                <w:sz w:val="16"/>
                <w:szCs w:val="16"/>
              </w:rPr>
              <w:t>5</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Common stock issued related to exercise of warrant</w:t>
            </w:r>
            <w:r>
              <w:rPr>
                <w:sz w:val="16"/>
                <w:szCs w:val="16"/>
              </w:rPr>
              <w:t>s</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98,87</w:t>
            </w:r>
            <w:r>
              <w:rPr>
                <w:sz w:val="16"/>
                <w:szCs w:val="16"/>
              </w:rPr>
              <w:t>1</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60</w:t>
            </w:r>
            <w:r>
              <w:rPr>
                <w:sz w:val="16"/>
                <w:szCs w:val="16"/>
              </w:rPr>
              <w:t>9</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60</w:t>
            </w:r>
            <w:r>
              <w:rPr>
                <w:sz w:val="16"/>
                <w:szCs w:val="16"/>
              </w:rPr>
              <w:t>9</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Acquisition of warrant</w:t>
            </w:r>
            <w:r>
              <w:rPr>
                <w:sz w:val="16"/>
                <w:szCs w:val="16"/>
              </w:rPr>
              <w:t>s</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27,94</w:t>
            </w:r>
            <w:r>
              <w:rPr>
                <w:sz w:val="16"/>
                <w:szCs w:val="16"/>
              </w:rPr>
              <w:t>5</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27,94</w:t>
            </w:r>
            <w:r>
              <w:rPr>
                <w:sz w:val="16"/>
                <w:szCs w:val="16"/>
              </w:rPr>
              <w:t>5</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Preferred stock conversio</w:t>
            </w:r>
            <w:r>
              <w:rPr>
                <w:sz w:val="16"/>
                <w:szCs w:val="16"/>
              </w:rPr>
              <w:t>n</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94,582,55</w:t>
            </w: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111,28</w:t>
            </w:r>
            <w:r>
              <w:rPr>
                <w:sz w:val="16"/>
                <w:szCs w:val="16"/>
              </w:rPr>
              <w:t>2</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94,582,55</w:t>
            </w: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w:t>
            </w: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111,27</w:t>
            </w:r>
            <w:r>
              <w:rPr>
                <w:sz w:val="16"/>
                <w:szCs w:val="16"/>
              </w:rPr>
              <w:t>2</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111,28</w:t>
            </w:r>
            <w:r>
              <w:rPr>
                <w:sz w:val="16"/>
                <w:szCs w:val="16"/>
              </w:rPr>
              <w:t>2</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Issuance of common stock in connection with</w:t>
            </w:r>
            <w:r>
              <w:rPr>
                <w:sz w:val="16"/>
                <w:szCs w:val="16"/>
              </w:rPr>
              <w:br/>
            </w:r>
            <w:r>
              <w:rPr>
                <w:sz w:val="16"/>
                <w:szCs w:val="16"/>
              </w:rPr>
              <w:t>Business Combination and PIPE offering, net of</w:t>
            </w:r>
            <w:r>
              <w:rPr>
                <w:sz w:val="16"/>
                <w:szCs w:val="16"/>
              </w:rPr>
              <w:br/>
              <w:t>issuance cost</w:t>
            </w:r>
            <w:r>
              <w:rPr>
                <w:sz w:val="16"/>
                <w:szCs w:val="16"/>
              </w:rPr>
              <w:t>s</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40,858,05</w:t>
            </w:r>
            <w:r>
              <w:rPr>
                <w:sz w:val="16"/>
                <w:szCs w:val="16"/>
              </w:rPr>
              <w:t>3</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4</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184,93</w:t>
            </w:r>
            <w:r>
              <w:rPr>
                <w:sz w:val="16"/>
                <w:szCs w:val="16"/>
              </w:rPr>
              <w:t>6</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184,94</w:t>
            </w: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Net los</w:t>
            </w:r>
            <w:r>
              <w:rPr>
                <w:sz w:val="16"/>
                <w:szCs w:val="16"/>
              </w:rPr>
              <w:t>s</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62,74</w:t>
            </w:r>
            <w:r>
              <w:rPr>
                <w:sz w:val="16"/>
                <w:szCs w:val="16"/>
              </w:rPr>
              <w:t>2</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62,74</w:t>
            </w:r>
            <w:r>
              <w:rPr>
                <w:sz w:val="16"/>
                <w:szCs w:val="16"/>
              </w:rPr>
              <w:t>2</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Balance as of December 31, 202</w:t>
            </w:r>
            <w:r>
              <w:rPr>
                <w:sz w:val="16"/>
                <w:szCs w:val="16"/>
              </w:rPr>
              <w:t>1</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152,862,44</w:t>
            </w:r>
            <w:r>
              <w:rPr>
                <w:sz w:val="16"/>
                <w:szCs w:val="16"/>
              </w:rPr>
              <w:t>7</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w:t>
            </w:r>
            <w:r>
              <w:rPr>
                <w:sz w:val="16"/>
                <w:szCs w:val="16"/>
              </w:rPr>
              <w:t>5</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363,78</w:t>
            </w:r>
            <w:r>
              <w:rPr>
                <w:sz w:val="16"/>
                <w:szCs w:val="16"/>
              </w:rPr>
              <w:t>8</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w:t>
            </w:r>
            <w:r>
              <w:rPr>
                <w:sz w:val="16"/>
                <w:szCs w:val="16"/>
              </w:rPr>
              <w:t>171,53</w:t>
            </w:r>
            <w:r>
              <w:rPr>
                <w:sz w:val="16"/>
                <w:szCs w:val="16"/>
              </w:rPr>
              <w:t>0</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6"/>
                <w:szCs w:val="16"/>
              </w:rPr>
              <w:t>192,27</w:t>
            </w:r>
            <w:r>
              <w:rPr>
                <w:sz w:val="16"/>
                <w:szCs w:val="16"/>
              </w:rPr>
              <w:t>3</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r>
    </w:tbl>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sz w:val="18"/>
          <w:szCs w:val="18"/>
        </w:rPr>
        <w:t>* Represents an amount lower than $</w:t>
      </w:r>
      <w:r>
        <w:rPr>
          <w:sz w:val="18"/>
          <w:szCs w:val="18"/>
        </w:rPr>
        <w:t>1</w:t>
      </w:r>
      <w:r>
        <w:rPr>
          <w:sz w:val="18"/>
          <w:szCs w:val="18"/>
        </w:rPr>
        <w:t xml:space="preserve"> </w:t>
      </w:r>
    </w:p>
    <w:p w:rsidR="00000000" w:rsidRDefault="00AF2D19">
      <w:pPr>
        <w:divId w:val="815026550"/>
        <w:rPr>
          <w:rFonts w:eastAsia="Times New Roman"/>
        </w:rPr>
      </w:pPr>
      <w:r>
        <w:rPr>
          <w:rFonts w:eastAsia="Times New Roman"/>
          <w:sz w:val="18"/>
          <w:szCs w:val="18"/>
        </w:rPr>
        <w:t>(1</w:t>
      </w:r>
      <w:r>
        <w:rPr>
          <w:rFonts w:eastAsia="Times New Roman"/>
          <w:sz w:val="18"/>
          <w:szCs w:val="18"/>
        </w:rPr>
        <w:t>)</w:t>
      </w:r>
    </w:p>
    <w:p w:rsidR="00000000" w:rsidRDefault="00AF2D19">
      <w:pPr>
        <w:divId w:val="463811675"/>
        <w:rPr>
          <w:rFonts w:eastAsia="Times New Roman"/>
        </w:rPr>
      </w:pPr>
      <w:r>
        <w:rPr>
          <w:rFonts w:eastAsia="Times New Roman"/>
          <w:sz w:val="18"/>
          <w:szCs w:val="18"/>
        </w:rPr>
        <w:t>Prior period results have been adjusted to reflect the exchange of Old Talkspace’s common stock for Talkspace’s common stock at an exchange ratio of approximately</w:t>
      </w:r>
      <w:r>
        <w:rPr>
          <w:rFonts w:eastAsia="Times New Roman"/>
          <w:sz w:val="18"/>
          <w:szCs w:val="18"/>
        </w:rPr>
        <w:t xml:space="preserve"> </w:t>
      </w:r>
      <w:r>
        <w:rPr>
          <w:rFonts w:eastAsia="Times New Roman"/>
          <w:sz w:val="18"/>
          <w:szCs w:val="18"/>
        </w:rPr>
        <w:t>1.13414</w:t>
      </w:r>
      <w:r>
        <w:rPr>
          <w:rFonts w:eastAsia="Times New Roman"/>
          <w:sz w:val="18"/>
          <w:szCs w:val="18"/>
        </w:rPr>
        <w:t>0</w:t>
      </w:r>
      <w:r>
        <w:rPr>
          <w:rFonts w:eastAsia="Times New Roman"/>
          <w:sz w:val="18"/>
          <w:szCs w:val="18"/>
        </w:rPr>
        <w:t xml:space="preserve"> in June 2021 as a result of the Business Combination. See Note 3, “Business Combinat</w:t>
      </w:r>
      <w:r>
        <w:rPr>
          <w:rFonts w:eastAsia="Times New Roman"/>
          <w:sz w:val="18"/>
          <w:szCs w:val="18"/>
        </w:rPr>
        <w:t>ion” in the notes to the consolidated financial statements for further details</w:t>
      </w:r>
      <w:r>
        <w:rPr>
          <w:rFonts w:eastAsia="Times New Roman"/>
          <w:sz w:val="18"/>
          <w:szCs w:val="18"/>
        </w:rPr>
        <w:t>.</w:t>
      </w:r>
    </w:p>
    <w:p w:rsidR="00000000" w:rsidRDefault="00AF2D19">
      <w:pPr>
        <w:pStyle w:val="a3"/>
        <w:spacing w:before="0" w:beforeAutospacing="0" w:after="0" w:afterAutospacing="0"/>
        <w:rPr>
          <w:sz w:val="20"/>
          <w:szCs w:val="20"/>
        </w:rPr>
      </w:pPr>
      <w:r>
        <w:rPr>
          <w:sz w:val="18"/>
          <w:szCs w:val="18"/>
        </w:rPr>
        <w:t> </w:t>
      </w:r>
    </w:p>
    <w:p w:rsidR="00000000" w:rsidRDefault="00AF2D19">
      <w:pPr>
        <w:pStyle w:val="a3"/>
        <w:spacing w:before="24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rsidR="00000000" w:rsidRDefault="00AF2D19">
      <w:pPr>
        <w:pStyle w:val="a3"/>
        <w:spacing w:before="0" w:beforeAutospacing="0" w:after="0" w:afterAutospacing="0"/>
        <w:jc w:val="center"/>
        <w:rPr>
          <w:sz w:val="20"/>
          <w:szCs w:val="20"/>
        </w:rPr>
      </w:pPr>
      <w:r>
        <w:rPr>
          <w:sz w:val="20"/>
          <w:szCs w:val="20"/>
        </w:rPr>
        <w:t>7</w:t>
      </w:r>
      <w:r>
        <w:rPr>
          <w:sz w:val="20"/>
          <w:szCs w:val="20"/>
        </w:rPr>
        <w:t>6</w:t>
      </w:r>
    </w:p>
    <w:p w:rsidR="00000000" w:rsidRDefault="00AF2D19">
      <w:pPr>
        <w:rPr>
          <w:rFonts w:eastAsia="Times New Roman"/>
        </w:rPr>
      </w:pPr>
      <w:r>
        <w:rPr>
          <w:rFonts w:eastAsia="Times New Roman"/>
        </w:rPr>
        <w:pict>
          <v:rect id="_x0000_i1104"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AF2D19">
      <w:pPr>
        <w:pStyle w:val="a3"/>
        <w:spacing w:before="0" w:beforeAutospacing="0" w:after="0" w:afterAutospacing="0"/>
        <w:jc w:val="center"/>
        <w:rPr>
          <w:sz w:val="20"/>
          <w:szCs w:val="20"/>
        </w:rPr>
      </w:pPr>
      <w:r>
        <w:rPr>
          <w:b/>
          <w:bCs/>
          <w:sz w:val="20"/>
          <w:szCs w:val="20"/>
        </w:rPr>
        <w:t>CONSOLIDATED STATEMENTS OF CASH FLOW</w:t>
      </w:r>
      <w:r>
        <w:rPr>
          <w:b/>
          <w:bCs/>
          <w:sz w:val="20"/>
          <w:szCs w:val="20"/>
        </w:rPr>
        <w:t>S</w:t>
      </w:r>
    </w:p>
    <w:p w:rsidR="00000000" w:rsidRDefault="00AF2D19">
      <w:pPr>
        <w:pStyle w:val="a3"/>
        <w:spacing w:before="0" w:beforeAutospacing="0" w:after="0" w:afterAutospacing="0"/>
        <w:jc w:val="center"/>
        <w:rPr>
          <w:sz w:val="20"/>
          <w:szCs w:val="20"/>
        </w:rPr>
      </w:pPr>
      <w:r>
        <w:rPr>
          <w:b/>
          <w:bCs/>
          <w:sz w:val="19"/>
          <w:szCs w:val="19"/>
        </w:rPr>
        <w:t>U.S. dollars in thousand</w:t>
      </w:r>
      <w:r>
        <w:rPr>
          <w:b/>
          <w:bCs/>
          <w:sz w:val="19"/>
          <w:szCs w:val="19"/>
        </w:rPr>
        <w:t>s</w:t>
      </w:r>
    </w:p>
    <w:p w:rsidR="00000000" w:rsidRDefault="00AF2D19">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9"/>
        <w:gridCol w:w="120"/>
        <w:gridCol w:w="160"/>
        <w:gridCol w:w="886"/>
        <w:gridCol w:w="127"/>
        <w:gridCol w:w="120"/>
        <w:gridCol w:w="160"/>
        <w:gridCol w:w="887"/>
        <w:gridCol w:w="127"/>
        <w:gridCol w:w="121"/>
        <w:gridCol w:w="160"/>
        <w:gridCol w:w="887"/>
        <w:gridCol w:w="142"/>
      </w:tblGrid>
      <w:tr w:rsidR="00000000">
        <w:trPr>
          <w:tblCellSpacing w:w="15" w:type="dxa"/>
        </w:trPr>
        <w:tc>
          <w:tcPr>
            <w:tcW w:w="2781" w:type="pct"/>
            <w:vAlign w:val="center"/>
            <w:hideMark/>
          </w:tcPr>
          <w:p w:rsidR="00000000" w:rsidRDefault="00AF2D19">
            <w:pPr>
              <w:rPr>
                <w:sz w:val="20"/>
                <w:szCs w:val="20"/>
              </w:rPr>
            </w:pPr>
          </w:p>
        </w:tc>
        <w:tc>
          <w:tcPr>
            <w:tcW w:w="74" w:type="pct"/>
            <w:vAlign w:val="center"/>
            <w:hideMark/>
          </w:tcPr>
          <w:p w:rsidR="00000000" w:rsidRDefault="00AF2D19">
            <w:pPr>
              <w:rPr>
                <w:rFonts w:eastAsia="Times New Roman"/>
                <w:sz w:val="20"/>
                <w:szCs w:val="20"/>
              </w:rPr>
            </w:pPr>
          </w:p>
        </w:tc>
        <w:tc>
          <w:tcPr>
            <w:tcW w:w="63" w:type="pct"/>
            <w:vAlign w:val="center"/>
            <w:hideMark/>
          </w:tcPr>
          <w:p w:rsidR="00000000" w:rsidRDefault="00AF2D19">
            <w:pPr>
              <w:rPr>
                <w:rFonts w:eastAsia="Times New Roman"/>
                <w:sz w:val="20"/>
                <w:szCs w:val="20"/>
              </w:rPr>
            </w:pPr>
          </w:p>
        </w:tc>
        <w:tc>
          <w:tcPr>
            <w:tcW w:w="559"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74" w:type="pct"/>
            <w:vAlign w:val="center"/>
            <w:hideMark/>
          </w:tcPr>
          <w:p w:rsidR="00000000" w:rsidRDefault="00AF2D19">
            <w:pPr>
              <w:rPr>
                <w:rFonts w:eastAsia="Times New Roman"/>
                <w:sz w:val="20"/>
                <w:szCs w:val="20"/>
              </w:rPr>
            </w:pPr>
          </w:p>
        </w:tc>
        <w:tc>
          <w:tcPr>
            <w:tcW w:w="63" w:type="pct"/>
            <w:vAlign w:val="center"/>
            <w:hideMark/>
          </w:tcPr>
          <w:p w:rsidR="00000000" w:rsidRDefault="00AF2D19">
            <w:pPr>
              <w:rPr>
                <w:rFonts w:eastAsia="Times New Roman"/>
                <w:sz w:val="20"/>
                <w:szCs w:val="20"/>
              </w:rPr>
            </w:pPr>
          </w:p>
        </w:tc>
        <w:tc>
          <w:tcPr>
            <w:tcW w:w="559"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74" w:type="pct"/>
            <w:vAlign w:val="center"/>
            <w:hideMark/>
          </w:tcPr>
          <w:p w:rsidR="00000000" w:rsidRDefault="00AF2D19">
            <w:pPr>
              <w:rPr>
                <w:rFonts w:eastAsia="Times New Roman"/>
                <w:sz w:val="20"/>
                <w:szCs w:val="20"/>
              </w:rPr>
            </w:pPr>
          </w:p>
        </w:tc>
        <w:tc>
          <w:tcPr>
            <w:tcW w:w="63" w:type="pct"/>
            <w:vAlign w:val="center"/>
            <w:hideMark/>
          </w:tcPr>
          <w:p w:rsidR="00000000" w:rsidRDefault="00AF2D19">
            <w:pPr>
              <w:rPr>
                <w:rFonts w:eastAsia="Times New Roman"/>
                <w:sz w:val="20"/>
                <w:szCs w:val="20"/>
              </w:rPr>
            </w:pPr>
          </w:p>
        </w:tc>
        <w:tc>
          <w:tcPr>
            <w:tcW w:w="559"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F2D19">
            <w:pPr>
              <w:pStyle w:val="a3"/>
              <w:spacing w:before="0" w:beforeAutospacing="0" w:after="0" w:afterAutospacing="0"/>
              <w:jc w:val="center"/>
              <w:rPr>
                <w:sz w:val="16"/>
                <w:szCs w:val="16"/>
              </w:rPr>
            </w:pPr>
            <w:r>
              <w:rPr>
                <w:b/>
                <w:bCs/>
                <w:sz w:val="16"/>
                <w:szCs w:val="16"/>
              </w:rPr>
              <w:t>For the Years Ended</w:t>
            </w:r>
            <w:r>
              <w:rPr>
                <w:b/>
                <w:bCs/>
                <w:sz w:val="16"/>
                <w:szCs w:val="16"/>
              </w:rPr>
              <w:br/>
              <w:t>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u w:val="single"/>
              </w:rPr>
              <w:t>Cash flows from operating activities</w:t>
            </w:r>
            <w:r>
              <w:rPr>
                <w:sz w:val="20"/>
                <w:szCs w:val="20"/>
                <w:u w:val="single"/>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62,74</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22,37</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29,08</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Adjustments to reconcile net loss to net cash used in operating activities</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1,97</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37</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Amortization of debt issuance cost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17</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Warrant issuance cost and change in fair valu</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31,78</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Stock-based compensatio</w:t>
            </w:r>
            <w:r>
              <w:rPr>
                <w:sz w:val="20"/>
                <w:szCs w:val="20"/>
              </w:rPr>
              <w:t>n</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27,40</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2,97</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3,40</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Decrease (increase) in accounts receivabl</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40</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5,01</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84</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Increase in other current asset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8,05</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69</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21</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Increase in accounts payabl</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50</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2,56</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3,27</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Increase in deferred revenue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2,01</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2,02</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1,19</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Increase in accrued expenses and other current liabilitie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4,39</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4,96</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1,01</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65,71</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15,17</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21,19</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u w:val="single"/>
              </w:rPr>
              <w:t>Cash flows from investing activities</w:t>
            </w:r>
            <w:r>
              <w:rPr>
                <w:sz w:val="20"/>
                <w:szCs w:val="20"/>
                <w:u w:val="single"/>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Purchase of property and equipmen</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66</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12</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13</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Acquisition of busines</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10,68</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Purchase of an intangible asse</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93</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Proceeds from restricted long-term bank deposi</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44</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66</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11,30</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13</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u w:val="single"/>
              </w:rPr>
              <w:t>Cash flows from financing activities</w:t>
            </w:r>
            <w:r>
              <w:rPr>
                <w:sz w:val="20"/>
                <w:szCs w:val="20"/>
                <w:u w:val="single"/>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Proceeds from reverse capitalization, net of transaction cost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249,33</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Proceeds from issuance of convertible preferred stock, ne</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51,20</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Proceeds from borrowing</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6,00</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Repayment of borrowing</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6,00</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Payment of debt issuance cost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5</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Proceeds from exercise of stock option</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2,09</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29</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251,38</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51,50</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increase (decrease) in cash and cash equivalent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185,00</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26,38</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30,17</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Cash and cash equivalents at the beginning of the yea</w:t>
            </w:r>
            <w:r>
              <w:rPr>
                <w:sz w:val="20"/>
                <w:szCs w:val="20"/>
              </w:rPr>
              <w:t>r</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13,24</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39,63</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9,46</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Cash and cash equivalents at the end of the yea</w:t>
            </w:r>
            <w:r>
              <w:rPr>
                <w:sz w:val="20"/>
                <w:szCs w:val="20"/>
              </w:rPr>
              <w:t>r</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198,25</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13,24</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39,63</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u w:val="single"/>
              </w:rPr>
              <w:t>Supplemental cash flow data</w:t>
            </w:r>
            <w:r>
              <w:rPr>
                <w:sz w:val="20"/>
                <w:szCs w:val="20"/>
                <w:u w:val="single"/>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Cash paid during the year for interes</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53</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u w:val="single"/>
              </w:rPr>
              <w:t>Non-cash financing activity</w:t>
            </w:r>
            <w:r>
              <w:rPr>
                <w:sz w:val="20"/>
                <w:szCs w:val="20"/>
                <w:u w:val="single"/>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Employee taxes withheld related to restricted stock units veste</w:t>
            </w:r>
            <w:r>
              <w:rPr>
                <w:sz w:val="20"/>
                <w:szCs w:val="20"/>
              </w:rPr>
              <w:t>d</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49</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Deferred issuance cost on credi</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69</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Conversion of preferred stock to common stoc</w:t>
            </w:r>
            <w:r>
              <w:rPr>
                <w:sz w:val="20"/>
                <w:szCs w:val="20"/>
              </w:rPr>
              <w:t>k</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111,28</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0" w:beforeAutospacing="0" w:after="0" w:afterAutospacing="0"/>
        <w:rPr>
          <w:sz w:val="20"/>
          <w:szCs w:val="20"/>
        </w:rPr>
      </w:pPr>
      <w:r>
        <w:t> </w:t>
      </w:r>
    </w:p>
    <w:p w:rsidR="00000000" w:rsidRDefault="00AF2D19">
      <w:pPr>
        <w:pStyle w:val="a3"/>
        <w:spacing w:before="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rsidR="00000000" w:rsidRDefault="00AF2D19">
      <w:pPr>
        <w:pStyle w:val="a3"/>
        <w:spacing w:before="0" w:beforeAutospacing="0" w:after="0" w:afterAutospacing="0"/>
        <w:jc w:val="center"/>
        <w:rPr>
          <w:sz w:val="20"/>
          <w:szCs w:val="20"/>
        </w:rPr>
      </w:pPr>
      <w:r>
        <w:rPr>
          <w:sz w:val="20"/>
          <w:szCs w:val="20"/>
        </w:rPr>
        <w:t>7</w:t>
      </w:r>
      <w:r>
        <w:rPr>
          <w:sz w:val="20"/>
          <w:szCs w:val="20"/>
        </w:rPr>
        <w:t>7</w:t>
      </w:r>
    </w:p>
    <w:p w:rsidR="00000000" w:rsidRDefault="00AF2D19">
      <w:pPr>
        <w:rPr>
          <w:rFonts w:eastAsia="Times New Roman"/>
        </w:rPr>
      </w:pPr>
      <w:r>
        <w:rPr>
          <w:rFonts w:eastAsia="Times New Roman"/>
        </w:rPr>
        <w:pict>
          <v:rect id="_x0000_i110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2"/>
          <w:szCs w:val="22"/>
        </w:rPr>
        <w:t>TALKSPACE, INC</w:t>
      </w:r>
      <w:r>
        <w:rPr>
          <w:b/>
          <w:bCs/>
          <w:sz w:val="22"/>
          <w:szCs w:val="22"/>
        </w:rPr>
        <w:t>.</w:t>
      </w:r>
    </w:p>
    <w:p w:rsidR="00000000" w:rsidRDefault="00AF2D19">
      <w:pPr>
        <w:pStyle w:val="a3"/>
        <w:spacing w:before="0" w:beforeAutospacing="0" w:after="0" w:afterAutospacing="0"/>
        <w:jc w:val="center"/>
        <w:rPr>
          <w:sz w:val="20"/>
          <w:szCs w:val="20"/>
        </w:rPr>
      </w:pPr>
      <w:r>
        <w:rPr>
          <w:b/>
          <w:bCs/>
          <w:sz w:val="20"/>
          <w:szCs w:val="20"/>
        </w:rPr>
        <w:t>Notes to Consolidated Financial Statement</w:t>
      </w:r>
      <w:r>
        <w:rPr>
          <w:b/>
          <w:bCs/>
          <w:sz w:val="20"/>
          <w:szCs w:val="20"/>
        </w:rPr>
        <w:t>s</w:t>
      </w:r>
      <w:r>
        <w:rPr>
          <w:b/>
          <w:bCs/>
          <w:sz w:val="20"/>
          <w:szCs w:val="20"/>
        </w:rPr>
        <w:t xml:space="preserve"> </w:t>
      </w:r>
    </w:p>
    <w:p w:rsidR="00000000" w:rsidRDefault="00AF2D19">
      <w:pPr>
        <w:pStyle w:val="a3"/>
        <w:spacing w:before="0" w:beforeAutospacing="0" w:after="0" w:afterAutospacing="0"/>
        <w:jc w:val="center"/>
        <w:rPr>
          <w:sz w:val="20"/>
          <w:szCs w:val="20"/>
        </w:rPr>
      </w:pPr>
      <w:r>
        <w:rPr>
          <w:sz w:val="18"/>
          <w:szCs w:val="18"/>
        </w:rPr>
        <w:t> </w:t>
      </w:r>
    </w:p>
    <w:p w:rsidR="00000000" w:rsidRDefault="00AF2D19">
      <w:pPr>
        <w:pStyle w:val="a3"/>
        <w:spacing w:before="0" w:beforeAutospacing="0" w:after="0" w:afterAutospacing="0"/>
        <w:rPr>
          <w:sz w:val="20"/>
          <w:szCs w:val="20"/>
        </w:rPr>
      </w:pPr>
      <w:r>
        <w:rPr>
          <w:sz w:val="12"/>
          <w:szCs w:val="12"/>
        </w:rPr>
        <w:t> </w:t>
      </w:r>
    </w:p>
    <w:p w:rsidR="00000000" w:rsidRDefault="00AF2D19">
      <w:pPr>
        <w:pStyle w:val="a3"/>
        <w:spacing w:before="0" w:beforeAutospacing="0" w:after="0" w:afterAutospacing="0"/>
        <w:rPr>
          <w:sz w:val="20"/>
          <w:szCs w:val="20"/>
        </w:rPr>
      </w:pPr>
      <w:r>
        <w:rPr>
          <w:sz w:val="12"/>
          <w:szCs w:val="12"/>
        </w:rPr>
        <w:t> </w:t>
      </w:r>
    </w:p>
    <w:p w:rsidR="00000000" w:rsidRDefault="00AF2D19">
      <w:pPr>
        <w:pStyle w:val="a3"/>
        <w:spacing w:before="0" w:beforeAutospacing="0" w:after="0" w:afterAutospacing="0"/>
        <w:divId w:val="1805736011"/>
        <w:rPr>
          <w:sz w:val="20"/>
          <w:szCs w:val="20"/>
        </w:rPr>
      </w:pPr>
      <w:r>
        <w:rPr>
          <w:b/>
          <w:bCs/>
          <w:sz w:val="20"/>
          <w:szCs w:val="20"/>
        </w:rPr>
        <w:t>NOTE 1. DESCRIPTION OF ORGANIZATION AND BUSINESS OPERATION</w:t>
      </w:r>
      <w:r>
        <w:rPr>
          <w:b/>
          <w:bCs/>
          <w:sz w:val="20"/>
          <w:szCs w:val="20"/>
        </w:rPr>
        <w:t>S</w:t>
      </w:r>
    </w:p>
    <w:p w:rsidR="00000000" w:rsidRDefault="00AF2D19">
      <w:pPr>
        <w:pStyle w:val="a3"/>
        <w:spacing w:before="0" w:beforeAutospacing="0" w:after="0" w:afterAutospacing="0"/>
        <w:divId w:val="1805736011"/>
        <w:rPr>
          <w:sz w:val="20"/>
          <w:szCs w:val="20"/>
        </w:rPr>
      </w:pPr>
      <w:r>
        <w:rPr>
          <w:sz w:val="6"/>
          <w:szCs w:val="6"/>
        </w:rPr>
        <w:t> </w:t>
      </w:r>
    </w:p>
    <w:p w:rsidR="00000000" w:rsidRDefault="00AF2D19">
      <w:pPr>
        <w:pStyle w:val="a3"/>
        <w:spacing w:before="0" w:beforeAutospacing="0" w:after="0" w:afterAutospacing="0"/>
        <w:divId w:val="1805736011"/>
        <w:rPr>
          <w:sz w:val="20"/>
          <w:szCs w:val="20"/>
        </w:rPr>
      </w:pPr>
      <w:r>
        <w:rPr>
          <w:sz w:val="6"/>
          <w:szCs w:val="6"/>
        </w:rPr>
        <w:t> </w:t>
      </w:r>
    </w:p>
    <w:p w:rsidR="00000000" w:rsidRDefault="00AF2D19">
      <w:pPr>
        <w:pStyle w:val="a3"/>
        <w:spacing w:before="0" w:beforeAutospacing="0" w:after="0" w:afterAutospacing="0"/>
        <w:jc w:val="both"/>
        <w:divId w:val="1805736011"/>
        <w:rPr>
          <w:sz w:val="20"/>
          <w:szCs w:val="20"/>
        </w:rPr>
      </w:pPr>
      <w:r>
        <w:rPr>
          <w:sz w:val="20"/>
          <w:szCs w:val="20"/>
        </w:rPr>
        <w:t>Talkspace, Inc. (together with its consolidated subsidiaries, the “Company” or “Talkspace”) is a leading behavioral healthcare company enabled by a purpose-built technology platform. Talkspace</w:t>
      </w:r>
      <w:r>
        <w:rPr>
          <w:sz w:val="20"/>
          <w:szCs w:val="20"/>
        </w:rPr>
        <w:t xml:space="preserve"> provides individuals and licensed therapists, psychologists and psychiatrists with an online platform for one-on-one therapy delivered via messaging, audio and video</w:t>
      </w:r>
      <w:r>
        <w:rPr>
          <w:sz w:val="20"/>
          <w:szCs w:val="20"/>
        </w:rPr>
        <w:t>.</w:t>
      </w:r>
    </w:p>
    <w:p w:rsidR="00000000" w:rsidRDefault="00AF2D19">
      <w:pPr>
        <w:pStyle w:val="a3"/>
        <w:spacing w:before="120" w:beforeAutospacing="0" w:after="0" w:afterAutospacing="0"/>
        <w:jc w:val="both"/>
        <w:divId w:val="1805736011"/>
        <w:rPr>
          <w:sz w:val="20"/>
          <w:szCs w:val="20"/>
        </w:rPr>
      </w:pPr>
      <w:r>
        <w:rPr>
          <w:sz w:val="20"/>
          <w:szCs w:val="20"/>
        </w:rPr>
        <w:t>Talkspace was originally incorporated as Hudson Executive Investment Corp. (“HEC”), a sp</w:t>
      </w:r>
      <w:r>
        <w:rPr>
          <w:sz w:val="20"/>
          <w:szCs w:val="20"/>
        </w:rPr>
        <w:t>ecial purpose acquisition company, in Delaware on</w:t>
      </w:r>
      <w:r>
        <w:rPr>
          <w:sz w:val="20"/>
          <w:szCs w:val="20"/>
        </w:rPr>
        <w:t xml:space="preserve"> </w:t>
      </w:r>
      <w:r>
        <w:rPr>
          <w:sz w:val="20"/>
          <w:szCs w:val="20"/>
        </w:rPr>
        <w:t>October 30, 201</w:t>
      </w:r>
      <w:r>
        <w:rPr>
          <w:sz w:val="20"/>
          <w:szCs w:val="20"/>
        </w:rPr>
        <w:t>9</w:t>
      </w:r>
      <w:r>
        <w:rPr>
          <w:sz w:val="20"/>
          <w:szCs w:val="20"/>
        </w:rPr>
        <w:t xml:space="preserve"> for the purpose of entering into a merger, share exchange, asset acquisition, stock purchase, recapitalization or other similar business combination with one or more businesses or entities</w:t>
      </w:r>
      <w:r>
        <w:rPr>
          <w:sz w:val="20"/>
          <w:szCs w:val="20"/>
        </w:rPr>
        <w:t>.</w:t>
      </w:r>
      <w:r>
        <w:rPr>
          <w:sz w:val="20"/>
          <w:szCs w:val="20"/>
        </w:rPr>
        <w:t xml:space="preserve"> </w:t>
      </w:r>
    </w:p>
    <w:p w:rsidR="00000000" w:rsidRDefault="00AF2D19">
      <w:pPr>
        <w:pStyle w:val="a3"/>
        <w:spacing w:before="120" w:beforeAutospacing="0" w:after="0" w:afterAutospacing="0"/>
        <w:jc w:val="both"/>
        <w:divId w:val="1805736011"/>
        <w:rPr>
          <w:sz w:val="20"/>
          <w:szCs w:val="20"/>
        </w:rPr>
      </w:pPr>
      <w:r>
        <w:rPr>
          <w:sz w:val="20"/>
          <w:szCs w:val="20"/>
        </w:rPr>
        <w:t>On January 12, 2021, HEC, entered into an Agreement and Plan of Merger, dated as of January 12, 2021 (the “Merger Agreement”), with Groop Internet Platform, Inc. (“Old Talkspace”), Tailwind Merger Sub I, Inc., a Delaware corporation and a direct wholly o</w:t>
      </w:r>
      <w:r>
        <w:rPr>
          <w:sz w:val="20"/>
          <w:szCs w:val="20"/>
        </w:rPr>
        <w:t>wned subsidiary of HEC (“First Merger Sub”), and Tailwind Merger Sub II, LLC, a Delaware limited liability company (“Second Merger Sub”). On June 22, 2021, as contemplated by the Merger Agreement, First Merger Sub merged with and into Old Talkspace (the “F</w:t>
      </w:r>
      <w:r>
        <w:rPr>
          <w:sz w:val="20"/>
          <w:szCs w:val="20"/>
        </w:rPr>
        <w:t xml:space="preserve">irst Merger”) with Old Talkspace surviving the First Merger, and immediately following the First Merger and as part of the same overall transaction as the First Merger, Old Talkspace merged with and into Second Merger Sub, with Second Merger Sub surviving </w:t>
      </w:r>
      <w:r>
        <w:rPr>
          <w:sz w:val="20"/>
          <w:szCs w:val="20"/>
        </w:rPr>
        <w:t>the merger as a wholly owned subsidiary of HEC (the “Second Merger” and, together with the First Merger, the “Business Combination”). In connection with the Business Combination, HEC filed the Certificate of Incorporation and changed its name to “Talkspace</w:t>
      </w:r>
      <w:r>
        <w:rPr>
          <w:sz w:val="20"/>
          <w:szCs w:val="20"/>
        </w:rPr>
        <w:t>, Inc.”</w:t>
      </w:r>
      <w:r>
        <w:rPr>
          <w:sz w:val="20"/>
          <w:szCs w:val="20"/>
        </w:rPr>
        <w:t>.</w:t>
      </w:r>
    </w:p>
    <w:p w:rsidR="00000000" w:rsidRDefault="00AF2D19">
      <w:pPr>
        <w:pStyle w:val="a3"/>
        <w:spacing w:before="120" w:beforeAutospacing="0" w:after="0" w:afterAutospacing="0"/>
        <w:jc w:val="both"/>
        <w:divId w:val="1805736011"/>
        <w:rPr>
          <w:sz w:val="20"/>
          <w:szCs w:val="20"/>
        </w:rPr>
      </w:pPr>
      <w:r>
        <w:rPr>
          <w:sz w:val="20"/>
          <w:szCs w:val="20"/>
        </w:rPr>
        <w:t>See Note 3, “Business Combination” in the notes to the consolidated financial statements for further details</w:t>
      </w:r>
      <w:r>
        <w:rPr>
          <w:sz w:val="20"/>
          <w:szCs w:val="20"/>
        </w:rPr>
        <w:t>.</w:t>
      </w:r>
    </w:p>
    <w:p w:rsidR="00000000" w:rsidRDefault="00AF2D19">
      <w:pPr>
        <w:pStyle w:val="a3"/>
        <w:spacing w:before="0" w:beforeAutospacing="0" w:after="0" w:afterAutospacing="0"/>
        <w:jc w:val="both"/>
        <w:divId w:val="1805736011"/>
        <w:rPr>
          <w:sz w:val="20"/>
          <w:szCs w:val="20"/>
        </w:rPr>
      </w:pPr>
      <w:r>
        <w:rPr>
          <w:sz w:val="20"/>
          <w:szCs w:val="20"/>
        </w:rPr>
        <w:t> </w:t>
      </w:r>
    </w:p>
    <w:p w:rsidR="00000000" w:rsidRDefault="00AF2D19">
      <w:pPr>
        <w:pStyle w:val="a3"/>
        <w:spacing w:before="0" w:beforeAutospacing="0" w:after="0" w:afterAutospacing="0"/>
        <w:divId w:val="1805736011"/>
        <w:rPr>
          <w:sz w:val="20"/>
          <w:szCs w:val="20"/>
        </w:rPr>
      </w:pPr>
      <w:r>
        <w:rPr>
          <w:b/>
          <w:bCs/>
          <w:i/>
          <w:iCs/>
          <w:sz w:val="20"/>
          <w:szCs w:val="20"/>
        </w:rPr>
        <w:t>COVID-1</w:t>
      </w:r>
      <w:r>
        <w:rPr>
          <w:b/>
          <w:bCs/>
          <w:i/>
          <w:iCs/>
          <w:sz w:val="20"/>
          <w:szCs w:val="20"/>
        </w:rPr>
        <w:t>9</w:t>
      </w:r>
    </w:p>
    <w:p w:rsidR="00000000" w:rsidRDefault="00AF2D19">
      <w:pPr>
        <w:pStyle w:val="a3"/>
        <w:spacing w:before="120" w:beforeAutospacing="0" w:after="0" w:afterAutospacing="0"/>
        <w:jc w:val="both"/>
        <w:divId w:val="1805736011"/>
        <w:rPr>
          <w:sz w:val="20"/>
          <w:szCs w:val="20"/>
        </w:rPr>
      </w:pPr>
      <w:r>
        <w:rPr>
          <w:sz w:val="20"/>
          <w:szCs w:val="20"/>
        </w:rPr>
        <w:t xml:space="preserve">The global pandemic associated with COVID-19 has caused major disruption to all aspects of the global economy and daily life, </w:t>
      </w:r>
      <w:r>
        <w:rPr>
          <w:sz w:val="20"/>
          <w:szCs w:val="20"/>
        </w:rPr>
        <w:t>particularly as quarantine and stay-at-home orders have been imposed by all levels of government. The Company has followed guidance by the United States, Israeli and other applicable foreign and local governments to protect its employees and operations dur</w:t>
      </w:r>
      <w:r>
        <w:rPr>
          <w:sz w:val="20"/>
          <w:szCs w:val="20"/>
        </w:rPr>
        <w:t xml:space="preserve">ing the pandemic and has implemented a remote environment for its business. The Company cannot predict the potential impacts of the COVID-19 pandemic on its business or operations, but continuously monitors performance and other industry reports to assess </w:t>
      </w:r>
      <w:r>
        <w:rPr>
          <w:sz w:val="20"/>
          <w:szCs w:val="20"/>
        </w:rPr>
        <w:t>the risk of future negative impacts as the disruptions of the COVID-19 pandemic continue to evolve</w:t>
      </w:r>
      <w:r>
        <w:rPr>
          <w:sz w:val="20"/>
          <w:szCs w:val="20"/>
        </w:rPr>
        <w:t>.</w:t>
      </w:r>
    </w:p>
    <w:p w:rsidR="00000000" w:rsidRDefault="00AF2D19">
      <w:pPr>
        <w:pStyle w:val="a3"/>
        <w:spacing w:before="360" w:beforeAutospacing="0" w:after="0" w:afterAutospacing="0"/>
        <w:divId w:val="815731110"/>
        <w:rPr>
          <w:sz w:val="20"/>
          <w:szCs w:val="20"/>
        </w:rPr>
      </w:pPr>
      <w:r>
        <w:rPr>
          <w:b/>
          <w:bCs/>
          <w:sz w:val="20"/>
          <w:szCs w:val="20"/>
        </w:rPr>
        <w:t>NOTE 2. SUMMARY OF SIGNIFICANT ACCOUNTING POLICIES AND ESTIMATE</w:t>
      </w:r>
      <w:r>
        <w:rPr>
          <w:b/>
          <w:bCs/>
          <w:sz w:val="20"/>
          <w:szCs w:val="20"/>
        </w:rPr>
        <w:t>S</w:t>
      </w:r>
    </w:p>
    <w:p w:rsidR="00000000" w:rsidRDefault="00AF2D19">
      <w:pPr>
        <w:pStyle w:val="a3"/>
        <w:spacing w:before="120" w:beforeAutospacing="0" w:after="0" w:afterAutospacing="0"/>
        <w:divId w:val="1260024519"/>
        <w:rPr>
          <w:sz w:val="20"/>
          <w:szCs w:val="20"/>
        </w:rPr>
      </w:pPr>
      <w:r>
        <w:rPr>
          <w:b/>
          <w:bCs/>
          <w:i/>
          <w:iCs/>
          <w:sz w:val="20"/>
          <w:szCs w:val="20"/>
        </w:rPr>
        <w:t>Basis of Presentatio</w:t>
      </w:r>
      <w:r>
        <w:rPr>
          <w:b/>
          <w:bCs/>
          <w:i/>
          <w:iCs/>
          <w:sz w:val="20"/>
          <w:szCs w:val="20"/>
        </w:rPr>
        <w:t>n</w:t>
      </w:r>
    </w:p>
    <w:p w:rsidR="00000000" w:rsidRDefault="00AF2D19">
      <w:pPr>
        <w:pStyle w:val="a3"/>
        <w:spacing w:before="120" w:beforeAutospacing="0" w:after="0" w:afterAutospacing="0"/>
        <w:jc w:val="both"/>
        <w:divId w:val="1260024519"/>
        <w:rPr>
          <w:sz w:val="20"/>
          <w:szCs w:val="20"/>
        </w:rPr>
      </w:pPr>
      <w:r>
        <w:rPr>
          <w:sz w:val="20"/>
          <w:szCs w:val="20"/>
        </w:rPr>
        <w:t>The consolidated financial statements have been prepared in conformit</w:t>
      </w:r>
      <w:r>
        <w:rPr>
          <w:sz w:val="20"/>
          <w:szCs w:val="20"/>
        </w:rPr>
        <w:t>y with generally accepted accounting principles in the U.S. (“U.S. GAAP”)</w:t>
      </w:r>
      <w:r>
        <w:rPr>
          <w:sz w:val="20"/>
          <w:szCs w:val="20"/>
        </w:rPr>
        <w:t>.</w:t>
      </w:r>
      <w:r>
        <w:rPr>
          <w:sz w:val="20"/>
          <w:szCs w:val="20"/>
        </w:rPr>
        <w:t xml:space="preserve"> </w:t>
      </w:r>
    </w:p>
    <w:p w:rsidR="00000000" w:rsidRDefault="00AF2D19">
      <w:pPr>
        <w:pStyle w:val="a3"/>
        <w:spacing w:before="0" w:beforeAutospacing="0" w:after="0" w:afterAutospacing="0"/>
        <w:jc w:val="both"/>
        <w:divId w:val="815731110"/>
        <w:rPr>
          <w:sz w:val="20"/>
          <w:szCs w:val="20"/>
        </w:rPr>
      </w:pPr>
      <w:r>
        <w:rPr>
          <w:sz w:val="20"/>
          <w:szCs w:val="20"/>
        </w:rPr>
        <w:t> </w:t>
      </w:r>
    </w:p>
    <w:p w:rsidR="00000000" w:rsidRDefault="00AF2D19">
      <w:pPr>
        <w:pStyle w:val="a3"/>
        <w:spacing w:before="0" w:beforeAutospacing="0" w:after="0" w:afterAutospacing="0"/>
        <w:divId w:val="1548643588"/>
        <w:rPr>
          <w:sz w:val="20"/>
          <w:szCs w:val="20"/>
        </w:rPr>
      </w:pPr>
      <w:r>
        <w:rPr>
          <w:b/>
          <w:bCs/>
          <w:i/>
          <w:iCs/>
          <w:sz w:val="20"/>
          <w:szCs w:val="20"/>
        </w:rPr>
        <w:t>Use of Estimate</w:t>
      </w:r>
      <w:r>
        <w:rPr>
          <w:b/>
          <w:bCs/>
          <w:i/>
          <w:iCs/>
          <w:sz w:val="20"/>
          <w:szCs w:val="20"/>
        </w:rPr>
        <w:t>s</w:t>
      </w:r>
    </w:p>
    <w:p w:rsidR="00000000" w:rsidRDefault="00AF2D19">
      <w:pPr>
        <w:pStyle w:val="a3"/>
        <w:spacing w:before="120" w:beforeAutospacing="0" w:after="0" w:afterAutospacing="0"/>
        <w:jc w:val="both"/>
        <w:divId w:val="1548643588"/>
        <w:rPr>
          <w:sz w:val="20"/>
          <w:szCs w:val="20"/>
        </w:rPr>
      </w:pPr>
      <w:r>
        <w:rPr>
          <w:sz w:val="20"/>
          <w:szCs w:val="20"/>
        </w:rPr>
        <w:t xml:space="preserve">The preparation of consolidated financial statements, in conformity with U.S. GAAP requires management to make estimates and assumptions that affect the amounts </w:t>
      </w:r>
      <w:r>
        <w:rPr>
          <w:sz w:val="20"/>
          <w:szCs w:val="20"/>
        </w:rPr>
        <w:t xml:space="preserve">reported in the financial statements and accompanying notes. The Company evaluates its assumptions on an ongoing basis. The Company’s management believes that the estimates, judgment, and assumptions used are reasonable based upon information available at </w:t>
      </w:r>
      <w:r>
        <w:rPr>
          <w:sz w:val="20"/>
          <w:szCs w:val="20"/>
        </w:rPr>
        <w:t>the time they are made. These estimates, judgments and assumptions can affect the reported amounts of assets and liabilities and disclosure of contingent assets and liabilities at the dates of the consolidated financial statements, and the reported amounts</w:t>
      </w:r>
      <w:r>
        <w:rPr>
          <w:sz w:val="20"/>
          <w:szCs w:val="20"/>
        </w:rPr>
        <w:t xml:space="preserve"> of revenue and expenses during the reporting periods. Actual results could differ from those estimates</w:t>
      </w:r>
      <w:r>
        <w:rPr>
          <w:sz w:val="20"/>
          <w:szCs w:val="20"/>
        </w:rPr>
        <w:t>.</w:t>
      </w:r>
      <w:r>
        <w:rPr>
          <w:sz w:val="20"/>
          <w:szCs w:val="20"/>
        </w:rPr>
        <w:t xml:space="preserve"> </w:t>
      </w:r>
    </w:p>
    <w:p w:rsidR="00000000" w:rsidRDefault="00AF2D19">
      <w:pPr>
        <w:pStyle w:val="a3"/>
        <w:spacing w:before="240" w:beforeAutospacing="0" w:after="0" w:afterAutospacing="0"/>
        <w:jc w:val="both"/>
        <w:divId w:val="1420105328"/>
        <w:rPr>
          <w:sz w:val="20"/>
          <w:szCs w:val="20"/>
        </w:rPr>
      </w:pPr>
      <w:r>
        <w:rPr>
          <w:b/>
          <w:bCs/>
          <w:i/>
          <w:iCs/>
          <w:sz w:val="20"/>
          <w:szCs w:val="20"/>
        </w:rPr>
        <w:t>Consolidatio</w:t>
      </w:r>
      <w:r>
        <w:rPr>
          <w:b/>
          <w:bCs/>
          <w:i/>
          <w:iCs/>
          <w:sz w:val="20"/>
          <w:szCs w:val="20"/>
        </w:rPr>
        <w:t>n</w:t>
      </w:r>
    </w:p>
    <w:p w:rsidR="00000000" w:rsidRDefault="00AF2D19">
      <w:pPr>
        <w:pStyle w:val="a3"/>
        <w:spacing w:before="120" w:beforeAutospacing="0" w:after="0" w:afterAutospacing="0"/>
        <w:jc w:val="both"/>
        <w:divId w:val="1420105328"/>
        <w:rPr>
          <w:sz w:val="20"/>
          <w:szCs w:val="20"/>
        </w:rPr>
      </w:pPr>
      <w:r>
        <w:rPr>
          <w:sz w:val="20"/>
          <w:szCs w:val="20"/>
        </w:rPr>
        <w:t>The consolidated financial statements include the accounts of Talkspace, Inc. and its subsidiaries. The Company consolidates all subsidi</w:t>
      </w:r>
      <w:r>
        <w:rPr>
          <w:sz w:val="20"/>
          <w:szCs w:val="20"/>
        </w:rPr>
        <w:t>aries in which it has a controlling financial interest. Intercompany transactions and balances have been eliminated upon consolidation</w:t>
      </w:r>
      <w:r>
        <w:rPr>
          <w:sz w:val="20"/>
          <w:szCs w:val="20"/>
        </w:rPr>
        <w:t>.</w:t>
      </w:r>
    </w:p>
    <w:p w:rsidR="00000000" w:rsidRDefault="00AF2D19">
      <w:pPr>
        <w:pStyle w:val="a3"/>
        <w:spacing w:before="120" w:beforeAutospacing="0" w:after="0" w:afterAutospacing="0"/>
        <w:jc w:val="both"/>
        <w:divId w:val="815731110"/>
        <w:rPr>
          <w:sz w:val="20"/>
          <w:szCs w:val="20"/>
        </w:rPr>
      </w:pPr>
      <w:r>
        <w:rPr>
          <w:sz w:val="20"/>
          <w:szCs w:val="20"/>
        </w:rPr>
        <w:t> </w:t>
      </w:r>
    </w:p>
    <w:p w:rsidR="00000000" w:rsidRDefault="00AF2D19">
      <w:pPr>
        <w:pStyle w:val="a3"/>
        <w:spacing w:before="0" w:beforeAutospacing="0" w:after="0" w:afterAutospacing="0"/>
        <w:divId w:val="815731110"/>
        <w:rPr>
          <w:sz w:val="20"/>
          <w:szCs w:val="20"/>
        </w:rPr>
      </w:pPr>
      <w:r>
        <w:rPr>
          <w:sz w:val="20"/>
          <w:szCs w:val="20"/>
        </w:rPr>
        <w:t> </w:t>
      </w:r>
    </w:p>
    <w:p w:rsidR="00000000" w:rsidRDefault="00AF2D19">
      <w:pPr>
        <w:pStyle w:val="a3"/>
        <w:spacing w:before="0" w:beforeAutospacing="0" w:after="0" w:afterAutospacing="0"/>
        <w:jc w:val="center"/>
        <w:divId w:val="815731110"/>
        <w:rPr>
          <w:sz w:val="20"/>
          <w:szCs w:val="20"/>
        </w:rPr>
      </w:pPr>
      <w:r>
        <w:rPr>
          <w:sz w:val="20"/>
          <w:szCs w:val="20"/>
        </w:rPr>
        <w:t>7</w:t>
      </w:r>
      <w:r>
        <w:rPr>
          <w:sz w:val="20"/>
          <w:szCs w:val="20"/>
        </w:rPr>
        <w:t>8</w:t>
      </w:r>
    </w:p>
    <w:p w:rsidR="00000000" w:rsidRDefault="00AF2D19">
      <w:pPr>
        <w:divId w:val="815731110"/>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AF2D19">
      <w:pPr>
        <w:pStyle w:val="a3"/>
        <w:spacing w:before="0" w:beforeAutospacing="0" w:after="0" w:afterAutospacing="0"/>
        <w:divId w:val="81573111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divId w:val="1546136145"/>
        <w:rPr>
          <w:sz w:val="20"/>
          <w:szCs w:val="20"/>
        </w:rPr>
      </w:pPr>
      <w:r>
        <w:rPr>
          <w:b/>
          <w:bCs/>
          <w:i/>
          <w:iCs/>
          <w:sz w:val="20"/>
          <w:szCs w:val="20"/>
        </w:rPr>
        <w:t>Business Combinatio</w:t>
      </w:r>
      <w:r>
        <w:rPr>
          <w:b/>
          <w:bCs/>
          <w:i/>
          <w:iCs/>
          <w:sz w:val="20"/>
          <w:szCs w:val="20"/>
        </w:rPr>
        <w:t>n</w:t>
      </w:r>
    </w:p>
    <w:p w:rsidR="00000000" w:rsidRDefault="00AF2D19">
      <w:pPr>
        <w:pStyle w:val="a3"/>
        <w:spacing w:before="120" w:beforeAutospacing="0" w:after="0" w:afterAutospacing="0"/>
        <w:jc w:val="both"/>
        <w:divId w:val="1546136145"/>
        <w:rPr>
          <w:sz w:val="20"/>
          <w:szCs w:val="20"/>
        </w:rPr>
      </w:pPr>
      <w:r>
        <w:rPr>
          <w:sz w:val="20"/>
          <w:szCs w:val="20"/>
        </w:rPr>
        <w:t>The Company accounts for business combinations in accordance with ASC No. 805, “Business Combinations” (“ASC No. 805”). ASC No. 805 requires recogniti</w:t>
      </w:r>
      <w:r>
        <w:rPr>
          <w:sz w:val="20"/>
          <w:szCs w:val="20"/>
        </w:rPr>
        <w:t>on of assets acquired, liabilities assumed, and any non-controlling interest at the acquisition date, measured at their fair values as of that date. The excess of the fair value of the purchase price over the fair values of the identifiable assets and liab</w:t>
      </w:r>
      <w:r>
        <w:rPr>
          <w:sz w:val="20"/>
          <w:szCs w:val="20"/>
        </w:rPr>
        <w:t>ilities is recorded as goodwill. Such valuations require management to make significant estimates and assumptions, especially with respect to intangible assets. Acquisition related costs are expensed to the statement of operations in the period incurred</w:t>
      </w:r>
      <w:r>
        <w:rPr>
          <w:sz w:val="20"/>
          <w:szCs w:val="20"/>
        </w:rPr>
        <w:t>.</w:t>
      </w:r>
      <w:r>
        <w:rPr>
          <w:sz w:val="20"/>
          <w:szCs w:val="20"/>
        </w:rPr>
        <w:t xml:space="preserve"> </w:t>
      </w:r>
    </w:p>
    <w:p w:rsidR="00000000" w:rsidRDefault="00AF2D19">
      <w:pPr>
        <w:pStyle w:val="a3"/>
        <w:spacing w:before="240" w:beforeAutospacing="0" w:after="0" w:afterAutospacing="0"/>
        <w:jc w:val="both"/>
        <w:divId w:val="28914446"/>
        <w:rPr>
          <w:sz w:val="20"/>
          <w:szCs w:val="20"/>
        </w:rPr>
      </w:pPr>
      <w:r>
        <w:rPr>
          <w:b/>
          <w:bCs/>
          <w:i/>
          <w:iCs/>
          <w:sz w:val="20"/>
          <w:szCs w:val="20"/>
        </w:rPr>
        <w:t>Financial statements in U.S. dollar</w:t>
      </w:r>
      <w:r>
        <w:rPr>
          <w:b/>
          <w:bCs/>
          <w:i/>
          <w:iCs/>
          <w:sz w:val="20"/>
          <w:szCs w:val="20"/>
        </w:rPr>
        <w:t>s</w:t>
      </w:r>
    </w:p>
    <w:p w:rsidR="00000000" w:rsidRDefault="00AF2D19">
      <w:pPr>
        <w:pStyle w:val="a3"/>
        <w:spacing w:before="120" w:beforeAutospacing="0" w:after="0" w:afterAutospacing="0"/>
        <w:jc w:val="both"/>
        <w:divId w:val="28914446"/>
        <w:rPr>
          <w:sz w:val="20"/>
          <w:szCs w:val="20"/>
        </w:rPr>
      </w:pPr>
      <w:r>
        <w:rPr>
          <w:sz w:val="20"/>
          <w:szCs w:val="20"/>
        </w:rPr>
        <w:t>Most of the Company’s revenues and costs are denominated in United States dollar (“dollar”). The Company’s management believes that the dollar is the primary currency of the economic environment in which the Company and</w:t>
      </w:r>
      <w:r>
        <w:rPr>
          <w:sz w:val="20"/>
          <w:szCs w:val="20"/>
        </w:rPr>
        <w:t xml:space="preserve"> each of its subsidiaries operate. Thus, the dollar is the Company’s functional and reporting currency</w:t>
      </w:r>
      <w:r>
        <w:rPr>
          <w:sz w:val="20"/>
          <w:szCs w:val="20"/>
        </w:rPr>
        <w:t>.</w:t>
      </w:r>
      <w:r>
        <w:rPr>
          <w:sz w:val="20"/>
          <w:szCs w:val="20"/>
        </w:rPr>
        <w:t xml:space="preserve"> </w:t>
      </w:r>
    </w:p>
    <w:p w:rsidR="00000000" w:rsidRDefault="00AF2D19">
      <w:pPr>
        <w:pStyle w:val="a3"/>
        <w:spacing w:before="120" w:beforeAutospacing="0" w:after="0" w:afterAutospacing="0"/>
        <w:jc w:val="both"/>
        <w:divId w:val="28914446"/>
        <w:rPr>
          <w:sz w:val="20"/>
          <w:szCs w:val="20"/>
        </w:rPr>
      </w:pPr>
      <w:r>
        <w:rPr>
          <w:sz w:val="20"/>
          <w:szCs w:val="20"/>
        </w:rPr>
        <w:t>Accordingly, non-dollar denominated transactions and balances have been re-measured into the functional currency in accordance with Accounting Standard</w:t>
      </w:r>
      <w:r>
        <w:rPr>
          <w:sz w:val="20"/>
          <w:szCs w:val="20"/>
        </w:rPr>
        <w:t xml:space="preserve"> Codification (“ASC”) 830, “Foreign Currency Matters”. All transaction gains and losses from the re-measured monetary balance sheet items are reflected in the statements of comprehensive loss as financial income or expenses, as appropriate</w:t>
      </w:r>
      <w:r>
        <w:rPr>
          <w:sz w:val="20"/>
          <w:szCs w:val="20"/>
        </w:rPr>
        <w:t>.</w:t>
      </w:r>
      <w:r>
        <w:rPr>
          <w:sz w:val="20"/>
          <w:szCs w:val="20"/>
        </w:rPr>
        <w:t xml:space="preserve"> </w:t>
      </w:r>
    </w:p>
    <w:p w:rsidR="00000000" w:rsidRDefault="00AF2D19">
      <w:pPr>
        <w:pStyle w:val="a3"/>
        <w:spacing w:before="240" w:beforeAutospacing="0" w:after="0" w:afterAutospacing="0"/>
        <w:jc w:val="both"/>
        <w:divId w:val="1194533393"/>
        <w:rPr>
          <w:sz w:val="20"/>
          <w:szCs w:val="20"/>
        </w:rPr>
      </w:pPr>
      <w:r>
        <w:rPr>
          <w:b/>
          <w:bCs/>
          <w:i/>
          <w:iCs/>
          <w:sz w:val="20"/>
          <w:szCs w:val="20"/>
        </w:rPr>
        <w:t>Operating Segm</w:t>
      </w:r>
      <w:r>
        <w:rPr>
          <w:b/>
          <w:bCs/>
          <w:i/>
          <w:iCs/>
          <w:sz w:val="20"/>
          <w:szCs w:val="20"/>
        </w:rPr>
        <w:t>ent</w:t>
      </w:r>
      <w:r>
        <w:rPr>
          <w:b/>
          <w:bCs/>
          <w:i/>
          <w:iCs/>
          <w:sz w:val="20"/>
          <w:szCs w:val="20"/>
        </w:rPr>
        <w:t>s</w:t>
      </w:r>
    </w:p>
    <w:p w:rsidR="00000000" w:rsidRDefault="00AF2D19">
      <w:pPr>
        <w:pStyle w:val="a3"/>
        <w:spacing w:before="120" w:beforeAutospacing="0" w:after="0" w:afterAutospacing="0"/>
        <w:jc w:val="both"/>
        <w:divId w:val="1194533393"/>
        <w:rPr>
          <w:sz w:val="20"/>
          <w:szCs w:val="20"/>
        </w:rPr>
      </w:pPr>
      <w:r>
        <w:rPr>
          <w:sz w:val="20"/>
          <w:szCs w:val="20"/>
        </w:rPr>
        <w:t>The Company operates its business in a single segment and as</w:t>
      </w:r>
      <w:r>
        <w:rPr>
          <w:sz w:val="20"/>
          <w:szCs w:val="20"/>
        </w:rPr>
        <w:t xml:space="preserve"> </w:t>
      </w:r>
      <w:r>
        <w:rPr>
          <w:sz w:val="20"/>
          <w:szCs w:val="20"/>
        </w:rPr>
        <w:t>on</w:t>
      </w:r>
      <w:r>
        <w:rPr>
          <w:sz w:val="20"/>
          <w:szCs w:val="20"/>
        </w:rPr>
        <w:t>e</w:t>
      </w:r>
      <w:r>
        <w:rPr>
          <w:sz w:val="20"/>
          <w:szCs w:val="20"/>
        </w:rPr>
        <w:t xml:space="preserve"> reporting unit, which is how its chief operating decision maker, the Company’s Interim Chief Executive Officer, reviews financial performance and allocates resources. The majority of the</w:t>
      </w:r>
      <w:r>
        <w:rPr>
          <w:sz w:val="20"/>
          <w:szCs w:val="20"/>
        </w:rPr>
        <w:t xml:space="preserve"> Company’s operations are based in the United States</w:t>
      </w:r>
      <w:r>
        <w:rPr>
          <w:sz w:val="20"/>
          <w:szCs w:val="20"/>
        </w:rPr>
        <w:t>.</w:t>
      </w:r>
    </w:p>
    <w:p w:rsidR="00000000" w:rsidRDefault="00AF2D19">
      <w:pPr>
        <w:pStyle w:val="a3"/>
        <w:spacing w:before="240" w:beforeAutospacing="0" w:after="0" w:afterAutospacing="0"/>
        <w:divId w:val="2102020884"/>
        <w:rPr>
          <w:sz w:val="20"/>
          <w:szCs w:val="20"/>
        </w:rPr>
      </w:pPr>
      <w:r>
        <w:rPr>
          <w:b/>
          <w:bCs/>
          <w:i/>
          <w:iCs/>
          <w:sz w:val="20"/>
          <w:szCs w:val="20"/>
        </w:rPr>
        <w:t>Cash and cash equivalent</w:t>
      </w:r>
      <w:r>
        <w:rPr>
          <w:b/>
          <w:bCs/>
          <w:i/>
          <w:iCs/>
          <w:sz w:val="20"/>
          <w:szCs w:val="20"/>
        </w:rPr>
        <w:t>s</w:t>
      </w:r>
    </w:p>
    <w:p w:rsidR="00000000" w:rsidRDefault="00AF2D19">
      <w:pPr>
        <w:pStyle w:val="a3"/>
        <w:spacing w:before="120" w:beforeAutospacing="0" w:after="0" w:afterAutospacing="0"/>
        <w:jc w:val="both"/>
        <w:divId w:val="2102020884"/>
        <w:rPr>
          <w:sz w:val="20"/>
          <w:szCs w:val="20"/>
        </w:rPr>
      </w:pPr>
      <w:r>
        <w:rPr>
          <w:sz w:val="20"/>
          <w:szCs w:val="20"/>
        </w:rPr>
        <w:t>Cash equivalents are short-term unrestricted highly liquid investments that are readily convertible to cash and with original maturities of</w:t>
      </w:r>
      <w:r>
        <w:rPr>
          <w:sz w:val="20"/>
          <w:szCs w:val="20"/>
        </w:rPr>
        <w:t xml:space="preserve"> </w:t>
      </w:r>
      <w:r>
        <w:rPr>
          <w:sz w:val="20"/>
          <w:szCs w:val="20"/>
        </w:rPr>
        <w:t>three month</w:t>
      </w:r>
      <w:r>
        <w:rPr>
          <w:sz w:val="20"/>
          <w:szCs w:val="20"/>
        </w:rPr>
        <w:t>s</w:t>
      </w:r>
      <w:r>
        <w:rPr>
          <w:sz w:val="20"/>
          <w:szCs w:val="20"/>
        </w:rPr>
        <w:t xml:space="preserve"> or less at acquisition</w:t>
      </w:r>
      <w:r>
        <w:rPr>
          <w:sz w:val="20"/>
          <w:szCs w:val="20"/>
        </w:rPr>
        <w:t>.</w:t>
      </w:r>
    </w:p>
    <w:p w:rsidR="00000000" w:rsidRDefault="00AF2D19">
      <w:pPr>
        <w:pStyle w:val="a3"/>
        <w:spacing w:before="240" w:beforeAutospacing="0" w:after="0" w:afterAutospacing="0"/>
        <w:divId w:val="262999391"/>
        <w:rPr>
          <w:sz w:val="20"/>
          <w:szCs w:val="20"/>
        </w:rPr>
      </w:pPr>
      <w:r>
        <w:rPr>
          <w:b/>
          <w:bCs/>
          <w:i/>
          <w:iCs/>
          <w:sz w:val="20"/>
          <w:szCs w:val="20"/>
        </w:rPr>
        <w:t>Property and equipmen</w:t>
      </w:r>
      <w:r>
        <w:rPr>
          <w:b/>
          <w:bCs/>
          <w:i/>
          <w:iCs/>
          <w:sz w:val="20"/>
          <w:szCs w:val="20"/>
        </w:rPr>
        <w:t>t</w:t>
      </w:r>
    </w:p>
    <w:p w:rsidR="00000000" w:rsidRDefault="00AF2D19">
      <w:pPr>
        <w:pStyle w:val="a3"/>
        <w:spacing w:before="120" w:beforeAutospacing="0" w:after="0" w:afterAutospacing="0"/>
        <w:jc w:val="both"/>
        <w:divId w:val="1054162822"/>
        <w:rPr>
          <w:sz w:val="20"/>
          <w:szCs w:val="20"/>
        </w:rPr>
      </w:pPr>
      <w:r>
        <w:rPr>
          <w:sz w:val="20"/>
          <w:szCs w:val="20"/>
        </w:rPr>
        <w:t>Property and equipment are stated at cost, net of accumulated depreciation. Depreciation is calculated using the straight-line method over the estimated useful lives of the assets, at the following annual rates</w:t>
      </w:r>
      <w:r>
        <w:rPr>
          <w:sz w:val="20"/>
          <w:szCs w:val="20"/>
        </w:rPr>
        <w:t>:</w:t>
      </w:r>
      <w:r>
        <w:rPr>
          <w:sz w:val="20"/>
          <w:szCs w:val="20"/>
        </w:rPr>
        <w:t xml:space="preserve"> </w:t>
      </w:r>
    </w:p>
    <w:p w:rsidR="00000000" w:rsidRDefault="00AF2D19">
      <w:pPr>
        <w:pStyle w:val="a3"/>
        <w:spacing w:before="0" w:beforeAutospacing="0" w:after="0" w:afterAutospacing="0"/>
        <w:divId w:val="1054162822"/>
        <w:rPr>
          <w:sz w:val="20"/>
          <w:szCs w:val="20"/>
        </w:rPr>
      </w:pPr>
      <w: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37"/>
        <w:gridCol w:w="110"/>
        <w:gridCol w:w="110"/>
        <w:gridCol w:w="802"/>
        <w:gridCol w:w="125"/>
      </w:tblGrid>
      <w:tr w:rsidR="00000000">
        <w:trPr>
          <w:divId w:val="1054162822"/>
          <w:tblCellSpacing w:w="15" w:type="dxa"/>
        </w:trPr>
        <w:tc>
          <w:tcPr>
            <w:tcW w:w="3965" w:type="pct"/>
            <w:vAlign w:val="center"/>
            <w:hideMark/>
          </w:tcPr>
          <w:p w:rsidR="00000000" w:rsidRDefault="00AF2D19">
            <w:pPr>
              <w:rPr>
                <w:sz w:val="20"/>
                <w:szCs w:val="20"/>
              </w:rPr>
            </w:pPr>
          </w:p>
        </w:tc>
        <w:tc>
          <w:tcPr>
            <w:tcW w:w="93" w:type="pct"/>
            <w:vAlign w:val="center"/>
            <w:hideMark/>
          </w:tcPr>
          <w:p w:rsidR="00000000" w:rsidRDefault="00AF2D19">
            <w:pPr>
              <w:rPr>
                <w:rFonts w:eastAsia="Times New Roman"/>
                <w:sz w:val="20"/>
                <w:szCs w:val="20"/>
              </w:rPr>
            </w:pPr>
          </w:p>
        </w:tc>
        <w:tc>
          <w:tcPr>
            <w:tcW w:w="53" w:type="pct"/>
            <w:vAlign w:val="center"/>
            <w:hideMark/>
          </w:tcPr>
          <w:p w:rsidR="00000000" w:rsidRDefault="00AF2D19">
            <w:pPr>
              <w:rPr>
                <w:rFonts w:eastAsia="Times New Roman"/>
                <w:sz w:val="20"/>
                <w:szCs w:val="20"/>
              </w:rPr>
            </w:pPr>
          </w:p>
        </w:tc>
        <w:tc>
          <w:tcPr>
            <w:tcW w:w="834" w:type="pct"/>
            <w:vAlign w:val="center"/>
            <w:hideMark/>
          </w:tcPr>
          <w:p w:rsidR="00000000" w:rsidRDefault="00AF2D19">
            <w:pPr>
              <w:rPr>
                <w:rFonts w:eastAsia="Times New Roman"/>
                <w:sz w:val="20"/>
                <w:szCs w:val="20"/>
              </w:rPr>
            </w:pPr>
          </w:p>
        </w:tc>
        <w:tc>
          <w:tcPr>
            <w:tcW w:w="53" w:type="pct"/>
            <w:vAlign w:val="center"/>
            <w:hideMark/>
          </w:tcPr>
          <w:p w:rsidR="00000000" w:rsidRDefault="00AF2D19">
            <w:pPr>
              <w:rPr>
                <w:rFonts w:eastAsia="Times New Roman"/>
                <w:sz w:val="20"/>
                <w:szCs w:val="20"/>
              </w:rPr>
            </w:pPr>
          </w:p>
        </w:tc>
      </w:tr>
      <w:tr w:rsidR="00000000">
        <w:trPr>
          <w:divId w:val="1054162822"/>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1054162822"/>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Computer</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054162822"/>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Electronic equipmen</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0" w:beforeAutospacing="0" w:after="0" w:afterAutospacing="0"/>
        <w:divId w:val="815731110"/>
        <w:rPr>
          <w:sz w:val="20"/>
          <w:szCs w:val="20"/>
        </w:rPr>
      </w:pPr>
      <w:r>
        <w:rPr>
          <w:sz w:val="12"/>
          <w:szCs w:val="12"/>
        </w:rPr>
        <w:t> </w:t>
      </w:r>
    </w:p>
    <w:p w:rsidR="00000000" w:rsidRDefault="00AF2D19">
      <w:pPr>
        <w:pStyle w:val="a3"/>
        <w:spacing w:before="0" w:beforeAutospacing="0" w:after="0" w:afterAutospacing="0"/>
        <w:divId w:val="815731110"/>
        <w:rPr>
          <w:sz w:val="20"/>
          <w:szCs w:val="20"/>
        </w:rPr>
      </w:pPr>
      <w:r>
        <w:rPr>
          <w:sz w:val="12"/>
          <w:szCs w:val="12"/>
        </w:rPr>
        <w:t> </w:t>
      </w:r>
    </w:p>
    <w:p w:rsidR="00000000" w:rsidRDefault="00AF2D19">
      <w:pPr>
        <w:pStyle w:val="a3"/>
        <w:spacing w:before="240" w:beforeAutospacing="0" w:after="0" w:afterAutospacing="0"/>
        <w:divId w:val="203913375"/>
        <w:rPr>
          <w:sz w:val="20"/>
          <w:szCs w:val="20"/>
        </w:rPr>
      </w:pPr>
      <w:r>
        <w:rPr>
          <w:b/>
          <w:bCs/>
          <w:i/>
          <w:iCs/>
          <w:sz w:val="20"/>
          <w:szCs w:val="20"/>
        </w:rPr>
        <w:t>Goodwil</w:t>
      </w:r>
      <w:r>
        <w:rPr>
          <w:b/>
          <w:bCs/>
          <w:i/>
          <w:iCs/>
          <w:sz w:val="20"/>
          <w:szCs w:val="20"/>
        </w:rPr>
        <w:t>l</w:t>
      </w:r>
      <w:r>
        <w:rPr>
          <w:b/>
          <w:bCs/>
          <w:i/>
          <w:iCs/>
          <w:sz w:val="20"/>
          <w:szCs w:val="20"/>
        </w:rPr>
        <w:t xml:space="preserve"> </w:t>
      </w:r>
    </w:p>
    <w:p w:rsidR="00000000" w:rsidRDefault="00AF2D19">
      <w:pPr>
        <w:pStyle w:val="a3"/>
        <w:spacing w:before="120" w:beforeAutospacing="0" w:after="0" w:afterAutospacing="0"/>
        <w:jc w:val="both"/>
        <w:divId w:val="203913375"/>
        <w:rPr>
          <w:sz w:val="20"/>
          <w:szCs w:val="20"/>
        </w:rPr>
      </w:pPr>
      <w:r>
        <w:rPr>
          <w:sz w:val="20"/>
          <w:szCs w:val="20"/>
        </w:rPr>
        <w:t>Goodwill represents the excess of the purchase price in a business combination over the fair value of the net tangible and intangible assets acquired</w:t>
      </w:r>
      <w:r>
        <w:rPr>
          <w:sz w:val="20"/>
          <w:szCs w:val="20"/>
        </w:rPr>
        <w:t>.</w:t>
      </w:r>
    </w:p>
    <w:p w:rsidR="00000000" w:rsidRDefault="00AF2D19">
      <w:pPr>
        <w:pStyle w:val="a3"/>
        <w:spacing w:before="120" w:beforeAutospacing="0" w:after="0" w:afterAutospacing="0"/>
        <w:jc w:val="both"/>
        <w:divId w:val="203913375"/>
        <w:rPr>
          <w:sz w:val="20"/>
          <w:szCs w:val="20"/>
        </w:rPr>
      </w:pPr>
      <w:r>
        <w:rPr>
          <w:sz w:val="20"/>
          <w:szCs w:val="20"/>
        </w:rPr>
        <w:t>ASC 350 requires goodwill to be tested for impairment at the reporting unit level at least annually or be</w:t>
      </w:r>
      <w:r>
        <w:rPr>
          <w:sz w:val="20"/>
          <w:szCs w:val="20"/>
        </w:rPr>
        <w:t>tween annual tests under certain circumstances and written down when impaired. Goodwill is tested for impairment by comparing the fair value of the reporting unit with its carrying value</w:t>
      </w:r>
      <w:r>
        <w:rPr>
          <w:sz w:val="20"/>
          <w:szCs w:val="20"/>
        </w:rPr>
        <w:t>.</w:t>
      </w:r>
    </w:p>
    <w:p w:rsidR="00000000" w:rsidRDefault="00AF2D19">
      <w:pPr>
        <w:pStyle w:val="a3"/>
        <w:spacing w:before="120" w:beforeAutospacing="0" w:after="0" w:afterAutospacing="0"/>
        <w:jc w:val="both"/>
        <w:divId w:val="203913375"/>
        <w:rPr>
          <w:sz w:val="20"/>
          <w:szCs w:val="20"/>
        </w:rPr>
      </w:pPr>
      <w:r>
        <w:rPr>
          <w:sz w:val="20"/>
          <w:szCs w:val="20"/>
        </w:rPr>
        <w:t>ASC 350 allows an entity to first assess qualitative factors to dete</w:t>
      </w:r>
      <w:r>
        <w:rPr>
          <w:sz w:val="20"/>
          <w:szCs w:val="20"/>
        </w:rPr>
        <w:t>rmine whether it is necessary to perform the two-step quantitative goodwill impairment test. If the qualitative assessment does not result in a more likely than not indication of impairment, no further impairment testing is required. If it does result in a</w:t>
      </w:r>
      <w:r>
        <w:rPr>
          <w:sz w:val="20"/>
          <w:szCs w:val="20"/>
        </w:rPr>
        <w:t xml:space="preserve"> more likely than not indication of impairment, the two-step impairment test is performed. Alternatively, ASC 350 permits an entity to bypass the qualitative assessment for any reporting unit and proceed directly to performing the first step of the goodwil</w:t>
      </w:r>
      <w:r>
        <w:rPr>
          <w:sz w:val="20"/>
          <w:szCs w:val="20"/>
        </w:rPr>
        <w:t>l impairment test</w:t>
      </w:r>
      <w:r>
        <w:rPr>
          <w:sz w:val="20"/>
          <w:szCs w:val="20"/>
        </w:rPr>
        <w:t>.</w:t>
      </w:r>
    </w:p>
    <w:p w:rsidR="00000000" w:rsidRDefault="00AF2D19">
      <w:pPr>
        <w:pStyle w:val="a3"/>
        <w:spacing w:before="240" w:beforeAutospacing="0" w:after="0" w:afterAutospacing="0"/>
        <w:divId w:val="451368574"/>
        <w:rPr>
          <w:sz w:val="20"/>
          <w:szCs w:val="20"/>
        </w:rPr>
      </w:pPr>
      <w:r>
        <w:rPr>
          <w:b/>
          <w:bCs/>
          <w:i/>
          <w:iCs/>
          <w:sz w:val="20"/>
          <w:szCs w:val="20"/>
        </w:rPr>
        <w:t>Intangible Asset</w:t>
      </w:r>
      <w:r>
        <w:rPr>
          <w:b/>
          <w:bCs/>
          <w:i/>
          <w:iCs/>
          <w:sz w:val="20"/>
          <w:szCs w:val="20"/>
        </w:rPr>
        <w:t>s</w:t>
      </w:r>
    </w:p>
    <w:p w:rsidR="00000000" w:rsidRDefault="00AF2D19">
      <w:pPr>
        <w:pStyle w:val="a3"/>
        <w:spacing w:before="120" w:beforeAutospacing="0" w:after="0" w:afterAutospacing="0"/>
        <w:jc w:val="both"/>
        <w:divId w:val="451368574"/>
        <w:rPr>
          <w:sz w:val="20"/>
          <w:szCs w:val="20"/>
        </w:rPr>
      </w:pPr>
      <w:r>
        <w:rPr>
          <w:sz w:val="20"/>
          <w:szCs w:val="20"/>
        </w:rPr>
        <w:t>Acquired identifiable finite-lived intangible assets are amortized on a straight-line basis or accelerated method over the estimated useful lives of the assets. The basis of amortization approximates the pattern in whic</w:t>
      </w:r>
      <w:r>
        <w:rPr>
          <w:sz w:val="20"/>
          <w:szCs w:val="20"/>
        </w:rPr>
        <w:t>h the assets are utilized, over their estimate</w:t>
      </w:r>
      <w:r>
        <w:rPr>
          <w:sz w:val="20"/>
          <w:szCs w:val="20"/>
        </w:rPr>
        <w:t>d</w:t>
      </w:r>
      <w:r>
        <w:rPr>
          <w:sz w:val="20"/>
          <w:szCs w:val="20"/>
        </w:rPr>
        <w:t xml:space="preserve"> </w:t>
      </w:r>
    </w:p>
    <w:p w:rsidR="00000000" w:rsidRDefault="00AF2D19">
      <w:pPr>
        <w:pStyle w:val="a3"/>
        <w:spacing w:before="0" w:beforeAutospacing="0" w:after="0" w:afterAutospacing="0"/>
        <w:jc w:val="center"/>
        <w:divId w:val="451368574"/>
        <w:rPr>
          <w:sz w:val="20"/>
          <w:szCs w:val="20"/>
        </w:rPr>
      </w:pPr>
      <w:r>
        <w:rPr>
          <w:sz w:val="20"/>
          <w:szCs w:val="20"/>
        </w:rPr>
        <w:t>7</w:t>
      </w:r>
      <w:r>
        <w:rPr>
          <w:sz w:val="20"/>
          <w:szCs w:val="20"/>
        </w:rPr>
        <w:t>9</w:t>
      </w:r>
    </w:p>
    <w:p w:rsidR="00000000" w:rsidRDefault="00AF2D19">
      <w:pPr>
        <w:divId w:val="451368574"/>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AF2D19">
      <w:pPr>
        <w:pStyle w:val="a3"/>
        <w:spacing w:before="0" w:beforeAutospacing="0" w:after="0" w:afterAutospacing="0"/>
        <w:divId w:val="451368574"/>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divId w:val="451368574"/>
        <w:rPr>
          <w:sz w:val="20"/>
          <w:szCs w:val="20"/>
        </w:rPr>
      </w:pPr>
      <w:r>
        <w:rPr>
          <w:sz w:val="20"/>
          <w:szCs w:val="20"/>
        </w:rPr>
        <w:t xml:space="preserve">useful lives. The Company routinely reviews the remaining estimated useful lives of finite-lived intangible assets. In </w:t>
      </w:r>
      <w:r>
        <w:rPr>
          <w:sz w:val="20"/>
          <w:szCs w:val="20"/>
        </w:rPr>
        <w:t>case the Company reduces the estimated useful life for any asset, the remaining unamortized balance is amortized or depreciated over the revised estimated useful life</w:t>
      </w:r>
      <w:r>
        <w:rPr>
          <w:sz w:val="20"/>
          <w:szCs w:val="20"/>
        </w:rPr>
        <w:t>.</w:t>
      </w:r>
    </w:p>
    <w:p w:rsidR="00000000" w:rsidRDefault="00AF2D19">
      <w:pPr>
        <w:pStyle w:val="a3"/>
        <w:spacing w:before="0" w:beforeAutospacing="0" w:after="0" w:afterAutospacing="0"/>
        <w:divId w:val="451368574"/>
        <w:rPr>
          <w:sz w:val="20"/>
          <w:szCs w:val="20"/>
        </w:rPr>
      </w:pPr>
      <w:r>
        <w:rPr>
          <w:sz w:val="20"/>
          <w:szCs w:val="20"/>
        </w:rPr>
        <w:t> </w:t>
      </w:r>
    </w:p>
    <w:p w:rsidR="00000000" w:rsidRDefault="00AF2D19">
      <w:pPr>
        <w:pStyle w:val="a3"/>
        <w:spacing w:before="120" w:beforeAutospacing="0" w:after="0" w:afterAutospacing="0"/>
        <w:divId w:val="451368574"/>
        <w:rPr>
          <w:sz w:val="20"/>
          <w:szCs w:val="20"/>
        </w:rPr>
      </w:pPr>
      <w:r>
        <w:rPr>
          <w:b/>
          <w:bCs/>
          <w:i/>
          <w:iCs/>
          <w:sz w:val="20"/>
          <w:szCs w:val="20"/>
        </w:rPr>
        <w:t>Impairment of long-lived assets and intangible assets subject to amortizatio</w:t>
      </w:r>
      <w:r>
        <w:rPr>
          <w:b/>
          <w:bCs/>
          <w:i/>
          <w:iCs/>
          <w:sz w:val="20"/>
          <w:szCs w:val="20"/>
        </w:rPr>
        <w:t>n</w:t>
      </w:r>
      <w:r>
        <w:rPr>
          <w:sz w:val="20"/>
          <w:szCs w:val="20"/>
        </w:rPr>
        <w:t xml:space="preserve"> </w:t>
      </w:r>
    </w:p>
    <w:p w:rsidR="00000000" w:rsidRDefault="00AF2D19">
      <w:pPr>
        <w:pStyle w:val="a3"/>
        <w:spacing w:before="120" w:beforeAutospacing="0" w:after="0" w:afterAutospacing="0"/>
        <w:jc w:val="both"/>
        <w:divId w:val="451368574"/>
        <w:rPr>
          <w:sz w:val="20"/>
          <w:szCs w:val="20"/>
        </w:rPr>
      </w:pPr>
      <w:r>
        <w:rPr>
          <w:sz w:val="20"/>
          <w:szCs w:val="20"/>
        </w:rPr>
        <w:t>Property and equipment and intangible assets subject to amortization are reviewed for impairment in accordance with ASC No. 360, “Accounting for the Impairment or Disposal of Lo</w:t>
      </w:r>
      <w:r>
        <w:rPr>
          <w:sz w:val="20"/>
          <w:szCs w:val="20"/>
        </w:rPr>
        <w:t>ng-Lived Assets,” whenever events or changes in circumstances indicate that the carrying amount of an asset may not be recoverable. Recoverability of assets to be held and used is measured by a comparison of the carrying amount of an asset to the future un</w:t>
      </w:r>
      <w:r>
        <w:rPr>
          <w:sz w:val="20"/>
          <w:szCs w:val="20"/>
        </w:rPr>
        <w:t>discounted cash flows expected to be generated by the assets. If such assets are considered to be impaired, the impairment to be recognized is measured by the amount by which the carrying amount of the assets exceeds the fair value of the assets.</w:t>
      </w:r>
      <w:r>
        <w:rPr>
          <w:sz w:val="20"/>
          <w:szCs w:val="20"/>
        </w:rPr>
        <w:t xml:space="preserve"> </w:t>
      </w:r>
      <w:r>
        <w:rPr>
          <w:sz w:val="20"/>
          <w:szCs w:val="20"/>
        </w:rPr>
        <w:t>N</w:t>
      </w:r>
      <w:r>
        <w:rPr>
          <w:sz w:val="20"/>
          <w:szCs w:val="20"/>
        </w:rPr>
        <w:t>o</w:t>
      </w:r>
      <w:r>
        <w:rPr>
          <w:sz w:val="20"/>
          <w:szCs w:val="20"/>
        </w:rPr>
        <w:t xml:space="preserve"> impair</w:t>
      </w:r>
      <w:r>
        <w:rPr>
          <w:sz w:val="20"/>
          <w:szCs w:val="20"/>
        </w:rPr>
        <w:t>ment losses were recorded during the years ended December 31, 2021, 2020 or 2019</w:t>
      </w:r>
      <w:r>
        <w:rPr>
          <w:sz w:val="20"/>
          <w:szCs w:val="20"/>
        </w:rPr>
        <w:t>.</w:t>
      </w:r>
    </w:p>
    <w:p w:rsidR="00000000" w:rsidRDefault="00AF2D19">
      <w:pPr>
        <w:pStyle w:val="a3"/>
        <w:spacing w:before="280" w:beforeAutospacing="0" w:after="0" w:afterAutospacing="0"/>
        <w:divId w:val="816845431"/>
        <w:rPr>
          <w:sz w:val="20"/>
          <w:szCs w:val="20"/>
        </w:rPr>
      </w:pPr>
      <w:r>
        <w:rPr>
          <w:b/>
          <w:bCs/>
          <w:i/>
          <w:iCs/>
          <w:sz w:val="20"/>
          <w:szCs w:val="20"/>
        </w:rPr>
        <w:t>Revenue recognitio</w:t>
      </w:r>
      <w:r>
        <w:rPr>
          <w:b/>
          <w:bCs/>
          <w:i/>
          <w:iCs/>
          <w:sz w:val="20"/>
          <w:szCs w:val="20"/>
        </w:rPr>
        <w:t>n</w:t>
      </w:r>
      <w:r>
        <w:rPr>
          <w:sz w:val="20"/>
          <w:szCs w:val="20"/>
        </w:rPr>
        <w:t xml:space="preserve"> </w:t>
      </w:r>
    </w:p>
    <w:p w:rsidR="00000000" w:rsidRDefault="00AF2D19">
      <w:pPr>
        <w:pStyle w:val="a3"/>
        <w:spacing w:before="120" w:beforeAutospacing="0" w:after="0" w:afterAutospacing="0"/>
        <w:jc w:val="both"/>
        <w:divId w:val="816845431"/>
        <w:rPr>
          <w:sz w:val="20"/>
          <w:szCs w:val="20"/>
        </w:rPr>
      </w:pPr>
      <w:r>
        <w:rPr>
          <w:sz w:val="20"/>
          <w:szCs w:val="20"/>
        </w:rPr>
        <w:t>The Company recognizes revenues in accordance with ASC 606, “Revenue from Contracts with Customers”. As such, the Company identifies a contract with a cu</w:t>
      </w:r>
      <w:r>
        <w:rPr>
          <w:sz w:val="20"/>
          <w:szCs w:val="20"/>
        </w:rPr>
        <w:t>stomer, identifies the performance obligations in the contract, determines the transaction price, allocates the transaction price to each performance obligation in the contract and recognizes revenues when (or as) the Company satisfies a performance obliga</w:t>
      </w:r>
      <w:r>
        <w:rPr>
          <w:sz w:val="20"/>
          <w:szCs w:val="20"/>
        </w:rPr>
        <w:t>tion</w:t>
      </w:r>
      <w:r>
        <w:rPr>
          <w:sz w:val="20"/>
          <w:szCs w:val="20"/>
        </w:rPr>
        <w:t>.</w:t>
      </w:r>
      <w:r>
        <w:rPr>
          <w:sz w:val="20"/>
          <w:szCs w:val="20"/>
        </w:rPr>
        <w:t xml:space="preserve"> </w:t>
      </w:r>
    </w:p>
    <w:p w:rsidR="00000000" w:rsidRDefault="00AF2D19">
      <w:pPr>
        <w:pStyle w:val="a3"/>
        <w:spacing w:before="120" w:beforeAutospacing="0" w:after="0" w:afterAutospacing="0"/>
        <w:jc w:val="both"/>
        <w:divId w:val="816845431"/>
        <w:rPr>
          <w:sz w:val="20"/>
          <w:szCs w:val="20"/>
        </w:rPr>
      </w:pPr>
      <w:r>
        <w:rPr>
          <w:sz w:val="20"/>
          <w:szCs w:val="20"/>
        </w:rPr>
        <w:t>A contract with a customer exists only when the parties to the contract have approved it and are committed to perform their respective obligations, the Company can identify each party’s rights regarding the distinct services to be transferred (“perf</w:t>
      </w:r>
      <w:r>
        <w:rPr>
          <w:sz w:val="20"/>
          <w:szCs w:val="20"/>
        </w:rPr>
        <w:t>ormance obligations”), the Company can determine the transaction price for the services to be transferred, the contract has commercial substance and it is probable that the Company will collect the consideration to which it will be entitled in exchange for</w:t>
      </w:r>
      <w:r>
        <w:rPr>
          <w:sz w:val="20"/>
          <w:szCs w:val="20"/>
        </w:rPr>
        <w:t xml:space="preserve"> the services that will be transferred to the customer</w:t>
      </w:r>
      <w:r>
        <w:rPr>
          <w:sz w:val="20"/>
          <w:szCs w:val="20"/>
        </w:rPr>
        <w:t>.</w:t>
      </w:r>
      <w:r>
        <w:rPr>
          <w:sz w:val="20"/>
          <w:szCs w:val="20"/>
        </w:rPr>
        <w:t xml:space="preserve"> </w:t>
      </w:r>
    </w:p>
    <w:p w:rsidR="00000000" w:rsidRDefault="00AF2D19">
      <w:pPr>
        <w:pStyle w:val="a3"/>
        <w:spacing w:before="120" w:beforeAutospacing="0" w:after="0" w:afterAutospacing="0"/>
        <w:jc w:val="both"/>
        <w:divId w:val="816845431"/>
        <w:rPr>
          <w:sz w:val="20"/>
          <w:szCs w:val="20"/>
        </w:rPr>
      </w:pPr>
      <w:r>
        <w:rPr>
          <w:sz w:val="20"/>
          <w:szCs w:val="20"/>
        </w:rPr>
        <w:t>The Company is operating a virtual behavioral healthcare business that connects individuals and licensed therapists, psychologists and psychiatrists (“therapists”) with an online platform for one-on-</w:t>
      </w:r>
      <w:r>
        <w:rPr>
          <w:sz w:val="20"/>
          <w:szCs w:val="20"/>
        </w:rPr>
        <w:t>one therapy delivered via messaging, audio and video. Individuals access the Company’s services through the Company’s website or mobile app</w:t>
      </w:r>
      <w:r>
        <w:rPr>
          <w:sz w:val="20"/>
          <w:szCs w:val="20"/>
        </w:rPr>
        <w:t>.</w:t>
      </w:r>
      <w:r>
        <w:rPr>
          <w:sz w:val="20"/>
          <w:szCs w:val="20"/>
        </w:rPr>
        <w:t xml:space="preserve"> </w:t>
      </w:r>
    </w:p>
    <w:p w:rsidR="00000000" w:rsidRDefault="00AF2D19">
      <w:pPr>
        <w:pStyle w:val="a3"/>
        <w:spacing w:before="120" w:beforeAutospacing="0" w:after="0" w:afterAutospacing="0"/>
        <w:jc w:val="both"/>
        <w:divId w:val="816845431"/>
        <w:rPr>
          <w:sz w:val="20"/>
          <w:szCs w:val="20"/>
        </w:rPr>
      </w:pPr>
      <w:r>
        <w:rPr>
          <w:sz w:val="20"/>
          <w:szCs w:val="20"/>
        </w:rPr>
        <w:t>Revenues are recognized when the Company satisfies its performance obligation to perform its defined contractual o</w:t>
      </w:r>
      <w:r>
        <w:rPr>
          <w:sz w:val="20"/>
          <w:szCs w:val="20"/>
        </w:rPr>
        <w:t>bligations to provide virtual behavioral healthcare services. Revenue is recognized in an amount that reflects the consideration that is expected in exchange for the service rendered</w:t>
      </w:r>
      <w:r>
        <w:rPr>
          <w:sz w:val="20"/>
          <w:szCs w:val="20"/>
        </w:rPr>
        <w:t>.</w:t>
      </w:r>
    </w:p>
    <w:p w:rsidR="00000000" w:rsidRDefault="00AF2D19">
      <w:pPr>
        <w:pStyle w:val="a3"/>
        <w:spacing w:before="120" w:beforeAutospacing="0" w:after="0" w:afterAutospacing="0"/>
        <w:jc w:val="both"/>
        <w:divId w:val="816845431"/>
        <w:rPr>
          <w:sz w:val="20"/>
          <w:szCs w:val="20"/>
        </w:rPr>
      </w:pPr>
      <w:r>
        <w:rPr>
          <w:sz w:val="20"/>
          <w:szCs w:val="20"/>
        </w:rPr>
        <w:t xml:space="preserve">The Company provides its services directly to individuals, enterprises, </w:t>
      </w:r>
      <w:r>
        <w:rPr>
          <w:sz w:val="20"/>
          <w:szCs w:val="20"/>
        </w:rPr>
        <w:t>health insurance organizations and employee assistance organizations. Subscription fees that derived from individuals are prepaid and recognized as services over the subscription period. Individuals may cancel their subscription at any time and will receiv</w:t>
      </w:r>
      <w:r>
        <w:rPr>
          <w:sz w:val="20"/>
          <w:szCs w:val="20"/>
        </w:rPr>
        <w:t>e a pro-rata refund for the subscription price</w:t>
      </w:r>
      <w:r>
        <w:rPr>
          <w:sz w:val="20"/>
          <w:szCs w:val="20"/>
        </w:rPr>
        <w:t>.</w:t>
      </w:r>
    </w:p>
    <w:p w:rsidR="00000000" w:rsidRDefault="00AF2D19">
      <w:pPr>
        <w:pStyle w:val="a3"/>
        <w:spacing w:before="120" w:beforeAutospacing="0" w:after="0" w:afterAutospacing="0"/>
        <w:jc w:val="both"/>
        <w:divId w:val="816845431"/>
        <w:rPr>
          <w:sz w:val="20"/>
          <w:szCs w:val="20"/>
        </w:rPr>
      </w:pPr>
      <w:r>
        <w:rPr>
          <w:sz w:val="20"/>
          <w:szCs w:val="20"/>
        </w:rPr>
        <w:t>The Company contracts with enterprises to provide access to its therapist platform for their employees, primarily based on a per-member-per-month access fee model. Revenues from access fees are recognized rat</w:t>
      </w:r>
      <w:r>
        <w:rPr>
          <w:sz w:val="20"/>
          <w:szCs w:val="20"/>
        </w:rPr>
        <w:t>ably over the contractual term period. Contracts with enterprises are one or more years in length with the ability to provide 60 days advance notice prior to termination at each year mark during the term. On occasion and depending on the customer, the Comp</w:t>
      </w:r>
      <w:r>
        <w:rPr>
          <w:sz w:val="20"/>
          <w:szCs w:val="20"/>
        </w:rPr>
        <w:t>any allows for an intra-year termination upon a 60-day or 90-day advance notice following the expiration of the contract’s first year</w:t>
      </w:r>
      <w:r>
        <w:rPr>
          <w:sz w:val="20"/>
          <w:szCs w:val="20"/>
        </w:rPr>
        <w:t>.</w:t>
      </w:r>
    </w:p>
    <w:p w:rsidR="00000000" w:rsidRDefault="00AF2D19">
      <w:pPr>
        <w:pStyle w:val="a3"/>
        <w:spacing w:before="120" w:beforeAutospacing="0" w:after="0" w:afterAutospacing="0"/>
        <w:jc w:val="both"/>
        <w:divId w:val="816845431"/>
        <w:rPr>
          <w:sz w:val="20"/>
          <w:szCs w:val="20"/>
        </w:rPr>
      </w:pPr>
      <w:r>
        <w:rPr>
          <w:sz w:val="20"/>
          <w:szCs w:val="20"/>
        </w:rPr>
        <w:t>The Company also contracts with health insurance and employee assistance (EAP) organizations to provide its therapy and p</w:t>
      </w:r>
      <w:r>
        <w:rPr>
          <w:sz w:val="20"/>
          <w:szCs w:val="20"/>
        </w:rPr>
        <w:t>sychiatry services to their eligible covered members. Revenue is recognized at a point in time, as virtual therapy or psych</w:t>
      </w:r>
      <w:r>
        <w:rPr>
          <w:sz w:val="20"/>
          <w:szCs w:val="20"/>
        </w:rPr>
        <w:t>i</w:t>
      </w:r>
      <w:r>
        <w:rPr>
          <w:sz w:val="20"/>
          <w:szCs w:val="20"/>
        </w:rPr>
        <w:t>atry session is rendered. Contracts with health insurance and EAP organizations include annual evergreen clauses and generally may b</w:t>
      </w:r>
      <w:r>
        <w:rPr>
          <w:sz w:val="20"/>
          <w:szCs w:val="20"/>
        </w:rPr>
        <w:t>e terminated by either party typically upon a minimum</w:t>
      </w:r>
      <w:r>
        <w:rPr>
          <w:sz w:val="20"/>
          <w:szCs w:val="20"/>
        </w:rPr>
        <w:t xml:space="preserve"> </w:t>
      </w:r>
      <w:r>
        <w:rPr>
          <w:sz w:val="20"/>
          <w:szCs w:val="20"/>
        </w:rPr>
        <w:t>3</w:t>
      </w:r>
      <w:r>
        <w:rPr>
          <w:sz w:val="20"/>
          <w:szCs w:val="20"/>
        </w:rPr>
        <w:t>0</w:t>
      </w:r>
      <w:r>
        <w:rPr>
          <w:sz w:val="20"/>
          <w:szCs w:val="20"/>
        </w:rPr>
        <w:t>-day advance notice</w:t>
      </w:r>
      <w:r>
        <w:rPr>
          <w:sz w:val="20"/>
          <w:szCs w:val="20"/>
        </w:rPr>
        <w:t>.</w:t>
      </w:r>
    </w:p>
    <w:p w:rsidR="00000000" w:rsidRDefault="00AF2D19">
      <w:pPr>
        <w:pStyle w:val="a3"/>
        <w:spacing w:before="120" w:beforeAutospacing="0" w:after="0" w:afterAutospacing="0"/>
        <w:jc w:val="both"/>
        <w:divId w:val="816845431"/>
        <w:rPr>
          <w:sz w:val="20"/>
          <w:szCs w:val="20"/>
        </w:rPr>
      </w:pPr>
      <w:r>
        <w:rPr>
          <w:sz w:val="20"/>
          <w:szCs w:val="20"/>
        </w:rPr>
        <w:t>The Company elected to use the practical expedient and recognize the incremental costs of obtaining contracts as an expense since the amortization period of the assets that the Co</w:t>
      </w:r>
      <w:r>
        <w:rPr>
          <w:sz w:val="20"/>
          <w:szCs w:val="20"/>
        </w:rPr>
        <w:t>mpany otherwise would have recognized is one year or less</w:t>
      </w:r>
      <w:r>
        <w:rPr>
          <w:sz w:val="20"/>
          <w:szCs w:val="20"/>
        </w:rPr>
        <w:t>.</w:t>
      </w:r>
    </w:p>
    <w:p w:rsidR="00000000" w:rsidRDefault="00AF2D19">
      <w:pPr>
        <w:pStyle w:val="a3"/>
        <w:spacing w:before="240" w:beforeAutospacing="0" w:after="0" w:afterAutospacing="0"/>
        <w:jc w:val="both"/>
        <w:divId w:val="816845431"/>
        <w:rPr>
          <w:sz w:val="20"/>
          <w:szCs w:val="20"/>
        </w:rPr>
      </w:pPr>
      <w:r>
        <w:rPr>
          <w:i/>
          <w:iCs/>
          <w:sz w:val="20"/>
          <w:szCs w:val="20"/>
        </w:rPr>
        <w:t>Deferred Revenu</w:t>
      </w:r>
      <w:r>
        <w:rPr>
          <w:i/>
          <w:iCs/>
          <w:sz w:val="20"/>
          <w:szCs w:val="20"/>
        </w:rPr>
        <w:t>e</w:t>
      </w:r>
    </w:p>
    <w:p w:rsidR="00000000" w:rsidRDefault="00AF2D19">
      <w:pPr>
        <w:pStyle w:val="a3"/>
        <w:spacing w:before="120" w:beforeAutospacing="0" w:after="0" w:afterAutospacing="0"/>
        <w:jc w:val="both"/>
        <w:divId w:val="816845431"/>
        <w:rPr>
          <w:sz w:val="20"/>
          <w:szCs w:val="20"/>
        </w:rPr>
      </w:pPr>
      <w:r>
        <w:rPr>
          <w:sz w:val="20"/>
          <w:szCs w:val="20"/>
        </w:rPr>
        <w:t>The Company records contract liabilities as deferred revenues, when it receives payments from customers before performance obligations have been performed and satisfied. The Compan</w:t>
      </w:r>
      <w:r>
        <w:rPr>
          <w:sz w:val="20"/>
          <w:szCs w:val="20"/>
        </w:rPr>
        <w:t>y recognizes deferred revenues as revenues in the statement of operations and comprehensive loss once performance obligations have been performed and satisfied. The balance of deferred revenues approximates the aggregate amount of the transaction price all</w:t>
      </w:r>
      <w:r>
        <w:rPr>
          <w:sz w:val="20"/>
          <w:szCs w:val="20"/>
        </w:rPr>
        <w:t>ocated to the unsatisfied performance obligations at th</w:t>
      </w:r>
      <w:r>
        <w:rPr>
          <w:sz w:val="20"/>
          <w:szCs w:val="20"/>
        </w:rPr>
        <w:t>e</w:t>
      </w:r>
      <w:r>
        <w:rPr>
          <w:sz w:val="20"/>
          <w:szCs w:val="20"/>
        </w:rPr>
        <w:t xml:space="preserve"> </w:t>
      </w:r>
    </w:p>
    <w:p w:rsidR="00000000" w:rsidRDefault="00AF2D19">
      <w:pPr>
        <w:pStyle w:val="a3"/>
        <w:spacing w:before="0" w:beforeAutospacing="0" w:after="0" w:afterAutospacing="0"/>
        <w:jc w:val="center"/>
        <w:divId w:val="816845431"/>
        <w:rPr>
          <w:sz w:val="20"/>
          <w:szCs w:val="20"/>
        </w:rPr>
      </w:pPr>
      <w:r>
        <w:rPr>
          <w:sz w:val="20"/>
          <w:szCs w:val="20"/>
        </w:rPr>
        <w:t>8</w:t>
      </w:r>
      <w:r>
        <w:rPr>
          <w:sz w:val="20"/>
          <w:szCs w:val="20"/>
        </w:rPr>
        <w:t>0</w:t>
      </w:r>
    </w:p>
    <w:p w:rsidR="00000000" w:rsidRDefault="00AF2D19">
      <w:pPr>
        <w:divId w:val="816845431"/>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AF2D19">
      <w:pPr>
        <w:pStyle w:val="a3"/>
        <w:spacing w:before="0" w:beforeAutospacing="0" w:after="0" w:afterAutospacing="0"/>
        <w:divId w:val="816845431"/>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divId w:val="816845431"/>
        <w:rPr>
          <w:sz w:val="20"/>
          <w:szCs w:val="20"/>
        </w:rPr>
      </w:pPr>
      <w:r>
        <w:rPr>
          <w:sz w:val="20"/>
          <w:szCs w:val="20"/>
        </w:rPr>
        <w:t>end of reporting period. The Company anticipates that it will satisfy all of its performance obligations asso</w:t>
      </w:r>
      <w:r>
        <w:rPr>
          <w:sz w:val="20"/>
          <w:szCs w:val="20"/>
        </w:rPr>
        <w:t>ciated with the</w:t>
      </w:r>
      <w:r>
        <w:rPr>
          <w:sz w:val="20"/>
          <w:szCs w:val="20"/>
        </w:rPr>
        <w:t xml:space="preserve"> </w:t>
      </w:r>
      <w:r>
        <w:rPr>
          <w:sz w:val="20"/>
          <w:szCs w:val="20"/>
        </w:rPr>
        <w:t>deferred revenue within the prospective fiscal year</w:t>
      </w:r>
      <w:r>
        <w:rPr>
          <w:sz w:val="20"/>
          <w:szCs w:val="20"/>
        </w:rPr>
        <w:t>.</w:t>
      </w:r>
    </w:p>
    <w:p w:rsidR="00000000" w:rsidRDefault="00AF2D19">
      <w:pPr>
        <w:pStyle w:val="a3"/>
        <w:spacing w:before="280" w:beforeAutospacing="0" w:after="0" w:afterAutospacing="0"/>
        <w:divId w:val="1678000218"/>
        <w:rPr>
          <w:sz w:val="20"/>
          <w:szCs w:val="20"/>
        </w:rPr>
      </w:pPr>
      <w:r>
        <w:rPr>
          <w:b/>
          <w:bCs/>
          <w:i/>
          <w:iCs/>
          <w:sz w:val="20"/>
          <w:szCs w:val="20"/>
        </w:rPr>
        <w:t>Cost of revenue</w:t>
      </w:r>
      <w:r>
        <w:rPr>
          <w:b/>
          <w:bCs/>
          <w:i/>
          <w:iCs/>
          <w:sz w:val="20"/>
          <w:szCs w:val="20"/>
        </w:rPr>
        <w:t>s</w:t>
      </w:r>
      <w:r>
        <w:rPr>
          <w:sz w:val="20"/>
          <w:szCs w:val="20"/>
        </w:rPr>
        <w:t xml:space="preserve"> </w:t>
      </w:r>
    </w:p>
    <w:p w:rsidR="00000000" w:rsidRDefault="00AF2D19">
      <w:pPr>
        <w:pStyle w:val="a3"/>
        <w:spacing w:before="120" w:beforeAutospacing="0" w:after="0" w:afterAutospacing="0"/>
        <w:jc w:val="both"/>
        <w:divId w:val="1678000218"/>
        <w:rPr>
          <w:sz w:val="20"/>
          <w:szCs w:val="20"/>
        </w:rPr>
      </w:pPr>
      <w:r>
        <w:rPr>
          <w:sz w:val="20"/>
          <w:szCs w:val="20"/>
        </w:rPr>
        <w:t>Cost of revenues consists of therapist payments and costs for cloud-based hosting and managing</w:t>
      </w:r>
      <w:r>
        <w:rPr>
          <w:sz w:val="20"/>
          <w:szCs w:val="20"/>
        </w:rPr>
        <w:t>.</w:t>
      </w:r>
      <w:r>
        <w:rPr>
          <w:sz w:val="20"/>
          <w:szCs w:val="20"/>
        </w:rPr>
        <w:t xml:space="preserve"> </w:t>
      </w:r>
    </w:p>
    <w:p w:rsidR="00000000" w:rsidRDefault="00AF2D19">
      <w:pPr>
        <w:pStyle w:val="a3"/>
        <w:spacing w:before="280" w:beforeAutospacing="0" w:after="0" w:afterAutospacing="0"/>
        <w:divId w:val="1245918223"/>
        <w:rPr>
          <w:sz w:val="20"/>
          <w:szCs w:val="20"/>
        </w:rPr>
      </w:pPr>
      <w:r>
        <w:rPr>
          <w:b/>
          <w:bCs/>
          <w:i/>
          <w:iCs/>
          <w:sz w:val="20"/>
          <w:szCs w:val="20"/>
        </w:rPr>
        <w:t>Operating expense</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divId w:val="1245918223"/>
        <w:rPr>
          <w:sz w:val="20"/>
          <w:szCs w:val="20"/>
        </w:rPr>
      </w:pPr>
      <w:r>
        <w:rPr>
          <w:sz w:val="20"/>
          <w:szCs w:val="20"/>
        </w:rPr>
        <w:t>Operating expenses consist of research and developme</w:t>
      </w:r>
      <w:r>
        <w:rPr>
          <w:sz w:val="20"/>
          <w:szCs w:val="20"/>
        </w:rPr>
        <w:t>nt, clinical operations, sales and marketing, and general and administrative expenses</w:t>
      </w:r>
      <w:r>
        <w:rPr>
          <w:sz w:val="20"/>
          <w:szCs w:val="20"/>
        </w:rPr>
        <w:t>.</w:t>
      </w:r>
      <w:r>
        <w:rPr>
          <w:sz w:val="20"/>
          <w:szCs w:val="20"/>
        </w:rPr>
        <w:t xml:space="preserve"> </w:t>
      </w:r>
    </w:p>
    <w:p w:rsidR="00000000" w:rsidRDefault="00AF2D19">
      <w:pPr>
        <w:pStyle w:val="a3"/>
        <w:spacing w:before="240" w:beforeAutospacing="0" w:after="0" w:afterAutospacing="0"/>
        <w:jc w:val="both"/>
        <w:divId w:val="1245918223"/>
        <w:rPr>
          <w:sz w:val="20"/>
          <w:szCs w:val="20"/>
        </w:rPr>
      </w:pPr>
      <w:r>
        <w:rPr>
          <w:i/>
          <w:iCs/>
          <w:sz w:val="20"/>
          <w:szCs w:val="20"/>
        </w:rPr>
        <w:t>Research and development expense</w:t>
      </w:r>
      <w:r>
        <w:rPr>
          <w:i/>
          <w:iCs/>
          <w:sz w:val="20"/>
          <w:szCs w:val="20"/>
        </w:rPr>
        <w:t>s</w:t>
      </w:r>
      <w:r>
        <w:rPr>
          <w:sz w:val="20"/>
          <w:szCs w:val="20"/>
        </w:rPr>
        <w:t xml:space="preserve"> </w:t>
      </w:r>
    </w:p>
    <w:p w:rsidR="00000000" w:rsidRDefault="00AF2D19">
      <w:pPr>
        <w:pStyle w:val="a3"/>
        <w:spacing w:before="120" w:beforeAutospacing="0" w:after="0" w:afterAutospacing="0"/>
        <w:jc w:val="both"/>
        <w:divId w:val="1245918223"/>
        <w:rPr>
          <w:sz w:val="20"/>
          <w:szCs w:val="20"/>
        </w:rPr>
      </w:pPr>
      <w:r>
        <w:rPr>
          <w:sz w:val="20"/>
          <w:szCs w:val="20"/>
        </w:rPr>
        <w:t>Research and development expenses include personnel and related expenses for software development and engineering, information technology infrastructure, security and privacy compliance and product development (inclusive of stock-based compensation for the</w:t>
      </w:r>
      <w:r>
        <w:rPr>
          <w:sz w:val="20"/>
          <w:szCs w:val="20"/>
        </w:rPr>
        <w:t xml:space="preserve"> Company’s research and development employees), third-party services and contractors related to research and development, information technology, software-related costs, and cost savings related to the application of research grant proceeds. Research grant</w:t>
      </w:r>
      <w:r>
        <w:rPr>
          <w:sz w:val="20"/>
          <w:szCs w:val="20"/>
        </w:rPr>
        <w:t xml:space="preserve"> proceeds for the years ending December 31, 2021 and 2020</w:t>
      </w:r>
      <w:r>
        <w:rPr>
          <w:sz w:val="20"/>
          <w:szCs w:val="20"/>
        </w:rPr>
        <w:t xml:space="preserve"> </w:t>
      </w:r>
      <w:r>
        <w:rPr>
          <w:sz w:val="20"/>
          <w:szCs w:val="20"/>
        </w:rPr>
        <w:t xml:space="preserve">were </w:t>
      </w:r>
      <w:r>
        <w:rPr>
          <w:sz w:val="20"/>
          <w:szCs w:val="20"/>
        </w:rPr>
        <w:t>$</w:t>
      </w:r>
      <w:r>
        <w:rPr>
          <w:sz w:val="20"/>
          <w:szCs w:val="20"/>
        </w:rPr>
        <w:t>1.</w:t>
      </w:r>
      <w:r>
        <w:rPr>
          <w:sz w:val="20"/>
          <w:szCs w:val="20"/>
        </w:rPr>
        <w:t>2</w:t>
      </w:r>
      <w:r>
        <w:rPr>
          <w:sz w:val="20"/>
          <w:szCs w:val="20"/>
        </w:rPr>
        <w:t xml:space="preserve"> million and </w:t>
      </w:r>
      <w:r>
        <w:rPr>
          <w:sz w:val="20"/>
          <w:szCs w:val="20"/>
        </w:rPr>
        <w:t>$</w:t>
      </w:r>
      <w:r>
        <w:rPr>
          <w:sz w:val="20"/>
          <w:szCs w:val="20"/>
        </w:rPr>
        <w:t>0.</w:t>
      </w:r>
      <w:r>
        <w:rPr>
          <w:sz w:val="20"/>
          <w:szCs w:val="20"/>
        </w:rPr>
        <w:t>1</w:t>
      </w:r>
      <w:r>
        <w:rPr>
          <w:sz w:val="20"/>
          <w:szCs w:val="20"/>
        </w:rPr>
        <w:t xml:space="preserve"> million,</w:t>
      </w:r>
      <w:r>
        <w:rPr>
          <w:sz w:val="20"/>
          <w:szCs w:val="20"/>
        </w:rPr>
        <w:t xml:space="preserve"> </w:t>
      </w:r>
      <w:r>
        <w:rPr>
          <w:sz w:val="20"/>
          <w:szCs w:val="20"/>
        </w:rPr>
        <w:t>respectively.</w:t>
      </w:r>
      <w:r>
        <w:rPr>
          <w:sz w:val="20"/>
          <w:szCs w:val="20"/>
        </w:rPr>
        <w:t xml:space="preserve"> </w:t>
      </w:r>
      <w:r>
        <w:rPr>
          <w:sz w:val="20"/>
          <w:szCs w:val="20"/>
        </w:rPr>
        <w:t>N</w:t>
      </w:r>
      <w:r>
        <w:rPr>
          <w:sz w:val="20"/>
          <w:szCs w:val="20"/>
        </w:rPr>
        <w:t>o</w:t>
      </w:r>
      <w:r>
        <w:rPr>
          <w:sz w:val="20"/>
          <w:szCs w:val="20"/>
        </w:rPr>
        <w:t xml:space="preserve"> research grant proceeds were received for the year ending December 31, 2019</w:t>
      </w:r>
      <w:r>
        <w:rPr>
          <w:sz w:val="20"/>
          <w:szCs w:val="20"/>
        </w:rPr>
        <w:t>.</w:t>
      </w:r>
    </w:p>
    <w:p w:rsidR="00000000" w:rsidRDefault="00AF2D19">
      <w:pPr>
        <w:pStyle w:val="a3"/>
        <w:spacing w:before="120" w:beforeAutospacing="0" w:after="0" w:afterAutospacing="0"/>
        <w:jc w:val="both"/>
        <w:divId w:val="1245918223"/>
        <w:rPr>
          <w:sz w:val="20"/>
          <w:szCs w:val="20"/>
        </w:rPr>
      </w:pPr>
      <w:r>
        <w:rPr>
          <w:sz w:val="20"/>
          <w:szCs w:val="20"/>
        </w:rPr>
        <w:t>Software development expenses also include costs to develop software</w:t>
      </w:r>
      <w:r>
        <w:rPr>
          <w:sz w:val="20"/>
          <w:szCs w:val="20"/>
        </w:rPr>
        <w:t xml:space="preserve"> to be used solely to meet internal needs and applications used to deliver our services. These software development costs meet the criteria for capitalization once the preliminary project stage is complete and it is probable that the project will be comple</w:t>
      </w:r>
      <w:r>
        <w:rPr>
          <w:sz w:val="20"/>
          <w:szCs w:val="20"/>
        </w:rPr>
        <w:t>ted and the software will be used to perform the function intended. Development costs that meet the criteria for capitalization were not material to date</w:t>
      </w:r>
      <w:r>
        <w:rPr>
          <w:sz w:val="20"/>
          <w:szCs w:val="20"/>
        </w:rPr>
        <w:t>.</w:t>
      </w:r>
      <w:r>
        <w:rPr>
          <w:sz w:val="20"/>
          <w:szCs w:val="20"/>
        </w:rPr>
        <w:t xml:space="preserve"> </w:t>
      </w:r>
    </w:p>
    <w:p w:rsidR="00000000" w:rsidRDefault="00AF2D19">
      <w:pPr>
        <w:pStyle w:val="a3"/>
        <w:spacing w:before="240" w:beforeAutospacing="0" w:after="0" w:afterAutospacing="0"/>
        <w:jc w:val="both"/>
        <w:divId w:val="1245918223"/>
        <w:rPr>
          <w:sz w:val="20"/>
          <w:szCs w:val="20"/>
        </w:rPr>
      </w:pPr>
      <w:r>
        <w:rPr>
          <w:i/>
          <w:iCs/>
          <w:sz w:val="20"/>
          <w:szCs w:val="20"/>
        </w:rPr>
        <w:t>Clinical operations expense</w:t>
      </w:r>
      <w:r>
        <w:rPr>
          <w:i/>
          <w:iCs/>
          <w:sz w:val="20"/>
          <w:szCs w:val="20"/>
        </w:rPr>
        <w:t>s</w:t>
      </w:r>
      <w:r>
        <w:rPr>
          <w:i/>
          <w:iCs/>
          <w:sz w:val="20"/>
          <w:szCs w:val="20"/>
        </w:rPr>
        <w:t xml:space="preserve"> </w:t>
      </w:r>
    </w:p>
    <w:p w:rsidR="00000000" w:rsidRDefault="00AF2D19">
      <w:pPr>
        <w:pStyle w:val="a3"/>
        <w:spacing w:before="120" w:beforeAutospacing="0" w:after="0" w:afterAutospacing="0"/>
        <w:jc w:val="both"/>
        <w:divId w:val="1245918223"/>
        <w:rPr>
          <w:sz w:val="20"/>
          <w:szCs w:val="20"/>
        </w:rPr>
      </w:pPr>
      <w:r>
        <w:rPr>
          <w:sz w:val="20"/>
          <w:szCs w:val="20"/>
        </w:rPr>
        <w:t>Clinical operations expenses are associated with the management of the</w:t>
      </w:r>
      <w:r>
        <w:rPr>
          <w:sz w:val="20"/>
          <w:szCs w:val="20"/>
        </w:rPr>
        <w:t xml:space="preserve"> Company’s network of therapists. Such costs consist of recruiting, credentialing, onboarding, training, performing ongoing quality assurance activities (inclusive of stock-based compensation for the Company’s clinical operations employees), costs of third</w:t>
      </w:r>
      <w:r>
        <w:rPr>
          <w:sz w:val="20"/>
          <w:szCs w:val="20"/>
        </w:rPr>
        <w:t>-party services and contractors related to recruiting and training and software-related costs</w:t>
      </w:r>
      <w:r>
        <w:rPr>
          <w:sz w:val="20"/>
          <w:szCs w:val="20"/>
        </w:rPr>
        <w:t>.</w:t>
      </w:r>
      <w:r>
        <w:rPr>
          <w:sz w:val="20"/>
          <w:szCs w:val="20"/>
        </w:rPr>
        <w:t xml:space="preserve"> </w:t>
      </w:r>
    </w:p>
    <w:p w:rsidR="00000000" w:rsidRDefault="00AF2D19">
      <w:pPr>
        <w:pStyle w:val="a3"/>
        <w:spacing w:before="240" w:beforeAutospacing="0" w:after="0" w:afterAutospacing="0"/>
        <w:jc w:val="both"/>
        <w:divId w:val="1245918223"/>
        <w:rPr>
          <w:sz w:val="20"/>
          <w:szCs w:val="20"/>
        </w:rPr>
      </w:pPr>
      <w:r>
        <w:rPr>
          <w:i/>
          <w:iCs/>
          <w:sz w:val="20"/>
          <w:szCs w:val="20"/>
        </w:rPr>
        <w:t>Sales and marketing expense</w:t>
      </w:r>
      <w:r>
        <w:rPr>
          <w:i/>
          <w:iCs/>
          <w:sz w:val="20"/>
          <w:szCs w:val="20"/>
        </w:rPr>
        <w:t>s</w:t>
      </w:r>
      <w:r>
        <w:rPr>
          <w:i/>
          <w:iCs/>
          <w:sz w:val="20"/>
          <w:szCs w:val="20"/>
        </w:rPr>
        <w:t xml:space="preserve"> </w:t>
      </w:r>
    </w:p>
    <w:p w:rsidR="00000000" w:rsidRDefault="00AF2D19">
      <w:pPr>
        <w:pStyle w:val="a3"/>
        <w:spacing w:before="120" w:beforeAutospacing="0" w:after="0" w:afterAutospacing="0"/>
        <w:jc w:val="both"/>
        <w:divId w:val="1245918223"/>
        <w:rPr>
          <w:sz w:val="20"/>
          <w:szCs w:val="20"/>
        </w:rPr>
      </w:pPr>
      <w:r>
        <w:rPr>
          <w:sz w:val="20"/>
          <w:szCs w:val="20"/>
        </w:rPr>
        <w:t>Sales expenses consist primarily of employee-related expenses, including salaries, benefits, commissions, travel and stock-based c</w:t>
      </w:r>
      <w:r>
        <w:rPr>
          <w:sz w:val="20"/>
          <w:szCs w:val="20"/>
        </w:rPr>
        <w:t>ompensation costs for the Company’s employees engaged in sales and account management</w:t>
      </w:r>
      <w:r>
        <w:rPr>
          <w:sz w:val="20"/>
          <w:szCs w:val="20"/>
        </w:rPr>
        <w:t>.</w:t>
      </w:r>
      <w:r>
        <w:rPr>
          <w:sz w:val="20"/>
          <w:szCs w:val="20"/>
        </w:rPr>
        <w:t xml:space="preserve"> </w:t>
      </w:r>
    </w:p>
    <w:p w:rsidR="00000000" w:rsidRDefault="00AF2D19">
      <w:pPr>
        <w:pStyle w:val="a3"/>
        <w:spacing w:before="120" w:beforeAutospacing="0" w:after="0" w:afterAutospacing="0"/>
        <w:jc w:val="both"/>
        <w:divId w:val="1245918223"/>
        <w:rPr>
          <w:sz w:val="20"/>
          <w:szCs w:val="20"/>
        </w:rPr>
      </w:pPr>
      <w:r>
        <w:rPr>
          <w:sz w:val="20"/>
          <w:szCs w:val="20"/>
        </w:rPr>
        <w:t>Marketing expenses consist primarily of advertising and marketing expenses for consumer acquisition and engagement, as well as personnel costs, including salaries, bene</w:t>
      </w:r>
      <w:r>
        <w:rPr>
          <w:sz w:val="20"/>
          <w:szCs w:val="20"/>
        </w:rPr>
        <w:t>fits, bonuses, stock-based compensation expense for marketing employees and third-party services and contractors. Marketing expenses also include third-party software subscription services, third-party independent research, participation in trade shows, br</w:t>
      </w:r>
      <w:r>
        <w:rPr>
          <w:sz w:val="20"/>
          <w:szCs w:val="20"/>
        </w:rPr>
        <w:t>and messaging and costs of communications materials that are produced for the Company’s clients to generate greater awareness and utilization of our platform among our health plan and enterprise clients</w:t>
      </w:r>
      <w:r>
        <w:rPr>
          <w:sz w:val="20"/>
          <w:szCs w:val="20"/>
        </w:rPr>
        <w:t>.</w:t>
      </w:r>
      <w:r>
        <w:rPr>
          <w:sz w:val="20"/>
          <w:szCs w:val="20"/>
        </w:rPr>
        <w:t xml:space="preserve"> </w:t>
      </w:r>
    </w:p>
    <w:p w:rsidR="00000000" w:rsidRDefault="00AF2D19">
      <w:pPr>
        <w:pStyle w:val="a3"/>
        <w:spacing w:before="120" w:beforeAutospacing="0" w:after="0" w:afterAutospacing="0"/>
        <w:jc w:val="both"/>
        <w:divId w:val="1245918223"/>
        <w:rPr>
          <w:sz w:val="20"/>
          <w:szCs w:val="20"/>
        </w:rPr>
      </w:pPr>
      <w:r>
        <w:rPr>
          <w:sz w:val="20"/>
          <w:szCs w:val="20"/>
        </w:rPr>
        <w:t>Advertising costs are expensed when incurred and in</w:t>
      </w:r>
      <w:r>
        <w:rPr>
          <w:sz w:val="20"/>
          <w:szCs w:val="20"/>
        </w:rPr>
        <w:t>clude all campaigns to the Company’s platform. For the years ended December 31, 2021, 2020 and 2019 advertising expenses</w:t>
      </w:r>
      <w:r>
        <w:rPr>
          <w:sz w:val="20"/>
          <w:szCs w:val="20"/>
        </w:rPr>
        <w:t xml:space="preserve"> </w:t>
      </w:r>
      <w:r>
        <w:rPr>
          <w:sz w:val="20"/>
          <w:szCs w:val="20"/>
        </w:rPr>
        <w:t xml:space="preserve">were </w:t>
      </w:r>
      <w:r>
        <w:rPr>
          <w:sz w:val="20"/>
          <w:szCs w:val="20"/>
        </w:rPr>
        <w:t>$</w:t>
      </w:r>
      <w:r>
        <w:rPr>
          <w:sz w:val="20"/>
          <w:szCs w:val="20"/>
        </w:rPr>
        <w:t>69.</w:t>
      </w:r>
      <w:r>
        <w:rPr>
          <w:sz w:val="20"/>
          <w:szCs w:val="20"/>
        </w:rPr>
        <w:t>3</w:t>
      </w:r>
      <w:r>
        <w:rPr>
          <w:sz w:val="20"/>
          <w:szCs w:val="20"/>
        </w:rPr>
        <w:t xml:space="preserve"> million, </w:t>
      </w:r>
      <w:r>
        <w:rPr>
          <w:sz w:val="20"/>
          <w:szCs w:val="20"/>
        </w:rPr>
        <w:t>$</w:t>
      </w:r>
      <w:r>
        <w:rPr>
          <w:sz w:val="20"/>
          <w:szCs w:val="20"/>
        </w:rPr>
        <w:t>31.</w:t>
      </w:r>
      <w:r>
        <w:rPr>
          <w:sz w:val="20"/>
          <w:szCs w:val="20"/>
        </w:rPr>
        <w:t>5</w:t>
      </w:r>
      <w:r>
        <w:rPr>
          <w:sz w:val="20"/>
          <w:szCs w:val="20"/>
        </w:rPr>
        <w:t xml:space="preserve"> million and </w:t>
      </w:r>
      <w:r>
        <w:rPr>
          <w:sz w:val="20"/>
          <w:szCs w:val="20"/>
        </w:rPr>
        <w:t>$</w:t>
      </w:r>
      <w:r>
        <w:rPr>
          <w:sz w:val="20"/>
          <w:szCs w:val="20"/>
        </w:rPr>
        <w:t>18.</w:t>
      </w:r>
      <w:r>
        <w:rPr>
          <w:sz w:val="20"/>
          <w:szCs w:val="20"/>
        </w:rPr>
        <w:t>9</w:t>
      </w:r>
      <w:r>
        <w:rPr>
          <w:sz w:val="20"/>
          <w:szCs w:val="20"/>
        </w:rPr>
        <w:t xml:space="preserve"> million, respectively</w:t>
      </w:r>
      <w:r>
        <w:rPr>
          <w:sz w:val="20"/>
          <w:szCs w:val="20"/>
        </w:rPr>
        <w:t>.</w:t>
      </w:r>
    </w:p>
    <w:p w:rsidR="00000000" w:rsidRDefault="00AF2D19">
      <w:pPr>
        <w:pStyle w:val="a3"/>
        <w:spacing w:before="240" w:beforeAutospacing="0" w:after="0" w:afterAutospacing="0"/>
        <w:jc w:val="both"/>
        <w:divId w:val="1245918223"/>
        <w:rPr>
          <w:sz w:val="20"/>
          <w:szCs w:val="20"/>
        </w:rPr>
      </w:pPr>
      <w:r>
        <w:rPr>
          <w:i/>
          <w:iCs/>
          <w:sz w:val="20"/>
          <w:szCs w:val="20"/>
        </w:rPr>
        <w:t>General and administrative expense</w:t>
      </w:r>
      <w:r>
        <w:rPr>
          <w:i/>
          <w:iCs/>
          <w:sz w:val="20"/>
          <w:szCs w:val="20"/>
        </w:rPr>
        <w:t>s</w:t>
      </w:r>
      <w:r>
        <w:rPr>
          <w:i/>
          <w:iCs/>
          <w:sz w:val="20"/>
          <w:szCs w:val="20"/>
        </w:rPr>
        <w:t xml:space="preserve"> </w:t>
      </w:r>
    </w:p>
    <w:p w:rsidR="00000000" w:rsidRDefault="00AF2D19">
      <w:pPr>
        <w:pStyle w:val="a3"/>
        <w:spacing w:before="120" w:beforeAutospacing="0" w:after="0" w:afterAutospacing="0"/>
        <w:jc w:val="both"/>
        <w:divId w:val="1245918223"/>
        <w:rPr>
          <w:sz w:val="20"/>
          <w:szCs w:val="20"/>
        </w:rPr>
      </w:pPr>
      <w:r>
        <w:rPr>
          <w:sz w:val="20"/>
          <w:szCs w:val="20"/>
        </w:rPr>
        <w:t>General and administrative expe</w:t>
      </w:r>
      <w:r>
        <w:rPr>
          <w:sz w:val="20"/>
          <w:szCs w:val="20"/>
        </w:rPr>
        <w:t>nses consist primarily of personnel costs, including salaries, benefits, bonuses and stock-based compensation expense for the Company’</w:t>
      </w:r>
      <w:r>
        <w:rPr>
          <w:sz w:val="20"/>
          <w:szCs w:val="20"/>
        </w:rPr>
        <w:t>s</w:t>
      </w:r>
      <w:r>
        <w:rPr>
          <w:sz w:val="20"/>
          <w:szCs w:val="20"/>
        </w:rPr>
        <w:t xml:space="preserve"> executive, finance, accounting, legal and human resources functions, as well as professional fees, occupancy costs, and </w:t>
      </w:r>
      <w:r>
        <w:rPr>
          <w:sz w:val="20"/>
          <w:szCs w:val="20"/>
        </w:rPr>
        <w:t>other general overhead costs</w:t>
      </w:r>
      <w:r>
        <w:rPr>
          <w:sz w:val="20"/>
          <w:szCs w:val="20"/>
        </w:rPr>
        <w:t>.</w:t>
      </w:r>
      <w:r>
        <w:rPr>
          <w:sz w:val="20"/>
          <w:szCs w:val="20"/>
        </w:rPr>
        <w:t xml:space="preserve"> </w:t>
      </w:r>
    </w:p>
    <w:p w:rsidR="00000000" w:rsidRDefault="00AF2D19">
      <w:pPr>
        <w:pStyle w:val="a3"/>
        <w:spacing w:before="0" w:beforeAutospacing="0" w:after="0" w:afterAutospacing="0"/>
        <w:jc w:val="center"/>
        <w:divId w:val="815731110"/>
        <w:rPr>
          <w:sz w:val="20"/>
          <w:szCs w:val="20"/>
        </w:rPr>
      </w:pPr>
      <w:r>
        <w:rPr>
          <w:sz w:val="20"/>
          <w:szCs w:val="20"/>
        </w:rPr>
        <w:t>8</w:t>
      </w:r>
      <w:r>
        <w:rPr>
          <w:sz w:val="20"/>
          <w:szCs w:val="20"/>
        </w:rPr>
        <w:t>1</w:t>
      </w:r>
    </w:p>
    <w:p w:rsidR="00000000" w:rsidRDefault="00AF2D19">
      <w:pPr>
        <w:divId w:val="815731110"/>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AF2D19">
      <w:pPr>
        <w:pStyle w:val="a3"/>
        <w:spacing w:before="0" w:beforeAutospacing="0" w:after="0" w:afterAutospacing="0"/>
        <w:divId w:val="81573111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divId w:val="961039783"/>
        <w:rPr>
          <w:sz w:val="20"/>
          <w:szCs w:val="20"/>
        </w:rPr>
      </w:pPr>
      <w:r>
        <w:rPr>
          <w:b/>
          <w:bCs/>
          <w:i/>
          <w:iCs/>
          <w:sz w:val="20"/>
          <w:szCs w:val="20"/>
        </w:rPr>
        <w:t>Concentrations of credit ris</w:t>
      </w:r>
      <w:r>
        <w:rPr>
          <w:b/>
          <w:bCs/>
          <w:i/>
          <w:iCs/>
          <w:sz w:val="20"/>
          <w:szCs w:val="20"/>
        </w:rPr>
        <w:t>k</w:t>
      </w:r>
      <w:r>
        <w:rPr>
          <w:b/>
          <w:bCs/>
          <w:i/>
          <w:iCs/>
          <w:sz w:val="20"/>
          <w:szCs w:val="20"/>
        </w:rPr>
        <w:t>s</w:t>
      </w:r>
      <w:r>
        <w:rPr>
          <w:sz w:val="20"/>
          <w:szCs w:val="20"/>
        </w:rPr>
        <w:t xml:space="preserve"> </w:t>
      </w:r>
    </w:p>
    <w:p w:rsidR="00000000" w:rsidRDefault="00AF2D19">
      <w:pPr>
        <w:pStyle w:val="a3"/>
        <w:spacing w:before="120" w:beforeAutospacing="0" w:after="0" w:afterAutospacing="0"/>
        <w:jc w:val="both"/>
        <w:divId w:val="961039783"/>
        <w:rPr>
          <w:sz w:val="20"/>
          <w:szCs w:val="20"/>
        </w:rPr>
      </w:pPr>
      <w:r>
        <w:rPr>
          <w:sz w:val="20"/>
          <w:szCs w:val="20"/>
        </w:rPr>
        <w:t>Financial instruments that potentially subject the Company and its subsidiaries to concentrations of cred</w:t>
      </w:r>
      <w:r>
        <w:rPr>
          <w:sz w:val="20"/>
          <w:szCs w:val="20"/>
        </w:rPr>
        <w:t>it risk consist principally of cash and cash equivalents and accounts receivable</w:t>
      </w:r>
      <w:r>
        <w:rPr>
          <w:sz w:val="20"/>
          <w:szCs w:val="20"/>
        </w:rPr>
        <w:t>.</w:t>
      </w:r>
      <w:r>
        <w:rPr>
          <w:sz w:val="20"/>
          <w:szCs w:val="20"/>
        </w:rPr>
        <w:t xml:space="preserve"> </w:t>
      </w:r>
    </w:p>
    <w:p w:rsidR="00000000" w:rsidRDefault="00AF2D19">
      <w:pPr>
        <w:pStyle w:val="a3"/>
        <w:spacing w:before="120" w:beforeAutospacing="0" w:after="0" w:afterAutospacing="0"/>
        <w:jc w:val="both"/>
        <w:divId w:val="961039783"/>
        <w:rPr>
          <w:sz w:val="20"/>
          <w:szCs w:val="20"/>
        </w:rPr>
      </w:pPr>
      <w:r>
        <w:rPr>
          <w:sz w:val="20"/>
          <w:szCs w:val="20"/>
        </w:rPr>
        <w:t>The majority of the Company’s cash and cash equivalents are maintained in U.S. dollar. Generally, these cash and cash equivalents and deposits may be redeemed upon demand. A</w:t>
      </w:r>
      <w:r>
        <w:rPr>
          <w:sz w:val="20"/>
          <w:szCs w:val="20"/>
        </w:rPr>
        <w:t xml:space="preserve">lthough the Company deposits its cash with multiple financial institutions in U.S. its deposits, at times, may exceed federally insured limits. Management believes that the financial institutions that hold the Company’s and its subsidiaries’ cash and cash </w:t>
      </w:r>
      <w:r>
        <w:rPr>
          <w:sz w:val="20"/>
          <w:szCs w:val="20"/>
        </w:rPr>
        <w:t>equivalents are institutions with high credit standing, and accordingly, minimal credit risk exists with respect to these assets</w:t>
      </w:r>
      <w:r>
        <w:rPr>
          <w:sz w:val="20"/>
          <w:szCs w:val="20"/>
        </w:rPr>
        <w:t>.</w:t>
      </w:r>
      <w:r>
        <w:rPr>
          <w:sz w:val="20"/>
          <w:szCs w:val="20"/>
        </w:rPr>
        <w:t xml:space="preserve"> </w:t>
      </w:r>
    </w:p>
    <w:p w:rsidR="00000000" w:rsidRDefault="00AF2D19">
      <w:pPr>
        <w:pStyle w:val="a3"/>
        <w:spacing w:before="120" w:beforeAutospacing="0" w:after="0" w:afterAutospacing="0"/>
        <w:jc w:val="both"/>
        <w:divId w:val="961039783"/>
        <w:rPr>
          <w:sz w:val="20"/>
          <w:szCs w:val="20"/>
        </w:rPr>
      </w:pPr>
      <w:r>
        <w:rPr>
          <w:sz w:val="20"/>
          <w:szCs w:val="20"/>
        </w:rPr>
        <w:t>The Company’s accounts receivable are derived from sales to customers in the United States. Concentration of credit risk with</w:t>
      </w:r>
      <w:r>
        <w:rPr>
          <w:sz w:val="20"/>
          <w:szCs w:val="20"/>
        </w:rPr>
        <w:t xml:space="preserve"> respect to accounts receivable is limited by credit limits, ongoing credit evaluation and account monitoring procedures</w:t>
      </w:r>
      <w:r>
        <w:rPr>
          <w:sz w:val="20"/>
          <w:szCs w:val="20"/>
        </w:rPr>
        <w:t>.</w:t>
      </w:r>
      <w:r>
        <w:rPr>
          <w:sz w:val="20"/>
          <w:szCs w:val="20"/>
        </w:rPr>
        <w:t xml:space="preserve"> </w:t>
      </w:r>
    </w:p>
    <w:p w:rsidR="00000000" w:rsidRDefault="00AF2D19">
      <w:pPr>
        <w:pStyle w:val="a3"/>
        <w:spacing w:before="240" w:beforeAutospacing="0" w:after="0" w:afterAutospacing="0"/>
        <w:jc w:val="both"/>
        <w:divId w:val="514542202"/>
        <w:rPr>
          <w:sz w:val="20"/>
          <w:szCs w:val="20"/>
        </w:rPr>
      </w:pPr>
      <w:r>
        <w:rPr>
          <w:b/>
          <w:bCs/>
          <w:i/>
          <w:iCs/>
          <w:sz w:val="20"/>
          <w:szCs w:val="20"/>
          <w:u w:val="single"/>
        </w:rPr>
        <w:t>Revenue Reserve</w:t>
      </w:r>
      <w:r>
        <w:rPr>
          <w:b/>
          <w:bCs/>
          <w:i/>
          <w:iCs/>
          <w:sz w:val="20"/>
          <w:szCs w:val="20"/>
          <w:u w:val="single"/>
        </w:rPr>
        <w:t>s</w:t>
      </w:r>
    </w:p>
    <w:p w:rsidR="00000000" w:rsidRDefault="00AF2D19">
      <w:pPr>
        <w:pStyle w:val="a3"/>
        <w:spacing w:before="120" w:beforeAutospacing="0" w:after="0" w:afterAutospacing="0"/>
        <w:jc w:val="both"/>
        <w:divId w:val="514542202"/>
        <w:rPr>
          <w:sz w:val="20"/>
          <w:szCs w:val="20"/>
        </w:rPr>
      </w:pPr>
      <w:r>
        <w:rPr>
          <w:sz w:val="20"/>
          <w:szCs w:val="20"/>
        </w:rPr>
        <w:t>Revenue reserves relate primarily to allowances for balances which collection is uncertain and estimated refunds. Ac</w:t>
      </w:r>
      <w:r>
        <w:rPr>
          <w:sz w:val="20"/>
          <w:szCs w:val="20"/>
        </w:rPr>
        <w:t>count receivables are recorded at the invoiced amount and amounts for which revenue has been recognized but not invoiced, net of the impact from revenue reserves. Revenue reserves are based on the Company’s assessment of historical collection experience. T</w:t>
      </w:r>
      <w:r>
        <w:rPr>
          <w:sz w:val="20"/>
          <w:szCs w:val="20"/>
        </w:rPr>
        <w:t xml:space="preserve">he Company regularly reviews the adequacy of its reserve based on a combination of factors, including an assessment of the current customer’s aging balance, the nature of the balance and any receivables in dispute. </w:t>
      </w:r>
      <w:r>
        <w:rPr>
          <w:sz w:val="20"/>
          <w:szCs w:val="20"/>
        </w:rPr>
        <w:t>T</w:t>
      </w:r>
      <w:r>
        <w:rPr>
          <w:sz w:val="20"/>
          <w:szCs w:val="20"/>
        </w:rPr>
        <w:t>he Company accrues for estimated refunds</w:t>
      </w:r>
      <w:r>
        <w:rPr>
          <w:sz w:val="20"/>
          <w:szCs w:val="20"/>
        </w:rPr>
        <w:t xml:space="preserve"> in the period in which the related revenue is recognized.</w:t>
      </w:r>
      <w:r>
        <w:rPr>
          <w:sz w:val="20"/>
          <w:szCs w:val="20"/>
        </w:rPr>
        <w:t xml:space="preserve"> </w:t>
      </w:r>
      <w:r>
        <w:rPr>
          <w:sz w:val="20"/>
          <w:szCs w:val="20"/>
        </w:rPr>
        <w:t>Revenue reserves are recorded as a reduction against revenue when identified</w:t>
      </w:r>
      <w:r>
        <w:rPr>
          <w:sz w:val="20"/>
          <w:szCs w:val="20"/>
        </w:rPr>
        <w:t>.</w:t>
      </w:r>
      <w:r>
        <w:rPr>
          <w:sz w:val="20"/>
          <w:szCs w:val="20"/>
        </w:rPr>
        <w:t xml:space="preserve"> </w:t>
      </w:r>
      <w:r>
        <w:rPr>
          <w:sz w:val="20"/>
          <w:szCs w:val="20"/>
        </w:rPr>
        <w:t>Refer to Note 5, “Revenue Recognition” for further information</w:t>
      </w:r>
      <w:r>
        <w:rPr>
          <w:sz w:val="20"/>
          <w:szCs w:val="20"/>
        </w:rPr>
        <w:t>.</w:t>
      </w:r>
    </w:p>
    <w:p w:rsidR="00000000" w:rsidRDefault="00AF2D19">
      <w:pPr>
        <w:pStyle w:val="a3"/>
        <w:spacing w:before="120" w:beforeAutospacing="0" w:after="0" w:afterAutospacing="0"/>
        <w:jc w:val="both"/>
        <w:divId w:val="514542202"/>
        <w:rPr>
          <w:sz w:val="20"/>
          <w:szCs w:val="20"/>
        </w:rPr>
      </w:pPr>
      <w:r>
        <w:rPr>
          <w:sz w:val="20"/>
          <w:szCs w:val="20"/>
        </w:rPr>
        <w:t>No single customer represented</w:t>
      </w:r>
      <w:r>
        <w:rPr>
          <w:sz w:val="20"/>
          <w:szCs w:val="20"/>
        </w:rPr>
        <w:t xml:space="preserve"> </w:t>
      </w:r>
      <w:r>
        <w:rPr>
          <w:sz w:val="20"/>
          <w:szCs w:val="20"/>
        </w:rPr>
        <w:t>1</w:t>
      </w:r>
      <w:r>
        <w:rPr>
          <w:sz w:val="20"/>
          <w:szCs w:val="20"/>
        </w:rPr>
        <w:t>0</w:t>
      </w:r>
      <w:r>
        <w:rPr>
          <w:sz w:val="20"/>
          <w:szCs w:val="20"/>
        </w:rPr>
        <w:t>% or more of total rev</w:t>
      </w:r>
      <w:r>
        <w:rPr>
          <w:sz w:val="20"/>
          <w:szCs w:val="20"/>
        </w:rPr>
        <w:t>enue during the years ended December 31, 2021, 2020 and 2019. As of December 31, 2021, one customer represents</w:t>
      </w:r>
      <w:r>
        <w:rPr>
          <w:sz w:val="20"/>
          <w:szCs w:val="20"/>
        </w:rPr>
        <w:t xml:space="preserve"> </w:t>
      </w:r>
      <w:r>
        <w:rPr>
          <w:sz w:val="20"/>
          <w:szCs w:val="20"/>
        </w:rPr>
        <w:t>16.</w:t>
      </w:r>
      <w:r>
        <w:rPr>
          <w:sz w:val="20"/>
          <w:szCs w:val="20"/>
        </w:rPr>
        <w:t>8</w:t>
      </w:r>
      <w:r>
        <w:rPr>
          <w:sz w:val="20"/>
          <w:szCs w:val="20"/>
        </w:rPr>
        <w:t>% of the accounts receivable balance. As of December 31, 2020, one customer represented</w:t>
      </w:r>
      <w:r>
        <w:rPr>
          <w:sz w:val="20"/>
          <w:szCs w:val="20"/>
        </w:rPr>
        <w:t xml:space="preserve"> </w:t>
      </w:r>
      <w:r>
        <w:rPr>
          <w:sz w:val="20"/>
          <w:szCs w:val="20"/>
        </w:rPr>
        <w:t>26.</w:t>
      </w:r>
      <w:r>
        <w:rPr>
          <w:sz w:val="20"/>
          <w:szCs w:val="20"/>
        </w:rPr>
        <w:t>6</w:t>
      </w:r>
      <w:r>
        <w:rPr>
          <w:sz w:val="20"/>
          <w:szCs w:val="20"/>
        </w:rPr>
        <w:t>% of the accounts receivable balance. As of Decem</w:t>
      </w:r>
      <w:r>
        <w:rPr>
          <w:sz w:val="20"/>
          <w:szCs w:val="20"/>
        </w:rPr>
        <w:t>ber 31, 2019, three customers represented</w:t>
      </w:r>
      <w:r>
        <w:rPr>
          <w:sz w:val="20"/>
          <w:szCs w:val="20"/>
        </w:rPr>
        <w:t xml:space="preserve"> </w:t>
      </w:r>
      <w:r>
        <w:rPr>
          <w:sz w:val="20"/>
          <w:szCs w:val="20"/>
        </w:rPr>
        <w:t>25.</w:t>
      </w:r>
      <w:r>
        <w:rPr>
          <w:sz w:val="20"/>
          <w:szCs w:val="20"/>
        </w:rPr>
        <w:t>7</w:t>
      </w:r>
      <w:r>
        <w:rPr>
          <w:sz w:val="20"/>
          <w:szCs w:val="20"/>
        </w:rPr>
        <w:t>%,</w:t>
      </w:r>
      <w:r>
        <w:rPr>
          <w:sz w:val="20"/>
          <w:szCs w:val="20"/>
        </w:rPr>
        <w:t xml:space="preserve"> </w:t>
      </w:r>
      <w:r>
        <w:rPr>
          <w:sz w:val="20"/>
          <w:szCs w:val="20"/>
        </w:rPr>
        <w:t>12.</w:t>
      </w:r>
      <w:r>
        <w:rPr>
          <w:sz w:val="20"/>
          <w:szCs w:val="20"/>
        </w:rPr>
        <w:t>6</w:t>
      </w:r>
      <w:r>
        <w:rPr>
          <w:sz w:val="20"/>
          <w:szCs w:val="20"/>
        </w:rPr>
        <w:t>% and</w:t>
      </w:r>
      <w:r>
        <w:rPr>
          <w:sz w:val="20"/>
          <w:szCs w:val="20"/>
        </w:rPr>
        <w:t xml:space="preserve"> </w:t>
      </w:r>
      <w:r>
        <w:rPr>
          <w:sz w:val="20"/>
          <w:szCs w:val="20"/>
        </w:rPr>
        <w:t>10.</w:t>
      </w:r>
      <w:r>
        <w:rPr>
          <w:sz w:val="20"/>
          <w:szCs w:val="20"/>
        </w:rPr>
        <w:t>8</w:t>
      </w:r>
      <w:r>
        <w:rPr>
          <w:sz w:val="20"/>
          <w:szCs w:val="20"/>
        </w:rPr>
        <w:t>% of the accounts receivable balance</w:t>
      </w:r>
      <w:r>
        <w:rPr>
          <w:sz w:val="20"/>
          <w:szCs w:val="20"/>
        </w:rPr>
        <w:t>.</w:t>
      </w:r>
    </w:p>
    <w:p w:rsidR="00000000" w:rsidRDefault="00AF2D19">
      <w:pPr>
        <w:pStyle w:val="a3"/>
        <w:spacing w:before="0" w:beforeAutospacing="0" w:after="0" w:afterAutospacing="0"/>
        <w:jc w:val="both"/>
        <w:divId w:val="815731110"/>
        <w:rPr>
          <w:sz w:val="20"/>
          <w:szCs w:val="20"/>
        </w:rPr>
      </w:pPr>
      <w:r>
        <w:rPr>
          <w:sz w:val="20"/>
          <w:szCs w:val="20"/>
        </w:rPr>
        <w:t> </w:t>
      </w:r>
    </w:p>
    <w:p w:rsidR="00000000" w:rsidRDefault="00AF2D19">
      <w:pPr>
        <w:pStyle w:val="a3"/>
        <w:spacing w:before="120" w:beforeAutospacing="0" w:after="0" w:afterAutospacing="0"/>
        <w:jc w:val="both"/>
        <w:divId w:val="1420132197"/>
        <w:rPr>
          <w:sz w:val="20"/>
          <w:szCs w:val="20"/>
        </w:rPr>
      </w:pPr>
      <w:r>
        <w:rPr>
          <w:b/>
          <w:bCs/>
          <w:i/>
          <w:iCs/>
          <w:sz w:val="20"/>
          <w:szCs w:val="20"/>
        </w:rPr>
        <w:t>Stock-based compensatio</w:t>
      </w:r>
      <w:r>
        <w:rPr>
          <w:b/>
          <w:bCs/>
          <w:i/>
          <w:iCs/>
          <w:sz w:val="20"/>
          <w:szCs w:val="20"/>
        </w:rPr>
        <w:t>n</w:t>
      </w:r>
      <w:r>
        <w:rPr>
          <w:b/>
          <w:bCs/>
          <w:i/>
          <w:iCs/>
          <w:sz w:val="20"/>
          <w:szCs w:val="20"/>
        </w:rPr>
        <w:t xml:space="preserve"> </w:t>
      </w:r>
    </w:p>
    <w:p w:rsidR="00000000" w:rsidRDefault="00AF2D19">
      <w:pPr>
        <w:pStyle w:val="a3"/>
        <w:spacing w:before="120" w:beforeAutospacing="0" w:after="0" w:afterAutospacing="0"/>
        <w:jc w:val="both"/>
        <w:divId w:val="1420132197"/>
        <w:rPr>
          <w:sz w:val="20"/>
          <w:szCs w:val="20"/>
        </w:rPr>
      </w:pPr>
      <w:r>
        <w:rPr>
          <w:sz w:val="20"/>
          <w:szCs w:val="20"/>
        </w:rPr>
        <w:t>The Company accounts for stock-based compensation in accordance with ASC 718,“Compensation-Stock Compensation”, which requires compensation expenses to be recognized in the consolidated statements of operations and comprehensive loss at grant date fair val</w:t>
      </w:r>
      <w:r>
        <w:rPr>
          <w:sz w:val="20"/>
          <w:szCs w:val="20"/>
        </w:rPr>
        <w:t>ue over the requisite service period of each of the awards. The Company recognizes forfeitures of awards as they occur</w:t>
      </w:r>
      <w:r>
        <w:rPr>
          <w:sz w:val="20"/>
          <w:szCs w:val="20"/>
        </w:rPr>
        <w:t>.</w:t>
      </w:r>
      <w:r>
        <w:rPr>
          <w:sz w:val="20"/>
          <w:szCs w:val="20"/>
        </w:rPr>
        <w:t xml:space="preserve"> </w:t>
      </w:r>
    </w:p>
    <w:p w:rsidR="00000000" w:rsidRDefault="00AF2D19">
      <w:pPr>
        <w:pStyle w:val="a3"/>
        <w:spacing w:before="120" w:beforeAutospacing="0" w:after="0" w:afterAutospacing="0"/>
        <w:jc w:val="both"/>
        <w:divId w:val="1420132197"/>
        <w:rPr>
          <w:sz w:val="20"/>
          <w:szCs w:val="20"/>
        </w:rPr>
      </w:pPr>
      <w:r>
        <w:rPr>
          <w:sz w:val="20"/>
          <w:szCs w:val="20"/>
        </w:rPr>
        <w:t>The fair value of restricted stock units is measured as the grant-date closing price of the Company’s common stock. The fair value of s</w:t>
      </w:r>
      <w:r>
        <w:rPr>
          <w:sz w:val="20"/>
          <w:szCs w:val="20"/>
        </w:rPr>
        <w:t>tock options is determined using the Black-Scholes-Merton option pricing model. The option-pricing model requires a number of assumptions, of which the most significant are the expected stock price volatility and the expected option term. Expected volatili</w:t>
      </w:r>
      <w:r>
        <w:rPr>
          <w:sz w:val="20"/>
          <w:szCs w:val="20"/>
        </w:rPr>
        <w:t>ty was calculated based upon similar traded companies’ historical share price movements as adequate historical experience is not available to provide a reasonable estimate. Expected term is calculated based on the simplified method as adequate historical e</w:t>
      </w:r>
      <w:r>
        <w:rPr>
          <w:sz w:val="20"/>
          <w:szCs w:val="20"/>
        </w:rPr>
        <w:t>xperience is not available to provide a reasonable estimate. The simplified method will continue to apply until enough historical experience is available to provide a reasonable estimate of the expected term. The risk-free interest rate is calculated based</w:t>
      </w:r>
      <w:r>
        <w:rPr>
          <w:sz w:val="20"/>
          <w:szCs w:val="20"/>
        </w:rPr>
        <w:t xml:space="preserve"> on the yield from U.S. Treasury zero-coupon bonds with an equivalent term. The Company has historically not paid dividends and have no foreseeable plans to pay dividends</w:t>
      </w:r>
      <w:r>
        <w:rPr>
          <w:sz w:val="20"/>
          <w:szCs w:val="20"/>
        </w:rPr>
        <w:t>.</w:t>
      </w:r>
    </w:p>
    <w:p w:rsidR="00000000" w:rsidRDefault="00AF2D19">
      <w:pPr>
        <w:pStyle w:val="a3"/>
        <w:spacing w:before="240" w:beforeAutospacing="0" w:after="0" w:afterAutospacing="0"/>
        <w:divId w:val="1420132197"/>
        <w:rPr>
          <w:sz w:val="20"/>
          <w:szCs w:val="20"/>
        </w:rPr>
      </w:pPr>
      <w:r>
        <w:rPr>
          <w:i/>
          <w:iCs/>
          <w:sz w:val="20"/>
          <w:szCs w:val="20"/>
          <w:u w:val="single"/>
        </w:rPr>
        <w:t>Determination of Fair Value of our Common Stock prior to the Business Combinatio</w:t>
      </w:r>
      <w:r>
        <w:rPr>
          <w:i/>
          <w:iCs/>
          <w:sz w:val="20"/>
          <w:szCs w:val="20"/>
          <w:u w:val="single"/>
        </w:rPr>
        <w:t>n</w:t>
      </w:r>
    </w:p>
    <w:p w:rsidR="00000000" w:rsidRDefault="00AF2D19">
      <w:pPr>
        <w:pStyle w:val="a3"/>
        <w:spacing w:before="120" w:beforeAutospacing="0" w:after="0" w:afterAutospacing="0"/>
        <w:jc w:val="both"/>
        <w:divId w:val="1420132197"/>
        <w:rPr>
          <w:sz w:val="20"/>
          <w:szCs w:val="20"/>
        </w:rPr>
      </w:pPr>
      <w:r>
        <w:rPr>
          <w:sz w:val="20"/>
          <w:szCs w:val="20"/>
        </w:rPr>
        <w:t>Du</w:t>
      </w:r>
      <w:r>
        <w:rPr>
          <w:sz w:val="20"/>
          <w:szCs w:val="20"/>
        </w:rPr>
        <w:t>e to the absence of an active market for our shares of common stock prior to the Business Combination, the grant-date fair market value of the common shares underlying stock options was historically determined by management with the assistance of third-par</w:t>
      </w:r>
      <w:r>
        <w:rPr>
          <w:sz w:val="20"/>
          <w:szCs w:val="20"/>
        </w:rPr>
        <w:t xml:space="preserve">ty valuation specialists and approved by the Company’s board of directors. Because there was no public market for the Company’s common shares, the Board of Directors exercised reasonable judgment and considered a number of objective and subjective factors </w:t>
      </w:r>
      <w:r>
        <w:rPr>
          <w:sz w:val="20"/>
          <w:szCs w:val="20"/>
        </w:rPr>
        <w:t>to determine the best estimate of the fair market value, which included important developments in the Company’s operations, the prices at which the Company sold shares of its convertible preferred shares, the rights, preferences and privileges of the Compa</w:t>
      </w:r>
      <w:r>
        <w:rPr>
          <w:sz w:val="20"/>
          <w:szCs w:val="20"/>
        </w:rPr>
        <w:t>ny’s convertible preferred shares relative to those of the Company’s common shares, actual operating results, financial performance and the lack of marketability of the Company’s common shares</w:t>
      </w:r>
      <w:r>
        <w:rPr>
          <w:sz w:val="20"/>
          <w:szCs w:val="20"/>
        </w:rPr>
        <w:t>.</w:t>
      </w:r>
    </w:p>
    <w:p w:rsidR="00000000" w:rsidRDefault="00AF2D19">
      <w:pPr>
        <w:pStyle w:val="a3"/>
        <w:spacing w:before="0" w:beforeAutospacing="0" w:after="0" w:afterAutospacing="0"/>
        <w:divId w:val="815731110"/>
        <w:rPr>
          <w:sz w:val="20"/>
          <w:szCs w:val="20"/>
        </w:rPr>
      </w:pPr>
      <w:r>
        <w:rPr>
          <w:sz w:val="20"/>
          <w:szCs w:val="20"/>
        </w:rPr>
        <w:t> </w:t>
      </w:r>
    </w:p>
    <w:p w:rsidR="00000000" w:rsidRDefault="00AF2D19">
      <w:pPr>
        <w:pStyle w:val="a3"/>
        <w:spacing w:before="0" w:beforeAutospacing="0" w:after="0" w:afterAutospacing="0"/>
        <w:jc w:val="center"/>
        <w:divId w:val="815731110"/>
        <w:rPr>
          <w:sz w:val="20"/>
          <w:szCs w:val="20"/>
        </w:rPr>
      </w:pPr>
      <w:r>
        <w:rPr>
          <w:sz w:val="20"/>
          <w:szCs w:val="20"/>
        </w:rPr>
        <w:t>8</w:t>
      </w:r>
      <w:r>
        <w:rPr>
          <w:sz w:val="20"/>
          <w:szCs w:val="20"/>
        </w:rPr>
        <w:t>2</w:t>
      </w:r>
    </w:p>
    <w:p w:rsidR="00000000" w:rsidRDefault="00AF2D19">
      <w:pPr>
        <w:divId w:val="815731110"/>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AF2D19">
      <w:pPr>
        <w:pStyle w:val="a3"/>
        <w:spacing w:before="0" w:beforeAutospacing="0" w:after="0" w:afterAutospacing="0"/>
        <w:divId w:val="81573111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both"/>
        <w:divId w:val="2020933648"/>
        <w:rPr>
          <w:sz w:val="20"/>
          <w:szCs w:val="20"/>
        </w:rPr>
      </w:pPr>
      <w:r>
        <w:rPr>
          <w:b/>
          <w:bCs/>
          <w:i/>
          <w:iCs/>
          <w:sz w:val="20"/>
          <w:szCs w:val="20"/>
        </w:rPr>
        <w:t>Fair value of financial instrument</w:t>
      </w:r>
      <w:r>
        <w:rPr>
          <w:b/>
          <w:bCs/>
          <w:i/>
          <w:iCs/>
          <w:sz w:val="20"/>
          <w:szCs w:val="20"/>
        </w:rPr>
        <w:t>s</w:t>
      </w:r>
    </w:p>
    <w:p w:rsidR="00000000" w:rsidRDefault="00AF2D19">
      <w:pPr>
        <w:pStyle w:val="a3"/>
        <w:spacing w:before="120" w:beforeAutospacing="0" w:after="0" w:afterAutospacing="0"/>
        <w:jc w:val="both"/>
        <w:divId w:val="2020933648"/>
        <w:rPr>
          <w:sz w:val="20"/>
          <w:szCs w:val="20"/>
        </w:rPr>
      </w:pPr>
      <w:r>
        <w:rPr>
          <w:sz w:val="20"/>
          <w:szCs w:val="20"/>
        </w:rPr>
        <w:t>The Company applies ASC 820, “Fair Value Measurements and Disclosures”. Under this standard, fair value is defined as the price that would be received to sell an asset or paid to transfer a l</w:t>
      </w:r>
      <w:r>
        <w:rPr>
          <w:sz w:val="20"/>
          <w:szCs w:val="20"/>
        </w:rPr>
        <w:t>iability (i.e., the “exit price”) in an orderly transaction between market participants at the measurement date</w:t>
      </w:r>
      <w:r>
        <w:rPr>
          <w:sz w:val="20"/>
          <w:szCs w:val="20"/>
        </w:rPr>
        <w:t>.</w:t>
      </w:r>
      <w:r>
        <w:rPr>
          <w:sz w:val="20"/>
          <w:szCs w:val="20"/>
        </w:rPr>
        <w:t xml:space="preserve"> </w:t>
      </w:r>
    </w:p>
    <w:p w:rsidR="00000000" w:rsidRDefault="00AF2D19">
      <w:pPr>
        <w:pStyle w:val="a3"/>
        <w:spacing w:before="120" w:beforeAutospacing="0" w:after="0" w:afterAutospacing="0"/>
        <w:jc w:val="both"/>
        <w:divId w:val="2020933648"/>
        <w:rPr>
          <w:sz w:val="20"/>
          <w:szCs w:val="20"/>
        </w:rPr>
      </w:pPr>
      <w:r>
        <w:rPr>
          <w:sz w:val="20"/>
          <w:szCs w:val="20"/>
        </w:rPr>
        <w:t>In determining fair value, the Company uses various valuation approaches. ASC 820 establishes a hierarchy for inputs used in measuring fair va</w:t>
      </w:r>
      <w:r>
        <w:rPr>
          <w:sz w:val="20"/>
          <w:szCs w:val="20"/>
        </w:rPr>
        <w:t>lue that maximizes the use of observable inputs and minimizes the use of unobservable inputs by requiring that the most observable inputs be used when available. Observable inputs are inputs that market participants would use in pricing the asset or liabil</w:t>
      </w:r>
      <w:r>
        <w:rPr>
          <w:sz w:val="20"/>
          <w:szCs w:val="20"/>
        </w:rPr>
        <w:t>ity developed based on market data obtained from sources independent of the Company. Unobservable inputs are inputs that reflect the Company’s assumptions about the assumptions market participants would use in pricing the asset or liability developed based</w:t>
      </w:r>
      <w:r>
        <w:rPr>
          <w:sz w:val="20"/>
          <w:szCs w:val="20"/>
        </w:rPr>
        <w:t xml:space="preserve"> on the best information available in the circumstances</w:t>
      </w:r>
      <w:r>
        <w:rPr>
          <w:sz w:val="20"/>
          <w:szCs w:val="20"/>
        </w:rPr>
        <w:t>.</w:t>
      </w:r>
      <w:r>
        <w:rPr>
          <w:sz w:val="20"/>
          <w:szCs w:val="20"/>
        </w:rPr>
        <w:t xml:space="preserve"> </w:t>
      </w:r>
    </w:p>
    <w:p w:rsidR="00000000" w:rsidRDefault="00AF2D19">
      <w:pPr>
        <w:pStyle w:val="a3"/>
        <w:spacing w:before="120" w:beforeAutospacing="0" w:after="0" w:afterAutospacing="0"/>
        <w:jc w:val="both"/>
        <w:divId w:val="2020933648"/>
        <w:rPr>
          <w:sz w:val="20"/>
          <w:szCs w:val="20"/>
        </w:rPr>
      </w:pPr>
      <w:r>
        <w:rPr>
          <w:sz w:val="20"/>
          <w:szCs w:val="20"/>
        </w:rPr>
        <w:t>The hierarchy is broken down into three levels based on the inputs as follows</w:t>
      </w:r>
      <w:r>
        <w:rPr>
          <w:sz w:val="20"/>
          <w:szCs w:val="20"/>
        </w:rPr>
        <w:t>:</w:t>
      </w:r>
      <w:r>
        <w:rPr>
          <w:sz w:val="20"/>
          <w:szCs w:val="20"/>
        </w:rPr>
        <w:t xml:space="preserve"> </w:t>
      </w:r>
    </w:p>
    <w:p w:rsidR="00000000" w:rsidRDefault="00AF2D19">
      <w:pPr>
        <w:pStyle w:val="a3"/>
        <w:spacing w:before="120" w:beforeAutospacing="0" w:after="0" w:afterAutospacing="0"/>
        <w:ind w:left="357"/>
        <w:jc w:val="both"/>
        <w:divId w:val="2020933648"/>
        <w:rPr>
          <w:sz w:val="20"/>
          <w:szCs w:val="20"/>
        </w:rPr>
      </w:pPr>
      <w:r>
        <w:rPr>
          <w:sz w:val="20"/>
          <w:szCs w:val="20"/>
        </w:rPr>
        <w:t xml:space="preserve">Level 1: Valuations based on quoted prices in active markets for identical assets that the Company has the ability to </w:t>
      </w:r>
      <w:r>
        <w:rPr>
          <w:sz w:val="20"/>
          <w:szCs w:val="20"/>
        </w:rPr>
        <w:t>access. Since valuations are based on quoted prices that are readily and regularly available in an active market, valuation of these products does not entail a significant degree of judgment</w:t>
      </w:r>
      <w:r>
        <w:rPr>
          <w:sz w:val="20"/>
          <w:szCs w:val="20"/>
        </w:rPr>
        <w:t>.</w:t>
      </w:r>
    </w:p>
    <w:p w:rsidR="00000000" w:rsidRDefault="00AF2D19">
      <w:pPr>
        <w:pStyle w:val="a3"/>
        <w:spacing w:before="120" w:beforeAutospacing="0" w:after="0" w:afterAutospacing="0"/>
        <w:ind w:left="357"/>
        <w:jc w:val="both"/>
        <w:divId w:val="2020933648"/>
        <w:rPr>
          <w:sz w:val="20"/>
          <w:szCs w:val="20"/>
        </w:rPr>
      </w:pPr>
      <w:r>
        <w:rPr>
          <w:sz w:val="20"/>
          <w:szCs w:val="20"/>
        </w:rPr>
        <w:t>Level 2: Valuations based on one or more quoted prices in market</w:t>
      </w:r>
      <w:r>
        <w:rPr>
          <w:sz w:val="20"/>
          <w:szCs w:val="20"/>
        </w:rPr>
        <w:t>s that are not active or for which all significant inputs are observable, either directly or indirectly</w:t>
      </w:r>
      <w:r>
        <w:rPr>
          <w:sz w:val="20"/>
          <w:szCs w:val="20"/>
        </w:rPr>
        <w:t>.</w:t>
      </w:r>
    </w:p>
    <w:p w:rsidR="00000000" w:rsidRDefault="00AF2D19">
      <w:pPr>
        <w:pStyle w:val="a3"/>
        <w:spacing w:before="120" w:beforeAutospacing="0" w:after="0" w:afterAutospacing="0"/>
        <w:ind w:left="357"/>
        <w:jc w:val="both"/>
        <w:divId w:val="2020933648"/>
        <w:rPr>
          <w:sz w:val="20"/>
          <w:szCs w:val="20"/>
        </w:rPr>
      </w:pPr>
      <w:r>
        <w:rPr>
          <w:sz w:val="20"/>
          <w:szCs w:val="20"/>
        </w:rPr>
        <w:t>Level 3: Valuations based on inputs that are unobservable and significant to the overall fair value measurement</w:t>
      </w:r>
      <w:r>
        <w:rPr>
          <w:sz w:val="20"/>
          <w:szCs w:val="20"/>
        </w:rPr>
        <w:t>.</w:t>
      </w:r>
    </w:p>
    <w:p w:rsidR="00000000" w:rsidRDefault="00AF2D19">
      <w:pPr>
        <w:pStyle w:val="a3"/>
        <w:spacing w:before="120" w:beforeAutospacing="0" w:after="0" w:afterAutospacing="0"/>
        <w:jc w:val="both"/>
        <w:divId w:val="2020933648"/>
        <w:rPr>
          <w:sz w:val="20"/>
          <w:szCs w:val="20"/>
        </w:rPr>
      </w:pPr>
      <w:r>
        <w:rPr>
          <w:sz w:val="20"/>
          <w:szCs w:val="20"/>
        </w:rPr>
        <w:t>The fair value hierarchy also requires</w:t>
      </w:r>
      <w:r>
        <w:rPr>
          <w:sz w:val="20"/>
          <w:szCs w:val="20"/>
        </w:rPr>
        <w:t xml:space="preserve"> an entity to maximize the use of observable inputs and minimize the use of unobservable inputs when measuring fair value</w:t>
      </w:r>
      <w:r>
        <w:rPr>
          <w:sz w:val="20"/>
          <w:szCs w:val="20"/>
        </w:rPr>
        <w:t>.</w:t>
      </w:r>
      <w:r>
        <w:rPr>
          <w:sz w:val="20"/>
          <w:szCs w:val="20"/>
        </w:rPr>
        <w:t xml:space="preserve"> </w:t>
      </w:r>
    </w:p>
    <w:p w:rsidR="00000000" w:rsidRDefault="00AF2D19">
      <w:pPr>
        <w:pStyle w:val="a3"/>
        <w:spacing w:before="240" w:beforeAutospacing="0" w:after="0" w:afterAutospacing="0"/>
        <w:divId w:val="1607619450"/>
        <w:rPr>
          <w:sz w:val="20"/>
          <w:szCs w:val="20"/>
        </w:rPr>
      </w:pPr>
      <w:r>
        <w:rPr>
          <w:b/>
          <w:bCs/>
          <w:i/>
          <w:iCs/>
          <w:sz w:val="20"/>
          <w:szCs w:val="20"/>
        </w:rPr>
        <w:t>Income taxe</w:t>
      </w:r>
      <w:r>
        <w:rPr>
          <w:b/>
          <w:bCs/>
          <w:i/>
          <w:iCs/>
          <w:sz w:val="20"/>
          <w:szCs w:val="20"/>
        </w:rPr>
        <w:t>s</w:t>
      </w:r>
    </w:p>
    <w:p w:rsidR="00000000" w:rsidRDefault="00AF2D19">
      <w:pPr>
        <w:pStyle w:val="a3"/>
        <w:spacing w:before="120" w:beforeAutospacing="0" w:after="0" w:afterAutospacing="0"/>
        <w:jc w:val="both"/>
        <w:divId w:val="1607619450"/>
        <w:rPr>
          <w:sz w:val="20"/>
          <w:szCs w:val="20"/>
        </w:rPr>
      </w:pPr>
      <w:r>
        <w:rPr>
          <w:sz w:val="20"/>
          <w:szCs w:val="20"/>
        </w:rPr>
        <w:t>The Company accounts for income taxes in accordance with ASC 740, "Income Taxes". ASC 740 prescribes the use of an asse</w:t>
      </w:r>
      <w:r>
        <w:rPr>
          <w:sz w:val="20"/>
          <w:szCs w:val="20"/>
        </w:rPr>
        <w:t>t and liability approach that requires the recognition of deferred tax assets and liabilities for the expected future tax consequences of events that have been recognized in its financial statements or tax returns. The net deferred tax assets assume suffic</w:t>
      </w:r>
      <w:r>
        <w:rPr>
          <w:sz w:val="20"/>
          <w:szCs w:val="20"/>
        </w:rPr>
        <w:t>ient future earnings for their realization, as well as the continued application of currently enacted tax rates. Included in net deferred tax assets is a valuation allowance for deferred tax assets, where management believes it is more-likely-than-not that</w:t>
      </w:r>
      <w:r>
        <w:rPr>
          <w:sz w:val="20"/>
          <w:szCs w:val="20"/>
        </w:rPr>
        <w:t xml:space="preserve"> the deferred tax assets will not be realized in the relevant jurisdiction. If the Company determines that a deferred tax asset will not be realizable, an adjustment to the deferred tax asset will result in a reduction of net earnings at that time. Accrued</w:t>
      </w:r>
      <w:r>
        <w:rPr>
          <w:sz w:val="20"/>
          <w:szCs w:val="20"/>
        </w:rPr>
        <w:t xml:space="preserve"> interest and penalties are included within the related tax asset or liability in the accompanying financial statements</w:t>
      </w:r>
      <w:r>
        <w:rPr>
          <w:sz w:val="20"/>
          <w:szCs w:val="20"/>
        </w:rPr>
        <w:t>.</w:t>
      </w:r>
    </w:p>
    <w:p w:rsidR="00000000" w:rsidRDefault="00AF2D19">
      <w:pPr>
        <w:pStyle w:val="a3"/>
        <w:spacing w:before="120" w:beforeAutospacing="0" w:after="0" w:afterAutospacing="0"/>
        <w:jc w:val="both"/>
        <w:divId w:val="1607619450"/>
        <w:rPr>
          <w:sz w:val="20"/>
          <w:szCs w:val="20"/>
        </w:rPr>
      </w:pPr>
      <w:r>
        <w:rPr>
          <w:sz w:val="20"/>
          <w:szCs w:val="20"/>
        </w:rPr>
        <w:t>The Company follows the provisions in ASC 740 and the guidance related to accounting for uncertainty in income taxes. The Company deter</w:t>
      </w:r>
      <w:r>
        <w:rPr>
          <w:sz w:val="20"/>
          <w:szCs w:val="20"/>
        </w:rPr>
        <w:t>mines its uncertain tax positions based on a determination of whether and how much of a tax benefit taken in its tax filings or positions is more likely than not to be sustained upon examination by the relevant income tax authorities. The Company is subjec</w:t>
      </w:r>
      <w:r>
        <w:rPr>
          <w:sz w:val="20"/>
          <w:szCs w:val="20"/>
        </w:rPr>
        <w:t>t to U.S. federal and state and Israeli income taxes with varying statutes of limitations. The Company is not currently under examination by any income tax authority, nor has it been notified that an examination is contemplated. The Company is no longer su</w:t>
      </w:r>
      <w:r>
        <w:rPr>
          <w:sz w:val="20"/>
          <w:szCs w:val="20"/>
        </w:rPr>
        <w:t>bject to U.S. federal, state or local income tax examinations by the tax authorities for years before 2018. The Israel subsidiary tax assessments filed by the Company through the 2015 are considered closed; tax years after 2015 remain open to examination d</w:t>
      </w:r>
      <w:r>
        <w:rPr>
          <w:sz w:val="20"/>
          <w:szCs w:val="20"/>
        </w:rPr>
        <w:t>ue to the carryover of net operating losses. The Company's policy is to recognize interest related to unrecognized tax benefits as interest expense and penalties as operating expenses</w:t>
      </w:r>
      <w:r>
        <w:rPr>
          <w:sz w:val="20"/>
          <w:szCs w:val="20"/>
        </w:rPr>
        <w:t>.</w:t>
      </w:r>
    </w:p>
    <w:p w:rsidR="00000000" w:rsidRDefault="00AF2D19">
      <w:pPr>
        <w:pStyle w:val="a3"/>
        <w:spacing w:before="120" w:beforeAutospacing="0" w:after="0" w:afterAutospacing="0"/>
        <w:jc w:val="both"/>
        <w:divId w:val="1607619450"/>
        <w:rPr>
          <w:sz w:val="20"/>
          <w:szCs w:val="20"/>
        </w:rPr>
      </w:pPr>
      <w:r>
        <w:rPr>
          <w:sz w:val="20"/>
          <w:szCs w:val="20"/>
        </w:rPr>
        <w:t>As of December 31, 2021 and 2020 the Company did</w:t>
      </w:r>
      <w:r>
        <w:rPr>
          <w:sz w:val="20"/>
          <w:szCs w:val="20"/>
        </w:rPr>
        <w:t xml:space="preserve"> </w:t>
      </w:r>
      <w:r>
        <w:rPr>
          <w:sz w:val="20"/>
          <w:szCs w:val="20"/>
        </w:rPr>
        <w:t>n</w:t>
      </w:r>
      <w:r>
        <w:rPr>
          <w:sz w:val="20"/>
          <w:szCs w:val="20"/>
        </w:rPr>
        <w:t>o</w:t>
      </w:r>
      <w:r>
        <w:rPr>
          <w:sz w:val="20"/>
          <w:szCs w:val="20"/>
        </w:rPr>
        <w:t>t record any provisi</w:t>
      </w:r>
      <w:r>
        <w:rPr>
          <w:sz w:val="20"/>
          <w:szCs w:val="20"/>
        </w:rPr>
        <w:t>on for uncertain tax positions. The Company does not anticipate that the assessment will significantly increase or decrease within the next 12 months.</w:t>
      </w:r>
      <w:r>
        <w:rPr>
          <w:sz w:val="20"/>
          <w:szCs w:val="20"/>
        </w:rPr>
        <w:t xml:space="preserve"> </w:t>
      </w:r>
      <w:r>
        <w:rPr>
          <w:sz w:val="20"/>
          <w:szCs w:val="20"/>
        </w:rPr>
        <w:t>N</w:t>
      </w:r>
      <w:r>
        <w:rPr>
          <w:sz w:val="20"/>
          <w:szCs w:val="20"/>
        </w:rPr>
        <w:t>o</w:t>
      </w:r>
      <w:r>
        <w:rPr>
          <w:sz w:val="20"/>
          <w:szCs w:val="20"/>
        </w:rPr>
        <w:t xml:space="preserve"> accrued interest or penalties were accrued as of December 31, 2021 and 2020</w:t>
      </w:r>
      <w:r>
        <w:rPr>
          <w:sz w:val="20"/>
          <w:szCs w:val="20"/>
        </w:rPr>
        <w:t>.</w:t>
      </w:r>
    </w:p>
    <w:p w:rsidR="00000000" w:rsidRDefault="00AF2D19">
      <w:pPr>
        <w:pStyle w:val="a3"/>
        <w:spacing w:before="240" w:beforeAutospacing="0" w:after="0" w:afterAutospacing="0"/>
        <w:jc w:val="both"/>
        <w:divId w:val="532226539"/>
        <w:rPr>
          <w:sz w:val="20"/>
          <w:szCs w:val="20"/>
        </w:rPr>
      </w:pPr>
      <w:r>
        <w:rPr>
          <w:b/>
          <w:bCs/>
          <w:i/>
          <w:iCs/>
          <w:sz w:val="20"/>
          <w:szCs w:val="20"/>
        </w:rPr>
        <w:t>Net loss per shar</w:t>
      </w:r>
      <w:r>
        <w:rPr>
          <w:b/>
          <w:bCs/>
          <w:i/>
          <w:iCs/>
          <w:sz w:val="20"/>
          <w:szCs w:val="20"/>
        </w:rPr>
        <w:t>e</w:t>
      </w:r>
      <w:r>
        <w:rPr>
          <w:b/>
          <w:bCs/>
          <w:i/>
          <w:iCs/>
          <w:sz w:val="20"/>
          <w:szCs w:val="20"/>
        </w:rPr>
        <w:t xml:space="preserve"> </w:t>
      </w:r>
    </w:p>
    <w:p w:rsidR="00000000" w:rsidRDefault="00AF2D19">
      <w:pPr>
        <w:pStyle w:val="a3"/>
        <w:spacing w:before="120" w:beforeAutospacing="0" w:after="0" w:afterAutospacing="0"/>
        <w:jc w:val="both"/>
        <w:divId w:val="532226539"/>
        <w:rPr>
          <w:sz w:val="20"/>
          <w:szCs w:val="20"/>
        </w:rPr>
      </w:pPr>
      <w:r>
        <w:rPr>
          <w:sz w:val="20"/>
          <w:szCs w:val="20"/>
        </w:rPr>
        <w:t>The Company computes net loss per share using the two-class method required for participating securities. The two-class method requires income available to ordinary shareholders for the period to be allocated between shares of common st</w:t>
      </w:r>
      <w:r>
        <w:rPr>
          <w:sz w:val="20"/>
          <w:szCs w:val="20"/>
        </w:rPr>
        <w:t>ock and participating securities based upon their respective rights to receive dividends as if all income for the period had been distributed. For the years ended December 31, 2020 and 2019, the Company considered its convertible preferred shares to be par</w:t>
      </w:r>
      <w:r>
        <w:rPr>
          <w:sz w:val="20"/>
          <w:szCs w:val="20"/>
        </w:rPr>
        <w:t>ticipating securities as the holders of the convertible preferred shares would be entitled to dividends that would be distributed to the holders of shares of common stock, on a pro-rata basis assuming conversion of all convertible preferred shares into sha</w:t>
      </w:r>
      <w:r>
        <w:rPr>
          <w:sz w:val="20"/>
          <w:szCs w:val="20"/>
        </w:rPr>
        <w:t>res of common stock</w:t>
      </w:r>
      <w:r>
        <w:rPr>
          <w:sz w:val="20"/>
          <w:szCs w:val="20"/>
        </w:rPr>
        <w:t>.</w:t>
      </w:r>
    </w:p>
    <w:p w:rsidR="00000000" w:rsidRDefault="00AF2D19">
      <w:pPr>
        <w:pStyle w:val="a3"/>
        <w:spacing w:before="0" w:beforeAutospacing="0" w:after="0" w:afterAutospacing="0"/>
        <w:jc w:val="center"/>
        <w:divId w:val="532226539"/>
        <w:rPr>
          <w:sz w:val="20"/>
          <w:szCs w:val="20"/>
        </w:rPr>
      </w:pPr>
      <w:r>
        <w:rPr>
          <w:sz w:val="20"/>
          <w:szCs w:val="20"/>
        </w:rPr>
        <w:t>8</w:t>
      </w:r>
      <w:r>
        <w:rPr>
          <w:sz w:val="20"/>
          <w:szCs w:val="20"/>
        </w:rPr>
        <w:t>3</w:t>
      </w:r>
    </w:p>
    <w:p w:rsidR="00000000" w:rsidRDefault="00AF2D19">
      <w:pPr>
        <w:divId w:val="532226539"/>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AF2D19">
      <w:pPr>
        <w:pStyle w:val="a3"/>
        <w:spacing w:before="0" w:beforeAutospacing="0" w:after="0" w:afterAutospacing="0"/>
        <w:divId w:val="532226539"/>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divId w:val="532226539"/>
        <w:rPr>
          <w:sz w:val="20"/>
          <w:szCs w:val="20"/>
        </w:rPr>
      </w:pPr>
      <w:r>
        <w:rPr>
          <w:sz w:val="20"/>
          <w:szCs w:val="20"/>
        </w:rPr>
        <w:t>These participating securities did not contractually require the holders of such shares to participate in the Company’s losses. As such, net loss f</w:t>
      </w:r>
      <w:r>
        <w:rPr>
          <w:sz w:val="20"/>
          <w:szCs w:val="20"/>
        </w:rPr>
        <w:t>or the years ended December 31, 2020 and 2019 were not allocated to the Company’s participating securities</w:t>
      </w:r>
      <w:r>
        <w:rPr>
          <w:sz w:val="20"/>
          <w:szCs w:val="20"/>
        </w:rPr>
        <w:t>.</w:t>
      </w:r>
    </w:p>
    <w:p w:rsidR="00000000" w:rsidRDefault="00AF2D19">
      <w:pPr>
        <w:pStyle w:val="a3"/>
        <w:spacing w:before="120" w:beforeAutospacing="0" w:after="0" w:afterAutospacing="0"/>
        <w:jc w:val="both"/>
        <w:divId w:val="532226539"/>
        <w:rPr>
          <w:sz w:val="20"/>
          <w:szCs w:val="20"/>
        </w:rPr>
      </w:pPr>
      <w:r>
        <w:rPr>
          <w:sz w:val="20"/>
          <w:szCs w:val="20"/>
        </w:rPr>
        <w:t>The Company’s basic net loss per share is calculated by dividing net loss attributable to ordinary shareholders by the weighted-average number of sh</w:t>
      </w:r>
      <w:r>
        <w:rPr>
          <w:sz w:val="20"/>
          <w:szCs w:val="20"/>
        </w:rPr>
        <w:t>ares of common stock outstanding for the period, without consideration of potentially dilutive securities. The diluted net loss per share is calculated by giving effect to all potentially dilutive securities outstanding for the period using the treasury sh</w:t>
      </w:r>
      <w:r>
        <w:rPr>
          <w:sz w:val="20"/>
          <w:szCs w:val="20"/>
        </w:rPr>
        <w:t>are method or the if-converted method based on the nature of such securities. Diluted net loss per share is the same as basic net loss per share in periods when the effects of potentially dilutive shares of shares of common stock are anti-dilutive</w:t>
      </w:r>
      <w:r>
        <w:rPr>
          <w:sz w:val="20"/>
          <w:szCs w:val="20"/>
        </w:rPr>
        <w:t>.</w:t>
      </w:r>
    </w:p>
    <w:p w:rsidR="00000000" w:rsidRDefault="00AF2D19">
      <w:pPr>
        <w:pStyle w:val="a3"/>
        <w:spacing w:before="240" w:beforeAutospacing="0" w:after="0" w:afterAutospacing="0"/>
        <w:jc w:val="both"/>
        <w:divId w:val="909578042"/>
        <w:rPr>
          <w:sz w:val="20"/>
          <w:szCs w:val="20"/>
        </w:rPr>
      </w:pPr>
      <w:r>
        <w:rPr>
          <w:b/>
          <w:bCs/>
          <w:i/>
          <w:iCs/>
          <w:sz w:val="20"/>
          <w:szCs w:val="20"/>
        </w:rPr>
        <w:t>Recentl</w:t>
      </w:r>
      <w:r>
        <w:rPr>
          <w:b/>
          <w:bCs/>
          <w:i/>
          <w:iCs/>
          <w:sz w:val="20"/>
          <w:szCs w:val="20"/>
        </w:rPr>
        <w:t>y Issued Accounting Pronouncement</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divId w:val="909578042"/>
        <w:rPr>
          <w:sz w:val="20"/>
          <w:szCs w:val="20"/>
        </w:rPr>
      </w:pPr>
      <w:r>
        <w:rPr>
          <w:sz w:val="20"/>
          <w:szCs w:val="20"/>
        </w:rPr>
        <w:t>In November 2021, the Financial Accounting Standards Board (“FASB”) issued ASU 2021-10, Government Assistance (Topic 832): Disclosures by Business Entities about Government Assistance, which requires entities to disclose</w:t>
      </w:r>
      <w:r>
        <w:rPr>
          <w:sz w:val="20"/>
          <w:szCs w:val="20"/>
        </w:rPr>
        <w:t xml:space="preserve"> information about certain types of government assistance they receive in the notes to the financial statements. Entities are required to provide the new disclosures prospectively for all transactions with a government entity that are accounted for under e</w:t>
      </w:r>
      <w:r>
        <w:rPr>
          <w:sz w:val="20"/>
          <w:szCs w:val="20"/>
        </w:rPr>
        <w:t xml:space="preserve">ither a grant or a contribution accounting model and are reflected in the financial statements at the date of initially applying the new amendments, and to new transactions entered into after that date. Retrospective application of </w:t>
      </w:r>
      <w:r>
        <w:rPr>
          <w:sz w:val="20"/>
          <w:szCs w:val="20"/>
        </w:rPr>
        <w:t>t</w:t>
      </w:r>
      <w:r>
        <w:rPr>
          <w:sz w:val="20"/>
          <w:szCs w:val="20"/>
        </w:rPr>
        <w:t>he guidance is permitte</w:t>
      </w:r>
      <w:r>
        <w:rPr>
          <w:sz w:val="20"/>
          <w:szCs w:val="20"/>
        </w:rPr>
        <w:t>d. The amendments in this ASU are effective for all entities within their scope for financial statements issued for annual periods beginning after December 15, 2021. The Company adopted this guidance on January 1, 2022 and the adoption did not have a signi</w:t>
      </w:r>
      <w:r>
        <w:rPr>
          <w:sz w:val="20"/>
          <w:szCs w:val="20"/>
        </w:rPr>
        <w:t>ficant impact on its consolidated financial statements or related disclosures</w:t>
      </w:r>
      <w:r>
        <w:rPr>
          <w:sz w:val="20"/>
          <w:szCs w:val="20"/>
        </w:rPr>
        <w:t>.</w:t>
      </w:r>
    </w:p>
    <w:p w:rsidR="00000000" w:rsidRDefault="00AF2D19">
      <w:pPr>
        <w:pStyle w:val="a3"/>
        <w:spacing w:before="120" w:beforeAutospacing="0" w:after="0" w:afterAutospacing="0"/>
        <w:jc w:val="both"/>
        <w:divId w:val="909578042"/>
        <w:rPr>
          <w:sz w:val="20"/>
          <w:szCs w:val="20"/>
        </w:rPr>
      </w:pPr>
      <w:r>
        <w:rPr>
          <w:sz w:val="20"/>
          <w:szCs w:val="20"/>
        </w:rPr>
        <w:t>In May 2021, the FASB issued ASU 2021-04—Earnings Per Share (Topic 260), Debt—Modifications and Extinguishments (Subtopic 470-50), Compensation—Stock Compensation (Topic 718), a</w:t>
      </w:r>
      <w:r>
        <w:rPr>
          <w:sz w:val="20"/>
          <w:szCs w:val="20"/>
        </w:rPr>
        <w:t>nd Derivatives and Hedging—Contracts in Entity’s Own Equity (Subtopic 815-40): Issuer’s Accounting for Certain Modifications or Exchanges of Freestanding Equity-Classified Written Call Options, which clarifies and reduces diversity in accounting for modifi</w:t>
      </w:r>
      <w:r>
        <w:rPr>
          <w:sz w:val="20"/>
          <w:szCs w:val="20"/>
        </w:rPr>
        <w:t>cations or exchanges of freestanding equity-written call options that remain equity classified after modifications or exchanges based on the substance of the transactions. The amendments in this ASU are effective for all entities for fiscal years beginning</w:t>
      </w:r>
      <w:r>
        <w:rPr>
          <w:sz w:val="20"/>
          <w:szCs w:val="20"/>
        </w:rPr>
        <w:t xml:space="preserve"> after December 15, 2021, including interim periods within those fiscal years. The Company adopted this guidance on January 1, 2022 and the adoption did not have an impact on its consolidated financial statements</w:t>
      </w:r>
      <w:r>
        <w:rPr>
          <w:sz w:val="20"/>
          <w:szCs w:val="20"/>
        </w:rPr>
        <w:t>.</w:t>
      </w:r>
    </w:p>
    <w:p w:rsidR="00000000" w:rsidRDefault="00AF2D19">
      <w:pPr>
        <w:pStyle w:val="a3"/>
        <w:spacing w:before="240" w:beforeAutospacing="0" w:after="0" w:afterAutospacing="0"/>
        <w:divId w:val="909578042"/>
        <w:rPr>
          <w:sz w:val="20"/>
          <w:szCs w:val="20"/>
        </w:rPr>
      </w:pPr>
      <w:r>
        <w:rPr>
          <w:b/>
          <w:bCs/>
          <w:i/>
          <w:iCs/>
          <w:sz w:val="20"/>
          <w:szCs w:val="20"/>
        </w:rPr>
        <w:t>Recently Adopted Accounting Pronouncement</w:t>
      </w:r>
      <w:r>
        <w:rPr>
          <w:b/>
          <w:bCs/>
          <w:i/>
          <w:iCs/>
          <w:sz w:val="20"/>
          <w:szCs w:val="20"/>
        </w:rPr>
        <w:t>s</w:t>
      </w:r>
      <w:r>
        <w:rPr>
          <w:b/>
          <w:bCs/>
          <w:i/>
          <w:iCs/>
          <w:sz w:val="20"/>
          <w:szCs w:val="20"/>
        </w:rPr>
        <w:t xml:space="preserve"> </w:t>
      </w:r>
    </w:p>
    <w:p w:rsidR="00000000" w:rsidRDefault="00AF2D19">
      <w:pPr>
        <w:pStyle w:val="a3"/>
        <w:spacing w:before="0" w:beforeAutospacing="0" w:after="0" w:afterAutospacing="0"/>
        <w:divId w:val="909578042"/>
        <w:rPr>
          <w:sz w:val="20"/>
          <w:szCs w:val="20"/>
        </w:rPr>
      </w:pPr>
      <w:r>
        <w:rPr>
          <w:sz w:val="20"/>
          <w:szCs w:val="20"/>
        </w:rPr>
        <w:t> </w:t>
      </w:r>
    </w:p>
    <w:p w:rsidR="00000000" w:rsidRDefault="00AF2D19">
      <w:pPr>
        <w:pStyle w:val="a3"/>
        <w:spacing w:before="0" w:beforeAutospacing="0" w:after="0" w:afterAutospacing="0"/>
        <w:divId w:val="909578042"/>
        <w:rPr>
          <w:sz w:val="20"/>
          <w:szCs w:val="20"/>
        </w:rPr>
      </w:pPr>
      <w:r>
        <w:rPr>
          <w:i/>
          <w:iCs/>
          <w:sz w:val="20"/>
          <w:szCs w:val="20"/>
          <w:u w:val="single"/>
        </w:rPr>
        <w:t xml:space="preserve">ASU 2016-02, “Leases” (Topic 842 </w:t>
      </w:r>
      <w:r>
        <w:rPr>
          <w:i/>
          <w:iCs/>
          <w:sz w:val="20"/>
          <w:szCs w:val="20"/>
          <w:u w:val="single"/>
        </w:rPr>
        <w:t>)</w:t>
      </w:r>
    </w:p>
    <w:p w:rsidR="00000000" w:rsidRDefault="00AF2D19">
      <w:pPr>
        <w:pStyle w:val="a3"/>
        <w:spacing w:before="120" w:beforeAutospacing="0" w:after="0" w:afterAutospacing="0"/>
        <w:jc w:val="both"/>
        <w:divId w:val="909578042"/>
        <w:rPr>
          <w:sz w:val="20"/>
          <w:szCs w:val="20"/>
        </w:rPr>
      </w:pPr>
      <w:r>
        <w:rPr>
          <w:sz w:val="20"/>
          <w:szCs w:val="20"/>
        </w:rPr>
        <w:t>In February 2016, the FASB issued ASU 2016-02, Leases (Topic 842). This ASU clarifies the definition of a lease and requires a lessee to recognize in the statement of financial position a liability to make lease payme</w:t>
      </w:r>
      <w:r>
        <w:rPr>
          <w:sz w:val="20"/>
          <w:szCs w:val="20"/>
        </w:rPr>
        <w:t>nts (the lease liability) and a right-to-use asset representing its right to use the underlying asset for the lease term. The Company adopted ASC 842 on January 1, 2021 and did not restate comparative periods. In addition, the Company elected the available</w:t>
      </w:r>
      <w:r>
        <w:rPr>
          <w:sz w:val="20"/>
          <w:szCs w:val="20"/>
        </w:rPr>
        <w:t xml:space="preserve"> practical expedients discussed below on adoption</w:t>
      </w:r>
      <w:r>
        <w:rPr>
          <w:sz w:val="20"/>
          <w:szCs w:val="20"/>
        </w:rPr>
        <w:t>.</w:t>
      </w:r>
      <w:r>
        <w:rPr>
          <w:sz w:val="20"/>
          <w:szCs w:val="20"/>
        </w:rPr>
        <w:t xml:space="preserve"> </w:t>
      </w:r>
    </w:p>
    <w:p w:rsidR="00000000" w:rsidRDefault="00AF2D19">
      <w:pPr>
        <w:pStyle w:val="a3"/>
        <w:spacing w:before="120" w:beforeAutospacing="0" w:after="0" w:afterAutospacing="0"/>
        <w:jc w:val="both"/>
        <w:divId w:val="909578042"/>
        <w:rPr>
          <w:sz w:val="20"/>
          <w:szCs w:val="20"/>
        </w:rPr>
      </w:pPr>
      <w:r>
        <w:rPr>
          <w:sz w:val="20"/>
          <w:szCs w:val="20"/>
        </w:rPr>
        <w:t>The Company determines if an arrangement is a lease at inception. Lease classification is governed by five criteria in ASC 842-10-25-2. If any of these five criteria is met, the Company classifies the lea</w:t>
      </w:r>
      <w:r>
        <w:rPr>
          <w:sz w:val="20"/>
          <w:szCs w:val="20"/>
        </w:rPr>
        <w:t>se as a finance lease. Otherwise, the Company classifies the lease as an operating lease. As of December 31, 2021, all arrangements were classified as operating leases</w:t>
      </w:r>
      <w:r>
        <w:rPr>
          <w:sz w:val="20"/>
          <w:szCs w:val="20"/>
        </w:rPr>
        <w:t>.</w:t>
      </w:r>
      <w:r>
        <w:rPr>
          <w:sz w:val="20"/>
          <w:szCs w:val="20"/>
        </w:rPr>
        <w:t xml:space="preserve"> </w:t>
      </w:r>
    </w:p>
    <w:p w:rsidR="00000000" w:rsidRDefault="00AF2D19">
      <w:pPr>
        <w:pStyle w:val="a3"/>
        <w:spacing w:before="120" w:beforeAutospacing="0" w:after="0" w:afterAutospacing="0"/>
        <w:jc w:val="both"/>
        <w:divId w:val="909578042"/>
        <w:rPr>
          <w:sz w:val="20"/>
          <w:szCs w:val="20"/>
        </w:rPr>
      </w:pPr>
      <w:r>
        <w:rPr>
          <w:sz w:val="20"/>
          <w:szCs w:val="20"/>
        </w:rPr>
        <w:t>Operating leases are included in operating lease right-of-use (“ROU”) assets and opera</w:t>
      </w:r>
      <w:r>
        <w:rPr>
          <w:sz w:val="20"/>
          <w:szCs w:val="20"/>
        </w:rPr>
        <w:t>ting lease liabilities in the consolidated balance sheets. ROU assets represent the Company’s right to use an underlying asset for the lease term and lease liabilities represent the Company’s obligation to make lease payments arising from the lease. Operat</w:t>
      </w:r>
      <w:r>
        <w:rPr>
          <w:sz w:val="20"/>
          <w:szCs w:val="20"/>
        </w:rPr>
        <w:t>ing lease ROU assets and liabilities are recognized at the commencement date based on the present value of lease payments over the lease term. The Company uses its incremental borrowing rate based on the information available at the commencement date to de</w:t>
      </w:r>
      <w:r>
        <w:rPr>
          <w:sz w:val="20"/>
          <w:szCs w:val="20"/>
        </w:rPr>
        <w:t>termine the present value of the lease payments. Operating lease expenses are recognized on a straight-line basis over the lease term</w:t>
      </w:r>
      <w:r>
        <w:rPr>
          <w:sz w:val="20"/>
          <w:szCs w:val="20"/>
        </w:rPr>
        <w:t>.</w:t>
      </w:r>
      <w:r>
        <w:rPr>
          <w:sz w:val="20"/>
          <w:szCs w:val="20"/>
        </w:rPr>
        <w:t xml:space="preserve"> </w:t>
      </w:r>
    </w:p>
    <w:p w:rsidR="00000000" w:rsidRDefault="00AF2D19">
      <w:pPr>
        <w:pStyle w:val="a3"/>
        <w:spacing w:before="120" w:beforeAutospacing="0" w:after="0" w:afterAutospacing="0"/>
        <w:jc w:val="both"/>
        <w:divId w:val="909578042"/>
        <w:rPr>
          <w:sz w:val="20"/>
          <w:szCs w:val="20"/>
        </w:rPr>
      </w:pPr>
      <w:r>
        <w:rPr>
          <w:sz w:val="20"/>
          <w:szCs w:val="20"/>
        </w:rPr>
        <w:t>The new standard also provides practical expedients for an entity’s ongoing accounting. The Company elected the short-te</w:t>
      </w:r>
      <w:r>
        <w:rPr>
          <w:sz w:val="20"/>
          <w:szCs w:val="20"/>
        </w:rPr>
        <w:t>rm lease recognition exemption for all leases with a term shorter than</w:t>
      </w:r>
      <w:r>
        <w:rPr>
          <w:sz w:val="20"/>
          <w:szCs w:val="20"/>
        </w:rPr>
        <w:t xml:space="preserve"> </w:t>
      </w:r>
      <w:r>
        <w:rPr>
          <w:sz w:val="20"/>
          <w:szCs w:val="20"/>
        </w:rPr>
        <w:t>1</w:t>
      </w:r>
      <w:r>
        <w:rPr>
          <w:sz w:val="20"/>
          <w:szCs w:val="20"/>
        </w:rPr>
        <w:t>2</w:t>
      </w:r>
      <w:r>
        <w:rPr>
          <w:sz w:val="20"/>
          <w:szCs w:val="20"/>
        </w:rPr>
        <w:t xml:space="preserve"> months. This means that for those leases, the Company does not recognize ROU assets or lease liabilities, including not recognizing ROU assets or lease liabilities for existing short</w:t>
      </w:r>
      <w:r>
        <w:rPr>
          <w:sz w:val="20"/>
          <w:szCs w:val="20"/>
        </w:rPr>
        <w:t>-term leases of those assets in transition, but recognizes lease expenses over the lease term on a straight-line basis. The Company also elected the practical expedient to not separate lease and non-lease components for all of the Company’s leases</w:t>
      </w:r>
      <w:r>
        <w:rPr>
          <w:sz w:val="20"/>
          <w:szCs w:val="20"/>
        </w:rPr>
        <w:t>.</w:t>
      </w:r>
      <w:r>
        <w:rPr>
          <w:sz w:val="20"/>
          <w:szCs w:val="20"/>
        </w:rPr>
        <w:t xml:space="preserve"> </w:t>
      </w:r>
    </w:p>
    <w:p w:rsidR="00000000" w:rsidRDefault="00AF2D19">
      <w:pPr>
        <w:pStyle w:val="a3"/>
        <w:spacing w:before="120" w:beforeAutospacing="0" w:after="0" w:afterAutospacing="0"/>
        <w:jc w:val="both"/>
        <w:divId w:val="909578042"/>
        <w:rPr>
          <w:sz w:val="20"/>
          <w:szCs w:val="20"/>
        </w:rPr>
      </w:pPr>
      <w:r>
        <w:rPr>
          <w:sz w:val="20"/>
          <w:szCs w:val="20"/>
        </w:rPr>
        <w:t>The Co</w:t>
      </w:r>
      <w:r>
        <w:rPr>
          <w:sz w:val="20"/>
          <w:szCs w:val="20"/>
        </w:rPr>
        <w:t>mpany does not currently have any leases with terms in excess of 12 months. The Company adopted this ASU with no impact on its consolidated financial statements or related disclosures</w:t>
      </w:r>
      <w:r>
        <w:rPr>
          <w:sz w:val="20"/>
          <w:szCs w:val="20"/>
        </w:rPr>
        <w:t>.</w:t>
      </w:r>
      <w:r>
        <w:rPr>
          <w:sz w:val="20"/>
          <w:szCs w:val="20"/>
        </w:rPr>
        <w:t> </w:t>
      </w:r>
    </w:p>
    <w:p w:rsidR="00000000" w:rsidRDefault="00AF2D19">
      <w:pPr>
        <w:pStyle w:val="a3"/>
        <w:spacing w:before="0" w:beforeAutospacing="0" w:after="0" w:afterAutospacing="0"/>
        <w:jc w:val="center"/>
        <w:rPr>
          <w:sz w:val="20"/>
          <w:szCs w:val="20"/>
        </w:rPr>
      </w:pPr>
      <w:r>
        <w:rPr>
          <w:sz w:val="20"/>
          <w:szCs w:val="20"/>
        </w:rPr>
        <w:t>8</w:t>
      </w:r>
      <w:r>
        <w:rPr>
          <w:sz w:val="20"/>
          <w:szCs w:val="20"/>
        </w:rPr>
        <w:t>4</w:t>
      </w:r>
    </w:p>
    <w:p w:rsidR="00000000" w:rsidRDefault="00AF2D19">
      <w:pPr>
        <w:rPr>
          <w:rFonts w:eastAsia="Times New Roman"/>
        </w:rPr>
      </w:pPr>
      <w:r>
        <w:rPr>
          <w:rFonts w:eastAsia="Times New Roman"/>
        </w:rPr>
        <w:pict>
          <v:rect id="_x0000_i111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360" w:beforeAutospacing="0" w:after="0" w:afterAutospacing="0"/>
        <w:divId w:val="868951031"/>
        <w:rPr>
          <w:sz w:val="20"/>
          <w:szCs w:val="20"/>
        </w:rPr>
      </w:pPr>
      <w:r>
        <w:rPr>
          <w:b/>
          <w:bCs/>
          <w:sz w:val="20"/>
          <w:szCs w:val="20"/>
        </w:rPr>
        <w:t>NOTE 3. BUSINESS COMBINATIO</w:t>
      </w:r>
      <w:r>
        <w:rPr>
          <w:b/>
          <w:bCs/>
          <w:sz w:val="20"/>
          <w:szCs w:val="20"/>
        </w:rPr>
        <w:t>N</w:t>
      </w:r>
    </w:p>
    <w:p w:rsidR="00000000" w:rsidRDefault="00AF2D19">
      <w:pPr>
        <w:pStyle w:val="a3"/>
        <w:spacing w:before="120" w:beforeAutospacing="0" w:after="0" w:afterAutospacing="0"/>
        <w:jc w:val="both"/>
        <w:divId w:val="868951031"/>
        <w:rPr>
          <w:sz w:val="20"/>
          <w:szCs w:val="20"/>
        </w:rPr>
      </w:pPr>
      <w:r>
        <w:rPr>
          <w:sz w:val="20"/>
          <w:szCs w:val="20"/>
        </w:rPr>
        <w:t>On June 22, 2021, the Company completed the Business Combination pursuant to the Merger Agreement dated</w:t>
      </w:r>
      <w:r>
        <w:rPr>
          <w:sz w:val="20"/>
          <w:szCs w:val="20"/>
        </w:rPr>
        <w:t xml:space="preserve"> </w:t>
      </w:r>
      <w:r>
        <w:rPr>
          <w:sz w:val="20"/>
          <w:szCs w:val="20"/>
        </w:rPr>
        <w:t>January 12, 202</w:t>
      </w:r>
      <w:r>
        <w:rPr>
          <w:sz w:val="20"/>
          <w:szCs w:val="20"/>
        </w:rPr>
        <w:t>1</w:t>
      </w:r>
      <w:r>
        <w:rPr>
          <w:sz w:val="20"/>
          <w:szCs w:val="20"/>
        </w:rPr>
        <w:t>. The Business Combination was accounted for as a reverse recapitalization in accordance with U.S. GAAP. Under this method of accounting, HEC who was the legal acquirer, is treated as the “acquired” company for financial reporting purposes. Accordingly, th</w:t>
      </w:r>
      <w:r>
        <w:rPr>
          <w:sz w:val="20"/>
          <w:szCs w:val="20"/>
        </w:rPr>
        <w:t>e Business Combination was treated as the equivalent of Old Talkspace issuing stock for the net assets of HEC, accompanied by a recapitalization. The net assets of HEC are stated at historical cost, with no goodwill or other intangible assets recorded</w:t>
      </w:r>
      <w:r>
        <w:rPr>
          <w:sz w:val="20"/>
          <w:szCs w:val="20"/>
        </w:rPr>
        <w:t>.</w:t>
      </w:r>
      <w:r>
        <w:rPr>
          <w:sz w:val="20"/>
          <w:szCs w:val="20"/>
        </w:rPr>
        <w:t xml:space="preserve"> </w:t>
      </w:r>
    </w:p>
    <w:p w:rsidR="00000000" w:rsidRDefault="00AF2D19">
      <w:pPr>
        <w:pStyle w:val="a3"/>
        <w:spacing w:before="120" w:beforeAutospacing="0" w:after="0" w:afterAutospacing="0"/>
        <w:jc w:val="both"/>
        <w:divId w:val="868951031"/>
        <w:rPr>
          <w:sz w:val="20"/>
          <w:szCs w:val="20"/>
        </w:rPr>
      </w:pPr>
      <w:r>
        <w:rPr>
          <w:sz w:val="20"/>
          <w:szCs w:val="20"/>
        </w:rPr>
        <w:t>Ol</w:t>
      </w:r>
      <w:r>
        <w:rPr>
          <w:sz w:val="20"/>
          <w:szCs w:val="20"/>
        </w:rPr>
        <w:t>d Talkspace was determined to be the accounting acquirer based on the following predominant factors</w:t>
      </w:r>
      <w:r>
        <w:rPr>
          <w:sz w:val="20"/>
          <w:szCs w:val="20"/>
        </w:rPr>
        <w:t>:</w:t>
      </w:r>
    </w:p>
    <w:p w:rsidR="00000000" w:rsidRDefault="00AF2D19">
      <w:pPr>
        <w:pStyle w:val="a3"/>
        <w:spacing w:before="120" w:beforeAutospacing="0" w:after="0" w:afterAutospacing="0"/>
        <w:jc w:val="both"/>
        <w:divId w:val="868951031"/>
        <w:rPr>
          <w:sz w:val="20"/>
          <w:szCs w:val="20"/>
        </w:rPr>
      </w:pPr>
      <w:r>
        <w:rPr>
          <w:sz w:val="12"/>
          <w:szCs w:val="12"/>
        </w:rPr>
        <w:t> </w:t>
      </w:r>
    </w:p>
    <w:p w:rsidR="00000000" w:rsidRDefault="00AF2D19">
      <w:pPr>
        <w:jc w:val="both"/>
        <w:divId w:val="1312441436"/>
        <w:rPr>
          <w:rFonts w:eastAsia="Times New Roman"/>
          <w:sz w:val="20"/>
          <w:szCs w:val="20"/>
        </w:rPr>
      </w:pPr>
      <w:r>
        <w:rPr>
          <w:rFonts w:eastAsia="Times New Roman"/>
          <w:sz w:val="20"/>
          <w:szCs w:val="20"/>
        </w:rPr>
        <w:t>o</w:t>
      </w:r>
    </w:p>
    <w:p w:rsidR="00000000" w:rsidRDefault="00AF2D19">
      <w:pPr>
        <w:jc w:val="both"/>
        <w:divId w:val="175311681"/>
        <w:rPr>
          <w:rFonts w:eastAsia="Times New Roman"/>
          <w:sz w:val="20"/>
          <w:szCs w:val="20"/>
        </w:rPr>
      </w:pPr>
      <w:r>
        <w:rPr>
          <w:rFonts w:eastAsia="Times New Roman"/>
          <w:sz w:val="20"/>
          <w:szCs w:val="20"/>
        </w:rPr>
        <w:t>Old Talkspace’s shareholders represent a relative majority of the voting rights in the Company and have the ability to nominate the members of the boar</w:t>
      </w:r>
      <w:r>
        <w:rPr>
          <w:rFonts w:eastAsia="Times New Roman"/>
          <w:sz w:val="20"/>
          <w:szCs w:val="20"/>
        </w:rPr>
        <w:t>d of directors for the Company</w:t>
      </w:r>
      <w:r>
        <w:rPr>
          <w:rFonts w:eastAsia="Times New Roman"/>
          <w:sz w:val="20"/>
          <w:szCs w:val="20"/>
        </w:rPr>
        <w:t>;</w:t>
      </w:r>
    </w:p>
    <w:p w:rsidR="00000000" w:rsidRDefault="00AF2D19">
      <w:pPr>
        <w:pStyle w:val="a3"/>
        <w:spacing w:before="0" w:beforeAutospacing="0" w:after="0" w:afterAutospacing="0"/>
        <w:ind w:left="714"/>
        <w:jc w:val="both"/>
        <w:divId w:val="868951031"/>
        <w:rPr>
          <w:sz w:val="20"/>
          <w:szCs w:val="20"/>
        </w:rPr>
      </w:pPr>
      <w:r>
        <w:rPr>
          <w:sz w:val="12"/>
          <w:szCs w:val="12"/>
        </w:rPr>
        <w:t> </w:t>
      </w:r>
    </w:p>
    <w:p w:rsidR="00000000" w:rsidRDefault="00AF2D19">
      <w:pPr>
        <w:jc w:val="both"/>
        <w:divId w:val="1772823074"/>
        <w:rPr>
          <w:rFonts w:eastAsia="Times New Roman"/>
          <w:sz w:val="20"/>
          <w:szCs w:val="20"/>
        </w:rPr>
      </w:pPr>
      <w:r>
        <w:rPr>
          <w:rFonts w:eastAsia="Times New Roman"/>
          <w:sz w:val="20"/>
          <w:szCs w:val="20"/>
        </w:rPr>
        <w:t>o</w:t>
      </w:r>
    </w:p>
    <w:p w:rsidR="00000000" w:rsidRDefault="00AF2D19">
      <w:pPr>
        <w:jc w:val="both"/>
        <w:divId w:val="138495287"/>
        <w:rPr>
          <w:rFonts w:eastAsia="Times New Roman"/>
          <w:sz w:val="20"/>
          <w:szCs w:val="20"/>
        </w:rPr>
      </w:pPr>
      <w:r>
        <w:rPr>
          <w:rFonts w:eastAsia="Times New Roman"/>
          <w:sz w:val="20"/>
          <w:szCs w:val="20"/>
        </w:rPr>
        <w:t>Old Talkspace’s operations prior to the acquisition represent the ongoing operations of the Company; an</w:t>
      </w:r>
      <w:r>
        <w:rPr>
          <w:rFonts w:eastAsia="Times New Roman"/>
          <w:sz w:val="20"/>
          <w:szCs w:val="20"/>
        </w:rPr>
        <w:t>d</w:t>
      </w:r>
    </w:p>
    <w:p w:rsidR="00000000" w:rsidRDefault="00AF2D19">
      <w:pPr>
        <w:pStyle w:val="a3"/>
        <w:spacing w:before="0" w:beforeAutospacing="0" w:after="0" w:afterAutospacing="0"/>
        <w:ind w:left="714"/>
        <w:jc w:val="both"/>
        <w:divId w:val="868951031"/>
        <w:rPr>
          <w:sz w:val="20"/>
          <w:szCs w:val="20"/>
        </w:rPr>
      </w:pPr>
      <w:r>
        <w:rPr>
          <w:sz w:val="12"/>
          <w:szCs w:val="12"/>
        </w:rPr>
        <w:t> </w:t>
      </w:r>
    </w:p>
    <w:p w:rsidR="00000000" w:rsidRDefault="00AF2D19">
      <w:pPr>
        <w:jc w:val="both"/>
        <w:divId w:val="9181790"/>
        <w:rPr>
          <w:rFonts w:eastAsia="Times New Roman"/>
          <w:sz w:val="20"/>
          <w:szCs w:val="20"/>
        </w:rPr>
      </w:pPr>
      <w:r>
        <w:rPr>
          <w:rFonts w:eastAsia="Times New Roman"/>
          <w:sz w:val="20"/>
          <w:szCs w:val="20"/>
        </w:rPr>
        <w:t>o</w:t>
      </w:r>
    </w:p>
    <w:p w:rsidR="00000000" w:rsidRDefault="00AF2D19">
      <w:pPr>
        <w:jc w:val="both"/>
        <w:divId w:val="329603759"/>
        <w:rPr>
          <w:rFonts w:eastAsia="Times New Roman"/>
          <w:sz w:val="20"/>
          <w:szCs w:val="20"/>
        </w:rPr>
      </w:pPr>
      <w:r>
        <w:rPr>
          <w:rFonts w:eastAsia="Times New Roman"/>
          <w:sz w:val="20"/>
          <w:szCs w:val="20"/>
        </w:rPr>
        <w:t>Old Talkspace’s senior management represents a majority of the senior management of the Company</w:t>
      </w:r>
      <w:r>
        <w:rPr>
          <w:rFonts w:eastAsia="Times New Roman"/>
          <w:sz w:val="20"/>
          <w:szCs w:val="20"/>
        </w:rPr>
        <w:t>.</w:t>
      </w:r>
    </w:p>
    <w:p w:rsidR="00000000" w:rsidRDefault="00AF2D19">
      <w:pPr>
        <w:pStyle w:val="a3"/>
        <w:spacing w:before="120" w:beforeAutospacing="0" w:after="0" w:afterAutospacing="0"/>
        <w:jc w:val="both"/>
        <w:divId w:val="868951031"/>
        <w:rPr>
          <w:sz w:val="20"/>
          <w:szCs w:val="20"/>
        </w:rPr>
      </w:pPr>
      <w:r>
        <w:rPr>
          <w:sz w:val="20"/>
          <w:szCs w:val="20"/>
        </w:rPr>
        <w:t>The consolidat</w:t>
      </w:r>
      <w:r>
        <w:rPr>
          <w:sz w:val="20"/>
          <w:szCs w:val="20"/>
        </w:rPr>
        <w:t>ed assets, liabilities and results of operations prior to the Business Combination are those of Old Talkspace. The shares and corresponding capital amounts and losses per share, prior to the Business Combination, have been retroactively restated based on s</w:t>
      </w:r>
      <w:r>
        <w:rPr>
          <w:sz w:val="20"/>
          <w:szCs w:val="20"/>
        </w:rPr>
        <w:t>hares reflecting the exchange ratio established in the Business Combination</w:t>
      </w:r>
      <w:r>
        <w:rPr>
          <w:sz w:val="20"/>
          <w:szCs w:val="20"/>
        </w:rPr>
        <w:t>.</w:t>
      </w:r>
    </w:p>
    <w:p w:rsidR="00000000" w:rsidRDefault="00AF2D19">
      <w:pPr>
        <w:pStyle w:val="a3"/>
        <w:spacing w:before="120" w:beforeAutospacing="0" w:after="0" w:afterAutospacing="0"/>
        <w:jc w:val="both"/>
        <w:divId w:val="868951031"/>
        <w:rPr>
          <w:sz w:val="20"/>
          <w:szCs w:val="20"/>
        </w:rPr>
      </w:pPr>
      <w:r>
        <w:rPr>
          <w:sz w:val="20"/>
          <w:szCs w:val="20"/>
        </w:rPr>
        <w:t xml:space="preserve">Upon the closing of the Business Combination, among other things, all shares of Old Talkspace’s Common Stock, par value </w:t>
      </w:r>
      <w:r>
        <w:rPr>
          <w:sz w:val="20"/>
          <w:szCs w:val="20"/>
        </w:rPr>
        <w:t>$</w:t>
      </w:r>
      <w:r>
        <w:rPr>
          <w:sz w:val="20"/>
          <w:szCs w:val="20"/>
        </w:rPr>
        <w:t>0.00</w:t>
      </w:r>
      <w:r>
        <w:rPr>
          <w:sz w:val="20"/>
          <w:szCs w:val="20"/>
        </w:rPr>
        <w:t>1</w:t>
      </w:r>
      <w:r>
        <w:rPr>
          <w:sz w:val="20"/>
          <w:szCs w:val="20"/>
        </w:rPr>
        <w:t xml:space="preserve"> per share (the “Old Talkspace Common Stock”), all sh</w:t>
      </w:r>
      <w:r>
        <w:rPr>
          <w:sz w:val="20"/>
          <w:szCs w:val="20"/>
        </w:rPr>
        <w:t xml:space="preserve">ares of Old Talkspace’s Series Seed Preferred Stock, par value </w:t>
      </w:r>
      <w:r>
        <w:rPr>
          <w:sz w:val="20"/>
          <w:szCs w:val="20"/>
        </w:rPr>
        <w:t>$</w:t>
      </w:r>
      <w:r>
        <w:rPr>
          <w:sz w:val="20"/>
          <w:szCs w:val="20"/>
        </w:rPr>
        <w:t>0.00</w:t>
      </w:r>
      <w:r>
        <w:rPr>
          <w:sz w:val="20"/>
          <w:szCs w:val="20"/>
        </w:rPr>
        <w:t>1</w:t>
      </w:r>
      <w:r>
        <w:rPr>
          <w:sz w:val="20"/>
          <w:szCs w:val="20"/>
        </w:rPr>
        <w:t xml:space="preserve"> per share, Series Seed-1 Preferred Stock, par value </w:t>
      </w:r>
      <w:r>
        <w:rPr>
          <w:sz w:val="20"/>
          <w:szCs w:val="20"/>
        </w:rPr>
        <w:t>$</w:t>
      </w:r>
      <w:r>
        <w:rPr>
          <w:sz w:val="20"/>
          <w:szCs w:val="20"/>
        </w:rPr>
        <w:t>0.00</w:t>
      </w:r>
      <w:r>
        <w:rPr>
          <w:sz w:val="20"/>
          <w:szCs w:val="20"/>
        </w:rPr>
        <w:t>1</w:t>
      </w:r>
      <w:r>
        <w:rPr>
          <w:sz w:val="20"/>
          <w:szCs w:val="20"/>
        </w:rPr>
        <w:t xml:space="preserve"> per share, Series Seed-2 Preferred Stock, par value </w:t>
      </w:r>
      <w:r>
        <w:rPr>
          <w:sz w:val="20"/>
          <w:szCs w:val="20"/>
        </w:rPr>
        <w:t>$</w:t>
      </w:r>
      <w:r>
        <w:rPr>
          <w:sz w:val="20"/>
          <w:szCs w:val="20"/>
        </w:rPr>
        <w:t>0.00</w:t>
      </w:r>
      <w:r>
        <w:rPr>
          <w:sz w:val="20"/>
          <w:szCs w:val="20"/>
        </w:rPr>
        <w:t>1</w:t>
      </w:r>
      <w:r>
        <w:rPr>
          <w:sz w:val="20"/>
          <w:szCs w:val="20"/>
        </w:rPr>
        <w:t xml:space="preserve"> per share, Series A Preferred Stock, par value </w:t>
      </w:r>
      <w:r>
        <w:rPr>
          <w:sz w:val="20"/>
          <w:szCs w:val="20"/>
        </w:rPr>
        <w:t>$</w:t>
      </w:r>
      <w:r>
        <w:rPr>
          <w:sz w:val="20"/>
          <w:szCs w:val="20"/>
        </w:rPr>
        <w:t>0.00</w:t>
      </w:r>
      <w:r>
        <w:rPr>
          <w:sz w:val="20"/>
          <w:szCs w:val="20"/>
        </w:rPr>
        <w:t>1</w:t>
      </w:r>
      <w:r>
        <w:rPr>
          <w:sz w:val="20"/>
          <w:szCs w:val="20"/>
        </w:rPr>
        <w:t xml:space="preserve"> per share, Ser</w:t>
      </w:r>
      <w:r>
        <w:rPr>
          <w:sz w:val="20"/>
          <w:szCs w:val="20"/>
        </w:rPr>
        <w:t xml:space="preserve">ies B Preferred Stock, par value </w:t>
      </w:r>
      <w:r>
        <w:rPr>
          <w:sz w:val="20"/>
          <w:szCs w:val="20"/>
        </w:rPr>
        <w:t>$</w:t>
      </w:r>
      <w:r>
        <w:rPr>
          <w:sz w:val="20"/>
          <w:szCs w:val="20"/>
        </w:rPr>
        <w:t>0.00</w:t>
      </w:r>
      <w:r>
        <w:rPr>
          <w:sz w:val="20"/>
          <w:szCs w:val="20"/>
        </w:rPr>
        <w:t>1</w:t>
      </w:r>
      <w:r>
        <w:rPr>
          <w:sz w:val="20"/>
          <w:szCs w:val="20"/>
        </w:rPr>
        <w:t xml:space="preserve"> per share, Series C Preferred Stock, par value </w:t>
      </w:r>
      <w:r>
        <w:rPr>
          <w:sz w:val="20"/>
          <w:szCs w:val="20"/>
        </w:rPr>
        <w:t>$</w:t>
      </w:r>
      <w:r>
        <w:rPr>
          <w:sz w:val="20"/>
          <w:szCs w:val="20"/>
        </w:rPr>
        <w:t>0.00</w:t>
      </w:r>
      <w:r>
        <w:rPr>
          <w:sz w:val="20"/>
          <w:szCs w:val="20"/>
        </w:rPr>
        <w:t>1</w:t>
      </w:r>
      <w:r>
        <w:rPr>
          <w:sz w:val="20"/>
          <w:szCs w:val="20"/>
        </w:rPr>
        <w:t xml:space="preserve"> per share and Series D Preferred Stock, par value </w:t>
      </w:r>
      <w:r>
        <w:rPr>
          <w:sz w:val="20"/>
          <w:szCs w:val="20"/>
        </w:rPr>
        <w:t>$</w:t>
      </w:r>
      <w:r>
        <w:rPr>
          <w:sz w:val="20"/>
          <w:szCs w:val="20"/>
        </w:rPr>
        <w:t>0.00</w:t>
      </w:r>
      <w:r>
        <w:rPr>
          <w:sz w:val="20"/>
          <w:szCs w:val="20"/>
        </w:rPr>
        <w:t>1</w:t>
      </w:r>
      <w:r>
        <w:rPr>
          <w:sz w:val="20"/>
          <w:szCs w:val="20"/>
        </w:rPr>
        <w:t xml:space="preserve"> per share (collectively, the “Old Talkspace Preferred Stock” and, together with the Old Talkspace Common </w:t>
      </w:r>
      <w:r>
        <w:rPr>
          <w:sz w:val="20"/>
          <w:szCs w:val="20"/>
        </w:rPr>
        <w:t>Stock, the “Old Talkspace Capital Stock”) and all vested options exercisable for Old Talkspace Common Stock (“Old Talkspace Vested Options”) outstanding as of immediately prior to Closing were cancelled or assumed, as applicable, and converted into the rig</w:t>
      </w:r>
      <w:r>
        <w:rPr>
          <w:sz w:val="20"/>
          <w:szCs w:val="20"/>
        </w:rPr>
        <w:t xml:space="preserve">ht to receive, at the election of the holders thereof, a number of shares of Talkspace’s Common Stock, par value </w:t>
      </w:r>
      <w:r>
        <w:rPr>
          <w:sz w:val="20"/>
          <w:szCs w:val="20"/>
        </w:rPr>
        <w:t>$</w:t>
      </w:r>
      <w:r>
        <w:rPr>
          <w:sz w:val="20"/>
          <w:szCs w:val="20"/>
        </w:rPr>
        <w:t>0.000</w:t>
      </w:r>
      <w:r>
        <w:rPr>
          <w:sz w:val="20"/>
          <w:szCs w:val="20"/>
        </w:rPr>
        <w:t>1</w:t>
      </w:r>
      <w:r>
        <w:rPr>
          <w:sz w:val="20"/>
          <w:szCs w:val="20"/>
        </w:rPr>
        <w:t xml:space="preserve"> per share (the “Talkspace common stock”) (or, with respect to holders of Old Talkspace Vested Options, a number of vested options exerc</w:t>
      </w:r>
      <w:r>
        <w:rPr>
          <w:sz w:val="20"/>
          <w:szCs w:val="20"/>
        </w:rPr>
        <w:t xml:space="preserve">isable for Talkspace common stock “Talkspace Vested Options”) or a combination of shares of Talkspace common stock and cash (or, with respect to holders of Old Talkspace Vested Options, a combination of Talkspace Vested Options and cash), in each case, as </w:t>
      </w:r>
      <w:r>
        <w:rPr>
          <w:sz w:val="20"/>
          <w:szCs w:val="20"/>
        </w:rPr>
        <w:t xml:space="preserve">adjusted pursuant to the Merger Agreement, which, in the aggregate with the unvested options exercisable for Old Talkspace Common Stock assumed by Talkspace and converted into unvested options exercisable for Talkspace common stock, equaled approximately </w:t>
      </w:r>
      <w:r>
        <w:rPr>
          <w:sz w:val="20"/>
          <w:szCs w:val="20"/>
        </w:rPr>
        <w:t>$</w:t>
      </w:r>
      <w:r>
        <w:rPr>
          <w:sz w:val="20"/>
          <w:szCs w:val="20"/>
        </w:rPr>
        <w:t>199.</w:t>
      </w:r>
      <w:r>
        <w:rPr>
          <w:sz w:val="20"/>
          <w:szCs w:val="20"/>
        </w:rPr>
        <w:t>3</w:t>
      </w:r>
      <w:r>
        <w:rPr>
          <w:sz w:val="20"/>
          <w:szCs w:val="20"/>
        </w:rPr>
        <w:t xml:space="preserve"> million in cash and 109,461,534 shares of Talkspace common stock (at a deemed value of </w:t>
      </w:r>
      <w:r>
        <w:rPr>
          <w:sz w:val="20"/>
          <w:szCs w:val="20"/>
        </w:rPr>
        <w:t>$</w:t>
      </w:r>
      <w:r>
        <w:rPr>
          <w:sz w:val="20"/>
          <w:szCs w:val="20"/>
        </w:rPr>
        <w:t>10.0</w:t>
      </w:r>
      <w:r>
        <w:rPr>
          <w:sz w:val="20"/>
          <w:szCs w:val="20"/>
        </w:rPr>
        <w:t>0</w:t>
      </w:r>
      <w:r>
        <w:rPr>
          <w:sz w:val="20"/>
          <w:szCs w:val="20"/>
        </w:rPr>
        <w:t xml:space="preserve"> per share). The</w:t>
      </w:r>
      <w:r>
        <w:rPr>
          <w:sz w:val="20"/>
          <w:szCs w:val="20"/>
        </w:rPr>
        <w:t xml:space="preserve"> </w:t>
      </w:r>
      <w:r>
        <w:rPr>
          <w:sz w:val="20"/>
          <w:szCs w:val="20"/>
        </w:rPr>
        <w:t>109,461,53</w:t>
      </w:r>
      <w:r>
        <w:rPr>
          <w:sz w:val="20"/>
          <w:szCs w:val="20"/>
        </w:rPr>
        <w:t>4</w:t>
      </w:r>
      <w:r>
        <w:rPr>
          <w:sz w:val="20"/>
          <w:szCs w:val="20"/>
        </w:rPr>
        <w:t xml:space="preserve"> shares consisted of</w:t>
      </w:r>
      <w:r>
        <w:rPr>
          <w:sz w:val="20"/>
          <w:szCs w:val="20"/>
        </w:rPr>
        <w:t xml:space="preserve"> </w:t>
      </w:r>
      <w:r>
        <w:rPr>
          <w:sz w:val="20"/>
          <w:szCs w:val="20"/>
        </w:rPr>
        <w:t>91,473,77</w:t>
      </w:r>
      <w:r>
        <w:rPr>
          <w:sz w:val="20"/>
          <w:szCs w:val="20"/>
        </w:rPr>
        <w:t>9</w:t>
      </w:r>
      <w:r>
        <w:rPr>
          <w:sz w:val="20"/>
          <w:szCs w:val="20"/>
        </w:rPr>
        <w:t xml:space="preserve"> shares issued to holders of Old Talkspace capital stock and</w:t>
      </w:r>
      <w:r>
        <w:rPr>
          <w:sz w:val="20"/>
          <w:szCs w:val="20"/>
        </w:rPr>
        <w:t xml:space="preserve"> </w:t>
      </w:r>
      <w:r>
        <w:rPr>
          <w:sz w:val="20"/>
          <w:szCs w:val="20"/>
        </w:rPr>
        <w:t>17,987,75</w:t>
      </w:r>
      <w:r>
        <w:rPr>
          <w:sz w:val="20"/>
          <w:szCs w:val="20"/>
        </w:rPr>
        <w:t>5</w:t>
      </w:r>
      <w:r>
        <w:rPr>
          <w:sz w:val="20"/>
          <w:szCs w:val="20"/>
        </w:rPr>
        <w:t xml:space="preserve"> options to purchase Talksp</w:t>
      </w:r>
      <w:r>
        <w:rPr>
          <w:sz w:val="20"/>
          <w:szCs w:val="20"/>
        </w:rPr>
        <w:t>ace common stock issued to holders of Old Talkspace stock options. The exchange ratio of</w:t>
      </w:r>
      <w:r>
        <w:rPr>
          <w:sz w:val="20"/>
          <w:szCs w:val="20"/>
        </w:rPr>
        <w:t xml:space="preserve"> </w:t>
      </w:r>
      <w:r>
        <w:rPr>
          <w:sz w:val="20"/>
          <w:szCs w:val="20"/>
        </w:rPr>
        <w:t>1.13414</w:t>
      </w:r>
      <w:r>
        <w:rPr>
          <w:sz w:val="20"/>
          <w:szCs w:val="20"/>
        </w:rPr>
        <w:t>0</w:t>
      </w:r>
      <w:r>
        <w:rPr>
          <w:sz w:val="20"/>
          <w:szCs w:val="20"/>
        </w:rPr>
        <w:t xml:space="preserve"> was used to convert Old Talkspace capital stock and stock options into Talkspace capital stock and stock options</w:t>
      </w:r>
      <w:r>
        <w:rPr>
          <w:sz w:val="20"/>
          <w:szCs w:val="20"/>
        </w:rPr>
        <w:t>.</w:t>
      </w:r>
      <w:r>
        <w:rPr>
          <w:sz w:val="20"/>
          <w:szCs w:val="20"/>
        </w:rPr>
        <w:t xml:space="preserve"> </w:t>
      </w:r>
    </w:p>
    <w:p w:rsidR="00000000" w:rsidRDefault="00AF2D19">
      <w:pPr>
        <w:pStyle w:val="a3"/>
        <w:spacing w:before="120" w:beforeAutospacing="0" w:after="0" w:afterAutospacing="0"/>
        <w:jc w:val="both"/>
        <w:divId w:val="868951031"/>
        <w:rPr>
          <w:sz w:val="20"/>
          <w:szCs w:val="20"/>
        </w:rPr>
      </w:pPr>
      <w:r>
        <w:rPr>
          <w:sz w:val="20"/>
          <w:szCs w:val="20"/>
        </w:rPr>
        <w:t>In connection with the Business Combination</w:t>
      </w:r>
      <w:r>
        <w:rPr>
          <w:sz w:val="20"/>
          <w:szCs w:val="20"/>
        </w:rPr>
        <w:t>, a number of investors (each, a “Subscriber”) purchased from the Company an aggregate of</w:t>
      </w:r>
      <w:r>
        <w:rPr>
          <w:sz w:val="20"/>
          <w:szCs w:val="20"/>
        </w:rPr>
        <w:t xml:space="preserve"> </w:t>
      </w:r>
      <w:r>
        <w:rPr>
          <w:sz w:val="20"/>
          <w:szCs w:val="20"/>
        </w:rPr>
        <w:t>30,000,00</w:t>
      </w:r>
      <w:r>
        <w:rPr>
          <w:sz w:val="20"/>
          <w:szCs w:val="20"/>
        </w:rPr>
        <w:t>0</w:t>
      </w:r>
      <w:r>
        <w:rPr>
          <w:sz w:val="20"/>
          <w:szCs w:val="20"/>
        </w:rPr>
        <w:t xml:space="preserve"> shares of common stock (the “PIPE”), for a purchase price of </w:t>
      </w:r>
      <w:r>
        <w:rPr>
          <w:sz w:val="20"/>
          <w:szCs w:val="20"/>
        </w:rPr>
        <w:t>$</w:t>
      </w:r>
      <w:r>
        <w:rPr>
          <w:sz w:val="20"/>
          <w:szCs w:val="20"/>
        </w:rPr>
        <w:t>10.0</w:t>
      </w:r>
      <w:r>
        <w:rPr>
          <w:sz w:val="20"/>
          <w:szCs w:val="20"/>
        </w:rPr>
        <w:t>0</w:t>
      </w:r>
      <w:r>
        <w:rPr>
          <w:sz w:val="20"/>
          <w:szCs w:val="20"/>
        </w:rPr>
        <w:t xml:space="preserve"> per share and an aggregate purchase price of </w:t>
      </w:r>
      <w:r>
        <w:rPr>
          <w:sz w:val="20"/>
          <w:szCs w:val="20"/>
        </w:rPr>
        <w:t>$</w:t>
      </w:r>
      <w:r>
        <w:rPr>
          <w:sz w:val="20"/>
          <w:szCs w:val="20"/>
        </w:rPr>
        <w:t>300.</w:t>
      </w:r>
      <w:r>
        <w:rPr>
          <w:sz w:val="20"/>
          <w:szCs w:val="20"/>
        </w:rPr>
        <w:t>0</w:t>
      </w:r>
      <w:r>
        <w:rPr>
          <w:sz w:val="20"/>
          <w:szCs w:val="20"/>
        </w:rPr>
        <w:t xml:space="preserve"> million (the “PIPE Shares”), pursua</w:t>
      </w:r>
      <w:r>
        <w:rPr>
          <w:sz w:val="20"/>
          <w:szCs w:val="20"/>
        </w:rPr>
        <w:t>nt to separate subscription agreements (each, a “Subscription Agreement”) entered into effective as of January 12, 2021</w:t>
      </w:r>
      <w:r>
        <w:rPr>
          <w:sz w:val="20"/>
          <w:szCs w:val="20"/>
        </w:rPr>
        <w:t>.</w:t>
      </w:r>
      <w:r>
        <w:rPr>
          <w:sz w:val="20"/>
          <w:szCs w:val="20"/>
        </w:rPr>
        <w:t xml:space="preserve"> </w:t>
      </w:r>
    </w:p>
    <w:p w:rsidR="00000000" w:rsidRDefault="00AF2D19">
      <w:pPr>
        <w:pStyle w:val="a3"/>
        <w:spacing w:before="120" w:beforeAutospacing="0" w:after="0" w:afterAutospacing="0"/>
        <w:jc w:val="both"/>
        <w:divId w:val="868951031"/>
        <w:rPr>
          <w:sz w:val="20"/>
          <w:szCs w:val="20"/>
        </w:rPr>
      </w:pPr>
      <w:r>
        <w:rPr>
          <w:sz w:val="20"/>
          <w:szCs w:val="20"/>
        </w:rPr>
        <w:t>In addition, in connection with the execution of the Merger Agreement, Talkspace entered into an amendment to the forward purchase agr</w:t>
      </w:r>
      <w:r>
        <w:rPr>
          <w:sz w:val="20"/>
          <w:szCs w:val="20"/>
        </w:rPr>
        <w:t>eement (as amended, the “Forward Purchase Agreement”) with HEC Master Fund LP, a Delaware limited partnership and affiliate of the Sponsor (“HEC Fund”), dated June 8, 2020. Pursuant to the Forward Purchase Agreement, HEC Fund agreed to purchase</w:t>
      </w:r>
      <w:r>
        <w:rPr>
          <w:sz w:val="20"/>
          <w:szCs w:val="20"/>
        </w:rPr>
        <w:t xml:space="preserve"> </w:t>
      </w:r>
      <w:r>
        <w:rPr>
          <w:sz w:val="20"/>
          <w:szCs w:val="20"/>
        </w:rPr>
        <w:t>2,500,00</w:t>
      </w:r>
      <w:r>
        <w:rPr>
          <w:sz w:val="20"/>
          <w:szCs w:val="20"/>
        </w:rPr>
        <w:t>0</w:t>
      </w:r>
      <w:r>
        <w:rPr>
          <w:sz w:val="20"/>
          <w:szCs w:val="20"/>
        </w:rPr>
        <w:t xml:space="preserve"> f</w:t>
      </w:r>
      <w:r>
        <w:rPr>
          <w:sz w:val="20"/>
          <w:szCs w:val="20"/>
        </w:rPr>
        <w:t xml:space="preserve">orward purchase units, consisting of one share of HEC’s Class A common stock and one-half of one warrant to purchase one share of HEC’s Class A common stock, for </w:t>
      </w:r>
      <w:r>
        <w:rPr>
          <w:sz w:val="20"/>
          <w:szCs w:val="20"/>
        </w:rPr>
        <w:t>$</w:t>
      </w:r>
      <w:r>
        <w:rPr>
          <w:sz w:val="20"/>
          <w:szCs w:val="20"/>
        </w:rPr>
        <w:t>10.0</w:t>
      </w:r>
      <w:r>
        <w:rPr>
          <w:sz w:val="20"/>
          <w:szCs w:val="20"/>
        </w:rPr>
        <w:t>0</w:t>
      </w:r>
      <w:r>
        <w:rPr>
          <w:sz w:val="20"/>
          <w:szCs w:val="20"/>
        </w:rPr>
        <w:t xml:space="preserve"> per unit, or an aggregate amount of </w:t>
      </w:r>
      <w:r>
        <w:rPr>
          <w:sz w:val="20"/>
          <w:szCs w:val="20"/>
        </w:rPr>
        <w:t>$</w:t>
      </w:r>
      <w:r>
        <w:rPr>
          <w:sz w:val="20"/>
          <w:szCs w:val="20"/>
        </w:rPr>
        <w:t>25.</w:t>
      </w:r>
      <w:r>
        <w:rPr>
          <w:sz w:val="20"/>
          <w:szCs w:val="20"/>
        </w:rPr>
        <w:t>0</w:t>
      </w:r>
      <w:r>
        <w:rPr>
          <w:sz w:val="20"/>
          <w:szCs w:val="20"/>
        </w:rPr>
        <w:t xml:space="preserve"> million, in a private placement that would cl</w:t>
      </w:r>
      <w:r>
        <w:rPr>
          <w:sz w:val="20"/>
          <w:szCs w:val="20"/>
        </w:rPr>
        <w:t xml:space="preserve">ose concurrently with the Closing and to backstop up to </w:t>
      </w:r>
      <w:r>
        <w:rPr>
          <w:sz w:val="20"/>
          <w:szCs w:val="20"/>
        </w:rPr>
        <w:t>$</w:t>
      </w:r>
      <w:r>
        <w:rPr>
          <w:sz w:val="20"/>
          <w:szCs w:val="20"/>
        </w:rPr>
        <w:t>25.</w:t>
      </w:r>
      <w:r>
        <w:rPr>
          <w:sz w:val="20"/>
          <w:szCs w:val="20"/>
        </w:rPr>
        <w:t>0</w:t>
      </w:r>
      <w:r>
        <w:rPr>
          <w:sz w:val="20"/>
          <w:szCs w:val="20"/>
        </w:rPr>
        <w:t xml:space="preserve"> million of redemptions by stockholders of HEC (the “Forward Purchase”)</w:t>
      </w:r>
      <w:r>
        <w:rPr>
          <w:sz w:val="20"/>
          <w:szCs w:val="20"/>
        </w:rPr>
        <w:t>.</w:t>
      </w:r>
    </w:p>
    <w:p w:rsidR="00000000" w:rsidRDefault="00AF2D19">
      <w:pPr>
        <w:pStyle w:val="a3"/>
        <w:spacing w:before="120" w:beforeAutospacing="0" w:after="0" w:afterAutospacing="0"/>
        <w:jc w:val="both"/>
        <w:divId w:val="868951031"/>
        <w:rPr>
          <w:sz w:val="20"/>
          <w:szCs w:val="20"/>
        </w:rPr>
      </w:pPr>
      <w:r>
        <w:rPr>
          <w:sz w:val="20"/>
          <w:szCs w:val="20"/>
        </w:rPr>
        <w:t>Immediately after giving effect to the redemption of</w:t>
      </w:r>
      <w:r>
        <w:rPr>
          <w:sz w:val="20"/>
          <w:szCs w:val="20"/>
        </w:rPr>
        <w:t xml:space="preserve"> </w:t>
      </w:r>
      <w:r>
        <w:rPr>
          <w:sz w:val="20"/>
          <w:szCs w:val="20"/>
        </w:rPr>
        <w:t>25,968,04</w:t>
      </w:r>
      <w:r>
        <w:rPr>
          <w:sz w:val="20"/>
          <w:szCs w:val="20"/>
        </w:rPr>
        <w:t>3</w:t>
      </w:r>
      <w:r>
        <w:rPr>
          <w:sz w:val="20"/>
          <w:szCs w:val="20"/>
        </w:rPr>
        <w:t xml:space="preserve"> shares of HEC’s Class A common stock in connection with th</w:t>
      </w:r>
      <w:r>
        <w:rPr>
          <w:sz w:val="20"/>
          <w:szCs w:val="20"/>
        </w:rPr>
        <w:t>e Business Combination, the Forward Purchase and the PIPE Investment, there were</w:t>
      </w:r>
      <w:r>
        <w:rPr>
          <w:sz w:val="20"/>
          <w:szCs w:val="20"/>
        </w:rPr>
        <w:t xml:space="preserve"> </w:t>
      </w:r>
      <w:r>
        <w:rPr>
          <w:sz w:val="20"/>
          <w:szCs w:val="20"/>
        </w:rPr>
        <w:t>152,255,73</w:t>
      </w:r>
      <w:r>
        <w:rPr>
          <w:sz w:val="20"/>
          <w:szCs w:val="20"/>
        </w:rPr>
        <w:t>6</w:t>
      </w:r>
      <w:r>
        <w:rPr>
          <w:sz w:val="20"/>
          <w:szCs w:val="20"/>
        </w:rPr>
        <w:t xml:space="preserve"> shares of Talkspace common stock and</w:t>
      </w:r>
      <w:r>
        <w:rPr>
          <w:sz w:val="20"/>
          <w:szCs w:val="20"/>
        </w:rPr>
        <w:t xml:space="preserve"> </w:t>
      </w:r>
      <w:r>
        <w:rPr>
          <w:sz w:val="20"/>
          <w:szCs w:val="20"/>
        </w:rPr>
        <w:t>33,480,00</w:t>
      </w:r>
      <w:r>
        <w:rPr>
          <w:sz w:val="20"/>
          <w:szCs w:val="20"/>
        </w:rPr>
        <w:t>0</w:t>
      </w:r>
      <w:r>
        <w:rPr>
          <w:sz w:val="20"/>
          <w:szCs w:val="20"/>
        </w:rPr>
        <w:t xml:space="preserve"> warrants to purchase Talkspace common stock (the “Talkspace warrants”) outstanding. Upon the consummation of the Bu</w:t>
      </w:r>
      <w:r>
        <w:rPr>
          <w:sz w:val="20"/>
          <w:szCs w:val="20"/>
        </w:rPr>
        <w:t>siness Combination, HEC’s Class A common stock, warrants and units ceased trading on The Nasdaq Stock Market LLC (the “Nasdaq”), and Talkspace common stock and Talkspace warrants began trading on June 23, 2021 on Nasdaq under the symbols “TALK” and “TALKW,</w:t>
      </w:r>
      <w:r>
        <w:rPr>
          <w:sz w:val="20"/>
          <w:szCs w:val="20"/>
        </w:rPr>
        <w:t>” respectively</w:t>
      </w:r>
      <w:r>
        <w:rPr>
          <w:sz w:val="20"/>
          <w:szCs w:val="20"/>
        </w:rPr>
        <w:t>.</w:t>
      </w:r>
      <w:r>
        <w:rPr>
          <w:sz w:val="20"/>
          <w:szCs w:val="20"/>
        </w:rPr>
        <w:t xml:space="preserve"> </w:t>
      </w:r>
    </w:p>
    <w:p w:rsidR="00000000" w:rsidRDefault="00AF2D19">
      <w:pPr>
        <w:pStyle w:val="a3"/>
        <w:spacing w:before="0" w:beforeAutospacing="0" w:after="0" w:afterAutospacing="0"/>
        <w:jc w:val="center"/>
        <w:divId w:val="868951031"/>
        <w:rPr>
          <w:sz w:val="20"/>
          <w:szCs w:val="20"/>
        </w:rPr>
      </w:pPr>
      <w:r>
        <w:rPr>
          <w:sz w:val="20"/>
          <w:szCs w:val="20"/>
        </w:rPr>
        <w:t>8</w:t>
      </w:r>
      <w:r>
        <w:rPr>
          <w:sz w:val="20"/>
          <w:szCs w:val="20"/>
        </w:rPr>
        <w:t>5</w:t>
      </w:r>
    </w:p>
    <w:p w:rsidR="00000000" w:rsidRDefault="00AF2D19">
      <w:pPr>
        <w:divId w:val="868951031"/>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AF2D19">
      <w:pPr>
        <w:pStyle w:val="a3"/>
        <w:spacing w:before="0" w:beforeAutospacing="0" w:after="0" w:afterAutospacing="0"/>
        <w:divId w:val="868951031"/>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divId w:val="868951031"/>
        <w:rPr>
          <w:sz w:val="20"/>
          <w:szCs w:val="20"/>
        </w:rPr>
      </w:pPr>
      <w:r>
        <w:rPr>
          <w:sz w:val="20"/>
          <w:szCs w:val="20"/>
        </w:rPr>
        <w:t xml:space="preserve">Upon the closing of the Business Combination, the Company’s certificate of incorporation was amended and restated to, among other things, increase the </w:t>
      </w:r>
      <w:r>
        <w:rPr>
          <w:sz w:val="20"/>
          <w:szCs w:val="20"/>
        </w:rPr>
        <w:t>total number of authorized shares of common stock to</w:t>
      </w:r>
      <w:r>
        <w:rPr>
          <w:sz w:val="20"/>
          <w:szCs w:val="20"/>
        </w:rPr>
        <w:t xml:space="preserve"> </w:t>
      </w:r>
      <w:r>
        <w:rPr>
          <w:sz w:val="20"/>
          <w:szCs w:val="20"/>
        </w:rPr>
        <w:t>1,000,000,00</w:t>
      </w:r>
      <w:r>
        <w:rPr>
          <w:sz w:val="20"/>
          <w:szCs w:val="20"/>
        </w:rPr>
        <w:t>0</w:t>
      </w:r>
      <w:r>
        <w:rPr>
          <w:sz w:val="20"/>
          <w:szCs w:val="20"/>
        </w:rPr>
        <w:t xml:space="preserve"> shares, </w:t>
      </w:r>
      <w:r>
        <w:rPr>
          <w:sz w:val="20"/>
          <w:szCs w:val="20"/>
        </w:rPr>
        <w:t>$</w:t>
      </w:r>
      <w:r>
        <w:rPr>
          <w:sz w:val="20"/>
          <w:szCs w:val="20"/>
        </w:rPr>
        <w:t>0.000</w:t>
      </w:r>
      <w:r>
        <w:rPr>
          <w:sz w:val="20"/>
          <w:szCs w:val="20"/>
        </w:rPr>
        <w:t>1</w:t>
      </w:r>
      <w:r>
        <w:rPr>
          <w:sz w:val="20"/>
          <w:szCs w:val="20"/>
        </w:rPr>
        <w:t xml:space="preserve"> par value per share, and authorized shares of preferred stock to</w:t>
      </w:r>
      <w:r>
        <w:rPr>
          <w:sz w:val="20"/>
          <w:szCs w:val="20"/>
        </w:rPr>
        <w:t xml:space="preserve"> </w:t>
      </w:r>
      <w:r>
        <w:rPr>
          <w:sz w:val="20"/>
          <w:szCs w:val="20"/>
        </w:rPr>
        <w:t>100,000,00</w:t>
      </w:r>
      <w:r>
        <w:rPr>
          <w:sz w:val="20"/>
          <w:szCs w:val="20"/>
        </w:rPr>
        <w:t>0</w:t>
      </w:r>
      <w:r>
        <w:rPr>
          <w:sz w:val="20"/>
          <w:szCs w:val="20"/>
        </w:rPr>
        <w:t xml:space="preserve">, </w:t>
      </w:r>
      <w:r>
        <w:rPr>
          <w:sz w:val="20"/>
          <w:szCs w:val="20"/>
        </w:rPr>
        <w:t>$</w:t>
      </w:r>
      <w:r>
        <w:rPr>
          <w:sz w:val="20"/>
          <w:szCs w:val="20"/>
        </w:rPr>
        <w:t>0.000</w:t>
      </w:r>
      <w:r>
        <w:rPr>
          <w:sz w:val="20"/>
          <w:szCs w:val="20"/>
        </w:rPr>
        <w:t>1</w:t>
      </w:r>
      <w:r>
        <w:rPr>
          <w:sz w:val="20"/>
          <w:szCs w:val="20"/>
        </w:rPr>
        <w:t xml:space="preserve"> par value per share</w:t>
      </w:r>
      <w:r>
        <w:rPr>
          <w:sz w:val="20"/>
          <w:szCs w:val="20"/>
        </w:rPr>
        <w:t>.</w:t>
      </w:r>
    </w:p>
    <w:p w:rsidR="00000000" w:rsidRDefault="00AF2D19">
      <w:pPr>
        <w:pStyle w:val="a3"/>
        <w:spacing w:before="240" w:beforeAutospacing="0" w:after="0" w:afterAutospacing="0"/>
        <w:jc w:val="both"/>
        <w:divId w:val="868951031"/>
        <w:rPr>
          <w:sz w:val="20"/>
          <w:szCs w:val="20"/>
        </w:rPr>
      </w:pPr>
      <w:r>
        <w:rPr>
          <w:b/>
          <w:bCs/>
          <w:i/>
          <w:iCs/>
          <w:sz w:val="20"/>
          <w:szCs w:val="20"/>
        </w:rPr>
        <w:t>Public Warrants and Private Placement Warrant</w:t>
      </w:r>
      <w:r>
        <w:rPr>
          <w:b/>
          <w:bCs/>
          <w:i/>
          <w:iCs/>
          <w:sz w:val="20"/>
          <w:szCs w:val="20"/>
        </w:rPr>
        <w:t>s</w:t>
      </w:r>
    </w:p>
    <w:p w:rsidR="00000000" w:rsidRDefault="00AF2D19">
      <w:pPr>
        <w:pStyle w:val="a3"/>
        <w:spacing w:before="120" w:beforeAutospacing="0" w:after="0" w:afterAutospacing="0"/>
        <w:jc w:val="both"/>
        <w:divId w:val="868951031"/>
        <w:rPr>
          <w:sz w:val="20"/>
          <w:szCs w:val="20"/>
        </w:rPr>
      </w:pPr>
      <w:r>
        <w:rPr>
          <w:sz w:val="20"/>
          <w:szCs w:val="20"/>
        </w:rPr>
        <w:t>As a result of the Business Combination, the Company assumed the outstanding Public Warrants to purchase</w:t>
      </w:r>
      <w:r>
        <w:rPr>
          <w:sz w:val="20"/>
          <w:szCs w:val="20"/>
        </w:rPr>
        <w:t xml:space="preserve"> </w:t>
      </w:r>
      <w:r>
        <w:rPr>
          <w:sz w:val="20"/>
          <w:szCs w:val="20"/>
        </w:rPr>
        <w:t>20,700,00</w:t>
      </w:r>
      <w:r>
        <w:rPr>
          <w:sz w:val="20"/>
          <w:szCs w:val="20"/>
        </w:rPr>
        <w:t>0</w:t>
      </w:r>
      <w:r>
        <w:rPr>
          <w:sz w:val="20"/>
          <w:szCs w:val="20"/>
        </w:rPr>
        <w:t xml:space="preserve"> shares of the Company’s common stock and the outstanding Private Placement Warrants to purchase</w:t>
      </w:r>
      <w:r>
        <w:rPr>
          <w:sz w:val="20"/>
          <w:szCs w:val="20"/>
        </w:rPr>
        <w:t xml:space="preserve"> </w:t>
      </w:r>
      <w:r>
        <w:rPr>
          <w:sz w:val="20"/>
          <w:szCs w:val="20"/>
        </w:rPr>
        <w:t>10,280,00</w:t>
      </w:r>
      <w:r>
        <w:rPr>
          <w:sz w:val="20"/>
          <w:szCs w:val="20"/>
        </w:rPr>
        <w:t>0</w:t>
      </w:r>
      <w:r>
        <w:rPr>
          <w:sz w:val="20"/>
          <w:szCs w:val="20"/>
        </w:rPr>
        <w:t xml:space="preserve"> shares of the Company’s common st</w:t>
      </w:r>
      <w:r>
        <w:rPr>
          <w:sz w:val="20"/>
          <w:szCs w:val="20"/>
        </w:rPr>
        <w:t>ock. Additionally, the Company issued</w:t>
      </w:r>
      <w:r>
        <w:rPr>
          <w:sz w:val="20"/>
          <w:szCs w:val="20"/>
        </w:rPr>
        <w:t xml:space="preserve"> </w:t>
      </w:r>
      <w:r>
        <w:rPr>
          <w:sz w:val="20"/>
          <w:szCs w:val="20"/>
        </w:rPr>
        <w:t>2,500,00</w:t>
      </w:r>
      <w:r>
        <w:rPr>
          <w:sz w:val="20"/>
          <w:szCs w:val="20"/>
        </w:rPr>
        <w:t>0</w:t>
      </w:r>
      <w:r>
        <w:rPr>
          <w:sz w:val="20"/>
          <w:szCs w:val="20"/>
        </w:rPr>
        <w:t xml:space="preserve"> Private Placement Warrants at Closing pursuant to the Forward Purchase Agreement with HEC Fund as described above.</w:t>
      </w:r>
      <w:r>
        <w:rPr>
          <w:sz w:val="20"/>
          <w:szCs w:val="20"/>
        </w:rPr>
        <w:t xml:space="preserve"> </w:t>
      </w:r>
      <w:r>
        <w:rPr>
          <w:sz w:val="20"/>
          <w:szCs w:val="20"/>
        </w:rPr>
        <w:t>Each whole Warrant entitles the registered holder to purchase one share of the Company’s comm</w:t>
      </w:r>
      <w:r>
        <w:rPr>
          <w:sz w:val="20"/>
          <w:szCs w:val="20"/>
        </w:rPr>
        <w:t xml:space="preserve">on stock at a price of </w:t>
      </w:r>
      <w:r>
        <w:rPr>
          <w:sz w:val="20"/>
          <w:szCs w:val="20"/>
        </w:rPr>
        <w:t>$</w:t>
      </w:r>
      <w:r>
        <w:rPr>
          <w:sz w:val="20"/>
          <w:szCs w:val="20"/>
        </w:rPr>
        <w:t>11.5</w:t>
      </w:r>
      <w:r>
        <w:rPr>
          <w:sz w:val="20"/>
          <w:szCs w:val="20"/>
        </w:rPr>
        <w:t>0</w:t>
      </w:r>
      <w:r>
        <w:rPr>
          <w:sz w:val="20"/>
          <w:szCs w:val="20"/>
        </w:rPr>
        <w:t xml:space="preserve"> per share, at any time commencing 30 days after the closing of the Business Combinatio</w:t>
      </w:r>
      <w:r>
        <w:rPr>
          <w:sz w:val="20"/>
          <w:szCs w:val="20"/>
        </w:rPr>
        <w:t>n</w:t>
      </w:r>
      <w:r>
        <w:rPr>
          <w:sz w:val="20"/>
          <w:szCs w:val="20"/>
        </w:rPr>
        <w:t>. The warrants expire</w:t>
      </w:r>
      <w:r>
        <w:rPr>
          <w:sz w:val="20"/>
          <w:szCs w:val="20"/>
        </w:rPr>
        <w:t xml:space="preserve"> </w:t>
      </w:r>
      <w:r>
        <w:rPr>
          <w:sz w:val="20"/>
          <w:szCs w:val="20"/>
        </w:rPr>
        <w:t>five year</w:t>
      </w:r>
      <w:r>
        <w:rPr>
          <w:sz w:val="20"/>
          <w:szCs w:val="20"/>
        </w:rPr>
        <w:t>s</w:t>
      </w:r>
      <w:r>
        <w:rPr>
          <w:sz w:val="20"/>
          <w:szCs w:val="20"/>
        </w:rPr>
        <w:t xml:space="preserve"> after the completion of the Business Combination</w:t>
      </w:r>
      <w:r>
        <w:rPr>
          <w:sz w:val="20"/>
          <w:szCs w:val="20"/>
        </w:rPr>
        <w:t>.</w:t>
      </w:r>
      <w:r>
        <w:rPr>
          <w:sz w:val="20"/>
          <w:szCs w:val="20"/>
        </w:rPr>
        <w:t xml:space="preserve"> </w:t>
      </w:r>
    </w:p>
    <w:p w:rsidR="00000000" w:rsidRDefault="00AF2D19">
      <w:pPr>
        <w:pStyle w:val="a3"/>
        <w:spacing w:before="240" w:beforeAutospacing="0" w:after="0" w:afterAutospacing="0"/>
        <w:jc w:val="both"/>
        <w:divId w:val="868951031"/>
        <w:rPr>
          <w:sz w:val="20"/>
          <w:szCs w:val="20"/>
        </w:rPr>
      </w:pPr>
      <w:r>
        <w:rPr>
          <w:i/>
          <w:iCs/>
          <w:sz w:val="20"/>
          <w:szCs w:val="20"/>
        </w:rPr>
        <w:t>Redemption of Warrants for Cas</w:t>
      </w:r>
      <w:r>
        <w:rPr>
          <w:i/>
          <w:iCs/>
          <w:sz w:val="20"/>
          <w:szCs w:val="20"/>
        </w:rPr>
        <w:t>h</w:t>
      </w:r>
    </w:p>
    <w:p w:rsidR="00000000" w:rsidRDefault="00AF2D19">
      <w:pPr>
        <w:pStyle w:val="a3"/>
        <w:spacing w:before="120" w:beforeAutospacing="0" w:after="0" w:afterAutospacing="0"/>
        <w:jc w:val="both"/>
        <w:divId w:val="868951031"/>
        <w:rPr>
          <w:sz w:val="20"/>
          <w:szCs w:val="20"/>
        </w:rPr>
      </w:pPr>
      <w:r>
        <w:rPr>
          <w:sz w:val="20"/>
          <w:szCs w:val="20"/>
        </w:rPr>
        <w:t>The Company may call th</w:t>
      </w:r>
      <w:r>
        <w:rPr>
          <w:sz w:val="20"/>
          <w:szCs w:val="20"/>
        </w:rPr>
        <w:t>e Public Warrants for redemption</w:t>
      </w:r>
      <w:r>
        <w:rPr>
          <w:sz w:val="20"/>
          <w:szCs w:val="20"/>
        </w:rPr>
        <w:t>:</w:t>
      </w:r>
    </w:p>
    <w:p w:rsidR="00000000" w:rsidRDefault="00AF2D19">
      <w:pPr>
        <w:spacing w:before="120"/>
        <w:ind w:left="3"/>
        <w:jc w:val="both"/>
        <w:divId w:val="679237323"/>
        <w:rPr>
          <w:rFonts w:eastAsia="Times New Roman"/>
          <w:sz w:val="20"/>
          <w:szCs w:val="20"/>
        </w:rPr>
      </w:pPr>
      <w:r>
        <w:rPr>
          <w:rFonts w:eastAsia="Times New Roman"/>
          <w:sz w:val="20"/>
          <w:szCs w:val="20"/>
        </w:rPr>
        <w:t>▪</w:t>
      </w:r>
    </w:p>
    <w:p w:rsidR="00000000" w:rsidRDefault="00AF2D19">
      <w:pPr>
        <w:jc w:val="both"/>
        <w:divId w:val="308025857"/>
        <w:rPr>
          <w:rFonts w:eastAsia="Times New Roman"/>
          <w:sz w:val="20"/>
          <w:szCs w:val="20"/>
        </w:rPr>
      </w:pPr>
      <w:r>
        <w:rPr>
          <w:rFonts w:eastAsia="Times New Roman"/>
          <w:sz w:val="20"/>
          <w:szCs w:val="20"/>
        </w:rPr>
        <w:t>in whole and not in part</w:t>
      </w:r>
      <w:r>
        <w:rPr>
          <w:rFonts w:eastAsia="Times New Roman"/>
          <w:sz w:val="20"/>
          <w:szCs w:val="20"/>
        </w:rPr>
        <w:t>;</w:t>
      </w:r>
    </w:p>
    <w:p w:rsidR="00000000" w:rsidRDefault="00AF2D19">
      <w:pPr>
        <w:spacing w:before="120"/>
        <w:ind w:left="3"/>
        <w:jc w:val="both"/>
        <w:divId w:val="101196401"/>
        <w:rPr>
          <w:rFonts w:eastAsia="Times New Roman"/>
          <w:sz w:val="20"/>
          <w:szCs w:val="20"/>
        </w:rPr>
      </w:pPr>
      <w:r>
        <w:rPr>
          <w:rFonts w:eastAsia="Times New Roman"/>
          <w:sz w:val="20"/>
          <w:szCs w:val="20"/>
        </w:rPr>
        <w:t>▪</w:t>
      </w:r>
    </w:p>
    <w:p w:rsidR="00000000" w:rsidRDefault="00AF2D19">
      <w:pPr>
        <w:jc w:val="both"/>
        <w:divId w:val="1559124852"/>
        <w:rPr>
          <w:rFonts w:eastAsia="Times New Roman"/>
          <w:sz w:val="20"/>
          <w:szCs w:val="20"/>
        </w:rPr>
      </w:pPr>
      <w:r>
        <w:rPr>
          <w:rFonts w:eastAsia="Times New Roman"/>
          <w:sz w:val="20"/>
          <w:szCs w:val="20"/>
        </w:rPr>
        <w:t xml:space="preserve">at a price of </w:t>
      </w:r>
      <w:r>
        <w:rPr>
          <w:rFonts w:eastAsia="Times New Roman"/>
          <w:sz w:val="20"/>
          <w:szCs w:val="20"/>
        </w:rPr>
        <w:t>$</w:t>
      </w:r>
      <w:r>
        <w:rPr>
          <w:rFonts w:eastAsia="Times New Roman"/>
          <w:sz w:val="20"/>
          <w:szCs w:val="20"/>
        </w:rPr>
        <w:t>0.0</w:t>
      </w:r>
      <w:r>
        <w:rPr>
          <w:rFonts w:eastAsia="Times New Roman"/>
          <w:sz w:val="20"/>
          <w:szCs w:val="20"/>
        </w:rPr>
        <w:t>1</w:t>
      </w:r>
      <w:r>
        <w:rPr>
          <w:rFonts w:eastAsia="Times New Roman"/>
          <w:sz w:val="20"/>
          <w:szCs w:val="20"/>
        </w:rPr>
        <w:t xml:space="preserve"> per warrant</w:t>
      </w:r>
      <w:r>
        <w:rPr>
          <w:rFonts w:eastAsia="Times New Roman"/>
          <w:sz w:val="20"/>
          <w:szCs w:val="20"/>
        </w:rPr>
        <w:t>;</w:t>
      </w:r>
    </w:p>
    <w:p w:rsidR="00000000" w:rsidRDefault="00AF2D19">
      <w:pPr>
        <w:spacing w:before="120"/>
        <w:ind w:left="3"/>
        <w:jc w:val="both"/>
        <w:divId w:val="1318072533"/>
        <w:rPr>
          <w:rFonts w:eastAsia="Times New Roman"/>
          <w:sz w:val="20"/>
          <w:szCs w:val="20"/>
        </w:rPr>
      </w:pPr>
      <w:r>
        <w:rPr>
          <w:rFonts w:eastAsia="Times New Roman"/>
          <w:sz w:val="20"/>
          <w:szCs w:val="20"/>
        </w:rPr>
        <w:t>▪</w:t>
      </w:r>
    </w:p>
    <w:p w:rsidR="00000000" w:rsidRDefault="00AF2D19">
      <w:pPr>
        <w:jc w:val="both"/>
        <w:divId w:val="1696149269"/>
        <w:rPr>
          <w:rFonts w:eastAsia="Times New Roman"/>
          <w:sz w:val="20"/>
          <w:szCs w:val="20"/>
        </w:rPr>
      </w:pPr>
      <w:r>
        <w:rPr>
          <w:rFonts w:eastAsia="Times New Roman"/>
          <w:sz w:val="20"/>
          <w:szCs w:val="20"/>
        </w:rPr>
        <w:t xml:space="preserve">upon a minimum of thirty </w:t>
      </w:r>
      <w:r>
        <w:rPr>
          <w:rFonts w:eastAsia="Times New Roman"/>
          <w:sz w:val="20"/>
          <w:szCs w:val="20"/>
        </w:rPr>
        <w:t>(</w:t>
      </w:r>
      <w:r>
        <w:rPr>
          <w:rFonts w:eastAsia="Times New Roman"/>
          <w:sz w:val="20"/>
          <w:szCs w:val="20"/>
        </w:rPr>
        <w:t>3</w:t>
      </w:r>
      <w:r>
        <w:rPr>
          <w:rFonts w:eastAsia="Times New Roman"/>
          <w:sz w:val="20"/>
          <w:szCs w:val="20"/>
        </w:rPr>
        <w:t>0</w:t>
      </w:r>
      <w:r>
        <w:rPr>
          <w:rFonts w:eastAsia="Times New Roman"/>
          <w:sz w:val="20"/>
          <w:szCs w:val="20"/>
        </w:rPr>
        <w:t xml:space="preserve">) days’ prior written notice of redemption, or the thirty </w:t>
      </w:r>
      <w:r>
        <w:rPr>
          <w:rFonts w:eastAsia="Times New Roman"/>
          <w:sz w:val="20"/>
          <w:szCs w:val="20"/>
        </w:rPr>
        <w:t>(</w:t>
      </w:r>
      <w:r>
        <w:rPr>
          <w:rFonts w:eastAsia="Times New Roman"/>
          <w:sz w:val="20"/>
          <w:szCs w:val="20"/>
        </w:rPr>
        <w:t>3</w:t>
      </w:r>
      <w:r>
        <w:rPr>
          <w:rFonts w:eastAsia="Times New Roman"/>
          <w:sz w:val="20"/>
          <w:szCs w:val="20"/>
        </w:rPr>
        <w:t>0</w:t>
      </w:r>
      <w:r>
        <w:rPr>
          <w:rFonts w:eastAsia="Times New Roman"/>
          <w:sz w:val="20"/>
          <w:szCs w:val="20"/>
        </w:rPr>
        <w:t>)-day redemption period, to each warrant holder; an</w:t>
      </w:r>
      <w:r>
        <w:rPr>
          <w:rFonts w:eastAsia="Times New Roman"/>
          <w:sz w:val="20"/>
          <w:szCs w:val="20"/>
        </w:rPr>
        <w:t>d</w:t>
      </w:r>
    </w:p>
    <w:p w:rsidR="00000000" w:rsidRDefault="00AF2D19">
      <w:pPr>
        <w:spacing w:before="120"/>
        <w:ind w:left="3"/>
        <w:jc w:val="both"/>
        <w:divId w:val="1013607336"/>
        <w:rPr>
          <w:rFonts w:eastAsia="Times New Roman"/>
          <w:sz w:val="20"/>
          <w:szCs w:val="20"/>
        </w:rPr>
      </w:pPr>
      <w:r>
        <w:rPr>
          <w:rFonts w:eastAsia="Times New Roman"/>
          <w:sz w:val="20"/>
          <w:szCs w:val="20"/>
        </w:rPr>
        <w:t>▪</w:t>
      </w:r>
    </w:p>
    <w:p w:rsidR="00000000" w:rsidRDefault="00AF2D19">
      <w:pPr>
        <w:jc w:val="both"/>
        <w:divId w:val="1640066084"/>
        <w:rPr>
          <w:rFonts w:eastAsia="Times New Roman"/>
          <w:sz w:val="20"/>
          <w:szCs w:val="20"/>
        </w:rPr>
      </w:pPr>
      <w:r>
        <w:rPr>
          <w:rFonts w:eastAsia="Times New Roman"/>
          <w:sz w:val="20"/>
          <w:szCs w:val="20"/>
        </w:rPr>
        <w:t xml:space="preserve">if, and only </w:t>
      </w:r>
      <w:r>
        <w:rPr>
          <w:rFonts w:eastAsia="Times New Roman"/>
          <w:sz w:val="20"/>
          <w:szCs w:val="20"/>
        </w:rPr>
        <w:t xml:space="preserve">if, the closing price of the Company’s common stock equals or exceeds </w:t>
      </w:r>
      <w:r>
        <w:rPr>
          <w:rFonts w:eastAsia="Times New Roman"/>
          <w:sz w:val="20"/>
          <w:szCs w:val="20"/>
        </w:rPr>
        <w:t>$</w:t>
      </w:r>
      <w:r>
        <w:rPr>
          <w:rFonts w:eastAsia="Times New Roman"/>
          <w:sz w:val="20"/>
          <w:szCs w:val="20"/>
        </w:rPr>
        <w:t>18.0</w:t>
      </w:r>
      <w:r>
        <w:rPr>
          <w:rFonts w:eastAsia="Times New Roman"/>
          <w:sz w:val="20"/>
          <w:szCs w:val="20"/>
        </w:rPr>
        <w:t>0</w:t>
      </w:r>
      <w:r>
        <w:rPr>
          <w:rFonts w:eastAsia="Times New Roman"/>
          <w:sz w:val="20"/>
          <w:szCs w:val="20"/>
        </w:rPr>
        <w:t xml:space="preserve"> per share (as adjusted for stock splits, stock recapitalizations, reorganizations, recapitalizations and the like) for any twenty </w:t>
      </w:r>
      <w:r>
        <w:rPr>
          <w:rFonts w:eastAsia="Times New Roman"/>
          <w:sz w:val="20"/>
          <w:szCs w:val="20"/>
        </w:rPr>
        <w:t>(</w:t>
      </w:r>
      <w:r>
        <w:rPr>
          <w:rFonts w:eastAsia="Times New Roman"/>
          <w:sz w:val="20"/>
          <w:szCs w:val="20"/>
        </w:rPr>
        <w:t>2</w:t>
      </w:r>
      <w:r>
        <w:rPr>
          <w:rFonts w:eastAsia="Times New Roman"/>
          <w:sz w:val="20"/>
          <w:szCs w:val="20"/>
        </w:rPr>
        <w:t>0</w:t>
      </w:r>
      <w:r>
        <w:rPr>
          <w:rFonts w:eastAsia="Times New Roman"/>
          <w:sz w:val="20"/>
          <w:szCs w:val="20"/>
        </w:rPr>
        <w:t>) trading days within a thirty (30)-trading da</w:t>
      </w:r>
      <w:r>
        <w:rPr>
          <w:rFonts w:eastAsia="Times New Roman"/>
          <w:sz w:val="20"/>
          <w:szCs w:val="20"/>
        </w:rPr>
        <w:t>y period ending on the third business day prior to the date on which we send the notice of redemption to the warrant holders</w:t>
      </w:r>
      <w:r>
        <w:rPr>
          <w:rFonts w:eastAsia="Times New Roman"/>
          <w:sz w:val="20"/>
          <w:szCs w:val="20"/>
        </w:rPr>
        <w:t>.</w:t>
      </w:r>
    </w:p>
    <w:p w:rsidR="00000000" w:rsidRDefault="00AF2D19">
      <w:pPr>
        <w:pStyle w:val="a3"/>
        <w:spacing w:before="120" w:beforeAutospacing="0" w:after="0" w:afterAutospacing="0"/>
        <w:jc w:val="both"/>
        <w:divId w:val="868951031"/>
        <w:rPr>
          <w:sz w:val="20"/>
          <w:szCs w:val="20"/>
        </w:rPr>
      </w:pPr>
      <w:r>
        <w:rPr>
          <w:sz w:val="20"/>
          <w:szCs w:val="20"/>
        </w:rPr>
        <w:t>When the Public Warrants become redeemable, the Company may exercise the redemption right even if the Company is unable to registe</w:t>
      </w:r>
      <w:r>
        <w:rPr>
          <w:sz w:val="20"/>
          <w:szCs w:val="20"/>
        </w:rPr>
        <w:t>r or qualify the underlying securities for sale under all applicable state securities laws</w:t>
      </w:r>
      <w:r>
        <w:rPr>
          <w:sz w:val="20"/>
          <w:szCs w:val="20"/>
        </w:rPr>
        <w:t>.</w:t>
      </w:r>
      <w:r>
        <w:rPr>
          <w:sz w:val="20"/>
          <w:szCs w:val="20"/>
        </w:rPr>
        <w:t xml:space="preserve"> </w:t>
      </w:r>
    </w:p>
    <w:p w:rsidR="00000000" w:rsidRDefault="00AF2D19">
      <w:pPr>
        <w:pStyle w:val="a3"/>
        <w:spacing w:before="120" w:beforeAutospacing="0" w:after="0" w:afterAutospacing="0"/>
        <w:jc w:val="both"/>
        <w:divId w:val="868951031"/>
        <w:rPr>
          <w:sz w:val="20"/>
          <w:szCs w:val="20"/>
        </w:rPr>
      </w:pPr>
      <w:r>
        <w:rPr>
          <w:sz w:val="20"/>
          <w:szCs w:val="20"/>
        </w:rPr>
        <w:t xml:space="preserve">If the Company calls the Public Warrants for redemption for cash, management will have the option to require all holders that wish to exercise the Public Warrants </w:t>
      </w:r>
      <w:r>
        <w:rPr>
          <w:sz w:val="20"/>
          <w:szCs w:val="20"/>
        </w:rPr>
        <w:t>to do so on a “cashless basis,” as described in the warrant agreement. The exercise price and number of shares of common stock issuable upon exercise of the warrants may be adjusted in certain circumstances including in the event of a stock dividend, or re</w:t>
      </w:r>
      <w:r>
        <w:rPr>
          <w:sz w:val="20"/>
          <w:szCs w:val="20"/>
        </w:rPr>
        <w:t>capitalization, reorganization, merger or consolidation. However, the warrants will not be adjusted for issuance of common stock at a price below its exercise price. Additionally, in no event will the Company be required to net cash settle the warrants</w:t>
      </w:r>
      <w:r>
        <w:rPr>
          <w:sz w:val="20"/>
          <w:szCs w:val="20"/>
        </w:rPr>
        <w:t>.</w:t>
      </w:r>
      <w:r>
        <w:rPr>
          <w:sz w:val="20"/>
          <w:szCs w:val="20"/>
        </w:rPr>
        <w:t xml:space="preserve"> </w:t>
      </w:r>
    </w:p>
    <w:p w:rsidR="00000000" w:rsidRDefault="00AF2D19">
      <w:pPr>
        <w:pStyle w:val="a3"/>
        <w:spacing w:before="120" w:beforeAutospacing="0" w:after="0" w:afterAutospacing="0"/>
        <w:jc w:val="both"/>
        <w:divId w:val="868951031"/>
        <w:rPr>
          <w:sz w:val="20"/>
          <w:szCs w:val="20"/>
        </w:rPr>
      </w:pPr>
      <w:r>
        <w:rPr>
          <w:sz w:val="20"/>
          <w:szCs w:val="20"/>
        </w:rPr>
        <w:t>T</w:t>
      </w:r>
      <w:r>
        <w:rPr>
          <w:sz w:val="20"/>
          <w:szCs w:val="20"/>
        </w:rPr>
        <w:t>he Private Placement Warrants are identical to the Public Warrants, except that the Private Placement Warrants and the shares of common stock issuable upon the exercise of the Private Placement Warrants will not be transferable, assignable or saleable unti</w:t>
      </w:r>
      <w:r>
        <w:rPr>
          <w:sz w:val="20"/>
          <w:szCs w:val="20"/>
        </w:rPr>
        <w:t>l 30 days after the completion of a Business Combination, subject to certain limited exceptions. Additionally, the Private Placement Warrants will be exercisable for cash or on a cashless basis, at the holder’s option, and be non-redeemable so long as they</w:t>
      </w:r>
      <w:r>
        <w:rPr>
          <w:sz w:val="20"/>
          <w:szCs w:val="20"/>
        </w:rPr>
        <w:t xml:space="preserve"> are held by the initial purchasers or their permitted transferees. If the Private Placement Warrants are held by someone other than the initial purchasers or their permitted transferees, the Private Placement Warrants will be redeemable by the Company and</w:t>
      </w:r>
      <w:r>
        <w:rPr>
          <w:sz w:val="20"/>
          <w:szCs w:val="20"/>
        </w:rPr>
        <w:t xml:space="preserve"> exercisable by such holders on the same basis as the Public Warrants</w:t>
      </w:r>
      <w:r>
        <w:rPr>
          <w:sz w:val="20"/>
          <w:szCs w:val="20"/>
        </w:rPr>
        <w:t>.</w:t>
      </w:r>
    </w:p>
    <w:p w:rsidR="00000000" w:rsidRDefault="00AF2D19">
      <w:pPr>
        <w:pStyle w:val="a3"/>
        <w:spacing w:before="120" w:beforeAutospacing="0" w:after="0" w:afterAutospacing="0"/>
        <w:jc w:val="both"/>
        <w:divId w:val="868951031"/>
        <w:rPr>
          <w:sz w:val="20"/>
          <w:szCs w:val="20"/>
        </w:rPr>
      </w:pPr>
      <w:r>
        <w:rPr>
          <w:sz w:val="20"/>
          <w:szCs w:val="20"/>
        </w:rPr>
        <w:t>The Company determined the Public Warrants met the criteria to be classified as equity in accordance with ASC 815-40. The Company valued these warrants using the instrument’s publicly l</w:t>
      </w:r>
      <w:r>
        <w:rPr>
          <w:sz w:val="20"/>
          <w:szCs w:val="20"/>
        </w:rPr>
        <w:t xml:space="preserve">isted trading price on the date of acquisition or issuance, where applicable, and included </w:t>
      </w:r>
      <w:r>
        <w:rPr>
          <w:sz w:val="20"/>
          <w:szCs w:val="20"/>
        </w:rPr>
        <w:t>$</w:t>
      </w:r>
      <w:r>
        <w:rPr>
          <w:sz w:val="20"/>
          <w:szCs w:val="20"/>
        </w:rPr>
        <w:t>27.</w:t>
      </w:r>
      <w:r>
        <w:rPr>
          <w:sz w:val="20"/>
          <w:szCs w:val="20"/>
        </w:rPr>
        <w:t>9</w:t>
      </w:r>
      <w:r>
        <w:rPr>
          <w:sz w:val="20"/>
          <w:szCs w:val="20"/>
        </w:rPr>
        <w:t xml:space="preserve"> million related to these warrants in additional paid-in capital within stockholder’s equity</w:t>
      </w:r>
      <w:r>
        <w:rPr>
          <w:sz w:val="20"/>
          <w:szCs w:val="20"/>
        </w:rPr>
        <w:t>.</w:t>
      </w:r>
      <w:r>
        <w:rPr>
          <w:sz w:val="20"/>
          <w:szCs w:val="20"/>
        </w:rPr>
        <w:t xml:space="preserve"> </w:t>
      </w:r>
    </w:p>
    <w:p w:rsidR="00000000" w:rsidRDefault="00AF2D19">
      <w:pPr>
        <w:pStyle w:val="a3"/>
        <w:spacing w:before="120" w:beforeAutospacing="0" w:after="0" w:afterAutospacing="0"/>
        <w:jc w:val="both"/>
        <w:divId w:val="868951031"/>
        <w:rPr>
          <w:sz w:val="20"/>
          <w:szCs w:val="20"/>
        </w:rPr>
      </w:pPr>
      <w:r>
        <w:rPr>
          <w:sz w:val="20"/>
          <w:szCs w:val="20"/>
        </w:rPr>
        <w:t>The Private Placement Warrants are accounted for as liabilities i</w:t>
      </w:r>
      <w:r>
        <w:rPr>
          <w:sz w:val="20"/>
          <w:szCs w:val="20"/>
        </w:rPr>
        <w:t>n accordance with ASC 815-40. As of December 31, 2021, the Company included</w:t>
      </w:r>
      <w:r>
        <w:rPr>
          <w:sz w:val="20"/>
          <w:szCs w:val="20"/>
        </w:rPr>
        <w:t xml:space="preserve"> </w:t>
      </w:r>
      <w:r>
        <w:rPr>
          <w:sz w:val="20"/>
          <w:szCs w:val="20"/>
        </w:rPr>
        <w:t>$</w:t>
      </w:r>
      <w:r>
        <w:rPr>
          <w:sz w:val="20"/>
          <w:szCs w:val="20"/>
        </w:rPr>
        <w:t>4.</w:t>
      </w:r>
      <w:r>
        <w:rPr>
          <w:sz w:val="20"/>
          <w:szCs w:val="20"/>
        </w:rPr>
        <w:t>1</w:t>
      </w:r>
      <w:r>
        <w:rPr>
          <w:sz w:val="20"/>
          <w:szCs w:val="20"/>
        </w:rPr>
        <w:t xml:space="preserve"> mill</w:t>
      </w:r>
      <w:r>
        <w:rPr>
          <w:sz w:val="20"/>
          <w:szCs w:val="20"/>
        </w:rPr>
        <w:t>i</w:t>
      </w:r>
      <w:r>
        <w:rPr>
          <w:sz w:val="20"/>
          <w:szCs w:val="20"/>
        </w:rPr>
        <w:t xml:space="preserve">on within warrant liabilities in the accompanying consolidated balance sheets. See Note 8, “Fair Value Measurement” in the notes to the consolidated financial statements </w:t>
      </w:r>
      <w:r>
        <w:rPr>
          <w:sz w:val="20"/>
          <w:szCs w:val="20"/>
        </w:rPr>
        <w:t>for further details</w:t>
      </w:r>
      <w:r>
        <w:rPr>
          <w:sz w:val="20"/>
          <w:szCs w:val="20"/>
        </w:rPr>
        <w:t>.</w:t>
      </w:r>
    </w:p>
    <w:p w:rsidR="00000000" w:rsidRDefault="00AF2D19">
      <w:pPr>
        <w:pStyle w:val="a3"/>
        <w:spacing w:before="360" w:beforeAutospacing="0" w:after="0" w:afterAutospacing="0"/>
        <w:divId w:val="1070999138"/>
        <w:rPr>
          <w:sz w:val="20"/>
          <w:szCs w:val="20"/>
        </w:rPr>
      </w:pPr>
      <w:r>
        <w:rPr>
          <w:b/>
          <w:bCs/>
          <w:sz w:val="20"/>
          <w:szCs w:val="20"/>
        </w:rPr>
        <w:t>NOTE 4. ACQUISITIO</w:t>
      </w:r>
      <w:r>
        <w:rPr>
          <w:b/>
          <w:bCs/>
          <w:sz w:val="20"/>
          <w:szCs w:val="20"/>
        </w:rPr>
        <w:t>N</w:t>
      </w:r>
      <w:r>
        <w:rPr>
          <w:b/>
          <w:bCs/>
          <w:sz w:val="20"/>
          <w:szCs w:val="20"/>
        </w:rPr>
        <w:t xml:space="preserve"> </w:t>
      </w:r>
    </w:p>
    <w:p w:rsidR="00000000" w:rsidRDefault="00AF2D19">
      <w:pPr>
        <w:pStyle w:val="a3"/>
        <w:spacing w:before="120" w:beforeAutospacing="0" w:after="0" w:afterAutospacing="0"/>
        <w:jc w:val="both"/>
        <w:divId w:val="1070999138"/>
        <w:rPr>
          <w:sz w:val="20"/>
          <w:szCs w:val="20"/>
        </w:rPr>
      </w:pPr>
      <w:r>
        <w:rPr>
          <w:sz w:val="20"/>
          <w:szCs w:val="20"/>
        </w:rPr>
        <w:t xml:space="preserve">On November 1, 2020, the Company completed an acquisition of Lasting, an app-based subscription for relationship and couple counseling for a total cash consideration of </w:t>
      </w:r>
      <w:r>
        <w:rPr>
          <w:sz w:val="20"/>
          <w:szCs w:val="20"/>
        </w:rPr>
        <w:t>$</w:t>
      </w:r>
      <w:r>
        <w:rPr>
          <w:sz w:val="20"/>
          <w:szCs w:val="20"/>
        </w:rPr>
        <w:t>10.</w:t>
      </w:r>
      <w:r>
        <w:rPr>
          <w:sz w:val="20"/>
          <w:szCs w:val="20"/>
        </w:rPr>
        <w:t>7</w:t>
      </w:r>
      <w:r>
        <w:rPr>
          <w:sz w:val="20"/>
          <w:szCs w:val="20"/>
        </w:rPr>
        <w:t xml:space="preserve"> million. In addition, the Company enter</w:t>
      </w:r>
      <w:r>
        <w:rPr>
          <w:sz w:val="20"/>
          <w:szCs w:val="20"/>
        </w:rPr>
        <w:t xml:space="preserve">ed into a non-competition agreement for a total consideration of </w:t>
      </w:r>
      <w:r>
        <w:rPr>
          <w:sz w:val="20"/>
          <w:szCs w:val="20"/>
        </w:rPr>
        <w:t>$</w:t>
      </w:r>
      <w:r>
        <w:rPr>
          <w:sz w:val="20"/>
          <w:szCs w:val="20"/>
        </w:rPr>
        <w:t>0.</w:t>
      </w:r>
      <w:r>
        <w:rPr>
          <w:sz w:val="20"/>
          <w:szCs w:val="20"/>
        </w:rPr>
        <w:t>9</w:t>
      </w:r>
      <w:r>
        <w:rPr>
          <w:sz w:val="20"/>
          <w:szCs w:val="20"/>
        </w:rPr>
        <w:t xml:space="preserve"> million, which was recorded as an intangible asset and amortized over a period of</w:t>
      </w:r>
      <w:r>
        <w:rPr>
          <w:sz w:val="20"/>
          <w:szCs w:val="20"/>
        </w:rPr>
        <w:t xml:space="preserve"> </w:t>
      </w:r>
      <w:r>
        <w:rPr>
          <w:sz w:val="20"/>
          <w:szCs w:val="20"/>
        </w:rPr>
        <w:t>3.1</w:t>
      </w:r>
      <w:r>
        <w:rPr>
          <w:sz w:val="20"/>
          <w:szCs w:val="20"/>
        </w:rPr>
        <w:t>7</w:t>
      </w:r>
      <w:r>
        <w:rPr>
          <w:sz w:val="20"/>
          <w:szCs w:val="20"/>
        </w:rPr>
        <w:t xml:space="preserve"> years</w:t>
      </w:r>
      <w:r>
        <w:rPr>
          <w:sz w:val="20"/>
          <w:szCs w:val="20"/>
        </w:rPr>
        <w:t>.</w:t>
      </w:r>
    </w:p>
    <w:p w:rsidR="00000000" w:rsidRDefault="00AF2D19">
      <w:pPr>
        <w:pStyle w:val="a3"/>
        <w:spacing w:before="0" w:beforeAutospacing="0" w:after="0" w:afterAutospacing="0"/>
        <w:jc w:val="center"/>
        <w:divId w:val="1070999138"/>
        <w:rPr>
          <w:sz w:val="20"/>
          <w:szCs w:val="20"/>
        </w:rPr>
      </w:pPr>
      <w:r>
        <w:rPr>
          <w:sz w:val="20"/>
          <w:szCs w:val="20"/>
        </w:rPr>
        <w:t>8</w:t>
      </w:r>
      <w:r>
        <w:rPr>
          <w:sz w:val="20"/>
          <w:szCs w:val="20"/>
        </w:rPr>
        <w:t>6</w:t>
      </w:r>
    </w:p>
    <w:p w:rsidR="00000000" w:rsidRDefault="00AF2D19">
      <w:pPr>
        <w:divId w:val="1070999138"/>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AF2D19">
      <w:pPr>
        <w:pStyle w:val="a3"/>
        <w:spacing w:before="0" w:beforeAutospacing="0" w:after="0" w:afterAutospacing="0"/>
        <w:divId w:val="1070999138"/>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divId w:val="1070999138"/>
        <w:rPr>
          <w:sz w:val="20"/>
          <w:szCs w:val="20"/>
        </w:rPr>
      </w:pPr>
      <w:r>
        <w:rPr>
          <w:i/>
          <w:iCs/>
          <w:sz w:val="20"/>
          <w:szCs w:val="20"/>
        </w:rPr>
        <w:t>Pur</w:t>
      </w:r>
      <w:r>
        <w:rPr>
          <w:i/>
          <w:iCs/>
          <w:sz w:val="20"/>
          <w:szCs w:val="20"/>
        </w:rPr>
        <w:t>chase price allocatio</w:t>
      </w:r>
      <w:r>
        <w:rPr>
          <w:i/>
          <w:iCs/>
          <w:sz w:val="20"/>
          <w:szCs w:val="20"/>
        </w:rPr>
        <w:t>n</w:t>
      </w:r>
    </w:p>
    <w:p w:rsidR="00000000" w:rsidRDefault="00AF2D19">
      <w:pPr>
        <w:pStyle w:val="a3"/>
        <w:spacing w:before="120" w:beforeAutospacing="0" w:after="0" w:afterAutospacing="0"/>
        <w:jc w:val="both"/>
        <w:divId w:val="1070999138"/>
        <w:rPr>
          <w:sz w:val="20"/>
          <w:szCs w:val="20"/>
        </w:rPr>
      </w:pPr>
      <w:r>
        <w:rPr>
          <w:sz w:val="20"/>
          <w:szCs w:val="20"/>
        </w:rPr>
        <w:t>Under business combination accounting principles, the total purchase price was allocated to Lasting’</w:t>
      </w:r>
      <w:r>
        <w:rPr>
          <w:sz w:val="20"/>
          <w:szCs w:val="20"/>
        </w:rPr>
        <w:t>s intangible assets based on their estimated fair values. The excess of the purchase price over the identifiable intangible assets was recorded as goodwill</w:t>
      </w:r>
      <w:r>
        <w:rPr>
          <w:sz w:val="20"/>
          <w:szCs w:val="20"/>
        </w:rPr>
        <w:t>.</w:t>
      </w:r>
      <w:r>
        <w:rPr>
          <w:sz w:val="20"/>
          <w:szCs w:val="20"/>
        </w:rPr>
        <w:t xml:space="preserve"> </w:t>
      </w:r>
    </w:p>
    <w:p w:rsidR="00000000" w:rsidRDefault="00AF2D19">
      <w:pPr>
        <w:pStyle w:val="a3"/>
        <w:spacing w:before="120" w:beforeAutospacing="0" w:after="180" w:afterAutospacing="0"/>
        <w:jc w:val="both"/>
        <w:divId w:val="51345131"/>
        <w:rPr>
          <w:sz w:val="20"/>
          <w:szCs w:val="20"/>
        </w:rPr>
      </w:pPr>
      <w:r>
        <w:rPr>
          <w:sz w:val="20"/>
          <w:szCs w:val="20"/>
        </w:rPr>
        <w:t>The purchase price allocation for the acquisition has been determined as follows</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48"/>
        <w:gridCol w:w="97"/>
        <w:gridCol w:w="130"/>
        <w:gridCol w:w="1910"/>
        <w:gridCol w:w="95"/>
        <w:gridCol w:w="97"/>
        <w:gridCol w:w="158"/>
        <w:gridCol w:w="1661"/>
        <w:gridCol w:w="110"/>
      </w:tblGrid>
      <w:tr w:rsidR="00000000">
        <w:trPr>
          <w:divId w:val="51345131"/>
          <w:tblCellSpacing w:w="15" w:type="dxa"/>
        </w:trPr>
        <w:tc>
          <w:tcPr>
            <w:tcW w:w="2507" w:type="pct"/>
            <w:vAlign w:val="center"/>
            <w:hideMark/>
          </w:tcPr>
          <w:p w:rsidR="00000000" w:rsidRDefault="00AF2D19">
            <w:pPr>
              <w:rPr>
                <w:sz w:val="20"/>
                <w:szCs w:val="20"/>
              </w:rPr>
            </w:pPr>
          </w:p>
        </w:tc>
        <w:tc>
          <w:tcPr>
            <w:tcW w:w="50" w:type="pct"/>
            <w:vAlign w:val="center"/>
            <w:hideMark/>
          </w:tcPr>
          <w:p w:rsidR="00000000" w:rsidRDefault="00AF2D19">
            <w:pPr>
              <w:rPr>
                <w:rFonts w:eastAsia="Times New Roman"/>
                <w:sz w:val="20"/>
                <w:szCs w:val="20"/>
              </w:rPr>
            </w:pPr>
          </w:p>
        </w:tc>
        <w:tc>
          <w:tcPr>
            <w:tcW w:w="50" w:type="pct"/>
            <w:vAlign w:val="center"/>
            <w:hideMark/>
          </w:tcPr>
          <w:p w:rsidR="00000000" w:rsidRDefault="00AF2D19">
            <w:pPr>
              <w:rPr>
                <w:rFonts w:eastAsia="Times New Roman"/>
                <w:sz w:val="20"/>
                <w:szCs w:val="20"/>
              </w:rPr>
            </w:pPr>
          </w:p>
        </w:tc>
        <w:tc>
          <w:tcPr>
            <w:tcW w:w="118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50" w:type="pct"/>
            <w:vAlign w:val="center"/>
            <w:hideMark/>
          </w:tcPr>
          <w:p w:rsidR="00000000" w:rsidRDefault="00AF2D19">
            <w:pPr>
              <w:rPr>
                <w:rFonts w:eastAsia="Times New Roman"/>
                <w:sz w:val="20"/>
                <w:szCs w:val="20"/>
              </w:rPr>
            </w:pPr>
          </w:p>
        </w:tc>
        <w:tc>
          <w:tcPr>
            <w:tcW w:w="88" w:type="pct"/>
            <w:vAlign w:val="center"/>
            <w:hideMark/>
          </w:tcPr>
          <w:p w:rsidR="00000000" w:rsidRDefault="00AF2D19">
            <w:pPr>
              <w:rPr>
                <w:rFonts w:eastAsia="Times New Roman"/>
                <w:sz w:val="20"/>
                <w:szCs w:val="20"/>
              </w:rPr>
            </w:pPr>
          </w:p>
        </w:tc>
        <w:tc>
          <w:tcPr>
            <w:tcW w:w="1027"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r>
      <w:tr w:rsidR="00000000">
        <w:trPr>
          <w:divId w:val="51345131"/>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i/>
                <w:iCs/>
                <w:sz w:val="14"/>
                <w:szCs w:val="14"/>
              </w:rPr>
              <w:t>(in th</w:t>
            </w:r>
            <w:r>
              <w:rPr>
                <w:i/>
                <w:iCs/>
                <w:sz w:val="14"/>
                <w:szCs w:val="14"/>
              </w:rPr>
              <w:t>ousands</w:t>
            </w:r>
            <w:r>
              <w:rPr>
                <w:i/>
                <w:i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Fair Valu</w:t>
            </w:r>
            <w:r>
              <w:rPr>
                <w:b/>
                <w:bCs/>
                <w:sz w:val="14"/>
                <w:szCs w:val="14"/>
              </w:rPr>
              <w:t>e</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Amortization period (years</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divId w:val="51345131"/>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Intangible assets</w:t>
            </w: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51345131"/>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Technolog</w:t>
            </w:r>
            <w:r>
              <w:rPr>
                <w:sz w:val="14"/>
                <w:szCs w:val="14"/>
              </w:rPr>
              <w:t>y</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3,20</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7.1</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51345131"/>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Customer relationshi</w:t>
            </w:r>
            <w:r>
              <w:rPr>
                <w:sz w:val="14"/>
                <w:szCs w:val="14"/>
              </w:rPr>
              <w:t>p</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1,35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1.3</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51345131"/>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Goodwil</w:t>
            </w:r>
            <w:r>
              <w:rPr>
                <w:sz w:val="14"/>
                <w:szCs w:val="14"/>
              </w:rPr>
              <w:t>l</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6,13</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infinit</w:t>
            </w:r>
            <w:r>
              <w:rPr>
                <w:sz w:val="14"/>
                <w:szCs w:val="14"/>
              </w:rPr>
              <w:t>e</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r>
      <w:tr w:rsidR="00000000">
        <w:trPr>
          <w:divId w:val="51345131"/>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Total purchase pric</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10,68</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0" w:beforeAutospacing="0" w:after="0" w:afterAutospacing="0"/>
        <w:jc w:val="both"/>
        <w:divId w:val="1070999138"/>
        <w:rPr>
          <w:sz w:val="20"/>
          <w:szCs w:val="20"/>
        </w:rPr>
      </w:pPr>
      <w:r>
        <w:rPr>
          <w:sz w:val="20"/>
          <w:szCs w:val="20"/>
        </w:rPr>
        <w:t> </w:t>
      </w:r>
    </w:p>
    <w:p w:rsidR="00000000" w:rsidRDefault="00AF2D19">
      <w:pPr>
        <w:pStyle w:val="a3"/>
        <w:spacing w:before="0" w:beforeAutospacing="0" w:after="0" w:afterAutospacing="0"/>
        <w:jc w:val="both"/>
        <w:divId w:val="1070999138"/>
        <w:rPr>
          <w:sz w:val="20"/>
          <w:szCs w:val="20"/>
        </w:rPr>
      </w:pPr>
      <w:r>
        <w:rPr>
          <w:sz w:val="20"/>
          <w:szCs w:val="20"/>
        </w:rPr>
        <w:t>In performing the purchase price allocation, the Company considered, among other factors, analysis of historical financial performance, the best use of the acquired assets and estimates of future performance of Lasting’s operations. In its allocation, a</w:t>
      </w:r>
      <w:r>
        <w:rPr>
          <w:sz w:val="20"/>
          <w:szCs w:val="20"/>
        </w:rPr>
        <w:t>pplying the income approach, the Company determined the fair values of the Lasting technology and the non-competition agreement. The acquired customer relationship was determined based on the cost approach</w:t>
      </w:r>
      <w:r>
        <w:rPr>
          <w:sz w:val="20"/>
          <w:szCs w:val="20"/>
        </w:rPr>
        <w:t>.</w:t>
      </w:r>
      <w:r>
        <w:rPr>
          <w:sz w:val="20"/>
          <w:szCs w:val="20"/>
        </w:rPr>
        <w:t xml:space="preserve"> </w:t>
      </w:r>
    </w:p>
    <w:p w:rsidR="00000000" w:rsidRDefault="00AF2D19">
      <w:pPr>
        <w:pStyle w:val="a3"/>
        <w:spacing w:before="120" w:beforeAutospacing="0" w:after="0" w:afterAutospacing="0"/>
        <w:jc w:val="both"/>
        <w:divId w:val="1070999138"/>
        <w:rPr>
          <w:sz w:val="20"/>
          <w:szCs w:val="20"/>
        </w:rPr>
      </w:pPr>
      <w:r>
        <w:rPr>
          <w:sz w:val="20"/>
          <w:szCs w:val="20"/>
        </w:rPr>
        <w:t xml:space="preserve">Pro forma results of operations related to this </w:t>
      </w:r>
      <w:r>
        <w:rPr>
          <w:sz w:val="20"/>
          <w:szCs w:val="20"/>
        </w:rPr>
        <w:t>acquisition have not been prepared because they are not material to the Company’s consolidated statements of operations and comprehensive loss</w:t>
      </w:r>
      <w:r>
        <w:rPr>
          <w:sz w:val="20"/>
          <w:szCs w:val="20"/>
        </w:rPr>
        <w:t>.</w:t>
      </w:r>
    </w:p>
    <w:p w:rsidR="00000000" w:rsidRDefault="00AF2D19">
      <w:pPr>
        <w:pStyle w:val="a3"/>
        <w:spacing w:before="360" w:beforeAutospacing="0" w:after="0" w:afterAutospacing="0"/>
        <w:divId w:val="1309482574"/>
        <w:rPr>
          <w:sz w:val="20"/>
          <w:szCs w:val="20"/>
        </w:rPr>
      </w:pPr>
      <w:r>
        <w:rPr>
          <w:b/>
          <w:bCs/>
          <w:sz w:val="20"/>
          <w:szCs w:val="20"/>
        </w:rPr>
        <w:t>NOTE 5. REVENUE RECOGNITIO</w:t>
      </w:r>
      <w:r>
        <w:rPr>
          <w:b/>
          <w:bCs/>
          <w:sz w:val="20"/>
          <w:szCs w:val="20"/>
        </w:rPr>
        <w:t>N</w:t>
      </w:r>
    </w:p>
    <w:p w:rsidR="00000000" w:rsidRDefault="00AF2D19">
      <w:pPr>
        <w:pStyle w:val="a3"/>
        <w:spacing w:before="120" w:beforeAutospacing="0" w:after="0" w:afterAutospacing="0"/>
        <w:jc w:val="both"/>
        <w:divId w:val="1309482574"/>
        <w:rPr>
          <w:sz w:val="20"/>
          <w:szCs w:val="20"/>
        </w:rPr>
      </w:pPr>
      <w:r>
        <w:rPr>
          <w:sz w:val="20"/>
          <w:szCs w:val="20"/>
        </w:rPr>
        <w:t>The Company is operating a virtual behavioral healthcare business that connects indi</w:t>
      </w:r>
      <w:r>
        <w:rPr>
          <w:sz w:val="20"/>
          <w:szCs w:val="20"/>
        </w:rPr>
        <w:t>viduals and licensed therapists, psychologists and psychiatrists with an online platform for one-on-one therapy delivered via messaging, audio and video. Individuals access the Company’s services through the Company’s website or mobile app. The Company gen</w:t>
      </w:r>
      <w:r>
        <w:rPr>
          <w:sz w:val="20"/>
          <w:szCs w:val="20"/>
        </w:rPr>
        <w:t>erates revenues from the sale of monthly, quarterly, bi-annual and annual membership subscriptions to its therapy platform as well as supplementary a la carte offerings, payments from members and their respective insurance companies and annually contracted</w:t>
      </w:r>
      <w:r>
        <w:rPr>
          <w:sz w:val="20"/>
          <w:szCs w:val="20"/>
        </w:rPr>
        <w:t xml:space="preserve"> platform access fees from enterprise clients for the delivery of therapy services to their members or employees</w:t>
      </w:r>
      <w:r>
        <w:rPr>
          <w:sz w:val="20"/>
          <w:szCs w:val="20"/>
        </w:rPr>
        <w:t>.</w:t>
      </w:r>
    </w:p>
    <w:p w:rsidR="00000000" w:rsidRDefault="00AF2D19">
      <w:pPr>
        <w:pStyle w:val="a3"/>
        <w:spacing w:before="120" w:beforeAutospacing="0" w:after="120" w:afterAutospacing="0"/>
        <w:jc w:val="both"/>
        <w:divId w:val="148399388"/>
        <w:rPr>
          <w:sz w:val="20"/>
          <w:szCs w:val="20"/>
        </w:rPr>
      </w:pPr>
      <w:r>
        <w:rPr>
          <w:sz w:val="20"/>
          <w:szCs w:val="20"/>
        </w:rPr>
        <w:t>The following table presents the Company’s revenues disaggregated by revenue source</w:t>
      </w:r>
      <w:r>
        <w:rPr>
          <w:sz w:val="20"/>
          <w:szCs w:val="20"/>
        </w:rPr>
        <w:t>:</w:t>
      </w:r>
    </w:p>
    <w:tbl>
      <w:tblPr>
        <w:tblW w:w="4800" w:type="pct"/>
        <w:tblCellSpacing w:w="15" w:type="dxa"/>
        <w:tblCellMar>
          <w:top w:w="15" w:type="dxa"/>
          <w:left w:w="15" w:type="dxa"/>
          <w:bottom w:w="15" w:type="dxa"/>
          <w:right w:w="15" w:type="dxa"/>
        </w:tblCellMar>
        <w:tblLook w:val="04A0" w:firstRow="1" w:lastRow="0" w:firstColumn="1" w:lastColumn="0" w:noHBand="0" w:noVBand="1"/>
      </w:tblPr>
      <w:tblGrid>
        <w:gridCol w:w="4889"/>
        <w:gridCol w:w="110"/>
        <w:gridCol w:w="160"/>
        <w:gridCol w:w="710"/>
        <w:gridCol w:w="110"/>
        <w:gridCol w:w="110"/>
        <w:gridCol w:w="160"/>
        <w:gridCol w:w="610"/>
        <w:gridCol w:w="110"/>
        <w:gridCol w:w="110"/>
        <w:gridCol w:w="160"/>
        <w:gridCol w:w="610"/>
        <w:gridCol w:w="125"/>
      </w:tblGrid>
      <w:tr w:rsidR="00000000">
        <w:trPr>
          <w:divId w:val="148399388"/>
          <w:tblCellSpacing w:w="15" w:type="dxa"/>
        </w:trPr>
        <w:tc>
          <w:tcPr>
            <w:tcW w:w="3306" w:type="pct"/>
            <w:vAlign w:val="center"/>
            <w:hideMark/>
          </w:tcPr>
          <w:p w:rsidR="00000000" w:rsidRDefault="00AF2D19">
            <w:pPr>
              <w:rPr>
                <w:sz w:val="20"/>
                <w:szCs w:val="20"/>
              </w:rPr>
            </w:pPr>
          </w:p>
        </w:tc>
        <w:tc>
          <w:tcPr>
            <w:tcW w:w="51" w:type="pct"/>
            <w:vAlign w:val="center"/>
            <w:hideMark/>
          </w:tcPr>
          <w:p w:rsidR="00000000" w:rsidRDefault="00AF2D19">
            <w:pPr>
              <w:rPr>
                <w:rFonts w:eastAsia="Times New Roman"/>
                <w:sz w:val="20"/>
                <w:szCs w:val="20"/>
              </w:rPr>
            </w:pPr>
          </w:p>
        </w:tc>
        <w:tc>
          <w:tcPr>
            <w:tcW w:w="67" w:type="pct"/>
            <w:vAlign w:val="center"/>
            <w:hideMark/>
          </w:tcPr>
          <w:p w:rsidR="00000000" w:rsidRDefault="00AF2D19">
            <w:pPr>
              <w:rPr>
                <w:rFonts w:eastAsia="Times New Roman"/>
                <w:sz w:val="20"/>
                <w:szCs w:val="20"/>
              </w:rPr>
            </w:pPr>
          </w:p>
        </w:tc>
        <w:tc>
          <w:tcPr>
            <w:tcW w:w="414"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c>
          <w:tcPr>
            <w:tcW w:w="51" w:type="pct"/>
            <w:vAlign w:val="center"/>
            <w:hideMark/>
          </w:tcPr>
          <w:p w:rsidR="00000000" w:rsidRDefault="00AF2D19">
            <w:pPr>
              <w:rPr>
                <w:rFonts w:eastAsia="Times New Roman"/>
                <w:sz w:val="20"/>
                <w:szCs w:val="20"/>
              </w:rPr>
            </w:pPr>
          </w:p>
        </w:tc>
        <w:tc>
          <w:tcPr>
            <w:tcW w:w="67" w:type="pct"/>
            <w:vAlign w:val="center"/>
            <w:hideMark/>
          </w:tcPr>
          <w:p w:rsidR="00000000" w:rsidRDefault="00AF2D19">
            <w:pPr>
              <w:rPr>
                <w:rFonts w:eastAsia="Times New Roman"/>
                <w:sz w:val="20"/>
                <w:szCs w:val="20"/>
              </w:rPr>
            </w:pPr>
          </w:p>
        </w:tc>
        <w:tc>
          <w:tcPr>
            <w:tcW w:w="411"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c>
          <w:tcPr>
            <w:tcW w:w="51" w:type="pct"/>
            <w:vAlign w:val="center"/>
            <w:hideMark/>
          </w:tcPr>
          <w:p w:rsidR="00000000" w:rsidRDefault="00AF2D19">
            <w:pPr>
              <w:rPr>
                <w:rFonts w:eastAsia="Times New Roman"/>
                <w:sz w:val="20"/>
                <w:szCs w:val="20"/>
              </w:rPr>
            </w:pPr>
          </w:p>
        </w:tc>
        <w:tc>
          <w:tcPr>
            <w:tcW w:w="67" w:type="pct"/>
            <w:vAlign w:val="center"/>
            <w:hideMark/>
          </w:tcPr>
          <w:p w:rsidR="00000000" w:rsidRDefault="00AF2D19">
            <w:pPr>
              <w:rPr>
                <w:rFonts w:eastAsia="Times New Roman"/>
                <w:sz w:val="20"/>
                <w:szCs w:val="20"/>
              </w:rPr>
            </w:pPr>
          </w:p>
        </w:tc>
        <w:tc>
          <w:tcPr>
            <w:tcW w:w="411"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r>
      <w:tr w:rsidR="00000000">
        <w:trPr>
          <w:divId w:val="148399388"/>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F2D19">
            <w:pPr>
              <w:pStyle w:val="a3"/>
              <w:spacing w:before="0" w:beforeAutospacing="0" w:after="0" w:afterAutospacing="0"/>
              <w:jc w:val="center"/>
              <w:rPr>
                <w:sz w:val="16"/>
                <w:szCs w:val="16"/>
              </w:rPr>
            </w:pPr>
            <w:r>
              <w:rPr>
                <w:b/>
                <w:bCs/>
                <w:sz w:val="16"/>
                <w:szCs w:val="16"/>
              </w:rPr>
              <w:t>For the Years Ended 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148399388"/>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148399388"/>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Revenues from sales to unaffiliated customers</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 </w:t>
            </w:r>
          </w:p>
        </w:tc>
      </w:tr>
      <w:tr w:rsidR="00000000">
        <w:trPr>
          <w:divId w:val="148399388"/>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Consumer</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74,75</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61,58</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35,43</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48399388"/>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Commercia</w:t>
            </w:r>
            <w:r>
              <w:rPr>
                <w:sz w:val="20"/>
                <w:szCs w:val="20"/>
              </w:rPr>
              <w:t>l</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38,91</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14,60</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2,74</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48399388"/>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113,67</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76,19</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38,17</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240" w:beforeAutospacing="0" w:after="240" w:afterAutospacing="0"/>
        <w:divId w:val="148399388"/>
        <w:rPr>
          <w:sz w:val="20"/>
          <w:szCs w:val="20"/>
        </w:rPr>
      </w:pPr>
      <w:r>
        <w:rPr>
          <w:sz w:val="20"/>
          <w:szCs w:val="20"/>
        </w:rPr>
        <w:t>During the years ended December 31, 2021, 2020 and 2019, over</w:t>
      </w:r>
      <w:r>
        <w:rPr>
          <w:sz w:val="20"/>
          <w:szCs w:val="20"/>
        </w:rPr>
        <w:t xml:space="preserve"> </w:t>
      </w:r>
      <w:r>
        <w:rPr>
          <w:sz w:val="20"/>
          <w:szCs w:val="20"/>
        </w:rPr>
        <w:t>9</w:t>
      </w:r>
      <w:r>
        <w:rPr>
          <w:sz w:val="20"/>
          <w:szCs w:val="20"/>
        </w:rPr>
        <w:t>0</w:t>
      </w:r>
      <w:r>
        <w:rPr>
          <w:sz w:val="20"/>
          <w:szCs w:val="20"/>
        </w:rPr>
        <w:t>% of the Company’</w:t>
      </w:r>
      <w:r>
        <w:rPr>
          <w:sz w:val="20"/>
          <w:szCs w:val="20"/>
        </w:rPr>
        <w:t>s revenue was generated from customers located in the United States</w:t>
      </w:r>
      <w:r>
        <w:rPr>
          <w:sz w:val="20"/>
          <w:szCs w:val="20"/>
        </w:rPr>
        <w:t>.</w:t>
      </w:r>
      <w:r>
        <w:rPr>
          <w:sz w:val="20"/>
          <w:szCs w:val="20"/>
        </w:rPr>
        <w:t xml:space="preserve"> </w:t>
      </w:r>
    </w:p>
    <w:p w:rsidR="00000000" w:rsidRDefault="00AF2D19">
      <w:pPr>
        <w:pStyle w:val="a3"/>
        <w:spacing w:before="240" w:beforeAutospacing="0" w:after="0" w:afterAutospacing="0"/>
        <w:jc w:val="both"/>
        <w:divId w:val="1309482574"/>
        <w:rPr>
          <w:sz w:val="20"/>
          <w:szCs w:val="20"/>
        </w:rPr>
      </w:pPr>
      <w:r>
        <w:rPr>
          <w:i/>
          <w:iCs/>
          <w:sz w:val="20"/>
          <w:szCs w:val="20"/>
        </w:rPr>
        <w:t>Accounts Receivable and Revenue Reserve</w:t>
      </w:r>
      <w:r>
        <w:rPr>
          <w:i/>
          <w:iCs/>
          <w:sz w:val="20"/>
          <w:szCs w:val="20"/>
        </w:rPr>
        <w:t>s</w:t>
      </w:r>
    </w:p>
    <w:p w:rsidR="00000000" w:rsidRDefault="00AF2D19">
      <w:pPr>
        <w:pStyle w:val="a3"/>
        <w:spacing w:before="120" w:beforeAutospacing="0" w:after="0" w:afterAutospacing="0"/>
        <w:jc w:val="both"/>
        <w:divId w:val="1309482574"/>
        <w:rPr>
          <w:sz w:val="20"/>
          <w:szCs w:val="20"/>
        </w:rPr>
      </w:pPr>
      <w:r>
        <w:rPr>
          <w:sz w:val="20"/>
          <w:szCs w:val="20"/>
        </w:rPr>
        <w:t>Revenue reserves are deducted from accounts receivable to present the net amount expected to be collected. As of December 31, 2021, revenue reser</w:t>
      </w:r>
      <w:r>
        <w:rPr>
          <w:sz w:val="20"/>
          <w:szCs w:val="20"/>
        </w:rPr>
        <w:t>ves mainly relate to allowances for accounts receivable balances from health insurance and EAP organizations. As of December 31, 2021, the balance of receivables related to these customers was</w:t>
      </w:r>
      <w:r>
        <w:rPr>
          <w:sz w:val="20"/>
          <w:szCs w:val="20"/>
        </w:rPr>
        <w:t xml:space="preserve"> </w:t>
      </w:r>
      <w:r>
        <w:rPr>
          <w:sz w:val="20"/>
          <w:szCs w:val="20"/>
        </w:rPr>
        <w:t>$</w:t>
      </w:r>
      <w:r>
        <w:rPr>
          <w:sz w:val="20"/>
          <w:szCs w:val="20"/>
        </w:rPr>
        <w:t>6.</w:t>
      </w:r>
      <w:r>
        <w:rPr>
          <w:sz w:val="20"/>
          <w:szCs w:val="20"/>
        </w:rPr>
        <w:t>4</w:t>
      </w:r>
      <w:r>
        <w:rPr>
          <w:sz w:val="20"/>
          <w:szCs w:val="20"/>
        </w:rPr>
        <w:t xml:space="preserve"> million and the revenue reserves against these receivables</w:t>
      </w:r>
      <w:r>
        <w:rPr>
          <w:sz w:val="20"/>
          <w:szCs w:val="20"/>
        </w:rPr>
        <w:t xml:space="preserve"> was</w:t>
      </w:r>
      <w:r>
        <w:rPr>
          <w:sz w:val="20"/>
          <w:szCs w:val="20"/>
        </w:rPr>
        <w:t xml:space="preserve"> </w:t>
      </w:r>
      <w:r>
        <w:rPr>
          <w:sz w:val="20"/>
          <w:szCs w:val="20"/>
        </w:rPr>
        <w:t>$</w:t>
      </w:r>
      <w:r>
        <w:rPr>
          <w:sz w:val="20"/>
          <w:szCs w:val="20"/>
        </w:rPr>
        <w:t>4.</w:t>
      </w:r>
      <w:r>
        <w:rPr>
          <w:sz w:val="20"/>
          <w:szCs w:val="20"/>
        </w:rPr>
        <w:t>9</w:t>
      </w:r>
      <w:r>
        <w:rPr>
          <w:sz w:val="20"/>
          <w:szCs w:val="20"/>
        </w:rPr>
        <w:t xml:space="preserve"> million, of this amount</w:t>
      </w:r>
      <w:r>
        <w:rPr>
          <w:sz w:val="20"/>
          <w:szCs w:val="20"/>
        </w:rPr>
        <w:t xml:space="preserve"> </w:t>
      </w:r>
      <w:r>
        <w:rPr>
          <w:sz w:val="20"/>
          <w:szCs w:val="20"/>
        </w:rPr>
        <w:t>$</w:t>
      </w:r>
      <w:r>
        <w:rPr>
          <w:sz w:val="20"/>
          <w:szCs w:val="20"/>
        </w:rPr>
        <w:t>1.</w:t>
      </w:r>
      <w:r>
        <w:rPr>
          <w:sz w:val="20"/>
          <w:szCs w:val="20"/>
        </w:rPr>
        <w:t>1</w:t>
      </w:r>
      <w:r>
        <w:rPr>
          <w:sz w:val="20"/>
          <w:szCs w:val="20"/>
        </w:rPr>
        <w:t xml:space="preserve"> million is related to aged balances prior to 2021</w:t>
      </w:r>
      <w:r>
        <w:rPr>
          <w:sz w:val="20"/>
          <w:szCs w:val="20"/>
        </w:rPr>
        <w:t>.</w:t>
      </w:r>
    </w:p>
    <w:p w:rsidR="00000000" w:rsidRDefault="00AF2D19">
      <w:pPr>
        <w:pStyle w:val="a3"/>
        <w:spacing w:before="240" w:beforeAutospacing="0" w:after="0" w:afterAutospacing="0"/>
        <w:jc w:val="both"/>
        <w:divId w:val="744255344"/>
        <w:rPr>
          <w:sz w:val="20"/>
          <w:szCs w:val="20"/>
        </w:rPr>
      </w:pPr>
      <w:r>
        <w:rPr>
          <w:sz w:val="20"/>
          <w:szCs w:val="20"/>
        </w:rPr>
        <w:t>The following table presents activity for revenue reserves for the years ended December 31, 2021 and 2020</w:t>
      </w:r>
      <w:r>
        <w:rPr>
          <w:sz w:val="20"/>
          <w:szCs w:val="20"/>
        </w:rPr>
        <w:t>:</w:t>
      </w:r>
    </w:p>
    <w:p w:rsidR="00000000" w:rsidRDefault="00AF2D19">
      <w:pPr>
        <w:pStyle w:val="a3"/>
        <w:spacing w:before="0" w:beforeAutospacing="0" w:after="0" w:afterAutospacing="0"/>
        <w:divId w:val="744255344"/>
        <w:rPr>
          <w:sz w:val="20"/>
          <w:szCs w:val="20"/>
        </w:rPr>
      </w:pPr>
      <w:r>
        <w:t> </w:t>
      </w:r>
    </w:p>
    <w:tbl>
      <w:tblPr>
        <w:tblW w:w="4600" w:type="pct"/>
        <w:tblCellSpacing w:w="15" w:type="dxa"/>
        <w:tblCellMar>
          <w:top w:w="15" w:type="dxa"/>
          <w:left w:w="15" w:type="dxa"/>
          <w:bottom w:w="15" w:type="dxa"/>
          <w:right w:w="15" w:type="dxa"/>
        </w:tblCellMar>
        <w:tblLook w:val="04A0" w:firstRow="1" w:lastRow="0" w:firstColumn="1" w:lastColumn="0" w:noHBand="0" w:noVBand="1"/>
      </w:tblPr>
      <w:tblGrid>
        <w:gridCol w:w="3725"/>
        <w:gridCol w:w="110"/>
        <w:gridCol w:w="160"/>
        <w:gridCol w:w="1587"/>
        <w:gridCol w:w="110"/>
        <w:gridCol w:w="110"/>
        <w:gridCol w:w="160"/>
        <w:gridCol w:w="1555"/>
        <w:gridCol w:w="125"/>
      </w:tblGrid>
      <w:tr w:rsidR="00000000">
        <w:trPr>
          <w:divId w:val="744255344"/>
          <w:tblCellSpacing w:w="15" w:type="dxa"/>
        </w:trPr>
        <w:tc>
          <w:tcPr>
            <w:tcW w:w="2523" w:type="pct"/>
            <w:vAlign w:val="center"/>
            <w:hideMark/>
          </w:tcPr>
          <w:p w:rsidR="00000000" w:rsidRDefault="00AF2D19">
            <w:pPr>
              <w:rPr>
                <w:sz w:val="20"/>
                <w:szCs w:val="20"/>
              </w:rPr>
            </w:pPr>
          </w:p>
        </w:tc>
        <w:tc>
          <w:tcPr>
            <w:tcW w:w="51" w:type="pct"/>
            <w:vAlign w:val="center"/>
            <w:hideMark/>
          </w:tcPr>
          <w:p w:rsidR="00000000" w:rsidRDefault="00AF2D19">
            <w:pPr>
              <w:rPr>
                <w:rFonts w:eastAsia="Times New Roman"/>
                <w:sz w:val="20"/>
                <w:szCs w:val="20"/>
              </w:rPr>
            </w:pPr>
          </w:p>
        </w:tc>
        <w:tc>
          <w:tcPr>
            <w:tcW w:w="72" w:type="pct"/>
            <w:vAlign w:val="center"/>
            <w:hideMark/>
          </w:tcPr>
          <w:p w:rsidR="00000000" w:rsidRDefault="00AF2D19">
            <w:pPr>
              <w:rPr>
                <w:rFonts w:eastAsia="Times New Roman"/>
                <w:sz w:val="20"/>
                <w:szCs w:val="20"/>
              </w:rPr>
            </w:pPr>
          </w:p>
        </w:tc>
        <w:tc>
          <w:tcPr>
            <w:tcW w:w="1079" w:type="pct"/>
            <w:vAlign w:val="center"/>
            <w:hideMark/>
          </w:tcPr>
          <w:p w:rsidR="00000000" w:rsidRDefault="00AF2D19">
            <w:pPr>
              <w:rPr>
                <w:rFonts w:eastAsia="Times New Roman"/>
                <w:sz w:val="20"/>
                <w:szCs w:val="20"/>
              </w:rPr>
            </w:pPr>
          </w:p>
        </w:tc>
        <w:tc>
          <w:tcPr>
            <w:tcW w:w="34" w:type="pct"/>
            <w:vAlign w:val="center"/>
            <w:hideMark/>
          </w:tcPr>
          <w:p w:rsidR="00000000" w:rsidRDefault="00AF2D19">
            <w:pPr>
              <w:rPr>
                <w:rFonts w:eastAsia="Times New Roman"/>
                <w:sz w:val="20"/>
                <w:szCs w:val="20"/>
              </w:rPr>
            </w:pPr>
          </w:p>
        </w:tc>
        <w:tc>
          <w:tcPr>
            <w:tcW w:w="60" w:type="pct"/>
            <w:vAlign w:val="center"/>
            <w:hideMark/>
          </w:tcPr>
          <w:p w:rsidR="00000000" w:rsidRDefault="00AF2D19">
            <w:pPr>
              <w:rPr>
                <w:rFonts w:eastAsia="Times New Roman"/>
                <w:sz w:val="20"/>
                <w:szCs w:val="20"/>
              </w:rPr>
            </w:pPr>
          </w:p>
        </w:tc>
        <w:tc>
          <w:tcPr>
            <w:tcW w:w="72" w:type="pct"/>
            <w:vAlign w:val="center"/>
            <w:hideMark/>
          </w:tcPr>
          <w:p w:rsidR="00000000" w:rsidRDefault="00AF2D19">
            <w:pPr>
              <w:rPr>
                <w:rFonts w:eastAsia="Times New Roman"/>
                <w:sz w:val="20"/>
                <w:szCs w:val="20"/>
              </w:rPr>
            </w:pPr>
          </w:p>
        </w:tc>
        <w:tc>
          <w:tcPr>
            <w:tcW w:w="1070" w:type="pct"/>
            <w:vAlign w:val="center"/>
            <w:hideMark/>
          </w:tcPr>
          <w:p w:rsidR="00000000" w:rsidRDefault="00AF2D19">
            <w:pPr>
              <w:rPr>
                <w:rFonts w:eastAsia="Times New Roman"/>
                <w:sz w:val="20"/>
                <w:szCs w:val="20"/>
              </w:rPr>
            </w:pPr>
          </w:p>
        </w:tc>
        <w:tc>
          <w:tcPr>
            <w:tcW w:w="34" w:type="pct"/>
            <w:vAlign w:val="center"/>
            <w:hideMark/>
          </w:tcPr>
          <w:p w:rsidR="00000000" w:rsidRDefault="00AF2D19">
            <w:pPr>
              <w:rPr>
                <w:rFonts w:eastAsia="Times New Roman"/>
                <w:sz w:val="20"/>
                <w:szCs w:val="20"/>
              </w:rPr>
            </w:pPr>
          </w:p>
        </w:tc>
      </w:tr>
      <w:tr w:rsidR="00000000">
        <w:trPr>
          <w:divId w:val="744255344"/>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F2D19">
            <w:pPr>
              <w:pStyle w:val="a3"/>
              <w:spacing w:before="0" w:beforeAutospacing="0" w:after="0" w:afterAutospacing="0"/>
              <w:jc w:val="center"/>
              <w:rPr>
                <w:sz w:val="16"/>
                <w:szCs w:val="16"/>
              </w:rPr>
            </w:pPr>
            <w:r>
              <w:rPr>
                <w:b/>
                <w:bCs/>
                <w:sz w:val="16"/>
                <w:szCs w:val="16"/>
              </w:rPr>
              <w:t>For the Years Ended 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744255344"/>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744255344"/>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Beginning balanc</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82</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744255344"/>
          <w:trHeight w:val="200"/>
          <w:tblCellSpacing w:w="15" w:type="dxa"/>
        </w:trPr>
        <w:tc>
          <w:tcPr>
            <w:tcW w:w="0" w:type="auto"/>
            <w:vAlign w:val="bottom"/>
            <w:hideMark/>
          </w:tcPr>
          <w:p w:rsidR="00000000" w:rsidRDefault="00AF2D19">
            <w:pPr>
              <w:pStyle w:val="a3"/>
              <w:spacing w:before="0" w:beforeAutospacing="0" w:after="0" w:afterAutospacing="0"/>
              <w:ind w:left="200"/>
              <w:rPr>
                <w:sz w:val="20"/>
                <w:szCs w:val="20"/>
              </w:rPr>
            </w:pPr>
            <w:r>
              <w:rPr>
                <w:sz w:val="20"/>
                <w:szCs w:val="20"/>
              </w:rPr>
              <w:t>Additions and other adjustment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4,09</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82</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744255344"/>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Ending balanc</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4,91</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82</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0" w:beforeAutospacing="0" w:after="0" w:afterAutospacing="0"/>
        <w:ind w:left="1547"/>
        <w:divId w:val="1309482574"/>
        <w:rPr>
          <w:sz w:val="20"/>
          <w:szCs w:val="20"/>
        </w:rPr>
      </w:pPr>
      <w:r>
        <w:rPr>
          <w:sz w:val="16"/>
          <w:szCs w:val="16"/>
        </w:rPr>
        <w:t> </w:t>
      </w:r>
    </w:p>
    <w:p w:rsidR="00000000" w:rsidRDefault="00AF2D19">
      <w:pPr>
        <w:pStyle w:val="a3"/>
        <w:spacing w:before="0" w:beforeAutospacing="0" w:after="0" w:afterAutospacing="0"/>
        <w:divId w:val="1309482574"/>
        <w:rPr>
          <w:sz w:val="20"/>
          <w:szCs w:val="20"/>
        </w:rPr>
      </w:pPr>
      <w:r>
        <w:rPr>
          <w:sz w:val="20"/>
          <w:szCs w:val="20"/>
        </w:rPr>
        <w:t> </w:t>
      </w:r>
    </w:p>
    <w:p w:rsidR="00000000" w:rsidRDefault="00AF2D19">
      <w:pPr>
        <w:pStyle w:val="a3"/>
        <w:spacing w:before="0" w:beforeAutospacing="0" w:after="0" w:afterAutospacing="0"/>
        <w:jc w:val="center"/>
        <w:divId w:val="1309482574"/>
        <w:rPr>
          <w:sz w:val="20"/>
          <w:szCs w:val="20"/>
        </w:rPr>
      </w:pPr>
      <w:r>
        <w:rPr>
          <w:sz w:val="20"/>
          <w:szCs w:val="20"/>
        </w:rPr>
        <w:t>8</w:t>
      </w:r>
      <w:r>
        <w:rPr>
          <w:sz w:val="20"/>
          <w:szCs w:val="20"/>
        </w:rPr>
        <w:t>7</w:t>
      </w:r>
    </w:p>
    <w:p w:rsidR="00000000" w:rsidRDefault="00AF2D19">
      <w:pPr>
        <w:divId w:val="1309482574"/>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AF2D19">
      <w:pPr>
        <w:pStyle w:val="a3"/>
        <w:spacing w:before="0" w:beforeAutospacing="0" w:after="0" w:afterAutospacing="0"/>
        <w:divId w:val="1309482574"/>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80" w:beforeAutospacing="0" w:after="0" w:afterAutospacing="0"/>
        <w:divId w:val="1309482574"/>
        <w:rPr>
          <w:sz w:val="20"/>
          <w:szCs w:val="20"/>
        </w:rPr>
      </w:pPr>
      <w:r>
        <w:rPr>
          <w:i/>
          <w:iCs/>
          <w:sz w:val="20"/>
          <w:szCs w:val="20"/>
        </w:rPr>
        <w:t>Deferred Revenu</w:t>
      </w:r>
      <w:r>
        <w:rPr>
          <w:i/>
          <w:iCs/>
          <w:sz w:val="20"/>
          <w:szCs w:val="20"/>
        </w:rPr>
        <w:t>e</w:t>
      </w:r>
    </w:p>
    <w:p w:rsidR="00000000" w:rsidRDefault="00AF2D19">
      <w:pPr>
        <w:pStyle w:val="a3"/>
        <w:spacing w:before="120" w:beforeAutospacing="0" w:after="0" w:afterAutospacing="0"/>
        <w:jc w:val="both"/>
        <w:divId w:val="1309482574"/>
        <w:rPr>
          <w:sz w:val="20"/>
          <w:szCs w:val="20"/>
        </w:rPr>
      </w:pPr>
      <w:r>
        <w:rPr>
          <w:sz w:val="20"/>
          <w:szCs w:val="20"/>
        </w:rPr>
        <w:t xml:space="preserve">The Company records deferred revenue when cash payments are received in advance of the Company’s performance obligation to provide services. Total deferred revenue was </w:t>
      </w:r>
      <w:r>
        <w:rPr>
          <w:sz w:val="20"/>
          <w:szCs w:val="20"/>
        </w:rPr>
        <w:t>$</w:t>
      </w:r>
      <w:r>
        <w:rPr>
          <w:sz w:val="20"/>
          <w:szCs w:val="20"/>
        </w:rPr>
        <w:t>7.</w:t>
      </w:r>
      <w:r>
        <w:rPr>
          <w:sz w:val="20"/>
          <w:szCs w:val="20"/>
        </w:rPr>
        <w:t>2</w:t>
      </w:r>
      <w:r>
        <w:rPr>
          <w:sz w:val="20"/>
          <w:szCs w:val="20"/>
        </w:rPr>
        <w:t xml:space="preserve"> million and </w:t>
      </w:r>
      <w:r>
        <w:rPr>
          <w:sz w:val="20"/>
          <w:szCs w:val="20"/>
        </w:rPr>
        <w:t>$</w:t>
      </w:r>
      <w:r>
        <w:rPr>
          <w:sz w:val="20"/>
          <w:szCs w:val="20"/>
        </w:rPr>
        <w:t>5.</w:t>
      </w:r>
      <w:r>
        <w:rPr>
          <w:sz w:val="20"/>
          <w:szCs w:val="20"/>
        </w:rPr>
        <w:t>2</w:t>
      </w:r>
      <w:r>
        <w:rPr>
          <w:sz w:val="20"/>
          <w:szCs w:val="20"/>
        </w:rPr>
        <w:t xml:space="preserve"> million for the years ended December 31, 2021 and 2020, respective</w:t>
      </w:r>
      <w:r>
        <w:rPr>
          <w:sz w:val="20"/>
          <w:szCs w:val="20"/>
        </w:rPr>
        <w:t>ly. The Company recognizes deferred revenues as revenues in the statement of operations and comprehensive loss once performance obligations have been performed and satisfied. The Company expects to satisfy all performance obligations associated with the de</w:t>
      </w:r>
      <w:r>
        <w:rPr>
          <w:sz w:val="20"/>
          <w:szCs w:val="20"/>
        </w:rPr>
        <w:t>ferred revenue within one year or less</w:t>
      </w:r>
      <w:r>
        <w:rPr>
          <w:sz w:val="20"/>
          <w:szCs w:val="20"/>
        </w:rPr>
        <w:t>.</w:t>
      </w:r>
    </w:p>
    <w:p w:rsidR="00000000" w:rsidRDefault="00AF2D19">
      <w:pPr>
        <w:pStyle w:val="a3"/>
        <w:spacing w:before="240" w:beforeAutospacing="0" w:after="0" w:afterAutospacing="0"/>
        <w:jc w:val="both"/>
        <w:divId w:val="1309482574"/>
        <w:rPr>
          <w:sz w:val="20"/>
          <w:szCs w:val="20"/>
        </w:rPr>
      </w:pPr>
      <w:r>
        <w:rPr>
          <w:i/>
          <w:iCs/>
          <w:sz w:val="20"/>
          <w:szCs w:val="20"/>
        </w:rPr>
        <w:t>Contract Cost</w:t>
      </w:r>
      <w:r>
        <w:rPr>
          <w:i/>
          <w:iCs/>
          <w:sz w:val="20"/>
          <w:szCs w:val="20"/>
        </w:rPr>
        <w:t>s</w:t>
      </w:r>
    </w:p>
    <w:p w:rsidR="00000000" w:rsidRDefault="00AF2D19">
      <w:pPr>
        <w:pStyle w:val="a3"/>
        <w:spacing w:before="120" w:beforeAutospacing="0" w:after="0" w:afterAutospacing="0"/>
        <w:jc w:val="both"/>
        <w:divId w:val="1309482574"/>
        <w:rPr>
          <w:sz w:val="20"/>
          <w:szCs w:val="20"/>
        </w:rPr>
      </w:pPr>
      <w:r>
        <w:rPr>
          <w:sz w:val="20"/>
          <w:szCs w:val="20"/>
        </w:rPr>
        <w:t xml:space="preserve">The Company elected to use the practical expedient and recognize the incremental costs of obtaining contracts as an expense since the amortization period of the assets that the Company otherwise would </w:t>
      </w:r>
      <w:r>
        <w:rPr>
          <w:sz w:val="20"/>
          <w:szCs w:val="20"/>
        </w:rPr>
        <w:t>have recognized is one year or less</w:t>
      </w:r>
      <w:r>
        <w:rPr>
          <w:sz w:val="20"/>
          <w:szCs w:val="20"/>
        </w:rPr>
        <w:t>.</w:t>
      </w:r>
    </w:p>
    <w:p w:rsidR="00000000" w:rsidRDefault="00AF2D19">
      <w:pPr>
        <w:pStyle w:val="a3"/>
        <w:spacing w:before="360" w:beforeAutospacing="0" w:after="0" w:afterAutospacing="0"/>
        <w:divId w:val="902181437"/>
        <w:rPr>
          <w:sz w:val="20"/>
          <w:szCs w:val="20"/>
        </w:rPr>
      </w:pPr>
      <w:r>
        <w:rPr>
          <w:b/>
          <w:bCs/>
          <w:sz w:val="20"/>
          <w:szCs w:val="20"/>
        </w:rPr>
        <w:t>NOTE 6. GOODWIL</w:t>
      </w:r>
      <w:r>
        <w:rPr>
          <w:b/>
          <w:bCs/>
          <w:sz w:val="20"/>
          <w:szCs w:val="20"/>
        </w:rPr>
        <w:t>L</w:t>
      </w:r>
    </w:p>
    <w:p w:rsidR="00000000" w:rsidRDefault="00AF2D19">
      <w:pPr>
        <w:pStyle w:val="a3"/>
        <w:spacing w:before="120" w:beforeAutospacing="0" w:after="0" w:afterAutospacing="0"/>
        <w:jc w:val="both"/>
        <w:divId w:val="902181437"/>
        <w:rPr>
          <w:sz w:val="20"/>
          <w:szCs w:val="20"/>
        </w:rPr>
      </w:pPr>
      <w:r>
        <w:rPr>
          <w:sz w:val="20"/>
          <w:szCs w:val="20"/>
        </w:rPr>
        <w:t xml:space="preserve">The Company has goodwill of </w:t>
      </w:r>
      <w:r>
        <w:rPr>
          <w:sz w:val="20"/>
          <w:szCs w:val="20"/>
        </w:rPr>
        <w:t>$</w:t>
      </w:r>
      <w:r>
        <w:rPr>
          <w:sz w:val="20"/>
          <w:szCs w:val="20"/>
        </w:rPr>
        <w:t>6.</w:t>
      </w:r>
      <w:r>
        <w:rPr>
          <w:sz w:val="20"/>
          <w:szCs w:val="20"/>
        </w:rPr>
        <w:t>1</w:t>
      </w:r>
      <w:r>
        <w:rPr>
          <w:sz w:val="20"/>
          <w:szCs w:val="20"/>
        </w:rPr>
        <w:t xml:space="preserve"> million as a result of its acquisition of Lasting on November 1, 2020, an app-based subscription for relationship and couple counseling. The Company operates as</w:t>
      </w:r>
      <w:r>
        <w:rPr>
          <w:sz w:val="20"/>
          <w:szCs w:val="20"/>
        </w:rPr>
        <w:t xml:space="preserve"> </w:t>
      </w:r>
      <w:r>
        <w:rPr>
          <w:sz w:val="20"/>
          <w:szCs w:val="20"/>
        </w:rPr>
        <w:t>on</w:t>
      </w:r>
      <w:r>
        <w:rPr>
          <w:sz w:val="20"/>
          <w:szCs w:val="20"/>
        </w:rPr>
        <w:t>e</w:t>
      </w:r>
      <w:r>
        <w:rPr>
          <w:sz w:val="20"/>
          <w:szCs w:val="20"/>
        </w:rPr>
        <w:t xml:space="preserve"> repo</w:t>
      </w:r>
      <w:r>
        <w:rPr>
          <w:sz w:val="20"/>
          <w:szCs w:val="20"/>
        </w:rPr>
        <w:t>rting unit and the fair value of the reporting unit is estimated using quoted market prices in active markets of the Company’s stock. Goodwill of a reporting unit is required to be tested for impairment between annual tests if an event occurs or circumstan</w:t>
      </w:r>
      <w:r>
        <w:rPr>
          <w:sz w:val="20"/>
          <w:szCs w:val="20"/>
        </w:rPr>
        <w:t>ces change that would more likely than not reduce the fair value of a reporting unit below its carrying amount. The Company’s annual goodwill impairment test resulted in</w:t>
      </w:r>
      <w:r>
        <w:rPr>
          <w:sz w:val="20"/>
          <w:szCs w:val="20"/>
        </w:rPr>
        <w:t xml:space="preserve"> </w:t>
      </w:r>
      <w:r>
        <w:rPr>
          <w:sz w:val="20"/>
          <w:szCs w:val="20"/>
        </w:rPr>
        <w:t>n</w:t>
      </w:r>
      <w:r>
        <w:rPr>
          <w:sz w:val="20"/>
          <w:szCs w:val="20"/>
        </w:rPr>
        <w:t>o</w:t>
      </w:r>
      <w:r>
        <w:rPr>
          <w:sz w:val="20"/>
          <w:szCs w:val="20"/>
        </w:rPr>
        <w:t xml:space="preserve"> impairment charges for the year ended December 31, 2021. No impairment test was per</w:t>
      </w:r>
      <w:r>
        <w:rPr>
          <w:sz w:val="20"/>
          <w:szCs w:val="20"/>
        </w:rPr>
        <w:t>formed for the year ended December 31, 2020 as the acquisition was completed in November 2020, as such</w:t>
      </w:r>
      <w:r>
        <w:rPr>
          <w:sz w:val="20"/>
          <w:szCs w:val="20"/>
        </w:rPr>
        <w:t xml:space="preserve"> </w:t>
      </w:r>
      <w:r>
        <w:rPr>
          <w:sz w:val="20"/>
          <w:szCs w:val="20"/>
        </w:rPr>
        <w:t>n</w:t>
      </w:r>
      <w:r>
        <w:rPr>
          <w:sz w:val="20"/>
          <w:szCs w:val="20"/>
        </w:rPr>
        <w:t>o</w:t>
      </w:r>
      <w:r>
        <w:rPr>
          <w:sz w:val="20"/>
          <w:szCs w:val="20"/>
        </w:rPr>
        <w:t xml:space="preserve"> impairment charges were recognized for the year ended December 31, 2020</w:t>
      </w:r>
      <w:r>
        <w:rPr>
          <w:sz w:val="20"/>
          <w:szCs w:val="20"/>
        </w:rPr>
        <w:t>.</w:t>
      </w:r>
    </w:p>
    <w:p w:rsidR="00000000" w:rsidRDefault="00AF2D19">
      <w:pPr>
        <w:pStyle w:val="a3"/>
        <w:spacing w:before="360" w:beforeAutospacing="0" w:after="0" w:afterAutospacing="0"/>
        <w:divId w:val="2077163875"/>
        <w:rPr>
          <w:sz w:val="20"/>
          <w:szCs w:val="20"/>
        </w:rPr>
      </w:pPr>
      <w:r>
        <w:rPr>
          <w:b/>
          <w:bCs/>
          <w:sz w:val="20"/>
          <w:szCs w:val="20"/>
        </w:rPr>
        <w:t>NOTE 7. INTANGIBLE ASSETS, NE</w:t>
      </w:r>
      <w:r>
        <w:rPr>
          <w:b/>
          <w:bCs/>
          <w:sz w:val="20"/>
          <w:szCs w:val="20"/>
        </w:rPr>
        <w:t>T</w:t>
      </w:r>
      <w:r>
        <w:rPr>
          <w:b/>
          <w:bCs/>
          <w:sz w:val="20"/>
          <w:szCs w:val="20"/>
        </w:rPr>
        <w:t xml:space="preserve"> </w:t>
      </w:r>
    </w:p>
    <w:p w:rsidR="00000000" w:rsidRDefault="00AF2D19">
      <w:pPr>
        <w:pStyle w:val="a3"/>
        <w:spacing w:before="0" w:beforeAutospacing="0" w:after="0" w:afterAutospacing="0"/>
        <w:divId w:val="2077163875"/>
        <w:rPr>
          <w:sz w:val="20"/>
          <w:szCs w:val="20"/>
        </w:rPr>
      </w:pPr>
      <w:r>
        <w:rPr>
          <w:sz w:val="20"/>
          <w:szCs w:val="20"/>
        </w:rPr>
        <w:t> </w:t>
      </w:r>
    </w:p>
    <w:p w:rsidR="00000000" w:rsidRDefault="00AF2D19">
      <w:pPr>
        <w:pStyle w:val="a3"/>
        <w:spacing w:before="0" w:beforeAutospacing="0" w:after="0" w:afterAutospacing="0"/>
        <w:divId w:val="1378895786"/>
        <w:rPr>
          <w:sz w:val="20"/>
          <w:szCs w:val="20"/>
        </w:rPr>
      </w:pPr>
      <w:r>
        <w:rPr>
          <w:sz w:val="20"/>
          <w:szCs w:val="20"/>
        </w:rPr>
        <w:t>Intangible assets are comprised of the following</w:t>
      </w:r>
      <w:r>
        <w:rPr>
          <w:sz w:val="20"/>
          <w:szCs w:val="20"/>
        </w:rPr>
        <w:t>:</w:t>
      </w:r>
      <w:r>
        <w:rPr>
          <w:sz w:val="20"/>
          <w:szCs w:val="20"/>
        </w:rPr>
        <w:t xml:space="preserve"> </w:t>
      </w:r>
    </w:p>
    <w:p w:rsidR="00000000" w:rsidRDefault="00AF2D19">
      <w:pPr>
        <w:pStyle w:val="a3"/>
        <w:spacing w:before="0" w:beforeAutospacing="0" w:after="0" w:afterAutospacing="0"/>
        <w:divId w:val="1378895786"/>
        <w:rPr>
          <w:sz w:val="20"/>
          <w:szCs w:val="20"/>
        </w:rPr>
      </w:pPr>
      <w:r>
        <w:rPr>
          <w:sz w:val="20"/>
          <w:szCs w:val="20"/>
        </w:rPr>
        <w:t> </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5937"/>
        <w:gridCol w:w="110"/>
        <w:gridCol w:w="160"/>
        <w:gridCol w:w="714"/>
        <w:gridCol w:w="110"/>
        <w:gridCol w:w="110"/>
        <w:gridCol w:w="160"/>
        <w:gridCol w:w="714"/>
        <w:gridCol w:w="125"/>
      </w:tblGrid>
      <w:tr w:rsidR="00000000">
        <w:trPr>
          <w:divId w:val="1378895786"/>
          <w:tblCellSpacing w:w="15" w:type="dxa"/>
        </w:trPr>
        <w:tc>
          <w:tcPr>
            <w:tcW w:w="3781" w:type="pct"/>
            <w:vAlign w:val="center"/>
            <w:hideMark/>
          </w:tcPr>
          <w:p w:rsidR="00000000" w:rsidRDefault="00AF2D19">
            <w:pPr>
              <w:rPr>
                <w:sz w:val="20"/>
                <w:szCs w:val="20"/>
              </w:rPr>
            </w:pPr>
          </w:p>
        </w:tc>
        <w:tc>
          <w:tcPr>
            <w:tcW w:w="51" w:type="pct"/>
            <w:vAlign w:val="center"/>
            <w:hideMark/>
          </w:tcPr>
          <w:p w:rsidR="00000000" w:rsidRDefault="00AF2D19">
            <w:pPr>
              <w:rPr>
                <w:rFonts w:eastAsia="Times New Roman"/>
                <w:sz w:val="20"/>
                <w:szCs w:val="20"/>
              </w:rPr>
            </w:pPr>
          </w:p>
        </w:tc>
        <w:tc>
          <w:tcPr>
            <w:tcW w:w="66" w:type="pct"/>
            <w:vAlign w:val="center"/>
            <w:hideMark/>
          </w:tcPr>
          <w:p w:rsidR="00000000" w:rsidRDefault="00AF2D19">
            <w:pPr>
              <w:rPr>
                <w:rFonts w:eastAsia="Times New Roman"/>
                <w:sz w:val="20"/>
                <w:szCs w:val="20"/>
              </w:rPr>
            </w:pPr>
          </w:p>
        </w:tc>
        <w:tc>
          <w:tcPr>
            <w:tcW w:w="460"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c>
          <w:tcPr>
            <w:tcW w:w="51" w:type="pct"/>
            <w:vAlign w:val="center"/>
            <w:hideMark/>
          </w:tcPr>
          <w:p w:rsidR="00000000" w:rsidRDefault="00AF2D19">
            <w:pPr>
              <w:rPr>
                <w:rFonts w:eastAsia="Times New Roman"/>
                <w:sz w:val="20"/>
                <w:szCs w:val="20"/>
              </w:rPr>
            </w:pPr>
          </w:p>
        </w:tc>
        <w:tc>
          <w:tcPr>
            <w:tcW w:w="66" w:type="pct"/>
            <w:vAlign w:val="center"/>
            <w:hideMark/>
          </w:tcPr>
          <w:p w:rsidR="00000000" w:rsidRDefault="00AF2D19">
            <w:pPr>
              <w:rPr>
                <w:rFonts w:eastAsia="Times New Roman"/>
                <w:sz w:val="20"/>
                <w:szCs w:val="20"/>
              </w:rPr>
            </w:pPr>
          </w:p>
        </w:tc>
        <w:tc>
          <w:tcPr>
            <w:tcW w:w="460"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r>
      <w:tr w:rsidR="00000000">
        <w:trPr>
          <w:divId w:val="1378895786"/>
          <w:trHeight w:val="160"/>
          <w:tblCellSpacing w:w="15" w:type="dxa"/>
        </w:trPr>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F2D19">
            <w:pPr>
              <w:pStyle w:val="a3"/>
              <w:spacing w:before="0" w:beforeAutospacing="0" w:after="0" w:afterAutospacing="0"/>
              <w:jc w:val="center"/>
              <w:rPr>
                <w:sz w:val="16"/>
                <w:szCs w:val="16"/>
              </w:rPr>
            </w:pPr>
            <w:r>
              <w:rPr>
                <w:b/>
                <w:bCs/>
                <w:sz w:val="16"/>
                <w:szCs w:val="16"/>
              </w:rPr>
              <w:t>For the Years Ended 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1378895786"/>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1378895786"/>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Intangible assets with finite lives</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divId w:val="1378895786"/>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Acquired technolog</w:t>
            </w:r>
            <w:r>
              <w:rPr>
                <w:sz w:val="20"/>
                <w:szCs w:val="20"/>
              </w:rPr>
              <w:t>y</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3,20</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3,20</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378895786"/>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Customer relationshi</w:t>
            </w:r>
            <w:r>
              <w:rPr>
                <w:sz w:val="20"/>
                <w:szCs w:val="20"/>
              </w:rPr>
              <w:t>p</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1,35</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1,35</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378895786"/>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Non-Competition agreemen</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93</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93</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378895786"/>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5,49</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5,49</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378895786"/>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Accumulated amortization</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divId w:val="1378895786"/>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Acquired technolog</w:t>
            </w:r>
            <w:r>
              <w:rPr>
                <w:sz w:val="20"/>
                <w:szCs w:val="20"/>
              </w:rPr>
              <w:t>y</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52</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378895786"/>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Customer relationshi</w:t>
            </w:r>
            <w:r>
              <w:rPr>
                <w:sz w:val="20"/>
                <w:szCs w:val="20"/>
              </w:rPr>
              <w:t>p</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1,18</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17</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378895786"/>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Non-Competition agreemen</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34</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378895786"/>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2,05</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29</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378895786"/>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Intangible assets, ne</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3,43</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5,19</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120" w:beforeAutospacing="0" w:after="0" w:afterAutospacing="0"/>
        <w:jc w:val="both"/>
        <w:divId w:val="2077163875"/>
        <w:rPr>
          <w:sz w:val="20"/>
          <w:szCs w:val="20"/>
        </w:rPr>
      </w:pPr>
      <w:r>
        <w:rPr>
          <w:sz w:val="20"/>
          <w:szCs w:val="20"/>
        </w:rPr>
        <w:t xml:space="preserve">Amortization expense for intangible assets was </w:t>
      </w:r>
      <w:r>
        <w:rPr>
          <w:sz w:val="20"/>
          <w:szCs w:val="20"/>
        </w:rPr>
        <w:t>$</w:t>
      </w:r>
      <w:r>
        <w:rPr>
          <w:sz w:val="20"/>
          <w:szCs w:val="20"/>
        </w:rPr>
        <w:t>1.</w:t>
      </w:r>
      <w:r>
        <w:rPr>
          <w:sz w:val="20"/>
          <w:szCs w:val="20"/>
        </w:rPr>
        <w:t>8</w:t>
      </w:r>
      <w:r>
        <w:rPr>
          <w:sz w:val="20"/>
          <w:szCs w:val="20"/>
        </w:rPr>
        <w:t xml:space="preserve"> million and </w:t>
      </w:r>
      <w:r>
        <w:rPr>
          <w:sz w:val="20"/>
          <w:szCs w:val="20"/>
        </w:rPr>
        <w:t>$</w:t>
      </w:r>
      <w:r>
        <w:rPr>
          <w:sz w:val="20"/>
          <w:szCs w:val="20"/>
        </w:rPr>
        <w:t>0.</w:t>
      </w:r>
      <w:r>
        <w:rPr>
          <w:sz w:val="20"/>
          <w:szCs w:val="20"/>
        </w:rPr>
        <w:t>3</w:t>
      </w:r>
      <w:r>
        <w:rPr>
          <w:sz w:val="20"/>
          <w:szCs w:val="20"/>
        </w:rPr>
        <w:t xml:space="preserve"> </w:t>
      </w:r>
      <w:r>
        <w:rPr>
          <w:sz w:val="20"/>
          <w:szCs w:val="20"/>
        </w:rPr>
        <w:t>million for the years ended December 31, 2021 and 2020, respectively. Amortization related to intangible assets for acquired technology was included in cost of revenues and amortization related to intangible assets for customer relationships was included i</w:t>
      </w:r>
      <w:r>
        <w:rPr>
          <w:sz w:val="20"/>
          <w:szCs w:val="20"/>
        </w:rPr>
        <w:t>n sales and marketing expenses in the Compan</w:t>
      </w:r>
      <w:r>
        <w:rPr>
          <w:sz w:val="20"/>
          <w:szCs w:val="20"/>
        </w:rPr>
        <w:t>y</w:t>
      </w:r>
      <w:r>
        <w:rPr>
          <w:sz w:val="20"/>
          <w:szCs w:val="20"/>
        </w:rPr>
        <w:t>’s consolidated statement of operations and comprehensive loss for the periods presented</w:t>
      </w:r>
      <w:r>
        <w:rPr>
          <w:sz w:val="20"/>
          <w:szCs w:val="20"/>
        </w:rPr>
        <w:t>.</w:t>
      </w:r>
    </w:p>
    <w:p w:rsidR="00000000" w:rsidRDefault="00AF2D19">
      <w:pPr>
        <w:pStyle w:val="a3"/>
        <w:spacing w:before="120" w:beforeAutospacing="0" w:after="0" w:afterAutospacing="0"/>
        <w:jc w:val="both"/>
        <w:divId w:val="1203008857"/>
        <w:rPr>
          <w:sz w:val="20"/>
          <w:szCs w:val="20"/>
        </w:rPr>
      </w:pPr>
      <w:r>
        <w:rPr>
          <w:sz w:val="20"/>
          <w:szCs w:val="20"/>
        </w:rPr>
        <w:t>Future amortization that will be charged to expense over the remaining life of the intangible assets as of December 31, 2</w:t>
      </w:r>
      <w:r>
        <w:rPr>
          <w:sz w:val="20"/>
          <w:szCs w:val="20"/>
        </w:rPr>
        <w:t>021 is as follows</w:t>
      </w:r>
      <w:r>
        <w:rPr>
          <w:sz w:val="20"/>
          <w:szCs w:val="20"/>
        </w:rPr>
        <w:t>:</w:t>
      </w:r>
      <w:r>
        <w:rPr>
          <w:sz w:val="20"/>
          <w:szCs w:val="20"/>
        </w:rPr>
        <w:t xml:space="preserve"> </w:t>
      </w:r>
    </w:p>
    <w:p w:rsidR="00000000" w:rsidRDefault="00AF2D19">
      <w:pPr>
        <w:pStyle w:val="a3"/>
        <w:spacing w:before="0" w:beforeAutospacing="0" w:after="0" w:afterAutospacing="0"/>
        <w:divId w:val="1203008857"/>
        <w:rPr>
          <w:sz w:val="20"/>
          <w:szCs w:val="20"/>
        </w:rPr>
      </w:pPr>
      <w:r>
        <w:rPr>
          <w:sz w:val="20"/>
          <w:szCs w:val="20"/>
        </w:rPr>
        <w:t> </w:t>
      </w:r>
    </w:p>
    <w:p w:rsidR="00000000" w:rsidRDefault="00AF2D19">
      <w:pPr>
        <w:pStyle w:val="a3"/>
        <w:spacing w:before="0" w:beforeAutospacing="0" w:after="0" w:afterAutospacing="0"/>
        <w:jc w:val="center"/>
        <w:divId w:val="1203008857"/>
        <w:rPr>
          <w:sz w:val="20"/>
          <w:szCs w:val="20"/>
        </w:rPr>
      </w:pPr>
      <w:r>
        <w:rPr>
          <w:sz w:val="20"/>
          <w:szCs w:val="20"/>
        </w:rPr>
        <w:t>8</w:t>
      </w:r>
      <w:r>
        <w:rPr>
          <w:sz w:val="20"/>
          <w:szCs w:val="20"/>
        </w:rPr>
        <w:t>8</w:t>
      </w:r>
    </w:p>
    <w:p w:rsidR="00000000" w:rsidRDefault="00AF2D19">
      <w:pPr>
        <w:divId w:val="1203008857"/>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AF2D19">
      <w:pPr>
        <w:pStyle w:val="a3"/>
        <w:spacing w:before="0" w:beforeAutospacing="0" w:after="0" w:afterAutospacing="0"/>
        <w:divId w:val="1203008857"/>
        <w:rPr>
          <w:sz w:val="20"/>
          <w:szCs w:val="20"/>
        </w:rPr>
      </w:pPr>
      <w:hyperlink w:anchor="toc_page" w:history="1">
        <w:r>
          <w:rPr>
            <w:rStyle w:val="a4"/>
            <w:sz w:val="20"/>
            <w:szCs w:val="20"/>
          </w:rPr>
          <w:t>Table of Content</w:t>
        </w:r>
        <w:r>
          <w:rPr>
            <w:rStyle w:val="a4"/>
            <w:sz w:val="20"/>
            <w:szCs w:val="20"/>
          </w:rPr>
          <w:t>s</w:t>
        </w:r>
      </w:hyperlink>
    </w:p>
    <w:tbl>
      <w:tblPr>
        <w:tblW w:w="4700" w:type="pct"/>
        <w:tblCellSpacing w:w="15" w:type="dxa"/>
        <w:tblCellMar>
          <w:top w:w="15" w:type="dxa"/>
          <w:left w:w="15" w:type="dxa"/>
          <w:bottom w:w="15" w:type="dxa"/>
          <w:right w:w="15" w:type="dxa"/>
        </w:tblCellMar>
        <w:tblLook w:val="04A0" w:firstRow="1" w:lastRow="0" w:firstColumn="1" w:lastColumn="0" w:noHBand="0" w:noVBand="1"/>
      </w:tblPr>
      <w:tblGrid>
        <w:gridCol w:w="6631"/>
        <w:gridCol w:w="110"/>
        <w:gridCol w:w="161"/>
        <w:gridCol w:w="781"/>
        <w:gridCol w:w="125"/>
      </w:tblGrid>
      <w:tr w:rsidR="00000000">
        <w:trPr>
          <w:divId w:val="1203008857"/>
          <w:tblCellSpacing w:w="15" w:type="dxa"/>
        </w:trPr>
        <w:tc>
          <w:tcPr>
            <w:tcW w:w="4332" w:type="pct"/>
            <w:vAlign w:val="center"/>
            <w:hideMark/>
          </w:tcPr>
          <w:p w:rsidR="00000000" w:rsidRDefault="00AF2D19">
            <w:pPr>
              <w:rPr>
                <w:sz w:val="20"/>
                <w:szCs w:val="20"/>
              </w:rPr>
            </w:pPr>
          </w:p>
        </w:tc>
        <w:tc>
          <w:tcPr>
            <w:tcW w:w="52" w:type="pct"/>
            <w:vAlign w:val="center"/>
            <w:hideMark/>
          </w:tcPr>
          <w:p w:rsidR="00000000" w:rsidRDefault="00AF2D19">
            <w:pPr>
              <w:rPr>
                <w:rFonts w:eastAsia="Times New Roman"/>
                <w:sz w:val="20"/>
                <w:szCs w:val="20"/>
              </w:rPr>
            </w:pPr>
          </w:p>
        </w:tc>
        <w:tc>
          <w:tcPr>
            <w:tcW w:w="70" w:type="pct"/>
            <w:vAlign w:val="center"/>
            <w:hideMark/>
          </w:tcPr>
          <w:p w:rsidR="00000000" w:rsidRDefault="00AF2D19">
            <w:pPr>
              <w:rPr>
                <w:rFonts w:eastAsia="Times New Roman"/>
                <w:sz w:val="20"/>
                <w:szCs w:val="20"/>
              </w:rPr>
            </w:pPr>
          </w:p>
        </w:tc>
        <w:tc>
          <w:tcPr>
            <w:tcW w:w="509" w:type="pct"/>
            <w:vAlign w:val="center"/>
            <w:hideMark/>
          </w:tcPr>
          <w:p w:rsidR="00000000" w:rsidRDefault="00AF2D19">
            <w:pPr>
              <w:rPr>
                <w:rFonts w:eastAsia="Times New Roman"/>
                <w:sz w:val="20"/>
                <w:szCs w:val="20"/>
              </w:rPr>
            </w:pPr>
          </w:p>
        </w:tc>
        <w:tc>
          <w:tcPr>
            <w:tcW w:w="34" w:type="pct"/>
            <w:vAlign w:val="center"/>
            <w:hideMark/>
          </w:tcPr>
          <w:p w:rsidR="00000000" w:rsidRDefault="00AF2D19">
            <w:pPr>
              <w:rPr>
                <w:rFonts w:eastAsia="Times New Roman"/>
                <w:sz w:val="20"/>
                <w:szCs w:val="20"/>
              </w:rPr>
            </w:pPr>
          </w:p>
        </w:tc>
      </w:tr>
      <w:tr w:rsidR="00000000">
        <w:trPr>
          <w:divId w:val="1203008857"/>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December 31</w:t>
            </w:r>
            <w:r>
              <w:rPr>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right"/>
              <w:rPr>
                <w:sz w:val="16"/>
                <w:szCs w:val="16"/>
              </w:rPr>
            </w:pPr>
            <w:r>
              <w:rPr>
                <w:i/>
                <w:iCs/>
                <w:sz w:val="16"/>
                <w:szCs w:val="16"/>
              </w:rPr>
              <w:t>In thousand</w:t>
            </w:r>
            <w:r>
              <w:rPr>
                <w:i/>
                <w:iCs/>
                <w:sz w:val="16"/>
                <w:szCs w:val="16"/>
              </w:rPr>
              <w:t>s</w:t>
            </w:r>
          </w:p>
        </w:tc>
        <w:tc>
          <w:tcPr>
            <w:tcW w:w="0" w:type="auto"/>
            <w:vAlign w:val="bottom"/>
            <w:hideMark/>
          </w:tcPr>
          <w:p w:rsidR="00000000" w:rsidRDefault="00AF2D19">
            <w:pPr>
              <w:pStyle w:val="a3"/>
              <w:spacing w:before="0" w:beforeAutospacing="0" w:after="0" w:afterAutospacing="0"/>
              <w:jc w:val="right"/>
              <w:rPr>
                <w:sz w:val="16"/>
                <w:szCs w:val="16"/>
              </w:rPr>
            </w:pPr>
            <w:r>
              <w:rPr>
                <w:sz w:val="16"/>
                <w:szCs w:val="16"/>
              </w:rPr>
              <w:t> </w:t>
            </w:r>
          </w:p>
        </w:tc>
      </w:tr>
      <w:tr w:rsidR="00000000">
        <w:trPr>
          <w:divId w:val="1203008857"/>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202</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90</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203008857"/>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202</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74</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203008857"/>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202</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44</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203008857"/>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202</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44</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203008857"/>
          <w:trHeight w:val="200"/>
          <w:tblCellSpacing w:w="15" w:type="dxa"/>
        </w:trPr>
        <w:tc>
          <w:tcPr>
            <w:tcW w:w="0" w:type="auto"/>
            <w:hideMark/>
          </w:tcPr>
          <w:p w:rsidR="00000000" w:rsidRDefault="00AF2D19">
            <w:pPr>
              <w:pStyle w:val="a3"/>
              <w:spacing w:before="0" w:beforeAutospacing="0" w:after="0" w:afterAutospacing="0"/>
              <w:ind w:left="200"/>
              <w:rPr>
                <w:sz w:val="20"/>
                <w:szCs w:val="20"/>
              </w:rPr>
            </w:pPr>
            <w:r>
              <w:rPr>
                <w:sz w:val="20"/>
                <w:szCs w:val="20"/>
              </w:rPr>
              <w:t>2026 and thereafte</w:t>
            </w:r>
            <w:r>
              <w:rPr>
                <w:sz w:val="20"/>
                <w:szCs w:val="20"/>
              </w:rPr>
              <w:t>r</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89</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203008857"/>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3,43</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0" w:beforeAutospacing="0" w:after="0" w:afterAutospacing="0"/>
        <w:rPr>
          <w:sz w:val="20"/>
          <w:szCs w:val="20"/>
        </w:rPr>
      </w:pPr>
      <w:r>
        <w:t> </w:t>
      </w:r>
    </w:p>
    <w:p w:rsidR="00000000" w:rsidRDefault="00AF2D19">
      <w:pPr>
        <w:pStyle w:val="a3"/>
        <w:spacing w:before="120" w:beforeAutospacing="0" w:after="0" w:afterAutospacing="0"/>
        <w:divId w:val="2115005763"/>
        <w:rPr>
          <w:sz w:val="20"/>
          <w:szCs w:val="20"/>
        </w:rPr>
      </w:pPr>
      <w:r>
        <w:rPr>
          <w:b/>
          <w:bCs/>
          <w:sz w:val="20"/>
          <w:szCs w:val="20"/>
        </w:rPr>
        <w:t>NOTE 8. FAIR VALUE MEASUREMEN</w:t>
      </w:r>
      <w:r>
        <w:rPr>
          <w:b/>
          <w:bCs/>
          <w:sz w:val="20"/>
          <w:szCs w:val="20"/>
        </w:rPr>
        <w:t>T</w:t>
      </w:r>
      <w:r>
        <w:rPr>
          <w:b/>
          <w:bCs/>
          <w:sz w:val="20"/>
          <w:szCs w:val="20"/>
        </w:rPr>
        <w:t xml:space="preserve"> </w:t>
      </w:r>
    </w:p>
    <w:p w:rsidR="00000000" w:rsidRDefault="00AF2D19">
      <w:pPr>
        <w:pStyle w:val="a3"/>
        <w:spacing w:before="120" w:beforeAutospacing="0" w:after="0" w:afterAutospacing="0"/>
        <w:jc w:val="both"/>
        <w:divId w:val="2115005763"/>
        <w:rPr>
          <w:sz w:val="20"/>
          <w:szCs w:val="20"/>
        </w:rPr>
      </w:pPr>
      <w:r>
        <w:rPr>
          <w:sz w:val="20"/>
          <w:szCs w:val="20"/>
        </w:rPr>
        <w:t>The carrying value of the Company’s cash equivalents, accounts receivable, accounts payable, and accrued liabilities approximate fair value because of the relatively short-term nature of the underlying assets. Th</w:t>
      </w:r>
      <w:r>
        <w:rPr>
          <w:sz w:val="20"/>
          <w:szCs w:val="20"/>
        </w:rPr>
        <w:t>e Company’s Private Placement Warrants are carried at fair value with changes in fair value recognized in earnings each period</w:t>
      </w:r>
      <w:r>
        <w:rPr>
          <w:sz w:val="20"/>
          <w:szCs w:val="20"/>
        </w:rPr>
        <w:t>.</w:t>
      </w:r>
    </w:p>
    <w:p w:rsidR="00000000" w:rsidRDefault="00AF2D19">
      <w:pPr>
        <w:pStyle w:val="a3"/>
        <w:spacing w:before="120" w:beforeAutospacing="0" w:after="0" w:afterAutospacing="0"/>
        <w:jc w:val="both"/>
        <w:divId w:val="2115005763"/>
        <w:rPr>
          <w:sz w:val="20"/>
          <w:szCs w:val="20"/>
        </w:rPr>
      </w:pPr>
      <w:r>
        <w:rPr>
          <w:sz w:val="20"/>
          <w:szCs w:val="20"/>
        </w:rPr>
        <w:t>The Private Placement Warrants acquired in connection with the consummation of the Business Combination are accounted for as lia</w:t>
      </w:r>
      <w:r>
        <w:rPr>
          <w:sz w:val="20"/>
          <w:szCs w:val="20"/>
        </w:rPr>
        <w:t>bilities in accordance with ASC 815-40 and are presented within warrant liabilities in the accompanying consolidated balance sheets. The warrant liabilities are measured at fair value at inception and on a recurring basis, with changes in fair value presen</w:t>
      </w:r>
      <w:r>
        <w:rPr>
          <w:sz w:val="20"/>
          <w:szCs w:val="20"/>
        </w:rPr>
        <w:t xml:space="preserve">ted within financial income (expense), net in the consolidated statement of operations and comprehensive loss. The Private Placement Warrants were valued using the Black-Scholes-Merton Model, which is considered to be a Level 3 fair value measurement. The </w:t>
      </w:r>
      <w:r>
        <w:rPr>
          <w:sz w:val="20"/>
          <w:szCs w:val="20"/>
        </w:rPr>
        <w:t>primary unobservable input utilized in determining the fair value of the Private Placement Warrants is the expected volatility of the Company’s common stock. The expected volatility of the Company’s common stock was estimated to be approx</w:t>
      </w:r>
      <w:r>
        <w:rPr>
          <w:sz w:val="20"/>
          <w:szCs w:val="20"/>
        </w:rPr>
        <w:t>i</w:t>
      </w:r>
      <w:r>
        <w:rPr>
          <w:sz w:val="20"/>
          <w:szCs w:val="20"/>
        </w:rPr>
        <w:t>mately</w:t>
      </w:r>
      <w:r>
        <w:rPr>
          <w:sz w:val="20"/>
          <w:szCs w:val="20"/>
        </w:rPr>
        <w:t xml:space="preserve"> </w:t>
      </w:r>
      <w:r>
        <w:rPr>
          <w:sz w:val="20"/>
          <w:szCs w:val="20"/>
        </w:rPr>
        <w:t>67.</w:t>
      </w:r>
      <w:r>
        <w:rPr>
          <w:sz w:val="20"/>
          <w:szCs w:val="20"/>
        </w:rPr>
        <w:t>8</w:t>
      </w:r>
      <w:r>
        <w:rPr>
          <w:sz w:val="20"/>
          <w:szCs w:val="20"/>
        </w:rPr>
        <w:t>% as o</w:t>
      </w:r>
      <w:r>
        <w:rPr>
          <w:sz w:val="20"/>
          <w:szCs w:val="20"/>
        </w:rPr>
        <w:t xml:space="preserve">f December 31, 2021. For </w:t>
      </w:r>
      <w:r>
        <w:rPr>
          <w:sz w:val="20"/>
          <w:szCs w:val="20"/>
        </w:rPr>
        <w:t>t</w:t>
      </w:r>
      <w:r>
        <w:rPr>
          <w:sz w:val="20"/>
          <w:szCs w:val="20"/>
        </w:rPr>
        <w:t>he year ended December 31, 2021, the Company had gains related to the revaluatio</w:t>
      </w:r>
      <w:r>
        <w:rPr>
          <w:sz w:val="20"/>
          <w:szCs w:val="20"/>
        </w:rPr>
        <w:t>n</w:t>
      </w:r>
      <w:r>
        <w:rPr>
          <w:sz w:val="20"/>
          <w:szCs w:val="20"/>
        </w:rPr>
        <w:t xml:space="preserve"> of the Private Placement Warrants of </w:t>
      </w:r>
      <w:r>
        <w:rPr>
          <w:sz w:val="20"/>
          <w:szCs w:val="20"/>
        </w:rPr>
        <w:t>$</w:t>
      </w:r>
      <w:r>
        <w:rPr>
          <w:sz w:val="20"/>
          <w:szCs w:val="20"/>
        </w:rPr>
        <w:t>36.</w:t>
      </w:r>
      <w:r>
        <w:rPr>
          <w:sz w:val="20"/>
          <w:szCs w:val="20"/>
        </w:rPr>
        <w:t>0</w:t>
      </w:r>
      <w:r>
        <w:rPr>
          <w:sz w:val="20"/>
          <w:szCs w:val="20"/>
        </w:rPr>
        <w:t xml:space="preserve"> millio</w:t>
      </w:r>
      <w:r>
        <w:rPr>
          <w:sz w:val="20"/>
          <w:szCs w:val="20"/>
        </w:rPr>
        <w:t>n</w:t>
      </w:r>
      <w:r>
        <w:rPr>
          <w:sz w:val="20"/>
          <w:szCs w:val="20"/>
        </w:rPr>
        <w:t>.</w:t>
      </w:r>
    </w:p>
    <w:p w:rsidR="00000000" w:rsidRDefault="00AF2D19">
      <w:pPr>
        <w:pStyle w:val="a3"/>
        <w:spacing w:before="120" w:beforeAutospacing="0" w:after="0" w:afterAutospacing="0"/>
        <w:jc w:val="both"/>
        <w:divId w:val="2115005763"/>
        <w:rPr>
          <w:sz w:val="20"/>
          <w:szCs w:val="20"/>
        </w:rPr>
      </w:pPr>
      <w:r>
        <w:rPr>
          <w:sz w:val="20"/>
          <w:szCs w:val="20"/>
        </w:rPr>
        <w:t>Prior to the Business Combination, Old Talkspace had issued warrants to purchase its common stoc</w:t>
      </w:r>
      <w:r>
        <w:rPr>
          <w:sz w:val="20"/>
          <w:szCs w:val="20"/>
        </w:rPr>
        <w:t>k and its Series D preferred stock. In connection with the Business Combination, the warrants to purchase Old Talkspace’s common stock and its Series D preferred stock were exercised and converted into common shares of the Company during June 2021. As of D</w:t>
      </w:r>
      <w:r>
        <w:rPr>
          <w:sz w:val="20"/>
          <w:szCs w:val="20"/>
        </w:rPr>
        <w:t>ecember 31, 2020, there were</w:t>
      </w:r>
      <w:r>
        <w:rPr>
          <w:sz w:val="20"/>
          <w:szCs w:val="20"/>
        </w:rPr>
        <w:t xml:space="preserve"> </w:t>
      </w:r>
      <w:r>
        <w:rPr>
          <w:sz w:val="20"/>
          <w:szCs w:val="20"/>
        </w:rPr>
        <w:t>60,00</w:t>
      </w:r>
      <w:r>
        <w:rPr>
          <w:sz w:val="20"/>
          <w:szCs w:val="20"/>
        </w:rPr>
        <w:t>0</w:t>
      </w:r>
      <w:r>
        <w:rPr>
          <w:sz w:val="20"/>
          <w:szCs w:val="20"/>
        </w:rPr>
        <w:t xml:space="preserve"> outstanding warrants to purchase the Old Talkspace’s common stock for a price of </w:t>
      </w:r>
      <w:r>
        <w:rPr>
          <w:sz w:val="20"/>
          <w:szCs w:val="20"/>
        </w:rPr>
        <w:t>$</w:t>
      </w:r>
      <w:r>
        <w:rPr>
          <w:sz w:val="20"/>
          <w:szCs w:val="20"/>
        </w:rPr>
        <w:t>0.4</w:t>
      </w:r>
      <w:r>
        <w:rPr>
          <w:sz w:val="20"/>
          <w:szCs w:val="20"/>
        </w:rPr>
        <w:t>4</w:t>
      </w:r>
      <w:r>
        <w:rPr>
          <w:sz w:val="20"/>
          <w:szCs w:val="20"/>
        </w:rPr>
        <w:t xml:space="preserve"> per share and</w:t>
      </w:r>
      <w:r>
        <w:rPr>
          <w:sz w:val="20"/>
          <w:szCs w:val="20"/>
        </w:rPr>
        <w:t xml:space="preserve"> </w:t>
      </w:r>
      <w:r>
        <w:rPr>
          <w:sz w:val="20"/>
          <w:szCs w:val="20"/>
        </w:rPr>
        <w:t>50,88</w:t>
      </w:r>
      <w:r>
        <w:rPr>
          <w:sz w:val="20"/>
          <w:szCs w:val="20"/>
        </w:rPr>
        <w:t>1</w:t>
      </w:r>
      <w:r>
        <w:rPr>
          <w:sz w:val="20"/>
          <w:szCs w:val="20"/>
        </w:rPr>
        <w:t xml:space="preserve"> outstanding warrants to purchase the Company’s preferred D stock for a price of </w:t>
      </w:r>
      <w:r>
        <w:rPr>
          <w:sz w:val="20"/>
          <w:szCs w:val="20"/>
        </w:rPr>
        <w:t>$</w:t>
      </w:r>
      <w:r>
        <w:rPr>
          <w:sz w:val="20"/>
          <w:szCs w:val="20"/>
        </w:rPr>
        <w:t>2.7</w:t>
      </w:r>
      <w:r>
        <w:rPr>
          <w:sz w:val="20"/>
          <w:szCs w:val="20"/>
        </w:rPr>
        <w:t>5</w:t>
      </w:r>
      <w:r>
        <w:rPr>
          <w:sz w:val="20"/>
          <w:szCs w:val="20"/>
        </w:rPr>
        <w:t xml:space="preserve"> per share. The inputs rela</w:t>
      </w:r>
      <w:r>
        <w:rPr>
          <w:sz w:val="20"/>
          <w:szCs w:val="20"/>
        </w:rPr>
        <w:t>ted to Old Talkspace’s share prices prior to the Business Combination were determined based on management’s assumptions and based on the Option Pricing Model (“OPM”). The fair value of the underlying preferred share price was determined by the board of dir</w:t>
      </w:r>
      <w:r>
        <w:rPr>
          <w:sz w:val="20"/>
          <w:szCs w:val="20"/>
        </w:rPr>
        <w:t>ectors, considering among others, a third-party valuation. These inputs were considered to be a Level 3 measurement</w:t>
      </w:r>
      <w:r>
        <w:rPr>
          <w:sz w:val="20"/>
          <w:szCs w:val="20"/>
        </w:rPr>
        <w:t>.</w:t>
      </w:r>
    </w:p>
    <w:p w:rsidR="00000000" w:rsidRDefault="00AF2D19">
      <w:pPr>
        <w:pStyle w:val="a3"/>
        <w:spacing w:before="120" w:beforeAutospacing="0" w:after="0" w:afterAutospacing="0"/>
        <w:divId w:val="1647785407"/>
        <w:rPr>
          <w:sz w:val="20"/>
          <w:szCs w:val="20"/>
        </w:rPr>
      </w:pPr>
      <w:r>
        <w:rPr>
          <w:sz w:val="20"/>
          <w:szCs w:val="20"/>
        </w:rPr>
        <w:t>The following table presents information about the Company’s liabilities that are measured at fair value on a recurring basis at December 3</w:t>
      </w:r>
      <w:r>
        <w:rPr>
          <w:sz w:val="20"/>
          <w:szCs w:val="20"/>
        </w:rPr>
        <w:t>1, 2021 and 2020 and indicates the fair value hierarchy of the valuation inputs the Company utilized to determine such fair value</w:t>
      </w:r>
      <w:r>
        <w:rPr>
          <w:sz w:val="20"/>
          <w:szCs w:val="20"/>
        </w:rPr>
        <w:t>:</w:t>
      </w:r>
    </w:p>
    <w:p w:rsidR="00000000" w:rsidRDefault="00AF2D19">
      <w:pPr>
        <w:pStyle w:val="a3"/>
        <w:spacing w:before="0" w:beforeAutospacing="0" w:after="0" w:afterAutospacing="0"/>
        <w:divId w:val="1647785407"/>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2"/>
        <w:gridCol w:w="123"/>
        <w:gridCol w:w="1022"/>
        <w:gridCol w:w="123"/>
        <w:gridCol w:w="161"/>
        <w:gridCol w:w="898"/>
        <w:gridCol w:w="110"/>
        <w:gridCol w:w="123"/>
        <w:gridCol w:w="161"/>
        <w:gridCol w:w="898"/>
        <w:gridCol w:w="125"/>
      </w:tblGrid>
      <w:tr w:rsidR="00000000">
        <w:trPr>
          <w:divId w:val="1647785407"/>
          <w:tblCellSpacing w:w="15" w:type="dxa"/>
        </w:trPr>
        <w:tc>
          <w:tcPr>
            <w:tcW w:w="2851" w:type="pct"/>
            <w:vAlign w:val="center"/>
            <w:hideMark/>
          </w:tcPr>
          <w:p w:rsidR="00000000" w:rsidRDefault="00AF2D19">
            <w:pPr>
              <w:rPr>
                <w:sz w:val="20"/>
                <w:szCs w:val="20"/>
              </w:rPr>
            </w:pPr>
          </w:p>
        </w:tc>
        <w:tc>
          <w:tcPr>
            <w:tcW w:w="69" w:type="pct"/>
            <w:vAlign w:val="center"/>
            <w:hideMark/>
          </w:tcPr>
          <w:p w:rsidR="00000000" w:rsidRDefault="00AF2D19">
            <w:pPr>
              <w:rPr>
                <w:rFonts w:eastAsia="Times New Roman"/>
                <w:sz w:val="20"/>
                <w:szCs w:val="20"/>
              </w:rPr>
            </w:pPr>
          </w:p>
        </w:tc>
        <w:tc>
          <w:tcPr>
            <w:tcW w:w="634" w:type="pct"/>
            <w:vAlign w:val="center"/>
            <w:hideMark/>
          </w:tcPr>
          <w:p w:rsidR="00000000" w:rsidRDefault="00AF2D19">
            <w:pPr>
              <w:rPr>
                <w:rFonts w:eastAsia="Times New Roman"/>
                <w:sz w:val="20"/>
                <w:szCs w:val="20"/>
              </w:rPr>
            </w:pPr>
          </w:p>
        </w:tc>
        <w:tc>
          <w:tcPr>
            <w:tcW w:w="69"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557" w:type="pct"/>
            <w:vAlign w:val="center"/>
            <w:hideMark/>
          </w:tcPr>
          <w:p w:rsidR="00000000" w:rsidRDefault="00AF2D19">
            <w:pPr>
              <w:rPr>
                <w:rFonts w:eastAsia="Times New Roman"/>
                <w:sz w:val="20"/>
                <w:szCs w:val="20"/>
              </w:rPr>
            </w:pPr>
          </w:p>
        </w:tc>
        <w:tc>
          <w:tcPr>
            <w:tcW w:w="31" w:type="pct"/>
            <w:vAlign w:val="center"/>
            <w:hideMark/>
          </w:tcPr>
          <w:p w:rsidR="00000000" w:rsidRDefault="00AF2D19">
            <w:pPr>
              <w:rPr>
                <w:rFonts w:eastAsia="Times New Roman"/>
                <w:sz w:val="20"/>
                <w:szCs w:val="20"/>
              </w:rPr>
            </w:pPr>
          </w:p>
        </w:tc>
        <w:tc>
          <w:tcPr>
            <w:tcW w:w="69"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557" w:type="pct"/>
            <w:vAlign w:val="center"/>
            <w:hideMark/>
          </w:tcPr>
          <w:p w:rsidR="00000000" w:rsidRDefault="00AF2D19">
            <w:pPr>
              <w:rPr>
                <w:rFonts w:eastAsia="Times New Roman"/>
                <w:sz w:val="20"/>
                <w:szCs w:val="20"/>
              </w:rPr>
            </w:pPr>
          </w:p>
        </w:tc>
        <w:tc>
          <w:tcPr>
            <w:tcW w:w="31" w:type="pct"/>
            <w:vAlign w:val="center"/>
            <w:hideMark/>
          </w:tcPr>
          <w:p w:rsidR="00000000" w:rsidRDefault="00AF2D19">
            <w:pPr>
              <w:rPr>
                <w:rFonts w:eastAsia="Times New Roman"/>
                <w:sz w:val="20"/>
                <w:szCs w:val="20"/>
              </w:rPr>
            </w:pPr>
          </w:p>
        </w:tc>
      </w:tr>
      <w:tr w:rsidR="00000000">
        <w:trPr>
          <w:divId w:val="1647785407"/>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b/>
                <w:bCs/>
                <w:sz w:val="16"/>
                <w:szCs w:val="16"/>
              </w:rPr>
              <w:t>Leve</w:t>
            </w:r>
            <w:r>
              <w:rPr>
                <w:b/>
                <w:bCs/>
                <w:sz w:val="16"/>
                <w:szCs w:val="16"/>
              </w:rPr>
              <w:t>l</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1647785407"/>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Liabilities</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647785407"/>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Warrant liability – Private Placement Warrant</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4,07</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1647785407"/>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Warrant liability – warrants to purchase Old Talkspace’s preferred D share</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44</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360" w:beforeAutospacing="0" w:after="0" w:afterAutospacing="0"/>
        <w:divId w:val="913008884"/>
        <w:rPr>
          <w:sz w:val="20"/>
          <w:szCs w:val="20"/>
        </w:rPr>
      </w:pPr>
      <w:r>
        <w:rPr>
          <w:sz w:val="20"/>
          <w:szCs w:val="20"/>
        </w:rPr>
        <w:t>The following table presents the changes in the fair value of warrant liabilities during the year ended December 31, 2021</w:t>
      </w:r>
      <w:r>
        <w:rPr>
          <w:sz w:val="20"/>
          <w:szCs w:val="20"/>
        </w:rPr>
        <w:t>:</w:t>
      </w:r>
    </w:p>
    <w:p w:rsidR="00000000" w:rsidRDefault="00AF2D19">
      <w:pPr>
        <w:pStyle w:val="a3"/>
        <w:spacing w:before="0" w:beforeAutospacing="0" w:after="0" w:afterAutospacing="0"/>
        <w:divId w:val="913008884"/>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43"/>
        <w:gridCol w:w="135"/>
        <w:gridCol w:w="160"/>
        <w:gridCol w:w="1051"/>
        <w:gridCol w:w="127"/>
        <w:gridCol w:w="135"/>
        <w:gridCol w:w="161"/>
        <w:gridCol w:w="1052"/>
        <w:gridCol w:w="142"/>
      </w:tblGrid>
      <w:tr w:rsidR="00000000">
        <w:trPr>
          <w:divId w:val="913008884"/>
          <w:tblCellSpacing w:w="15" w:type="dxa"/>
        </w:trPr>
        <w:tc>
          <w:tcPr>
            <w:tcW w:w="3321" w:type="pct"/>
            <w:vAlign w:val="center"/>
            <w:hideMark/>
          </w:tcPr>
          <w:p w:rsidR="00000000" w:rsidRDefault="00AF2D19">
            <w:pPr>
              <w:rPr>
                <w:sz w:val="20"/>
                <w:szCs w:val="20"/>
              </w:rPr>
            </w:pPr>
          </w:p>
        </w:tc>
        <w:tc>
          <w:tcPr>
            <w:tcW w:w="80"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652"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c>
          <w:tcPr>
            <w:tcW w:w="80"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652" w:type="pct"/>
            <w:vAlign w:val="center"/>
            <w:hideMark/>
          </w:tcPr>
          <w:p w:rsidR="00000000" w:rsidRDefault="00AF2D19">
            <w:pPr>
              <w:rPr>
                <w:rFonts w:eastAsia="Times New Roman"/>
                <w:sz w:val="20"/>
                <w:szCs w:val="20"/>
              </w:rPr>
            </w:pPr>
          </w:p>
        </w:tc>
        <w:tc>
          <w:tcPr>
            <w:tcW w:w="42" w:type="pct"/>
            <w:vAlign w:val="center"/>
            <w:hideMark/>
          </w:tcPr>
          <w:p w:rsidR="00000000" w:rsidRDefault="00AF2D19">
            <w:pPr>
              <w:rPr>
                <w:rFonts w:eastAsia="Times New Roman"/>
                <w:sz w:val="20"/>
                <w:szCs w:val="20"/>
              </w:rPr>
            </w:pPr>
          </w:p>
        </w:tc>
      </w:tr>
      <w:tr w:rsidR="00000000">
        <w:trPr>
          <w:divId w:val="913008884"/>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 xml:space="preserve">Private </w:t>
            </w:r>
            <w:r>
              <w:rPr>
                <w:b/>
                <w:bCs/>
                <w:sz w:val="16"/>
                <w:szCs w:val="16"/>
              </w:rPr>
              <w:br/>
              <w:t>Placemen</w:t>
            </w:r>
            <w:r>
              <w:rPr>
                <w:b/>
                <w:bCs/>
                <w:sz w:val="16"/>
                <w:szCs w:val="16"/>
              </w:rPr>
              <w:t>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Old Talkspace Warrant</w:t>
            </w:r>
            <w:r>
              <w:rPr>
                <w:b/>
                <w:bCs/>
                <w:sz w:val="16"/>
                <w:szCs w:val="16"/>
              </w:rPr>
              <w:t>s</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913008884"/>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Balance at December 31, 202</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44</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13008884"/>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Acquired in Business Combinatio</w:t>
            </w:r>
            <w:r>
              <w:rPr>
                <w:sz w:val="20"/>
                <w:szCs w:val="20"/>
              </w:rPr>
              <w:t>n</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32,39</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13008884"/>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Issued in connection with closing of the Forward Purchase Agreemen</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7,87</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13008884"/>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Change in valu</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36,20</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16</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13008884"/>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Converted into equit</w:t>
            </w:r>
            <w:r>
              <w:rPr>
                <w:sz w:val="20"/>
                <w:szCs w:val="20"/>
              </w:rPr>
              <w:t>y</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60</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divId w:val="913008884"/>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Balance at December 31, 202</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4,07</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0" w:beforeAutospacing="0" w:after="0" w:afterAutospacing="0"/>
        <w:divId w:val="913008884"/>
        <w:rPr>
          <w:sz w:val="20"/>
          <w:szCs w:val="20"/>
        </w:rPr>
      </w:pPr>
      <w:r>
        <w:rPr>
          <w:sz w:val="20"/>
          <w:szCs w:val="20"/>
        </w:rPr>
        <w:t> </w:t>
      </w:r>
    </w:p>
    <w:p w:rsidR="00000000" w:rsidRDefault="00AF2D19">
      <w:pPr>
        <w:pStyle w:val="a3"/>
        <w:spacing w:before="0" w:beforeAutospacing="0" w:after="0" w:afterAutospacing="0"/>
        <w:jc w:val="center"/>
        <w:divId w:val="913008884"/>
        <w:rPr>
          <w:sz w:val="20"/>
          <w:szCs w:val="20"/>
        </w:rPr>
      </w:pPr>
      <w:r>
        <w:rPr>
          <w:sz w:val="20"/>
          <w:szCs w:val="20"/>
        </w:rPr>
        <w:t>8</w:t>
      </w:r>
      <w:r>
        <w:rPr>
          <w:sz w:val="20"/>
          <w:szCs w:val="20"/>
        </w:rPr>
        <w:t>9</w:t>
      </w:r>
    </w:p>
    <w:p w:rsidR="00000000" w:rsidRDefault="00AF2D19">
      <w:pPr>
        <w:divId w:val="913008884"/>
        <w:rPr>
          <w:rFonts w:eastAsia="Times New Roman"/>
        </w:rPr>
      </w:pPr>
      <w:r>
        <w:rPr>
          <w:rFonts w:eastAsia="Times New Roman"/>
        </w:rPr>
        <w:pict>
          <v:rect id="_x0000_i1117" style="width:0;height:1.5pt" o:hralign="center" o:hrstd="t" o:hr="t" fillcolor="#a0a0a0" stroked="f"/>
        </w:pict>
      </w:r>
    </w:p>
    <w:p w:rsidR="00000000" w:rsidRDefault="00AF2D19">
      <w:pPr>
        <w:pStyle w:val="a3"/>
        <w:spacing w:before="0" w:beforeAutospacing="0" w:after="0" w:afterAutospacing="0"/>
        <w:divId w:val="913008884"/>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divId w:val="2115005763"/>
        <w:rPr>
          <w:sz w:val="20"/>
          <w:szCs w:val="20"/>
        </w:rPr>
      </w:pPr>
      <w:r>
        <w:rPr>
          <w:sz w:val="20"/>
          <w:szCs w:val="20"/>
        </w:rPr>
        <w:t>In connection with the consummation of the Business Combination, the Company also acquired Public Warrants from HEC and also issued equity warrants to certain consultants. The Company determined these warrants met the criteria to be classified as equity in</w:t>
      </w:r>
      <w:r>
        <w:rPr>
          <w:sz w:val="20"/>
          <w:szCs w:val="20"/>
        </w:rPr>
        <w:t xml:space="preserve"> accordance with ASC 815-40. The Company valued these warrants using the instrument’s publicly listed trading price on the date of acquisition or issuance, where applicable, and included in additional paid-in capital within stockholder’s deficit. </w:t>
      </w:r>
      <w:r>
        <w:rPr>
          <w:sz w:val="20"/>
          <w:szCs w:val="20"/>
        </w:rPr>
        <w:t>T</w:t>
      </w:r>
      <w:r>
        <w:rPr>
          <w:sz w:val="20"/>
          <w:szCs w:val="20"/>
        </w:rPr>
        <w:t>his is c</w:t>
      </w:r>
      <w:r>
        <w:rPr>
          <w:sz w:val="20"/>
          <w:szCs w:val="20"/>
        </w:rPr>
        <w:t>onsidered to be a non-recurring Level 1 measurement due to the use of an observable market quote in an active market</w:t>
      </w:r>
      <w:r>
        <w:rPr>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360" w:beforeAutospacing="0" w:after="0" w:afterAutospacing="0"/>
        <w:divId w:val="1042051971"/>
        <w:rPr>
          <w:sz w:val="20"/>
          <w:szCs w:val="20"/>
        </w:rPr>
      </w:pPr>
      <w:r>
        <w:rPr>
          <w:b/>
          <w:bCs/>
          <w:sz w:val="20"/>
          <w:szCs w:val="20"/>
        </w:rPr>
        <w:t>NOTE 9. COMMITMENTS AND CONTINGENT LIABILITIE</w:t>
      </w:r>
      <w:r>
        <w:rPr>
          <w:b/>
          <w:bCs/>
          <w:sz w:val="20"/>
          <w:szCs w:val="20"/>
        </w:rPr>
        <w:t>S</w:t>
      </w:r>
      <w:r>
        <w:rPr>
          <w:b/>
          <w:bCs/>
          <w:sz w:val="20"/>
          <w:szCs w:val="20"/>
        </w:rPr>
        <w:t xml:space="preserve"> </w:t>
      </w:r>
    </w:p>
    <w:p w:rsidR="00000000" w:rsidRDefault="00AF2D19">
      <w:pPr>
        <w:pStyle w:val="a3"/>
        <w:spacing w:before="240" w:beforeAutospacing="0" w:after="0" w:afterAutospacing="0"/>
        <w:divId w:val="1042051971"/>
        <w:rPr>
          <w:sz w:val="20"/>
          <w:szCs w:val="20"/>
        </w:rPr>
      </w:pPr>
      <w:r>
        <w:rPr>
          <w:b/>
          <w:bCs/>
          <w:i/>
          <w:iCs/>
          <w:sz w:val="20"/>
          <w:szCs w:val="20"/>
        </w:rPr>
        <w:t>Lease commitment</w:t>
      </w:r>
      <w:r>
        <w:rPr>
          <w:b/>
          <w:bCs/>
          <w:i/>
          <w:iCs/>
          <w:sz w:val="20"/>
          <w:szCs w:val="20"/>
        </w:rPr>
        <w:t>s</w:t>
      </w:r>
    </w:p>
    <w:p w:rsidR="00000000" w:rsidRDefault="00AF2D19">
      <w:pPr>
        <w:pStyle w:val="a3"/>
        <w:spacing w:before="120" w:beforeAutospacing="0" w:after="0" w:afterAutospacing="0"/>
        <w:jc w:val="both"/>
        <w:divId w:val="1042051971"/>
        <w:rPr>
          <w:sz w:val="20"/>
          <w:szCs w:val="20"/>
        </w:rPr>
      </w:pPr>
      <w:r>
        <w:rPr>
          <w:sz w:val="20"/>
          <w:szCs w:val="20"/>
        </w:rPr>
        <w:t>The Company does not currently have any leases with terms in excess of</w:t>
      </w:r>
      <w:r>
        <w:rPr>
          <w:sz w:val="20"/>
          <w:szCs w:val="20"/>
        </w:rPr>
        <w:t xml:space="preserve"> 12 months. Since terminating our prior office lease in New York City in August 2020, we currently have no permanent physical office space and the majority of our employees are working remotely. In August 2021, the Company entered into a temporary short-te</w:t>
      </w:r>
      <w:r>
        <w:rPr>
          <w:sz w:val="20"/>
          <w:szCs w:val="20"/>
        </w:rPr>
        <w:t>rm co-working space agreement in New York City which expires in February 2022 and will not be renewed</w:t>
      </w:r>
      <w:r>
        <w:rPr>
          <w:sz w:val="20"/>
          <w:szCs w:val="20"/>
        </w:rPr>
        <w:t>.</w:t>
      </w:r>
    </w:p>
    <w:p w:rsidR="00000000" w:rsidRDefault="00AF2D19">
      <w:pPr>
        <w:pStyle w:val="a3"/>
        <w:spacing w:before="120" w:beforeAutospacing="0" w:after="0" w:afterAutospacing="0"/>
        <w:jc w:val="both"/>
        <w:divId w:val="1042051971"/>
        <w:rPr>
          <w:sz w:val="20"/>
          <w:szCs w:val="20"/>
        </w:rPr>
      </w:pPr>
      <w:r>
        <w:rPr>
          <w:sz w:val="20"/>
          <w:szCs w:val="20"/>
        </w:rPr>
        <w:t>We have limited operations outside the United States. As of December 31, 2021, we have one foreign subsidiary located in Israel which leases its operatin</w:t>
      </w:r>
      <w:r>
        <w:rPr>
          <w:sz w:val="20"/>
          <w:szCs w:val="20"/>
        </w:rPr>
        <w:t>g facilities under a non-cancelable short-term operating lease agreement, which expired in July, 2021 and renews monthly on the first day of every month</w:t>
      </w:r>
      <w:r>
        <w:rPr>
          <w:sz w:val="20"/>
          <w:szCs w:val="20"/>
        </w:rPr>
        <w:t>.</w:t>
      </w:r>
    </w:p>
    <w:p w:rsidR="00000000" w:rsidRDefault="00AF2D19">
      <w:pPr>
        <w:pStyle w:val="a3"/>
        <w:spacing w:before="120" w:beforeAutospacing="0" w:after="0" w:afterAutospacing="0"/>
        <w:jc w:val="both"/>
        <w:divId w:val="1042051971"/>
        <w:rPr>
          <w:sz w:val="20"/>
          <w:szCs w:val="20"/>
        </w:rPr>
      </w:pPr>
      <w:r>
        <w:rPr>
          <w:sz w:val="20"/>
          <w:szCs w:val="20"/>
        </w:rPr>
        <w:t>The Company elected the short-term lease recognition exemption for all leases with a term shorter than</w:t>
      </w:r>
      <w:r>
        <w:rPr>
          <w:sz w:val="20"/>
          <w:szCs w:val="20"/>
        </w:rPr>
        <w:t xml:space="preserve"> 12 months. This means that for those leases, the Company does not recognize ROU assets or lease liabilities, including not recognizing ROU assets or lease liabilities for existing short-term leases of those assets in transition, but recognizes lease expen</w:t>
      </w:r>
      <w:r>
        <w:rPr>
          <w:sz w:val="20"/>
          <w:szCs w:val="20"/>
        </w:rPr>
        <w:t>ses over the lease term on a straight-line basis. The Company also elected the practical expedient to not separate lease and non-lease components for all of the Company’s leases</w:t>
      </w:r>
      <w:r>
        <w:rPr>
          <w:sz w:val="20"/>
          <w:szCs w:val="20"/>
        </w:rPr>
        <w:t>.</w:t>
      </w:r>
    </w:p>
    <w:p w:rsidR="00000000" w:rsidRDefault="00AF2D19">
      <w:pPr>
        <w:pStyle w:val="a3"/>
        <w:spacing w:before="120" w:beforeAutospacing="0" w:after="0" w:afterAutospacing="0"/>
        <w:jc w:val="both"/>
        <w:divId w:val="1042051971"/>
        <w:rPr>
          <w:sz w:val="20"/>
          <w:szCs w:val="20"/>
        </w:rPr>
      </w:pPr>
      <w:r>
        <w:rPr>
          <w:sz w:val="20"/>
          <w:szCs w:val="20"/>
        </w:rPr>
        <w:t>Rent expenses under these operating leases for the years ended December 31, 2</w:t>
      </w:r>
      <w:r>
        <w:rPr>
          <w:sz w:val="20"/>
          <w:szCs w:val="20"/>
        </w:rPr>
        <w:t xml:space="preserve">021, 2020 and 2019 were </w:t>
      </w:r>
      <w:r>
        <w:rPr>
          <w:sz w:val="20"/>
          <w:szCs w:val="20"/>
        </w:rPr>
        <w:t>$</w:t>
      </w:r>
      <w:r>
        <w:rPr>
          <w:sz w:val="20"/>
          <w:szCs w:val="20"/>
        </w:rPr>
        <w:t>0.</w:t>
      </w:r>
      <w:r>
        <w:rPr>
          <w:sz w:val="20"/>
          <w:szCs w:val="20"/>
        </w:rPr>
        <w:t>1</w:t>
      </w:r>
      <w:r>
        <w:rPr>
          <w:sz w:val="20"/>
          <w:szCs w:val="20"/>
        </w:rPr>
        <w:t xml:space="preserve"> million, </w:t>
      </w:r>
      <w:r>
        <w:rPr>
          <w:sz w:val="20"/>
          <w:szCs w:val="20"/>
        </w:rPr>
        <w:t>$</w:t>
      </w:r>
      <w:r>
        <w:rPr>
          <w:sz w:val="20"/>
          <w:szCs w:val="20"/>
        </w:rPr>
        <w:t>0.</w:t>
      </w:r>
      <w:r>
        <w:rPr>
          <w:sz w:val="20"/>
          <w:szCs w:val="20"/>
        </w:rPr>
        <w:t>5</w:t>
      </w:r>
      <w:r>
        <w:rPr>
          <w:sz w:val="20"/>
          <w:szCs w:val="20"/>
        </w:rPr>
        <w:t xml:space="preserve"> million and </w:t>
      </w:r>
      <w:r>
        <w:rPr>
          <w:sz w:val="20"/>
          <w:szCs w:val="20"/>
        </w:rPr>
        <w:t>$</w:t>
      </w:r>
      <w:r>
        <w:rPr>
          <w:sz w:val="20"/>
          <w:szCs w:val="20"/>
        </w:rPr>
        <w:t>0.</w:t>
      </w:r>
      <w:r>
        <w:rPr>
          <w:sz w:val="20"/>
          <w:szCs w:val="20"/>
        </w:rPr>
        <w:t>6</w:t>
      </w:r>
      <w:r>
        <w:rPr>
          <w:sz w:val="20"/>
          <w:szCs w:val="20"/>
        </w:rPr>
        <w:t xml:space="preserve"> million, respectively</w:t>
      </w:r>
      <w:r>
        <w:rPr>
          <w:sz w:val="20"/>
          <w:szCs w:val="20"/>
        </w:rPr>
        <w:t>.</w:t>
      </w:r>
      <w:r>
        <w:rPr>
          <w:sz w:val="20"/>
          <w:szCs w:val="20"/>
        </w:rPr>
        <w:t xml:space="preserve"> </w:t>
      </w:r>
    </w:p>
    <w:p w:rsidR="00000000" w:rsidRDefault="00AF2D19">
      <w:pPr>
        <w:pStyle w:val="a3"/>
        <w:spacing w:before="240" w:beforeAutospacing="0" w:after="0" w:afterAutospacing="0"/>
        <w:divId w:val="1042051971"/>
        <w:rPr>
          <w:sz w:val="20"/>
          <w:szCs w:val="20"/>
        </w:rPr>
      </w:pPr>
      <w:r>
        <w:rPr>
          <w:b/>
          <w:bCs/>
          <w:i/>
          <w:iCs/>
          <w:sz w:val="20"/>
          <w:szCs w:val="20"/>
        </w:rPr>
        <w:t>Litigatio</w:t>
      </w:r>
      <w:r>
        <w:rPr>
          <w:b/>
          <w:bCs/>
          <w:i/>
          <w:iCs/>
          <w:sz w:val="20"/>
          <w:szCs w:val="20"/>
        </w:rPr>
        <w:t>n</w:t>
      </w:r>
      <w:r>
        <w:rPr>
          <w:b/>
          <w:bCs/>
          <w:sz w:val="20"/>
          <w:szCs w:val="20"/>
        </w:rPr>
        <w:t xml:space="preserve"> </w:t>
      </w:r>
    </w:p>
    <w:p w:rsidR="00000000" w:rsidRDefault="00AF2D19">
      <w:pPr>
        <w:pStyle w:val="a3"/>
        <w:spacing w:before="120" w:beforeAutospacing="0" w:after="0" w:afterAutospacing="0"/>
        <w:jc w:val="both"/>
        <w:divId w:val="1042051971"/>
        <w:rPr>
          <w:sz w:val="20"/>
          <w:szCs w:val="20"/>
        </w:rPr>
      </w:pPr>
      <w:r>
        <w:rPr>
          <w:sz w:val="20"/>
          <w:szCs w:val="20"/>
        </w:rPr>
        <w:t>The Company is and may in the future be involved in various legal proceedings arising from the normal course of business activities. Although the results of lit</w:t>
      </w:r>
      <w:r>
        <w:rPr>
          <w:sz w:val="20"/>
          <w:szCs w:val="20"/>
        </w:rPr>
        <w:t>igation and claims cannot be predicted with certainty, currently, the Company believes that the likelihood of any material adverse impact on the Company’s consolidated results of operations, cash flows or our financial position for any such litigation or c</w:t>
      </w:r>
      <w:r>
        <w:rPr>
          <w:sz w:val="20"/>
          <w:szCs w:val="20"/>
        </w:rPr>
        <w:t>laims is remote. Regardless of the outcome, litigation can have an adverse impact on the Company because of the costs to defend lawsuits, diversion of management resources and other factors</w:t>
      </w:r>
      <w:r>
        <w:rPr>
          <w:sz w:val="20"/>
          <w:szCs w:val="20"/>
        </w:rPr>
        <w:t>.</w:t>
      </w:r>
    </w:p>
    <w:p w:rsidR="00000000" w:rsidRDefault="00AF2D19">
      <w:pPr>
        <w:pStyle w:val="a3"/>
        <w:spacing w:before="120" w:beforeAutospacing="0" w:after="0" w:afterAutospacing="0"/>
        <w:jc w:val="both"/>
        <w:divId w:val="1042051971"/>
        <w:rPr>
          <w:sz w:val="20"/>
          <w:szCs w:val="20"/>
        </w:rPr>
      </w:pPr>
      <w:r>
        <w:rPr>
          <w:sz w:val="20"/>
          <w:szCs w:val="20"/>
        </w:rPr>
        <w:t>Between January 7, 2022, and January 31, 2022, the Company and ce</w:t>
      </w:r>
      <w:r>
        <w:rPr>
          <w:sz w:val="20"/>
          <w:szCs w:val="20"/>
        </w:rPr>
        <w:t xml:space="preserve">rtain of its current and former officers and directors were named as defendants in two putative securities class action complaints in the United States District Court for the Southern District of New York (the “Securities Actions”): (1) Baron v. Talkspace </w:t>
      </w:r>
      <w:r>
        <w:rPr>
          <w:sz w:val="20"/>
          <w:szCs w:val="20"/>
        </w:rPr>
        <w:t>et al., No. 22-cv-00163 (S.D.N.Y.) and (2) Valdez v. Talkspace et al., No. 22-cv-00840 (S.D.N.Y.). The Securities Actions both asserted violations of sections 14(a) and 20(a) of the Securities Exchange Act of 1934 and SEC Rule 14a-9 promulgated thereunder.</w:t>
      </w:r>
      <w:r>
        <w:rPr>
          <w:sz w:val="20"/>
          <w:szCs w:val="20"/>
        </w:rPr>
        <w:t xml:space="preserve"> The Valdez action asserted additional claims under sections 10(b) of the Exchange Act and Rule 10b-5 promulgated under the Exchange Act. The Securities Actions generally relate to public disclosures and statements by the Company in connection with the Bus</w:t>
      </w:r>
      <w:r>
        <w:rPr>
          <w:sz w:val="20"/>
          <w:szCs w:val="20"/>
        </w:rPr>
        <w:t>iness Combination</w:t>
      </w:r>
      <w:r>
        <w:rPr>
          <w:sz w:val="20"/>
          <w:szCs w:val="20"/>
        </w:rPr>
        <w:t xml:space="preserve"> </w:t>
      </w:r>
      <w:r>
        <w:rPr>
          <w:sz w:val="20"/>
          <w:szCs w:val="20"/>
        </w:rPr>
        <w:t>that plaintiffs allege contained material misstatements and omissions regarding the Company’s business, financial conditions, and growth prospects.</w:t>
      </w:r>
      <w:r>
        <w:rPr>
          <w:sz w:val="20"/>
          <w:szCs w:val="20"/>
        </w:rPr>
        <w:t xml:space="preserve"> </w:t>
      </w:r>
      <w:r>
        <w:rPr>
          <w:sz w:val="20"/>
          <w:szCs w:val="20"/>
        </w:rPr>
        <w:t xml:space="preserve">The complaints seek, among other things, damages on behalf of all members of the proposed </w:t>
      </w:r>
      <w:r>
        <w:rPr>
          <w:sz w:val="20"/>
          <w:szCs w:val="20"/>
        </w:rPr>
        <w:t>class</w:t>
      </w:r>
      <w:r>
        <w:rPr>
          <w:sz w:val="20"/>
          <w:szCs w:val="20"/>
        </w:rPr>
        <w:t>.</w:t>
      </w:r>
      <w:r>
        <w:rPr>
          <w:sz w:val="20"/>
          <w:szCs w:val="20"/>
        </w:rPr>
        <w:t xml:space="preserve"> </w:t>
      </w:r>
    </w:p>
    <w:p w:rsidR="00000000" w:rsidRDefault="00AF2D19">
      <w:pPr>
        <w:pStyle w:val="a3"/>
        <w:spacing w:before="120" w:beforeAutospacing="0" w:after="0" w:afterAutospacing="0"/>
        <w:jc w:val="both"/>
        <w:divId w:val="1042051971"/>
        <w:rPr>
          <w:sz w:val="20"/>
          <w:szCs w:val="20"/>
        </w:rPr>
      </w:pPr>
      <w:r>
        <w:rPr>
          <w:sz w:val="20"/>
          <w:szCs w:val="20"/>
        </w:rPr>
        <w:t xml:space="preserve">On February 10, 2021, two purported shareholders of HEC filed actions against HEC and the members of HEC’s board of directors relating to the Business Combination. In each case, the shareholders allege a variety of disclosure deficiencies in HEC’s </w:t>
      </w:r>
      <w:r>
        <w:rPr>
          <w:sz w:val="20"/>
          <w:szCs w:val="20"/>
        </w:rPr>
        <w:t>proxy statement/prospectus and seek disclosures of additional information. The alleged omissions generally relate to (i) certain financial projections; (ii) certain valuation analyses performed by HEC; and (iii) alleged conflicts of interest. Plaintiffs so</w:t>
      </w:r>
      <w:r>
        <w:rPr>
          <w:sz w:val="20"/>
          <w:szCs w:val="20"/>
        </w:rPr>
        <w:t>ught to enjoin the shareholder vote on the Business Combination unless and until HEC disclosed the allegedly omitted material information summarized above. The plaintiffs also seek damages and attorneys’ fees. On June 29, 2021, one of the plaintiffs dismis</w:t>
      </w:r>
      <w:r>
        <w:rPr>
          <w:sz w:val="20"/>
          <w:szCs w:val="20"/>
        </w:rPr>
        <w:t>sed their complaint; the other remains pending</w:t>
      </w:r>
      <w:r>
        <w:rPr>
          <w:sz w:val="20"/>
          <w:szCs w:val="20"/>
        </w:rPr>
        <w:t>.</w:t>
      </w:r>
      <w:r>
        <w:rPr>
          <w:sz w:val="20"/>
          <w:szCs w:val="20"/>
        </w:rPr>
        <w:t xml:space="preserve"> </w:t>
      </w:r>
    </w:p>
    <w:p w:rsidR="00000000" w:rsidRDefault="00AF2D19">
      <w:pPr>
        <w:pStyle w:val="a3"/>
        <w:spacing w:before="120" w:beforeAutospacing="0" w:after="0" w:afterAutospacing="0"/>
        <w:jc w:val="both"/>
        <w:divId w:val="1042051971"/>
        <w:rPr>
          <w:sz w:val="20"/>
          <w:szCs w:val="20"/>
        </w:rPr>
      </w:pPr>
      <w:r>
        <w:rPr>
          <w:sz w:val="20"/>
          <w:szCs w:val="20"/>
        </w:rPr>
        <w:t>We cannot predict the outcome of the lawsuits, nor can we predict the amount of time and expense that will be required to resolve the lawsuits and demand letter. We believe that the lawsuits and demand lette</w:t>
      </w:r>
      <w:r>
        <w:rPr>
          <w:sz w:val="20"/>
          <w:szCs w:val="20"/>
        </w:rPr>
        <w:t>r are without merit and intends to vigorously defend against them</w:t>
      </w:r>
      <w:r>
        <w:rPr>
          <w:sz w:val="20"/>
          <w:szCs w:val="20"/>
        </w:rPr>
        <w:t>.</w:t>
      </w:r>
      <w:r>
        <w:rPr>
          <w:sz w:val="20"/>
          <w:szCs w:val="20"/>
        </w:rPr>
        <w:t xml:space="preserve"> </w:t>
      </w:r>
    </w:p>
    <w:p w:rsidR="00000000" w:rsidRDefault="00AF2D19">
      <w:pPr>
        <w:pStyle w:val="a3"/>
        <w:spacing w:before="0" w:beforeAutospacing="0" w:after="0" w:afterAutospacing="0"/>
        <w:jc w:val="center"/>
        <w:divId w:val="1042051971"/>
        <w:rPr>
          <w:sz w:val="20"/>
          <w:szCs w:val="20"/>
        </w:rPr>
      </w:pPr>
      <w:r>
        <w:rPr>
          <w:sz w:val="20"/>
          <w:szCs w:val="20"/>
        </w:rPr>
        <w:t>9</w:t>
      </w:r>
      <w:r>
        <w:rPr>
          <w:sz w:val="20"/>
          <w:szCs w:val="20"/>
        </w:rPr>
        <w:t>0</w:t>
      </w:r>
    </w:p>
    <w:p w:rsidR="00000000" w:rsidRDefault="00AF2D19">
      <w:pPr>
        <w:divId w:val="1042051971"/>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AF2D19">
      <w:pPr>
        <w:pStyle w:val="a3"/>
        <w:spacing w:before="0" w:beforeAutospacing="0" w:after="0" w:afterAutospacing="0"/>
        <w:divId w:val="1042051971"/>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divId w:val="1042051971"/>
        <w:rPr>
          <w:sz w:val="20"/>
          <w:szCs w:val="20"/>
        </w:rPr>
      </w:pPr>
      <w:r>
        <w:rPr>
          <w:sz w:val="20"/>
          <w:szCs w:val="20"/>
        </w:rPr>
        <w:t>In addition to the foregoing, from time-to-time, the Company is party to various legal proceedings,</w:t>
      </w:r>
      <w:r>
        <w:rPr>
          <w:sz w:val="20"/>
          <w:szCs w:val="20"/>
        </w:rPr>
        <w:t xml:space="preserve"> claims and litigation that arise in the normal course of business. In the opinion of management, the ultimate outcome of these matters will not have a material adverse effect on the Company’s financial position, results of operations or cash flows. Accrua</w:t>
      </w:r>
      <w:r>
        <w:rPr>
          <w:sz w:val="20"/>
          <w:szCs w:val="20"/>
        </w:rPr>
        <w:t>ls for loss contingencies are recorded when a loss is probable, and the amount of such loss can be reasonably estimated</w:t>
      </w:r>
      <w:r>
        <w:rPr>
          <w:sz w:val="20"/>
          <w:szCs w:val="20"/>
        </w:rPr>
        <w:t>.</w:t>
      </w:r>
    </w:p>
    <w:p w:rsidR="00000000" w:rsidRDefault="00AF2D19">
      <w:pPr>
        <w:pStyle w:val="a3"/>
        <w:spacing w:before="240" w:beforeAutospacing="0" w:after="0" w:afterAutospacing="0"/>
        <w:divId w:val="1042051971"/>
        <w:rPr>
          <w:sz w:val="20"/>
          <w:szCs w:val="20"/>
        </w:rPr>
      </w:pPr>
      <w:r>
        <w:rPr>
          <w:b/>
          <w:bCs/>
          <w:i/>
          <w:iCs/>
          <w:sz w:val="20"/>
          <w:szCs w:val="20"/>
        </w:rPr>
        <w:t>Warranties and Indemnificatio</w:t>
      </w:r>
      <w:r>
        <w:rPr>
          <w:b/>
          <w:bCs/>
          <w:i/>
          <w:iCs/>
          <w:sz w:val="20"/>
          <w:szCs w:val="20"/>
        </w:rPr>
        <w:t>n</w:t>
      </w:r>
      <w:r>
        <w:rPr>
          <w:b/>
          <w:bCs/>
          <w:i/>
          <w:iCs/>
          <w:sz w:val="20"/>
          <w:szCs w:val="20"/>
        </w:rPr>
        <w:t xml:space="preserve"> </w:t>
      </w:r>
    </w:p>
    <w:p w:rsidR="00000000" w:rsidRDefault="00AF2D19">
      <w:pPr>
        <w:pStyle w:val="a3"/>
        <w:spacing w:before="120" w:beforeAutospacing="0" w:after="0" w:afterAutospacing="0"/>
        <w:jc w:val="both"/>
        <w:divId w:val="1042051971"/>
        <w:rPr>
          <w:sz w:val="20"/>
          <w:szCs w:val="20"/>
        </w:rPr>
      </w:pPr>
      <w:r>
        <w:rPr>
          <w:sz w:val="20"/>
          <w:szCs w:val="20"/>
        </w:rPr>
        <w:t>The Company’s arrangements generally include certain provisions for indemnifying clients against liabil</w:t>
      </w:r>
      <w:r>
        <w:rPr>
          <w:sz w:val="20"/>
          <w:szCs w:val="20"/>
        </w:rPr>
        <w:t>ities if there is a breach of a client’s data or if the Company’s service infringes a third party’s intellectual property rights. To date, the Company has not incurred any material costs as a result of such indemnifications</w:t>
      </w:r>
      <w:r>
        <w:rPr>
          <w:sz w:val="20"/>
          <w:szCs w:val="20"/>
        </w:rPr>
        <w:t>.</w:t>
      </w:r>
      <w:r>
        <w:rPr>
          <w:sz w:val="20"/>
          <w:szCs w:val="20"/>
        </w:rPr>
        <w:t xml:space="preserve"> </w:t>
      </w:r>
    </w:p>
    <w:p w:rsidR="00000000" w:rsidRDefault="00AF2D19">
      <w:pPr>
        <w:pStyle w:val="a3"/>
        <w:spacing w:before="120" w:beforeAutospacing="0" w:after="0" w:afterAutospacing="0"/>
        <w:jc w:val="both"/>
        <w:divId w:val="1042051971"/>
        <w:rPr>
          <w:sz w:val="20"/>
          <w:szCs w:val="20"/>
        </w:rPr>
      </w:pPr>
      <w:r>
        <w:rPr>
          <w:sz w:val="20"/>
          <w:szCs w:val="20"/>
        </w:rPr>
        <w:t>The Company has also agreed to</w:t>
      </w:r>
      <w:r>
        <w:rPr>
          <w:sz w:val="20"/>
          <w:szCs w:val="20"/>
        </w:rPr>
        <w:t xml:space="preserve"> indemnify its directors and executive officers for costs associated with any fees, expenses, judgments, fines and settlement amounts incurred by any of these persons in any action or proceeding to which any of those persons is, or is threatened to be, mad</w:t>
      </w:r>
      <w:r>
        <w:rPr>
          <w:sz w:val="20"/>
          <w:szCs w:val="20"/>
        </w:rPr>
        <w:t>e a party by reason of the person’s service as a director or officer, including any action by the Company, arising out of that person’s services as a director or officer or that person’s services provided to any other company or enterprise at the Company’s</w:t>
      </w:r>
      <w:r>
        <w:rPr>
          <w:sz w:val="20"/>
          <w:szCs w:val="20"/>
        </w:rPr>
        <w:t xml:space="preserve"> request. The Company maintains director and officer liability insurance coverage that would generally enable it to recover a portion of any future amounts paid. The Company may also be subject to indemnification obligations by law with respect to the acti</w:t>
      </w:r>
      <w:r>
        <w:rPr>
          <w:sz w:val="20"/>
          <w:szCs w:val="20"/>
        </w:rPr>
        <w:t>ons of its employees under certain circumstances and in certain jurisdictions</w:t>
      </w:r>
      <w:r>
        <w:rPr>
          <w:sz w:val="20"/>
          <w:szCs w:val="20"/>
        </w:rPr>
        <w:t>.</w:t>
      </w:r>
      <w:r>
        <w:rPr>
          <w:sz w:val="20"/>
          <w:szCs w:val="20"/>
        </w:rPr>
        <w:t xml:space="preserve"> </w:t>
      </w:r>
    </w:p>
    <w:p w:rsidR="00000000" w:rsidRDefault="00AF2D19">
      <w:pPr>
        <w:pStyle w:val="a3"/>
        <w:spacing w:before="360" w:beforeAutospacing="0" w:after="0" w:afterAutospacing="0"/>
        <w:divId w:val="499975949"/>
        <w:rPr>
          <w:sz w:val="20"/>
          <w:szCs w:val="20"/>
        </w:rPr>
      </w:pPr>
      <w:r>
        <w:rPr>
          <w:b/>
          <w:bCs/>
          <w:sz w:val="20"/>
          <w:szCs w:val="20"/>
        </w:rPr>
        <w:t>NOTE 10. BORROWING ARRANGEMENT</w:t>
      </w:r>
      <w:r>
        <w:rPr>
          <w:b/>
          <w:bCs/>
          <w:sz w:val="20"/>
          <w:szCs w:val="20"/>
        </w:rPr>
        <w:t>S</w:t>
      </w:r>
    </w:p>
    <w:p w:rsidR="00000000" w:rsidRDefault="00AF2D19">
      <w:pPr>
        <w:pStyle w:val="a3"/>
        <w:spacing w:before="0" w:beforeAutospacing="0" w:after="0" w:afterAutospacing="0"/>
        <w:divId w:val="499975949"/>
        <w:rPr>
          <w:sz w:val="20"/>
          <w:szCs w:val="20"/>
        </w:rPr>
      </w:pPr>
      <w:r>
        <w:rPr>
          <w:sz w:val="12"/>
          <w:szCs w:val="12"/>
        </w:rPr>
        <w:t> </w:t>
      </w:r>
    </w:p>
    <w:p w:rsidR="00000000" w:rsidRDefault="00AF2D19">
      <w:pPr>
        <w:pStyle w:val="a3"/>
        <w:spacing w:before="0" w:beforeAutospacing="0" w:after="0" w:afterAutospacing="0"/>
        <w:jc w:val="both"/>
        <w:divId w:val="499975949"/>
        <w:rPr>
          <w:sz w:val="20"/>
          <w:szCs w:val="20"/>
        </w:rPr>
      </w:pPr>
      <w:r>
        <w:rPr>
          <w:sz w:val="20"/>
          <w:szCs w:val="20"/>
        </w:rPr>
        <w:t xml:space="preserve">On March 15, 2021, Talkspace entered into a credit and security agreement (the “Credit Agreement”) by and among, Talkspace and Talkspace Network LLC, as borrowers (each and collectively, jointly and severally, “Borrower”) and JPMorgan Chase Bank, N.A. and </w:t>
      </w:r>
      <w:r>
        <w:rPr>
          <w:sz w:val="20"/>
          <w:szCs w:val="20"/>
        </w:rPr>
        <w:t xml:space="preserve">the other loan parties party thereto to provide Borrower with a term loan of up to </w:t>
      </w:r>
      <w:r>
        <w:rPr>
          <w:sz w:val="20"/>
          <w:szCs w:val="20"/>
        </w:rPr>
        <w:t>$</w:t>
      </w:r>
      <w:r>
        <w:rPr>
          <w:sz w:val="20"/>
          <w:szCs w:val="20"/>
        </w:rPr>
        <w:t>15.</w:t>
      </w:r>
      <w:r>
        <w:rPr>
          <w:sz w:val="20"/>
          <w:szCs w:val="20"/>
        </w:rPr>
        <w:t>0</w:t>
      </w:r>
      <w:r>
        <w:rPr>
          <w:sz w:val="20"/>
          <w:szCs w:val="20"/>
        </w:rPr>
        <w:t xml:space="preserve"> million, which was available to be drawn in a period of</w:t>
      </w:r>
      <w:r>
        <w:rPr>
          <w:sz w:val="20"/>
          <w:szCs w:val="20"/>
        </w:rPr>
        <w:t xml:space="preserve"> </w:t>
      </w:r>
      <w:r>
        <w:rPr>
          <w:sz w:val="20"/>
          <w:szCs w:val="20"/>
        </w:rPr>
        <w:t>twelve month</w:t>
      </w:r>
      <w:r>
        <w:rPr>
          <w:sz w:val="20"/>
          <w:szCs w:val="20"/>
        </w:rPr>
        <w:t>s</w:t>
      </w:r>
      <w:r>
        <w:rPr>
          <w:sz w:val="20"/>
          <w:szCs w:val="20"/>
        </w:rPr>
        <w:t>.</w:t>
      </w:r>
      <w:r>
        <w:rPr>
          <w:sz w:val="20"/>
          <w:szCs w:val="20"/>
        </w:rPr>
        <w:t xml:space="preserve"> </w:t>
      </w:r>
      <w:r>
        <w:rPr>
          <w:sz w:val="20"/>
          <w:szCs w:val="20"/>
        </w:rPr>
        <w:t>The term loan will be required to be repaid within thirty-six months, beginning twelve months fr</w:t>
      </w:r>
      <w:r>
        <w:rPr>
          <w:sz w:val="20"/>
          <w:szCs w:val="20"/>
        </w:rPr>
        <w:t>om the effective date of the Credit Agreement</w:t>
      </w:r>
      <w:r>
        <w:rPr>
          <w:sz w:val="20"/>
          <w:szCs w:val="20"/>
        </w:rPr>
        <w:t>.</w:t>
      </w:r>
      <w:r>
        <w:rPr>
          <w:sz w:val="20"/>
          <w:szCs w:val="20"/>
        </w:rPr>
        <w:t xml:space="preserve"> In addition, under the Credit Agreement, the Borrower was provided with a credit line of up to </w:t>
      </w:r>
      <w:r>
        <w:rPr>
          <w:sz w:val="20"/>
          <w:szCs w:val="20"/>
        </w:rPr>
        <w:t>$</w:t>
      </w:r>
      <w:r>
        <w:rPr>
          <w:sz w:val="20"/>
          <w:szCs w:val="20"/>
        </w:rPr>
        <w:t>5.</w:t>
      </w:r>
      <w:r>
        <w:rPr>
          <w:sz w:val="20"/>
          <w:szCs w:val="20"/>
        </w:rPr>
        <w:t>0</w:t>
      </w:r>
      <w:r>
        <w:rPr>
          <w:sz w:val="20"/>
          <w:szCs w:val="20"/>
        </w:rPr>
        <w:t xml:space="preserve"> million, available for a period of two years from the effective date of the Credit Agreement. Under the Credi</w:t>
      </w:r>
      <w:r>
        <w:rPr>
          <w:sz w:val="20"/>
          <w:szCs w:val="20"/>
        </w:rPr>
        <w:t xml:space="preserve">t Agreement, Borrower was required to maintain certain covenants as detailed in the agreement. In May 2021, the Company borrowed </w:t>
      </w:r>
      <w:r>
        <w:rPr>
          <w:sz w:val="20"/>
          <w:szCs w:val="20"/>
        </w:rPr>
        <w:t>$</w:t>
      </w:r>
      <w:r>
        <w:rPr>
          <w:sz w:val="20"/>
          <w:szCs w:val="20"/>
        </w:rPr>
        <w:t>6.</w:t>
      </w:r>
      <w:r>
        <w:rPr>
          <w:sz w:val="20"/>
          <w:szCs w:val="20"/>
        </w:rPr>
        <w:t>0</w:t>
      </w:r>
      <w:r>
        <w:rPr>
          <w:sz w:val="20"/>
          <w:szCs w:val="20"/>
        </w:rPr>
        <w:t xml:space="preserve"> million under the Credit Agreement to provide for additional liquidity. This amount was repaid in June 2021. In June 2021,</w:t>
      </w:r>
      <w:r>
        <w:rPr>
          <w:sz w:val="20"/>
          <w:szCs w:val="20"/>
        </w:rPr>
        <w:t xml:space="preserve"> the Company terminated the Credit Agreement</w:t>
      </w:r>
      <w:r>
        <w:rPr>
          <w:sz w:val="20"/>
          <w:szCs w:val="20"/>
        </w:rPr>
        <w:t>.</w:t>
      </w:r>
      <w:r>
        <w:rPr>
          <w:sz w:val="20"/>
          <w:szCs w:val="20"/>
        </w:rPr>
        <w:t xml:space="preserve"> </w:t>
      </w:r>
    </w:p>
    <w:p w:rsidR="00000000" w:rsidRDefault="00AF2D19">
      <w:pPr>
        <w:pStyle w:val="a3"/>
        <w:spacing w:before="120" w:beforeAutospacing="0" w:after="0" w:afterAutospacing="0"/>
        <w:jc w:val="both"/>
        <w:divId w:val="499975949"/>
        <w:rPr>
          <w:sz w:val="20"/>
          <w:szCs w:val="20"/>
        </w:rPr>
      </w:pPr>
      <w:r>
        <w:rPr>
          <w:sz w:val="20"/>
          <w:szCs w:val="20"/>
        </w:rPr>
        <w:t>In accordance with the Credit Agreement entered into on March 15, 2021, the Company issued a warrant (the “Warrant”) to JPMorgan Chase Bank, N.A. to purchase</w:t>
      </w:r>
      <w:r>
        <w:rPr>
          <w:sz w:val="20"/>
          <w:szCs w:val="20"/>
        </w:rPr>
        <w:t xml:space="preserve"> </w:t>
      </w:r>
      <w:r>
        <w:rPr>
          <w:sz w:val="20"/>
          <w:szCs w:val="20"/>
        </w:rPr>
        <w:t>114,45</w:t>
      </w:r>
      <w:r>
        <w:rPr>
          <w:sz w:val="20"/>
          <w:szCs w:val="20"/>
        </w:rPr>
        <w:t>4</w:t>
      </w:r>
      <w:r>
        <w:rPr>
          <w:sz w:val="20"/>
          <w:szCs w:val="20"/>
        </w:rPr>
        <w:t xml:space="preserve"> shares at an exercise price of </w:t>
      </w:r>
      <w:r>
        <w:rPr>
          <w:sz w:val="20"/>
          <w:szCs w:val="20"/>
        </w:rPr>
        <w:t>$</w:t>
      </w:r>
      <w:r>
        <w:rPr>
          <w:sz w:val="20"/>
          <w:szCs w:val="20"/>
        </w:rPr>
        <w:t>0.0</w:t>
      </w:r>
      <w:r>
        <w:rPr>
          <w:sz w:val="20"/>
          <w:szCs w:val="20"/>
        </w:rPr>
        <w:t>1</w:t>
      </w:r>
      <w:r>
        <w:rPr>
          <w:sz w:val="20"/>
          <w:szCs w:val="20"/>
        </w:rPr>
        <w:t xml:space="preserve"> per sh</w:t>
      </w:r>
      <w:r>
        <w:rPr>
          <w:sz w:val="20"/>
          <w:szCs w:val="20"/>
        </w:rPr>
        <w:t>are. In accordance with the terms of the Warrant, the Warrant was cancelled during June 2021</w:t>
      </w:r>
      <w:r>
        <w:rPr>
          <w:sz w:val="20"/>
          <w:szCs w:val="20"/>
        </w:rPr>
        <w:t>.</w:t>
      </w:r>
      <w:r>
        <w:rPr>
          <w:sz w:val="20"/>
          <w:szCs w:val="20"/>
        </w:rPr>
        <w:t xml:space="preserve"> </w:t>
      </w:r>
    </w:p>
    <w:p w:rsidR="00000000" w:rsidRDefault="00AF2D19">
      <w:pPr>
        <w:pStyle w:val="a3"/>
        <w:spacing w:before="120" w:beforeAutospacing="0" w:after="0" w:afterAutospacing="0"/>
        <w:jc w:val="both"/>
        <w:divId w:val="499975949"/>
        <w:rPr>
          <w:sz w:val="20"/>
          <w:szCs w:val="20"/>
        </w:rPr>
      </w:pPr>
      <w:r>
        <w:rPr>
          <w:sz w:val="20"/>
          <w:szCs w:val="20"/>
        </w:rPr>
        <w:t xml:space="preserve">During the year ended December 31, 2021, the Company recorded debt issuance costs of </w:t>
      </w:r>
      <w:r>
        <w:rPr>
          <w:sz w:val="20"/>
          <w:szCs w:val="20"/>
        </w:rPr>
        <w:t>$</w:t>
      </w:r>
      <w:r>
        <w:rPr>
          <w:sz w:val="20"/>
          <w:szCs w:val="20"/>
        </w:rPr>
        <w:t>0.</w:t>
      </w:r>
      <w:r>
        <w:rPr>
          <w:sz w:val="20"/>
          <w:szCs w:val="20"/>
        </w:rPr>
        <w:t>2</w:t>
      </w:r>
      <w:r>
        <w:rPr>
          <w:sz w:val="20"/>
          <w:szCs w:val="20"/>
        </w:rPr>
        <w:t xml:space="preserve"> million, which comprised of </w:t>
      </w:r>
      <w:r>
        <w:rPr>
          <w:sz w:val="20"/>
          <w:szCs w:val="20"/>
        </w:rPr>
        <w:t>$</w:t>
      </w:r>
      <w:r>
        <w:rPr>
          <w:sz w:val="20"/>
          <w:szCs w:val="20"/>
        </w:rPr>
        <w:t>0.</w:t>
      </w:r>
      <w:r>
        <w:rPr>
          <w:sz w:val="20"/>
          <w:szCs w:val="20"/>
        </w:rPr>
        <w:t>1</w:t>
      </w:r>
      <w:r>
        <w:rPr>
          <w:sz w:val="20"/>
          <w:szCs w:val="20"/>
        </w:rPr>
        <w:t xml:space="preserve"> million in upfront fees and </w:t>
      </w:r>
      <w:r>
        <w:rPr>
          <w:sz w:val="20"/>
          <w:szCs w:val="20"/>
        </w:rPr>
        <w:t>$</w:t>
      </w:r>
      <w:r>
        <w:rPr>
          <w:sz w:val="20"/>
          <w:szCs w:val="20"/>
        </w:rPr>
        <w:t>0.</w:t>
      </w:r>
      <w:r>
        <w:rPr>
          <w:sz w:val="20"/>
          <w:szCs w:val="20"/>
        </w:rPr>
        <w:t>1</w:t>
      </w:r>
      <w:r>
        <w:rPr>
          <w:sz w:val="20"/>
          <w:szCs w:val="20"/>
        </w:rPr>
        <w:t xml:space="preserve"> milli</w:t>
      </w:r>
      <w:r>
        <w:rPr>
          <w:sz w:val="20"/>
          <w:szCs w:val="20"/>
        </w:rPr>
        <w:t>on for the issued warrant. These costs were fully amortized through the termination of the Credit Agreement</w:t>
      </w:r>
      <w:r>
        <w:rPr>
          <w:sz w:val="20"/>
          <w:szCs w:val="20"/>
        </w:rPr>
        <w:t>.</w:t>
      </w:r>
    </w:p>
    <w:p w:rsidR="00000000" w:rsidRDefault="00AF2D19">
      <w:pPr>
        <w:pStyle w:val="a3"/>
        <w:spacing w:before="360" w:beforeAutospacing="0" w:after="0" w:afterAutospacing="0"/>
        <w:divId w:val="1691030806"/>
        <w:rPr>
          <w:sz w:val="20"/>
          <w:szCs w:val="20"/>
        </w:rPr>
      </w:pPr>
      <w:r>
        <w:rPr>
          <w:b/>
          <w:bCs/>
          <w:sz w:val="20"/>
          <w:szCs w:val="20"/>
        </w:rPr>
        <w:t>NOTE 11. CAPITAL STOC</w:t>
      </w:r>
      <w:r>
        <w:rPr>
          <w:b/>
          <w:bCs/>
          <w:sz w:val="20"/>
          <w:szCs w:val="20"/>
        </w:rPr>
        <w:t>K</w:t>
      </w:r>
    </w:p>
    <w:p w:rsidR="00000000" w:rsidRDefault="00AF2D19">
      <w:pPr>
        <w:pStyle w:val="a3"/>
        <w:spacing w:before="120" w:beforeAutospacing="0" w:after="0" w:afterAutospacing="0"/>
        <w:jc w:val="both"/>
        <w:divId w:val="1691030806"/>
        <w:rPr>
          <w:sz w:val="20"/>
          <w:szCs w:val="20"/>
        </w:rPr>
      </w:pPr>
      <w:r>
        <w:rPr>
          <w:sz w:val="20"/>
          <w:szCs w:val="20"/>
        </w:rPr>
        <w:t>The Company’s authorized capital stock consists of (a)</w:t>
      </w:r>
      <w:r>
        <w:rPr>
          <w:sz w:val="20"/>
          <w:szCs w:val="20"/>
        </w:rPr>
        <w:t xml:space="preserve"> </w:t>
      </w:r>
      <w:r>
        <w:rPr>
          <w:sz w:val="20"/>
          <w:szCs w:val="20"/>
        </w:rPr>
        <w:t>1,000,000,00</w:t>
      </w:r>
      <w:r>
        <w:rPr>
          <w:sz w:val="20"/>
          <w:szCs w:val="20"/>
        </w:rPr>
        <w:t>0</w:t>
      </w:r>
      <w:r>
        <w:rPr>
          <w:sz w:val="20"/>
          <w:szCs w:val="20"/>
        </w:rPr>
        <w:t xml:space="preserve"> shares of common stock, par value </w:t>
      </w:r>
      <w:r>
        <w:rPr>
          <w:sz w:val="20"/>
          <w:szCs w:val="20"/>
        </w:rPr>
        <w:t>$</w:t>
      </w:r>
      <w:r>
        <w:rPr>
          <w:sz w:val="20"/>
          <w:szCs w:val="20"/>
        </w:rPr>
        <w:t>0.000</w:t>
      </w:r>
      <w:r>
        <w:rPr>
          <w:sz w:val="20"/>
          <w:szCs w:val="20"/>
        </w:rPr>
        <w:t>1</w:t>
      </w:r>
      <w:r>
        <w:rPr>
          <w:sz w:val="20"/>
          <w:szCs w:val="20"/>
        </w:rPr>
        <w:t xml:space="preserve"> per share; an</w:t>
      </w:r>
      <w:r>
        <w:rPr>
          <w:sz w:val="20"/>
          <w:szCs w:val="20"/>
        </w:rPr>
        <w:t>d (b)</w:t>
      </w:r>
      <w:r>
        <w:rPr>
          <w:sz w:val="20"/>
          <w:szCs w:val="20"/>
        </w:rPr>
        <w:t xml:space="preserve"> </w:t>
      </w:r>
      <w:r>
        <w:rPr>
          <w:sz w:val="20"/>
          <w:szCs w:val="20"/>
        </w:rPr>
        <w:t>100,000,00</w:t>
      </w:r>
      <w:r>
        <w:rPr>
          <w:sz w:val="20"/>
          <w:szCs w:val="20"/>
        </w:rPr>
        <w:t>0</w:t>
      </w:r>
      <w:r>
        <w:rPr>
          <w:sz w:val="20"/>
          <w:szCs w:val="20"/>
        </w:rPr>
        <w:t xml:space="preserve"> shares of preferred stock, par value </w:t>
      </w:r>
      <w:r>
        <w:rPr>
          <w:sz w:val="20"/>
          <w:szCs w:val="20"/>
        </w:rPr>
        <w:t>$</w:t>
      </w:r>
      <w:r>
        <w:rPr>
          <w:sz w:val="20"/>
          <w:szCs w:val="20"/>
        </w:rPr>
        <w:t>0.000</w:t>
      </w:r>
      <w:r>
        <w:rPr>
          <w:sz w:val="20"/>
          <w:szCs w:val="20"/>
        </w:rPr>
        <w:t>1</w:t>
      </w:r>
      <w:r>
        <w:rPr>
          <w:sz w:val="20"/>
          <w:szCs w:val="20"/>
        </w:rPr>
        <w:t xml:space="preserve"> per share. As of December 31, 2021, there were</w:t>
      </w:r>
      <w:r>
        <w:rPr>
          <w:sz w:val="20"/>
          <w:szCs w:val="20"/>
        </w:rPr>
        <w:t xml:space="preserve"> </w:t>
      </w:r>
      <w:r>
        <w:rPr>
          <w:sz w:val="20"/>
          <w:szCs w:val="20"/>
        </w:rPr>
        <w:t>152,862,44</w:t>
      </w:r>
      <w:r>
        <w:rPr>
          <w:sz w:val="20"/>
          <w:szCs w:val="20"/>
        </w:rPr>
        <w:t>7</w:t>
      </w:r>
      <w:r>
        <w:rPr>
          <w:sz w:val="20"/>
          <w:szCs w:val="20"/>
        </w:rPr>
        <w:t xml:space="preserve"> shares of common stock issued and outstanding. As of December 31, 2021, there were</w:t>
      </w:r>
      <w:r>
        <w:rPr>
          <w:sz w:val="20"/>
          <w:szCs w:val="20"/>
        </w:rPr>
        <w:t xml:space="preserve"> </w:t>
      </w:r>
      <w:r>
        <w:rPr>
          <w:sz w:val="20"/>
          <w:szCs w:val="20"/>
        </w:rPr>
        <w:t>n</w:t>
      </w:r>
      <w:r>
        <w:rPr>
          <w:sz w:val="20"/>
          <w:szCs w:val="20"/>
        </w:rPr>
        <w:t>o</w:t>
      </w:r>
      <w:r>
        <w:rPr>
          <w:sz w:val="20"/>
          <w:szCs w:val="20"/>
        </w:rPr>
        <w:t xml:space="preserve"> shares of preferred stock issued or outstanding</w:t>
      </w:r>
      <w:r>
        <w:rPr>
          <w:sz w:val="20"/>
          <w:szCs w:val="20"/>
        </w:rPr>
        <w:t>.</w:t>
      </w:r>
    </w:p>
    <w:p w:rsidR="00000000" w:rsidRDefault="00AF2D19">
      <w:pPr>
        <w:pStyle w:val="a3"/>
        <w:spacing w:before="0" w:beforeAutospacing="0" w:after="0" w:afterAutospacing="0"/>
        <w:jc w:val="center"/>
        <w:divId w:val="1691030806"/>
        <w:rPr>
          <w:sz w:val="20"/>
          <w:szCs w:val="20"/>
        </w:rPr>
      </w:pPr>
      <w:r>
        <w:rPr>
          <w:sz w:val="20"/>
          <w:szCs w:val="20"/>
        </w:rPr>
        <w:t>9</w:t>
      </w:r>
      <w:r>
        <w:rPr>
          <w:sz w:val="20"/>
          <w:szCs w:val="20"/>
        </w:rPr>
        <w:t>1</w:t>
      </w:r>
    </w:p>
    <w:p w:rsidR="00000000" w:rsidRDefault="00AF2D19">
      <w:pPr>
        <w:divId w:val="1691030806"/>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AF2D19">
      <w:pPr>
        <w:pStyle w:val="a3"/>
        <w:spacing w:before="0" w:beforeAutospacing="0" w:after="0" w:afterAutospacing="0"/>
        <w:divId w:val="1691030806"/>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divId w:val="953904048"/>
        <w:rPr>
          <w:sz w:val="20"/>
          <w:szCs w:val="20"/>
        </w:rPr>
      </w:pPr>
      <w:r>
        <w:rPr>
          <w:sz w:val="20"/>
          <w:szCs w:val="20"/>
        </w:rPr>
        <w:t>Prior to the Business Combination, Old Talkspace’s convertible preferred stock consisted of the following</w:t>
      </w:r>
      <w:r>
        <w:rPr>
          <w:sz w:val="20"/>
          <w:szCs w:val="20"/>
        </w:rPr>
        <w:t>:</w:t>
      </w:r>
    </w:p>
    <w:p w:rsidR="00000000" w:rsidRDefault="00AF2D19">
      <w:pPr>
        <w:pStyle w:val="a3"/>
        <w:spacing w:before="0" w:beforeAutospacing="0" w:after="0" w:afterAutospacing="0"/>
        <w:divId w:val="953904048"/>
        <w:rPr>
          <w:sz w:val="20"/>
          <w:szCs w:val="20"/>
        </w:rPr>
      </w:pPr>
      <w:r>
        <w:t> </w:t>
      </w:r>
    </w:p>
    <w:tbl>
      <w:tblPr>
        <w:tblW w:w="4800" w:type="pct"/>
        <w:tblCellSpacing w:w="15" w:type="dxa"/>
        <w:tblCellMar>
          <w:top w:w="15" w:type="dxa"/>
          <w:left w:w="15" w:type="dxa"/>
          <w:bottom w:w="15" w:type="dxa"/>
          <w:right w:w="15" w:type="dxa"/>
        </w:tblCellMar>
        <w:tblLook w:val="04A0" w:firstRow="1" w:lastRow="0" w:firstColumn="1" w:lastColumn="0" w:noHBand="0" w:noVBand="1"/>
      </w:tblPr>
      <w:tblGrid>
        <w:gridCol w:w="2108"/>
        <w:gridCol w:w="110"/>
        <w:gridCol w:w="160"/>
        <w:gridCol w:w="705"/>
        <w:gridCol w:w="110"/>
        <w:gridCol w:w="110"/>
        <w:gridCol w:w="110"/>
        <w:gridCol w:w="960"/>
        <w:gridCol w:w="110"/>
        <w:gridCol w:w="110"/>
        <w:gridCol w:w="110"/>
        <w:gridCol w:w="960"/>
        <w:gridCol w:w="110"/>
        <w:gridCol w:w="110"/>
        <w:gridCol w:w="160"/>
        <w:gridCol w:w="711"/>
        <w:gridCol w:w="110"/>
        <w:gridCol w:w="110"/>
        <w:gridCol w:w="160"/>
        <w:gridCol w:w="715"/>
        <w:gridCol w:w="125"/>
      </w:tblGrid>
      <w:tr w:rsidR="00000000">
        <w:trPr>
          <w:divId w:val="953904048"/>
          <w:tblCellSpacing w:w="15" w:type="dxa"/>
        </w:trPr>
        <w:tc>
          <w:tcPr>
            <w:tcW w:w="1477" w:type="pct"/>
            <w:vAlign w:val="center"/>
            <w:hideMark/>
          </w:tcPr>
          <w:p w:rsidR="00000000" w:rsidRDefault="00AF2D19">
            <w:pPr>
              <w:rPr>
                <w:sz w:val="20"/>
                <w:szCs w:val="20"/>
              </w:rPr>
            </w:pPr>
          </w:p>
        </w:tc>
        <w:tc>
          <w:tcPr>
            <w:tcW w:w="55" w:type="pct"/>
            <w:vAlign w:val="center"/>
            <w:hideMark/>
          </w:tcPr>
          <w:p w:rsidR="00000000" w:rsidRDefault="00AF2D19">
            <w:pPr>
              <w:rPr>
                <w:rFonts w:eastAsia="Times New Roman"/>
                <w:sz w:val="20"/>
                <w:szCs w:val="20"/>
              </w:rPr>
            </w:pPr>
          </w:p>
        </w:tc>
        <w:tc>
          <w:tcPr>
            <w:tcW w:w="67" w:type="pct"/>
            <w:vAlign w:val="center"/>
            <w:hideMark/>
          </w:tcPr>
          <w:p w:rsidR="00000000" w:rsidRDefault="00AF2D19">
            <w:pPr>
              <w:rPr>
                <w:rFonts w:eastAsia="Times New Roman"/>
                <w:sz w:val="20"/>
                <w:szCs w:val="20"/>
              </w:rPr>
            </w:pPr>
          </w:p>
        </w:tc>
        <w:tc>
          <w:tcPr>
            <w:tcW w:w="530"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c>
          <w:tcPr>
            <w:tcW w:w="55"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c>
          <w:tcPr>
            <w:tcW w:w="606"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c>
          <w:tcPr>
            <w:tcW w:w="55"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c>
          <w:tcPr>
            <w:tcW w:w="606"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c>
          <w:tcPr>
            <w:tcW w:w="55" w:type="pct"/>
            <w:vAlign w:val="center"/>
            <w:hideMark/>
          </w:tcPr>
          <w:p w:rsidR="00000000" w:rsidRDefault="00AF2D19">
            <w:pPr>
              <w:rPr>
                <w:rFonts w:eastAsia="Times New Roman"/>
                <w:sz w:val="20"/>
                <w:szCs w:val="20"/>
              </w:rPr>
            </w:pPr>
          </w:p>
        </w:tc>
        <w:tc>
          <w:tcPr>
            <w:tcW w:w="67" w:type="pct"/>
            <w:vAlign w:val="center"/>
            <w:hideMark/>
          </w:tcPr>
          <w:p w:rsidR="00000000" w:rsidRDefault="00AF2D19">
            <w:pPr>
              <w:rPr>
                <w:rFonts w:eastAsia="Times New Roman"/>
                <w:sz w:val="20"/>
                <w:szCs w:val="20"/>
              </w:rPr>
            </w:pPr>
          </w:p>
        </w:tc>
        <w:tc>
          <w:tcPr>
            <w:tcW w:w="534"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c>
          <w:tcPr>
            <w:tcW w:w="55" w:type="pct"/>
            <w:vAlign w:val="center"/>
            <w:hideMark/>
          </w:tcPr>
          <w:p w:rsidR="00000000" w:rsidRDefault="00AF2D19">
            <w:pPr>
              <w:rPr>
                <w:rFonts w:eastAsia="Times New Roman"/>
                <w:sz w:val="20"/>
                <w:szCs w:val="20"/>
              </w:rPr>
            </w:pPr>
          </w:p>
        </w:tc>
        <w:tc>
          <w:tcPr>
            <w:tcW w:w="67" w:type="pct"/>
            <w:vAlign w:val="center"/>
            <w:hideMark/>
          </w:tcPr>
          <w:p w:rsidR="00000000" w:rsidRDefault="00AF2D19">
            <w:pPr>
              <w:rPr>
                <w:rFonts w:eastAsia="Times New Roman"/>
                <w:sz w:val="20"/>
                <w:szCs w:val="20"/>
              </w:rPr>
            </w:pPr>
          </w:p>
        </w:tc>
        <w:tc>
          <w:tcPr>
            <w:tcW w:w="537"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r>
      <w:tr w:rsidR="00000000">
        <w:trPr>
          <w:divId w:val="953904048"/>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18"/>
            <w:vAlign w:val="bottom"/>
            <w:hideMark/>
          </w:tcPr>
          <w:p w:rsidR="00000000" w:rsidRDefault="00AF2D19">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953904048"/>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 except share and per share data</w:t>
            </w:r>
            <w:r>
              <w:rPr>
                <w:i/>
                <w:iCs/>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Issue</w:t>
            </w:r>
            <w:r>
              <w:rPr>
                <w:b/>
                <w:bCs/>
                <w:sz w:val="16"/>
                <w:szCs w:val="16"/>
              </w:rPr>
              <w:br/>
              <w:t>Pric</w:t>
            </w:r>
            <w:r>
              <w:rPr>
                <w:b/>
                <w:bCs/>
                <w:sz w:val="16"/>
                <w:szCs w:val="16"/>
              </w:rPr>
              <w:t>e</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Shares</w:t>
            </w:r>
            <w:r>
              <w:rPr>
                <w:b/>
                <w:bCs/>
                <w:sz w:val="16"/>
                <w:szCs w:val="16"/>
              </w:rPr>
              <w:br/>
              <w:t>Authorized</w:t>
            </w:r>
            <w:r>
              <w:rPr>
                <w:b/>
                <w:bCs/>
                <w:sz w:val="16"/>
                <w:szCs w:val="16"/>
              </w:rPr>
              <w:t xml:space="preserve"> </w:t>
            </w:r>
            <w:r>
              <w:rPr>
                <w:b/>
                <w:bCs/>
                <w:sz w:val="11"/>
                <w:szCs w:val="11"/>
              </w:rPr>
              <w:t>(1</w:t>
            </w:r>
            <w:r>
              <w:rPr>
                <w:b/>
                <w:bCs/>
                <w:sz w:val="11"/>
                <w:szCs w:val="11"/>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Shares</w:t>
            </w:r>
            <w:r>
              <w:rPr>
                <w:b/>
                <w:bCs/>
                <w:sz w:val="16"/>
                <w:szCs w:val="16"/>
              </w:rPr>
              <w:br/>
              <w:t>Issued and</w:t>
            </w:r>
            <w:r>
              <w:rPr>
                <w:b/>
                <w:bCs/>
                <w:sz w:val="16"/>
                <w:szCs w:val="16"/>
              </w:rPr>
              <w:br/>
              <w:t>Outstandin</w:t>
            </w:r>
            <w:r>
              <w:rPr>
                <w:b/>
                <w:bCs/>
                <w:sz w:val="16"/>
                <w:szCs w:val="16"/>
              </w:rPr>
              <w:t>g</w:t>
            </w:r>
            <w:r>
              <w:rPr>
                <w:b/>
                <w:bCs/>
                <w:sz w:val="11"/>
                <w:szCs w:val="11"/>
              </w:rPr>
              <w:t>(1</w:t>
            </w:r>
            <w:r>
              <w:rPr>
                <w:b/>
                <w:bCs/>
                <w:sz w:val="11"/>
                <w:szCs w:val="11"/>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Net</w:t>
            </w:r>
            <w:r>
              <w:rPr>
                <w:b/>
                <w:bCs/>
                <w:sz w:val="16"/>
                <w:szCs w:val="16"/>
              </w:rPr>
              <w:br/>
              <w:t>Carrying</w:t>
            </w:r>
            <w:r>
              <w:rPr>
                <w:b/>
                <w:bCs/>
                <w:sz w:val="16"/>
                <w:szCs w:val="16"/>
              </w:rPr>
              <w:br/>
              <w:t>Valu</w:t>
            </w:r>
            <w:r>
              <w:rPr>
                <w:b/>
                <w:bCs/>
                <w:sz w:val="16"/>
                <w:szCs w:val="16"/>
              </w:rPr>
              <w:t>e</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Aggregate</w:t>
            </w:r>
            <w:r>
              <w:rPr>
                <w:b/>
                <w:bCs/>
                <w:sz w:val="16"/>
                <w:szCs w:val="16"/>
              </w:rPr>
              <w:br/>
              <w:t>Liquidation</w:t>
            </w:r>
            <w:r>
              <w:rPr>
                <w:b/>
                <w:bCs/>
                <w:sz w:val="16"/>
                <w:szCs w:val="16"/>
              </w:rPr>
              <w:br/>
              <w:t>Preferenc</w:t>
            </w:r>
            <w:r>
              <w:rPr>
                <w:b/>
                <w:bCs/>
                <w:sz w:val="16"/>
                <w:szCs w:val="16"/>
              </w:rPr>
              <w:t>e</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9539040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See</w:t>
            </w:r>
            <w:r>
              <w:rPr>
                <w:sz w:val="20"/>
                <w:szCs w:val="20"/>
              </w:rPr>
              <w:t>d</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0.327</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3,895,77</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3,895,77</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1,11</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1,12</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539040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Seed-</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0.303</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8,860,18</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8,860,18</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2,34</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2,37</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539040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Seed-</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0.362</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3,755,43</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3,755,43</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1,15</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1,20</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539040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 xml:space="preserve">Series </w:t>
            </w:r>
            <w:r>
              <w:rPr>
                <w:sz w:val="20"/>
                <w:szCs w:val="20"/>
              </w:rPr>
              <w:t>A</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0.584</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18,163,16</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18,163,16</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9,31</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9,35</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539040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 xml:space="preserve">Series </w:t>
            </w:r>
            <w:r>
              <w:rPr>
                <w:sz w:val="20"/>
                <w:szCs w:val="20"/>
              </w:rPr>
              <w:t>B</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1.041</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16,718,57</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16,337,36</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14,93</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15,00</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539040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 xml:space="preserve">Series </w:t>
            </w:r>
            <w:r>
              <w:rPr>
                <w:sz w:val="20"/>
                <w:szCs w:val="20"/>
              </w:rPr>
              <w:t>C</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1.583</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22,412,14</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22,412,14</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31,22</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31,30</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539040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 xml:space="preserve">Series </w:t>
            </w:r>
            <w:r>
              <w:rPr>
                <w:sz w:val="20"/>
                <w:szCs w:val="20"/>
              </w:rPr>
              <w:t>D</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2.751</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21,903,87</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21,158,49</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51,20</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51,33</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539040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95,709,14</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94,582,55</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111,28</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111,68</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0" w:beforeAutospacing="0" w:after="0" w:afterAutospacing="0"/>
        <w:divId w:val="953904048"/>
        <w:rPr>
          <w:sz w:val="20"/>
          <w:szCs w:val="20"/>
        </w:rPr>
      </w:pPr>
      <w:r>
        <w:t> </w:t>
      </w:r>
    </w:p>
    <w:p w:rsidR="00000000" w:rsidRDefault="00AF2D19">
      <w:pPr>
        <w:divId w:val="953904048"/>
        <w:rPr>
          <w:rFonts w:eastAsia="Times New Roman"/>
        </w:rPr>
      </w:pPr>
      <w:r>
        <w:rPr>
          <w:rFonts w:eastAsia="Times New Roman"/>
          <w:sz w:val="17"/>
          <w:szCs w:val="17"/>
        </w:rPr>
        <w:t>(1</w:t>
      </w:r>
      <w:r>
        <w:rPr>
          <w:rFonts w:eastAsia="Times New Roman"/>
          <w:sz w:val="17"/>
          <w:szCs w:val="17"/>
        </w:rPr>
        <w:t>)</w:t>
      </w:r>
    </w:p>
    <w:p w:rsidR="00000000" w:rsidRDefault="00AF2D19">
      <w:pPr>
        <w:divId w:val="1747533469"/>
        <w:rPr>
          <w:rFonts w:eastAsia="Times New Roman"/>
        </w:rPr>
      </w:pPr>
      <w:r>
        <w:rPr>
          <w:rFonts w:eastAsia="Times New Roman"/>
          <w:sz w:val="17"/>
          <w:szCs w:val="17"/>
        </w:rPr>
        <w:t>Shares authorized and shares issued and outstanding have been adjusted to reflect the exchange of Old Talkspace’s common stock for Talkspace’s common stock at an exchange ratio of approximately</w:t>
      </w:r>
      <w:r>
        <w:rPr>
          <w:rFonts w:eastAsia="Times New Roman"/>
          <w:sz w:val="17"/>
          <w:szCs w:val="17"/>
        </w:rPr>
        <w:t xml:space="preserve"> </w:t>
      </w:r>
      <w:r>
        <w:rPr>
          <w:rFonts w:eastAsia="Times New Roman"/>
          <w:sz w:val="17"/>
          <w:szCs w:val="17"/>
        </w:rPr>
        <w:t>1.13414</w:t>
      </w:r>
      <w:r>
        <w:rPr>
          <w:rFonts w:eastAsia="Times New Roman"/>
          <w:sz w:val="17"/>
          <w:szCs w:val="17"/>
        </w:rPr>
        <w:t>0</w:t>
      </w:r>
      <w:r>
        <w:rPr>
          <w:rFonts w:eastAsia="Times New Roman"/>
          <w:sz w:val="17"/>
          <w:szCs w:val="17"/>
        </w:rPr>
        <w:t xml:space="preserve"> in June 2021 as a result of the Business Combination.</w:t>
      </w:r>
      <w:r>
        <w:rPr>
          <w:rFonts w:eastAsia="Times New Roman"/>
          <w:sz w:val="17"/>
          <w:szCs w:val="17"/>
        </w:rPr>
        <w:t xml:space="preserve"> See Note 3, “Business Combination” in the notes to the consolidated financial statements for further details</w:t>
      </w:r>
      <w:r>
        <w:rPr>
          <w:rFonts w:eastAsia="Times New Roman"/>
          <w:sz w:val="17"/>
          <w:szCs w:val="17"/>
        </w:rPr>
        <w:t>.</w:t>
      </w:r>
    </w:p>
    <w:p w:rsidR="00000000" w:rsidRDefault="00AF2D19">
      <w:pPr>
        <w:pStyle w:val="a3"/>
        <w:spacing w:before="240" w:beforeAutospacing="0" w:after="0" w:afterAutospacing="0"/>
        <w:jc w:val="both"/>
        <w:divId w:val="1691030806"/>
        <w:rPr>
          <w:sz w:val="20"/>
          <w:szCs w:val="20"/>
        </w:rPr>
      </w:pPr>
      <w:r>
        <w:rPr>
          <w:sz w:val="20"/>
          <w:szCs w:val="20"/>
        </w:rPr>
        <w:t>The terms for the preferred stock provided that each share shall automatically be converted into shares of common stock at the then effective con</w:t>
      </w:r>
      <w:r>
        <w:rPr>
          <w:sz w:val="20"/>
          <w:szCs w:val="20"/>
        </w:rPr>
        <w:t xml:space="preserve">version price for such share immediately upon either (i) the closing of the sale of shares of common stock to the public at a price of at least </w:t>
      </w:r>
      <w:r>
        <w:rPr>
          <w:sz w:val="20"/>
          <w:szCs w:val="20"/>
        </w:rPr>
        <w:t>$</w:t>
      </w:r>
      <w:r>
        <w:rPr>
          <w:sz w:val="20"/>
          <w:szCs w:val="20"/>
        </w:rPr>
        <w:t>4.815</w:t>
      </w:r>
      <w:r>
        <w:rPr>
          <w:sz w:val="20"/>
          <w:szCs w:val="20"/>
        </w:rPr>
        <w:t>1</w:t>
      </w:r>
      <w:r>
        <w:rPr>
          <w:sz w:val="20"/>
          <w:szCs w:val="20"/>
        </w:rPr>
        <w:t xml:space="preserve"> per share (before deduction of the underwriting discount and commissions and subject to appropriate adju</w:t>
      </w:r>
      <w:r>
        <w:rPr>
          <w:sz w:val="20"/>
          <w:szCs w:val="20"/>
        </w:rPr>
        <w:t xml:space="preserve">stments), in a firm-commitment underwritten public offering pursuant to an effective registration statement under the Securities Act of 1933, as amended, resulting in at least </w:t>
      </w:r>
      <w:r>
        <w:rPr>
          <w:sz w:val="20"/>
          <w:szCs w:val="20"/>
        </w:rPr>
        <w:t>$</w:t>
      </w:r>
      <w:r>
        <w:rPr>
          <w:sz w:val="20"/>
          <w:szCs w:val="20"/>
        </w:rPr>
        <w:t>50.</w:t>
      </w:r>
      <w:r>
        <w:rPr>
          <w:sz w:val="20"/>
          <w:szCs w:val="20"/>
        </w:rPr>
        <w:t>0</w:t>
      </w:r>
      <w:r>
        <w:rPr>
          <w:sz w:val="20"/>
          <w:szCs w:val="20"/>
        </w:rPr>
        <w:t xml:space="preserve"> million of proceeds, before deduction of the underwriting discount and com</w:t>
      </w:r>
      <w:r>
        <w:rPr>
          <w:sz w:val="20"/>
          <w:szCs w:val="20"/>
        </w:rPr>
        <w:t xml:space="preserve">missions, to the Company, (ii) the closing of the sale of shares of common stock to the public in a firm commitment underwritten public offering pursuant to an effective registration statement under the Securities Act of 1933, as amended, that is approved </w:t>
      </w:r>
      <w:r>
        <w:rPr>
          <w:sz w:val="20"/>
          <w:szCs w:val="20"/>
        </w:rPr>
        <w:t>by the holders of at least a majority of the then outstanding shares of senior preferred stock, which shall include the holders of</w:t>
      </w:r>
      <w:r>
        <w:rPr>
          <w:sz w:val="20"/>
          <w:szCs w:val="20"/>
        </w:rPr>
        <w:t xml:space="preserve"> </w:t>
      </w:r>
      <w:r>
        <w:rPr>
          <w:sz w:val="20"/>
          <w:szCs w:val="20"/>
        </w:rPr>
        <w:t>5</w:t>
      </w:r>
      <w:r>
        <w:rPr>
          <w:sz w:val="20"/>
          <w:szCs w:val="20"/>
        </w:rPr>
        <w:t>5</w:t>
      </w:r>
      <w:r>
        <w:rPr>
          <w:sz w:val="20"/>
          <w:szCs w:val="20"/>
        </w:rPr>
        <w:t>% of the outstanding shares of series D preferred stock, or (iii) the affirmative vote or written consent of the holders of</w:t>
      </w:r>
      <w:r>
        <w:rPr>
          <w:sz w:val="20"/>
          <w:szCs w:val="20"/>
        </w:rPr>
        <w:t xml:space="preserve"> at least a majority of the then outstanding shares of senior preferred stock, voting together as a single class and on an as-converted basis, which (A) shall include the holders of a majority of the outstanding shares of each of the series C preferred sto</w:t>
      </w:r>
      <w:r>
        <w:rPr>
          <w:sz w:val="20"/>
          <w:szCs w:val="20"/>
        </w:rPr>
        <w:t>ck and series D preferred stock, if such conversion is not made in connection with a deemed liquidation event, and (B) shall include the holders of at least</w:t>
      </w:r>
      <w:r>
        <w:rPr>
          <w:sz w:val="20"/>
          <w:szCs w:val="20"/>
        </w:rPr>
        <w:t xml:space="preserve"> </w:t>
      </w:r>
      <w:r>
        <w:rPr>
          <w:sz w:val="20"/>
          <w:szCs w:val="20"/>
        </w:rPr>
        <w:t>7</w:t>
      </w:r>
      <w:r>
        <w:rPr>
          <w:sz w:val="20"/>
          <w:szCs w:val="20"/>
        </w:rPr>
        <w:t>0</w:t>
      </w:r>
      <w:r>
        <w:rPr>
          <w:sz w:val="20"/>
          <w:szCs w:val="20"/>
        </w:rPr>
        <w:t>% of the outstanding shares of series C preferred stock and the holders of</w:t>
      </w:r>
      <w:r>
        <w:rPr>
          <w:sz w:val="20"/>
          <w:szCs w:val="20"/>
        </w:rPr>
        <w:t xml:space="preserve"> </w:t>
      </w:r>
      <w:r>
        <w:rPr>
          <w:sz w:val="20"/>
          <w:szCs w:val="20"/>
        </w:rPr>
        <w:t>5</w:t>
      </w:r>
      <w:r>
        <w:rPr>
          <w:sz w:val="20"/>
          <w:szCs w:val="20"/>
        </w:rPr>
        <w:t>5</w:t>
      </w:r>
      <w:r>
        <w:rPr>
          <w:sz w:val="20"/>
          <w:szCs w:val="20"/>
        </w:rPr>
        <w:t>% of the outstanding</w:t>
      </w:r>
      <w:r>
        <w:rPr>
          <w:sz w:val="20"/>
          <w:szCs w:val="20"/>
        </w:rPr>
        <w:t xml:space="preserve"> shares of series D preferred stock, if such conversion is made in connection with a deemed liquidation event</w:t>
      </w:r>
      <w:r>
        <w:rPr>
          <w:sz w:val="20"/>
          <w:szCs w:val="20"/>
        </w:rPr>
        <w:t>.</w:t>
      </w:r>
    </w:p>
    <w:p w:rsidR="00000000" w:rsidRDefault="00AF2D19">
      <w:pPr>
        <w:pStyle w:val="a3"/>
        <w:spacing w:before="120" w:beforeAutospacing="0" w:after="0" w:afterAutospacing="0"/>
        <w:jc w:val="both"/>
        <w:divId w:val="1691030806"/>
        <w:rPr>
          <w:sz w:val="20"/>
          <w:szCs w:val="20"/>
        </w:rPr>
      </w:pPr>
      <w:r>
        <w:rPr>
          <w:sz w:val="20"/>
          <w:szCs w:val="20"/>
        </w:rPr>
        <w:t>As a result of the Business Combination, all of the shares of preferred stock were converted into common stock</w:t>
      </w:r>
      <w:r>
        <w:rPr>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9</w:t>
      </w:r>
      <w:r>
        <w:rPr>
          <w:sz w:val="20"/>
          <w:szCs w:val="20"/>
        </w:rPr>
        <w:t>2</w:t>
      </w:r>
    </w:p>
    <w:p w:rsidR="00000000" w:rsidRDefault="00AF2D19">
      <w:pPr>
        <w:rPr>
          <w:rFonts w:eastAsia="Times New Roman"/>
        </w:rPr>
      </w:pPr>
      <w:r>
        <w:rPr>
          <w:rFonts w:eastAsia="Times New Roman"/>
        </w:rPr>
        <w:pict>
          <v:rect id="_x0000_i112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360" w:beforeAutospacing="0" w:after="0" w:afterAutospacing="0"/>
        <w:divId w:val="842085126"/>
        <w:rPr>
          <w:sz w:val="20"/>
          <w:szCs w:val="20"/>
        </w:rPr>
      </w:pPr>
      <w:r>
        <w:rPr>
          <w:b/>
          <w:bCs/>
          <w:sz w:val="20"/>
          <w:szCs w:val="20"/>
        </w:rPr>
        <w:t>NOTE 12. PROPERTY AND EQUIPMENT, NE</w:t>
      </w:r>
      <w:r>
        <w:rPr>
          <w:b/>
          <w:bCs/>
          <w:sz w:val="20"/>
          <w:szCs w:val="20"/>
        </w:rPr>
        <w:t>T</w:t>
      </w:r>
    </w:p>
    <w:p w:rsidR="00000000" w:rsidRDefault="00AF2D19">
      <w:pPr>
        <w:pStyle w:val="a3"/>
        <w:spacing w:before="0" w:beforeAutospacing="0" w:after="0" w:afterAutospacing="0"/>
        <w:divId w:val="842085126"/>
        <w:rPr>
          <w:sz w:val="20"/>
          <w:szCs w:val="20"/>
        </w:rPr>
      </w:pPr>
      <w:r>
        <w:rPr>
          <w:sz w:val="12"/>
          <w:szCs w:val="12"/>
        </w:rPr>
        <w:t> </w:t>
      </w:r>
    </w:p>
    <w:p w:rsidR="00000000" w:rsidRDefault="00AF2D19">
      <w:pPr>
        <w:pStyle w:val="a3"/>
        <w:spacing w:before="0" w:beforeAutospacing="0" w:after="0" w:afterAutospacing="0"/>
        <w:jc w:val="both"/>
        <w:divId w:val="727068383"/>
        <w:rPr>
          <w:sz w:val="20"/>
          <w:szCs w:val="20"/>
        </w:rPr>
      </w:pPr>
      <w:r>
        <w:rPr>
          <w:sz w:val="20"/>
          <w:szCs w:val="20"/>
        </w:rPr>
        <w:t>Property and equipment, net consist of the following</w:t>
      </w:r>
      <w:r>
        <w:rPr>
          <w:sz w:val="20"/>
          <w:szCs w:val="20"/>
        </w:rPr>
        <w:t>:</w:t>
      </w:r>
    </w:p>
    <w:p w:rsidR="00000000" w:rsidRDefault="00AF2D19">
      <w:pPr>
        <w:pStyle w:val="a3"/>
        <w:spacing w:before="0" w:beforeAutospacing="0" w:after="0" w:afterAutospacing="0"/>
        <w:divId w:val="727068383"/>
        <w:rPr>
          <w:sz w:val="20"/>
          <w:szCs w:val="20"/>
        </w:rPr>
      </w:pPr>
      <w:r>
        <w:t>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6033"/>
        <w:gridCol w:w="110"/>
        <w:gridCol w:w="160"/>
        <w:gridCol w:w="691"/>
        <w:gridCol w:w="127"/>
        <w:gridCol w:w="110"/>
        <w:gridCol w:w="160"/>
        <w:gridCol w:w="690"/>
        <w:gridCol w:w="142"/>
      </w:tblGrid>
      <w:tr w:rsidR="00000000">
        <w:trPr>
          <w:divId w:val="727068383"/>
          <w:tblCellSpacing w:w="15" w:type="dxa"/>
        </w:trPr>
        <w:tc>
          <w:tcPr>
            <w:tcW w:w="3799" w:type="pct"/>
            <w:vAlign w:val="center"/>
            <w:hideMark/>
          </w:tcPr>
          <w:p w:rsidR="00000000" w:rsidRDefault="00AF2D19">
            <w:pPr>
              <w:rPr>
                <w:sz w:val="20"/>
                <w:szCs w:val="20"/>
              </w:rPr>
            </w:pPr>
          </w:p>
        </w:tc>
        <w:tc>
          <w:tcPr>
            <w:tcW w:w="50"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441" w:type="pct"/>
            <w:vAlign w:val="center"/>
            <w:hideMark/>
          </w:tcPr>
          <w:p w:rsidR="00000000" w:rsidRDefault="00AF2D19">
            <w:pPr>
              <w:rPr>
                <w:rFonts w:eastAsia="Times New Roman"/>
                <w:sz w:val="20"/>
                <w:szCs w:val="20"/>
              </w:rPr>
            </w:pPr>
          </w:p>
        </w:tc>
        <w:tc>
          <w:tcPr>
            <w:tcW w:w="43" w:type="pct"/>
            <w:vAlign w:val="center"/>
            <w:hideMark/>
          </w:tcPr>
          <w:p w:rsidR="00000000" w:rsidRDefault="00AF2D19">
            <w:pPr>
              <w:rPr>
                <w:rFonts w:eastAsia="Times New Roman"/>
                <w:sz w:val="20"/>
                <w:szCs w:val="20"/>
              </w:rPr>
            </w:pPr>
          </w:p>
        </w:tc>
        <w:tc>
          <w:tcPr>
            <w:tcW w:w="50"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440" w:type="pct"/>
            <w:vAlign w:val="center"/>
            <w:hideMark/>
          </w:tcPr>
          <w:p w:rsidR="00000000" w:rsidRDefault="00AF2D19">
            <w:pPr>
              <w:rPr>
                <w:rFonts w:eastAsia="Times New Roman"/>
                <w:sz w:val="20"/>
                <w:szCs w:val="20"/>
              </w:rPr>
            </w:pPr>
          </w:p>
        </w:tc>
        <w:tc>
          <w:tcPr>
            <w:tcW w:w="43" w:type="pct"/>
            <w:vAlign w:val="center"/>
            <w:hideMark/>
          </w:tcPr>
          <w:p w:rsidR="00000000" w:rsidRDefault="00AF2D19">
            <w:pPr>
              <w:rPr>
                <w:rFonts w:eastAsia="Times New Roman"/>
                <w:sz w:val="20"/>
                <w:szCs w:val="20"/>
              </w:rPr>
            </w:pPr>
          </w:p>
        </w:tc>
      </w:tr>
      <w:tr w:rsidR="00000000">
        <w:trPr>
          <w:divId w:val="727068383"/>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F2D19">
            <w:pPr>
              <w:pStyle w:val="a3"/>
              <w:spacing w:before="0" w:beforeAutospacing="0" w:after="0" w:afterAutospacing="0"/>
              <w:jc w:val="center"/>
              <w:rPr>
                <w:sz w:val="16"/>
                <w:szCs w:val="16"/>
              </w:rPr>
            </w:pPr>
            <w:r>
              <w:rPr>
                <w:b/>
                <w:bCs/>
                <w:sz w:val="16"/>
                <w:szCs w:val="16"/>
              </w:rPr>
              <w:t>As of 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727068383"/>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727068383"/>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Computer equipment and softwar</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92</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26</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727068383"/>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30</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8</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r>
      <w:tr w:rsidR="00000000">
        <w:trPr>
          <w:divId w:val="727068383"/>
          <w:trHeight w:val="200"/>
          <w:tblCellSpacing w:w="15" w:type="dxa"/>
        </w:trPr>
        <w:tc>
          <w:tcPr>
            <w:tcW w:w="0" w:type="auto"/>
            <w:vAlign w:val="bottom"/>
            <w:hideMark/>
          </w:tcPr>
          <w:p w:rsidR="00000000" w:rsidRDefault="00AF2D19">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62</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17</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120" w:beforeAutospacing="0" w:after="0" w:afterAutospacing="0"/>
        <w:jc w:val="both"/>
        <w:divId w:val="842085126"/>
        <w:rPr>
          <w:sz w:val="20"/>
          <w:szCs w:val="20"/>
        </w:rPr>
      </w:pPr>
      <w:r>
        <w:rPr>
          <w:sz w:val="20"/>
          <w:szCs w:val="20"/>
        </w:rPr>
        <w:t xml:space="preserve">Depreciation expense, included in general and administrative expense in the consolidated statement of operations and comprehensive loss, was </w:t>
      </w:r>
      <w:r>
        <w:rPr>
          <w:sz w:val="20"/>
          <w:szCs w:val="20"/>
        </w:rPr>
        <w:t>$</w:t>
      </w:r>
      <w:r>
        <w:rPr>
          <w:sz w:val="20"/>
          <w:szCs w:val="20"/>
        </w:rPr>
        <w:t>0.</w:t>
      </w:r>
      <w:r>
        <w:rPr>
          <w:sz w:val="20"/>
          <w:szCs w:val="20"/>
        </w:rPr>
        <w:t>2</w:t>
      </w:r>
      <w:r>
        <w:rPr>
          <w:sz w:val="20"/>
          <w:szCs w:val="20"/>
        </w:rPr>
        <w:t xml:space="preserve"> million, </w:t>
      </w:r>
      <w:r>
        <w:rPr>
          <w:sz w:val="20"/>
          <w:szCs w:val="20"/>
        </w:rPr>
        <w:t>$</w:t>
      </w:r>
      <w:r>
        <w:rPr>
          <w:sz w:val="20"/>
          <w:szCs w:val="20"/>
        </w:rPr>
        <w:t>0.</w:t>
      </w:r>
      <w:r>
        <w:rPr>
          <w:sz w:val="20"/>
          <w:szCs w:val="20"/>
        </w:rPr>
        <w:t>1</w:t>
      </w:r>
      <w:r>
        <w:rPr>
          <w:sz w:val="20"/>
          <w:szCs w:val="20"/>
        </w:rPr>
        <w:t xml:space="preserve"> million and </w:t>
      </w:r>
      <w:r>
        <w:rPr>
          <w:sz w:val="20"/>
          <w:szCs w:val="20"/>
        </w:rPr>
        <w:t>$</w:t>
      </w:r>
      <w:r>
        <w:rPr>
          <w:sz w:val="20"/>
          <w:szCs w:val="20"/>
        </w:rPr>
        <w:t>0.</w:t>
      </w:r>
      <w:r>
        <w:rPr>
          <w:sz w:val="20"/>
          <w:szCs w:val="20"/>
        </w:rPr>
        <w:t>1</w:t>
      </w:r>
      <w:r>
        <w:rPr>
          <w:sz w:val="20"/>
          <w:szCs w:val="20"/>
        </w:rPr>
        <w:t xml:space="preserve"> million for the years ended December 31, 2021, 2020 and 2019, respectively</w:t>
      </w:r>
      <w:r>
        <w:rPr>
          <w:sz w:val="20"/>
          <w:szCs w:val="20"/>
        </w:rPr>
        <w:t>.</w:t>
      </w:r>
    </w:p>
    <w:p w:rsidR="00000000" w:rsidRDefault="00AF2D19">
      <w:pPr>
        <w:pStyle w:val="a3"/>
        <w:spacing w:before="360" w:beforeAutospacing="0" w:after="0" w:afterAutospacing="0"/>
        <w:divId w:val="1902405851"/>
        <w:rPr>
          <w:sz w:val="20"/>
          <w:szCs w:val="20"/>
        </w:rPr>
      </w:pPr>
      <w:r>
        <w:rPr>
          <w:b/>
          <w:bCs/>
          <w:sz w:val="20"/>
          <w:szCs w:val="20"/>
        </w:rPr>
        <w:t>NOTE 13</w:t>
      </w:r>
      <w:r>
        <w:rPr>
          <w:b/>
          <w:bCs/>
          <w:sz w:val="20"/>
          <w:szCs w:val="20"/>
        </w:rPr>
        <w:t>.</w:t>
      </w:r>
      <w:r>
        <w:rPr>
          <w:b/>
          <w:bCs/>
        </w:rPr>
        <w:t xml:space="preserve"> </w:t>
      </w:r>
      <w:r>
        <w:rPr>
          <w:b/>
          <w:bCs/>
          <w:sz w:val="20"/>
          <w:szCs w:val="20"/>
        </w:rPr>
        <w:t>SHARE-BASED COMPENSATIO</w:t>
      </w:r>
      <w:r>
        <w:rPr>
          <w:b/>
          <w:bCs/>
          <w:sz w:val="20"/>
          <w:szCs w:val="20"/>
        </w:rPr>
        <w:t>N</w:t>
      </w:r>
    </w:p>
    <w:p w:rsidR="00000000" w:rsidRDefault="00AF2D19">
      <w:pPr>
        <w:pStyle w:val="a3"/>
        <w:spacing w:before="120" w:beforeAutospacing="0" w:after="0" w:afterAutospacing="0"/>
        <w:jc w:val="both"/>
        <w:divId w:val="1902405851"/>
        <w:rPr>
          <w:sz w:val="20"/>
          <w:szCs w:val="20"/>
        </w:rPr>
      </w:pPr>
      <w:r>
        <w:rPr>
          <w:sz w:val="20"/>
          <w:szCs w:val="20"/>
        </w:rPr>
        <w:t>The Company adopted the 2014 Stock Incentive Plan (the “2014 Plan”) pursuant to which incentive and nonqualified stock options and stock purchase rights to purchase the Company’s common stock may be granted to officers, em</w:t>
      </w:r>
      <w:r>
        <w:rPr>
          <w:sz w:val="20"/>
          <w:szCs w:val="20"/>
        </w:rPr>
        <w:t>ployees, directors, consultants and service providers</w:t>
      </w:r>
      <w:r>
        <w:rPr>
          <w:sz w:val="20"/>
          <w:szCs w:val="20"/>
        </w:rPr>
        <w:t>.</w:t>
      </w:r>
      <w:r>
        <w:rPr>
          <w:sz w:val="20"/>
          <w:szCs w:val="20"/>
        </w:rPr>
        <w:t xml:space="preserve"> </w:t>
      </w:r>
    </w:p>
    <w:p w:rsidR="00000000" w:rsidRDefault="00AF2D19">
      <w:pPr>
        <w:pStyle w:val="a3"/>
        <w:spacing w:before="120" w:beforeAutospacing="0" w:after="0" w:afterAutospacing="0"/>
        <w:jc w:val="both"/>
        <w:divId w:val="1902405851"/>
        <w:rPr>
          <w:sz w:val="20"/>
          <w:szCs w:val="20"/>
        </w:rPr>
      </w:pPr>
      <w:r>
        <w:rPr>
          <w:sz w:val="20"/>
          <w:szCs w:val="20"/>
        </w:rPr>
        <w:t>In connection with the closing of the Business Combination, the Company adopted the 2021 Incentive Award Plan (the “2021 Plan”) under which the Company may grant cash and equity incentive awards to el</w:t>
      </w:r>
      <w:r>
        <w:rPr>
          <w:sz w:val="20"/>
          <w:szCs w:val="20"/>
        </w:rPr>
        <w:t>igible service providers in order to attract, motivate and retain the talent. In connection with the effectiveness of the 2021 Plan, no further awards will be granted under the 2014 Plan. Employees, consultants and directors of the Company, and employees a</w:t>
      </w:r>
      <w:r>
        <w:rPr>
          <w:sz w:val="20"/>
          <w:szCs w:val="20"/>
        </w:rPr>
        <w:t>nd consultants of its subsidiaries, are eligible to receive awards under the 2021 Plan</w:t>
      </w:r>
      <w:r>
        <w:rPr>
          <w:sz w:val="20"/>
          <w:szCs w:val="20"/>
        </w:rPr>
        <w:t>.</w:t>
      </w:r>
    </w:p>
    <w:p w:rsidR="00000000" w:rsidRDefault="00AF2D19">
      <w:pPr>
        <w:pStyle w:val="a3"/>
        <w:spacing w:before="120" w:beforeAutospacing="0" w:after="0" w:afterAutospacing="0"/>
        <w:jc w:val="both"/>
        <w:divId w:val="1902405851"/>
        <w:rPr>
          <w:sz w:val="20"/>
          <w:szCs w:val="20"/>
        </w:rPr>
      </w:pPr>
      <w:r>
        <w:rPr>
          <w:sz w:val="20"/>
          <w:szCs w:val="20"/>
        </w:rPr>
        <w:t>The 2021 Plan is administered by the Company’s board of directors, which may delegate its duties and responsibilities to one or more committees of the Company’s directo</w:t>
      </w:r>
      <w:r>
        <w:rPr>
          <w:sz w:val="20"/>
          <w:szCs w:val="20"/>
        </w:rPr>
        <w:t>rs and/or officers (referred to collectively as the “plan administrator”), subject to the limitations imposed under the 2021 Plan, Section 16 of the Securities Exchange Act of 1934, as amended, stock exchange rules and other applicable laws. The plan admin</w:t>
      </w:r>
      <w:r>
        <w:rPr>
          <w:sz w:val="20"/>
          <w:szCs w:val="20"/>
        </w:rPr>
        <w:t>istrator has the authority to take all actions and make all determinations under the 2021 Plan, to interpret the 2021 Plan and award agreements and to adopt, amend and repeal rules for the administration of the 2021 Plan as it deems advisable. The plan adm</w:t>
      </w:r>
      <w:r>
        <w:rPr>
          <w:sz w:val="20"/>
          <w:szCs w:val="20"/>
        </w:rPr>
        <w:t>inistrator also has the authority to determine which eligible service providers receive awards, grant awards and set the terms and conditions of all awards under the 2021 Plan, including any vesting and vesting acceleration provisions, subject to the condi</w:t>
      </w:r>
      <w:r>
        <w:rPr>
          <w:sz w:val="20"/>
          <w:szCs w:val="20"/>
        </w:rPr>
        <w:t>tions and limitations in the 2021 Plan</w:t>
      </w:r>
      <w:r>
        <w:rPr>
          <w:sz w:val="20"/>
          <w:szCs w:val="20"/>
        </w:rPr>
        <w:t>.</w:t>
      </w:r>
    </w:p>
    <w:p w:rsidR="00000000" w:rsidRDefault="00AF2D19">
      <w:pPr>
        <w:pStyle w:val="a3"/>
        <w:spacing w:before="120" w:beforeAutospacing="0" w:after="0" w:afterAutospacing="0"/>
        <w:jc w:val="both"/>
        <w:divId w:val="1902405851"/>
        <w:rPr>
          <w:sz w:val="20"/>
          <w:szCs w:val="20"/>
        </w:rPr>
      </w:pPr>
      <w:r>
        <w:rPr>
          <w:sz w:val="20"/>
          <w:szCs w:val="20"/>
        </w:rPr>
        <w:t>An aggregat</w:t>
      </w:r>
      <w:r>
        <w:rPr>
          <w:sz w:val="20"/>
          <w:szCs w:val="20"/>
        </w:rPr>
        <w:t>e</w:t>
      </w:r>
      <w:r>
        <w:rPr>
          <w:sz w:val="20"/>
          <w:szCs w:val="20"/>
        </w:rPr>
        <w:t xml:space="preserve"> of</w:t>
      </w:r>
      <w:r>
        <w:rPr>
          <w:sz w:val="20"/>
          <w:szCs w:val="20"/>
        </w:rPr>
        <w:t xml:space="preserve"> </w:t>
      </w:r>
      <w:r>
        <w:rPr>
          <w:sz w:val="20"/>
          <w:szCs w:val="20"/>
        </w:rPr>
        <w:t>15,875,57</w:t>
      </w:r>
      <w:r>
        <w:rPr>
          <w:sz w:val="20"/>
          <w:szCs w:val="20"/>
        </w:rPr>
        <w:t>4</w:t>
      </w:r>
      <w:r>
        <w:rPr>
          <w:sz w:val="20"/>
          <w:szCs w:val="20"/>
        </w:rPr>
        <w:t xml:space="preserve"> shares of Tal</w:t>
      </w:r>
      <w:r>
        <w:rPr>
          <w:sz w:val="20"/>
          <w:szCs w:val="20"/>
        </w:rPr>
        <w:t>k</w:t>
      </w:r>
      <w:r>
        <w:rPr>
          <w:sz w:val="20"/>
          <w:szCs w:val="20"/>
        </w:rPr>
        <w:t>space common stock were available for issuance under the 2021 Plan. The maximum number of shares of Talkspace common stock that may be issued pursuant to the exercise of incen</w:t>
      </w:r>
      <w:r>
        <w:rPr>
          <w:sz w:val="20"/>
          <w:szCs w:val="20"/>
        </w:rPr>
        <w:t>tive stock options granted under the 2021 Plan is</w:t>
      </w:r>
      <w:r>
        <w:rPr>
          <w:sz w:val="20"/>
          <w:szCs w:val="20"/>
        </w:rPr>
        <w:t xml:space="preserve"> </w:t>
      </w:r>
      <w:r>
        <w:rPr>
          <w:sz w:val="20"/>
          <w:szCs w:val="20"/>
        </w:rPr>
        <w:t>100,000,00</w:t>
      </w:r>
      <w:r>
        <w:rPr>
          <w:sz w:val="20"/>
          <w:szCs w:val="20"/>
        </w:rPr>
        <w:t>0</w:t>
      </w:r>
      <w:r>
        <w:rPr>
          <w:sz w:val="20"/>
          <w:szCs w:val="20"/>
        </w:rPr>
        <w:t xml:space="preserve">. The aggregate share limit under the 2021 Plan is subject to an annual increase on the first day of each calendar year beginning January 1, 2022 and ending on and including January 1, 2031 by a </w:t>
      </w:r>
      <w:r>
        <w:rPr>
          <w:sz w:val="20"/>
          <w:szCs w:val="20"/>
        </w:rPr>
        <w:t>number of shares equal to the lesser of (i) a number equal to</w:t>
      </w:r>
      <w:r>
        <w:rPr>
          <w:sz w:val="20"/>
          <w:szCs w:val="20"/>
        </w:rPr>
        <w:t xml:space="preserve"> </w:t>
      </w:r>
      <w:r>
        <w:rPr>
          <w:sz w:val="20"/>
          <w:szCs w:val="20"/>
        </w:rPr>
        <w:t>5</w:t>
      </w:r>
      <w:r>
        <w:rPr>
          <w:sz w:val="20"/>
          <w:szCs w:val="20"/>
        </w:rPr>
        <w:t xml:space="preserve">% of the aggregate number of shares of Talkspace common stock outstanding on the final day of the immediately preceding calendar year and (ii) such smaller number of shares of Talkspace common </w:t>
      </w:r>
      <w:r>
        <w:rPr>
          <w:sz w:val="20"/>
          <w:szCs w:val="20"/>
        </w:rPr>
        <w:t>stock as is determined by the Talkspace board of directors.</w:t>
      </w:r>
      <w:r>
        <w:rPr>
          <w:sz w:val="20"/>
          <w:szCs w:val="20"/>
        </w:rPr>
        <w:t xml:space="preserve"> </w:t>
      </w:r>
      <w:r>
        <w:rPr>
          <w:sz w:val="20"/>
          <w:szCs w:val="20"/>
        </w:rPr>
        <w:t>As of December 31, 2021, the number of shares available under the 2021 Plan but not yet awarded, was</w:t>
      </w:r>
      <w:r>
        <w:rPr>
          <w:sz w:val="20"/>
          <w:szCs w:val="20"/>
        </w:rPr>
        <w:t xml:space="preserve"> </w:t>
      </w:r>
      <w:r>
        <w:rPr>
          <w:sz w:val="20"/>
          <w:szCs w:val="20"/>
        </w:rPr>
        <w:t>8,806,53</w:t>
      </w:r>
      <w:r>
        <w:rPr>
          <w:sz w:val="20"/>
          <w:szCs w:val="20"/>
        </w:rPr>
        <w:t>4</w:t>
      </w:r>
      <w:r>
        <w:rPr>
          <w:sz w:val="20"/>
          <w:szCs w:val="20"/>
        </w:rPr>
        <w:t>.</w:t>
      </w:r>
    </w:p>
    <w:p w:rsidR="00000000" w:rsidRDefault="00AF2D19">
      <w:pPr>
        <w:pStyle w:val="a3"/>
        <w:spacing w:before="120" w:beforeAutospacing="0" w:after="0" w:afterAutospacing="0"/>
        <w:jc w:val="both"/>
        <w:divId w:val="1902405851"/>
        <w:rPr>
          <w:sz w:val="20"/>
          <w:szCs w:val="20"/>
        </w:rPr>
      </w:pPr>
      <w:r>
        <w:rPr>
          <w:sz w:val="20"/>
          <w:szCs w:val="20"/>
        </w:rPr>
        <w:t>In connection with the closing of the Business Combination, the Company also adopted</w:t>
      </w:r>
      <w:r>
        <w:rPr>
          <w:sz w:val="20"/>
          <w:szCs w:val="20"/>
        </w:rPr>
        <w:t xml:space="preserve"> the 2021 Employee Stock Purchase Plan (the “2021 ESPP”) under which employees of Talkspace and its participating subsidiaries are provided with the opportunity to purchase Talkspace common stock at a discount through accumulated payroll deductions during </w:t>
      </w:r>
      <w:r>
        <w:rPr>
          <w:sz w:val="20"/>
          <w:szCs w:val="20"/>
        </w:rPr>
        <w:t>successive offering periods</w:t>
      </w:r>
      <w:r>
        <w:rPr>
          <w:sz w:val="20"/>
          <w:szCs w:val="20"/>
        </w:rPr>
        <w:t>.</w:t>
      </w:r>
    </w:p>
    <w:p w:rsidR="00000000" w:rsidRDefault="00AF2D19">
      <w:pPr>
        <w:pStyle w:val="a3"/>
        <w:spacing w:before="120" w:beforeAutospacing="0" w:after="0" w:afterAutospacing="0"/>
        <w:jc w:val="both"/>
        <w:divId w:val="1902405851"/>
        <w:rPr>
          <w:sz w:val="20"/>
          <w:szCs w:val="20"/>
        </w:rPr>
      </w:pPr>
      <w:r>
        <w:rPr>
          <w:sz w:val="20"/>
          <w:szCs w:val="20"/>
        </w:rPr>
        <w:t>The 2021 ESPP is administered by the compensation committee of the Company’s board of directors (referred to collectively as the “plan administrator”). The plan administrator has the authority to take all actions and make all d</w:t>
      </w:r>
      <w:r>
        <w:rPr>
          <w:sz w:val="20"/>
          <w:szCs w:val="20"/>
        </w:rPr>
        <w:t>eterminations under the 2021 ESPP, to interpret the 2021 ESPP and to adopt, amend and repeal rules for the administration of the 2021 ESPP as it deems advisable</w:t>
      </w:r>
      <w:r>
        <w:rPr>
          <w:sz w:val="20"/>
          <w:szCs w:val="20"/>
        </w:rPr>
        <w:t>.</w:t>
      </w:r>
    </w:p>
    <w:p w:rsidR="00000000" w:rsidRDefault="00AF2D19">
      <w:pPr>
        <w:pStyle w:val="a3"/>
        <w:spacing w:before="120" w:beforeAutospacing="0" w:after="0" w:afterAutospacing="0"/>
        <w:jc w:val="both"/>
        <w:divId w:val="1902405851"/>
        <w:rPr>
          <w:sz w:val="20"/>
          <w:szCs w:val="20"/>
        </w:rPr>
      </w:pPr>
      <w:r>
        <w:rPr>
          <w:sz w:val="20"/>
          <w:szCs w:val="20"/>
        </w:rPr>
        <w:t>As of December 31, 2021, an aggregate of</w:t>
      </w:r>
      <w:r>
        <w:rPr>
          <w:sz w:val="20"/>
          <w:szCs w:val="20"/>
        </w:rPr>
        <w:t xml:space="preserve"> </w:t>
      </w:r>
      <w:r>
        <w:rPr>
          <w:sz w:val="20"/>
          <w:szCs w:val="20"/>
        </w:rPr>
        <w:t>3,045,11</w:t>
      </w:r>
      <w:r>
        <w:rPr>
          <w:sz w:val="20"/>
          <w:szCs w:val="20"/>
        </w:rPr>
        <w:t>5</w:t>
      </w:r>
      <w:r>
        <w:rPr>
          <w:sz w:val="20"/>
          <w:szCs w:val="20"/>
        </w:rPr>
        <w:t xml:space="preserve"> shares of Talkspace common stock were avail</w:t>
      </w:r>
      <w:r>
        <w:rPr>
          <w:sz w:val="20"/>
          <w:szCs w:val="20"/>
        </w:rPr>
        <w:t>able for issuance under the 2021 ESPP. In addition, the number of shares of common stock available for issuance under the ESPP will be annually increased on January 1 of each calendar year beginning in 2022 and ending in 2031, by an amount equal to the les</w:t>
      </w:r>
      <w:r>
        <w:rPr>
          <w:sz w:val="20"/>
          <w:szCs w:val="20"/>
        </w:rPr>
        <w:t>ser of (i)</w:t>
      </w:r>
      <w:r>
        <w:rPr>
          <w:sz w:val="20"/>
          <w:szCs w:val="20"/>
        </w:rPr>
        <w:t xml:space="preserve"> </w:t>
      </w:r>
      <w:r>
        <w:rPr>
          <w:sz w:val="20"/>
          <w:szCs w:val="20"/>
        </w:rPr>
        <w:t>1</w:t>
      </w:r>
      <w:r>
        <w:rPr>
          <w:sz w:val="20"/>
          <w:szCs w:val="20"/>
        </w:rPr>
        <w:t>%</w:t>
      </w:r>
      <w:r>
        <w:rPr>
          <w:sz w:val="20"/>
          <w:szCs w:val="20"/>
        </w:rPr>
        <w:t xml:space="preserve"> </w:t>
      </w:r>
      <w:r>
        <w:rPr>
          <w:sz w:val="20"/>
          <w:szCs w:val="20"/>
        </w:rPr>
        <w:t>of the aggregate number of shares of Talkspace common stock outstanding on the final day of the immediately preceding calendar yea</w:t>
      </w:r>
      <w:r>
        <w:rPr>
          <w:sz w:val="20"/>
          <w:szCs w:val="20"/>
        </w:rPr>
        <w:t>r</w:t>
      </w:r>
      <w:r>
        <w:rPr>
          <w:sz w:val="20"/>
          <w:szCs w:val="20"/>
        </w:rPr>
        <w:t xml:space="preserve"> </w:t>
      </w:r>
    </w:p>
    <w:p w:rsidR="00000000" w:rsidRDefault="00AF2D19">
      <w:pPr>
        <w:pStyle w:val="a3"/>
        <w:spacing w:before="0" w:beforeAutospacing="0" w:after="0" w:afterAutospacing="0"/>
        <w:jc w:val="center"/>
        <w:divId w:val="1902405851"/>
        <w:rPr>
          <w:sz w:val="20"/>
          <w:szCs w:val="20"/>
        </w:rPr>
      </w:pPr>
      <w:r>
        <w:rPr>
          <w:sz w:val="20"/>
          <w:szCs w:val="20"/>
        </w:rPr>
        <w:t>9</w:t>
      </w:r>
      <w:r>
        <w:rPr>
          <w:sz w:val="20"/>
          <w:szCs w:val="20"/>
        </w:rPr>
        <w:t>3</w:t>
      </w:r>
    </w:p>
    <w:p w:rsidR="00000000" w:rsidRDefault="00AF2D19">
      <w:pPr>
        <w:divId w:val="1902405851"/>
        <w:rPr>
          <w:rFonts w:eastAsia="Times New Roman"/>
        </w:rPr>
      </w:pPr>
      <w:r>
        <w:rPr>
          <w:rFonts w:eastAsia="Times New Roman"/>
        </w:rPr>
        <w:pict>
          <v:rect id="_x0000_i1121" style="width:0;height:1.5pt" o:hralign="center" o:hrstd="t" o:hr="t" fillcolor="#a0a0a0" stroked="f"/>
        </w:pict>
      </w:r>
    </w:p>
    <w:p w:rsidR="00000000" w:rsidRDefault="00AF2D19">
      <w:pPr>
        <w:pStyle w:val="a3"/>
        <w:spacing w:before="0" w:beforeAutospacing="0" w:after="0" w:afterAutospacing="0"/>
        <w:divId w:val="1902405851"/>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divId w:val="1902405851"/>
        <w:rPr>
          <w:sz w:val="20"/>
          <w:szCs w:val="20"/>
        </w:rPr>
      </w:pPr>
      <w:r>
        <w:rPr>
          <w:sz w:val="20"/>
          <w:szCs w:val="20"/>
        </w:rPr>
        <w:t>and</w:t>
      </w:r>
      <w:r>
        <w:rPr>
          <w:sz w:val="20"/>
          <w:szCs w:val="20"/>
        </w:rPr>
        <w:t xml:space="preserve"> </w:t>
      </w:r>
      <w:r>
        <w:rPr>
          <w:sz w:val="20"/>
          <w:szCs w:val="20"/>
        </w:rPr>
        <w:t xml:space="preserve">(ii) such smaller number of shares of Talkspace common stock as determined by the Talkspace board of directors. The maximum number of shares of Talkspace common stock </w:t>
      </w:r>
      <w:r>
        <w:rPr>
          <w:sz w:val="20"/>
          <w:szCs w:val="20"/>
        </w:rPr>
        <w:t>that may be granted under the 2021 ESPP is</w:t>
      </w:r>
      <w:r>
        <w:rPr>
          <w:sz w:val="20"/>
          <w:szCs w:val="20"/>
        </w:rPr>
        <w:t xml:space="preserve"> </w:t>
      </w:r>
      <w:r>
        <w:rPr>
          <w:sz w:val="20"/>
          <w:szCs w:val="20"/>
        </w:rPr>
        <w:t>50,000,00</w:t>
      </w:r>
      <w:r>
        <w:rPr>
          <w:sz w:val="20"/>
          <w:szCs w:val="20"/>
        </w:rPr>
        <w:t>0</w:t>
      </w:r>
      <w:r>
        <w:rPr>
          <w:sz w:val="20"/>
          <w:szCs w:val="20"/>
        </w:rPr>
        <w:t>.</w:t>
      </w:r>
    </w:p>
    <w:p w:rsidR="00000000" w:rsidRDefault="00AF2D19">
      <w:pPr>
        <w:pStyle w:val="a3"/>
        <w:spacing w:before="120" w:beforeAutospacing="0" w:after="0" w:afterAutospacing="0"/>
        <w:jc w:val="both"/>
        <w:divId w:val="1902405851"/>
        <w:rPr>
          <w:sz w:val="20"/>
          <w:szCs w:val="20"/>
        </w:rPr>
      </w:pPr>
      <w:r>
        <w:rPr>
          <w:sz w:val="20"/>
          <w:szCs w:val="20"/>
        </w:rPr>
        <w:t>All stock-based awards are measured based on the grant date fair value and are generally recognized on a straight-line basis in the Company’s consolidated statement of operations and comprehensive loss</w:t>
      </w:r>
      <w:r>
        <w:rPr>
          <w:sz w:val="20"/>
          <w:szCs w:val="20"/>
        </w:rPr>
        <w:t xml:space="preserve"> over the period during which the employee is required to perform services in exchange for the award (generally requiring a four-year vesting period)</w:t>
      </w:r>
      <w:r>
        <w:rPr>
          <w:sz w:val="20"/>
          <w:szCs w:val="20"/>
        </w:rPr>
        <w:t>.</w:t>
      </w:r>
    </w:p>
    <w:p w:rsidR="00000000" w:rsidRDefault="00AF2D19">
      <w:pPr>
        <w:pStyle w:val="a3"/>
        <w:spacing w:before="240" w:beforeAutospacing="0" w:after="0" w:afterAutospacing="0"/>
        <w:jc w:val="both"/>
        <w:divId w:val="1902405851"/>
        <w:rPr>
          <w:sz w:val="20"/>
          <w:szCs w:val="20"/>
        </w:rPr>
      </w:pPr>
      <w:r>
        <w:rPr>
          <w:b/>
          <w:bCs/>
          <w:i/>
          <w:iCs/>
          <w:sz w:val="20"/>
          <w:szCs w:val="20"/>
        </w:rPr>
        <w:t>Stock Option</w:t>
      </w:r>
      <w:r>
        <w:rPr>
          <w:b/>
          <w:bCs/>
          <w:i/>
          <w:iCs/>
          <w:sz w:val="20"/>
          <w:szCs w:val="20"/>
        </w:rPr>
        <w:t>s</w:t>
      </w:r>
    </w:p>
    <w:p w:rsidR="00000000" w:rsidRDefault="00AF2D19">
      <w:pPr>
        <w:pStyle w:val="a3"/>
        <w:spacing w:before="120" w:beforeAutospacing="0" w:after="0" w:afterAutospacing="0"/>
        <w:jc w:val="both"/>
        <w:divId w:val="1902405851"/>
        <w:rPr>
          <w:sz w:val="20"/>
          <w:szCs w:val="20"/>
        </w:rPr>
      </w:pPr>
      <w:r>
        <w:rPr>
          <w:sz w:val="20"/>
          <w:szCs w:val="20"/>
        </w:rPr>
        <w:t>Stock options issued under the Plans generally vest over a four-year period and are exercis</w:t>
      </w:r>
      <w:r>
        <w:rPr>
          <w:sz w:val="20"/>
          <w:szCs w:val="20"/>
        </w:rPr>
        <w:t>able a maximum period of ten years.</w:t>
      </w:r>
      <w:r>
        <w:rPr>
          <w:sz w:val="20"/>
          <w:szCs w:val="20"/>
        </w:rPr>
        <w:t xml:space="preserve"> </w:t>
      </w:r>
      <w:r>
        <w:rPr>
          <w:sz w:val="20"/>
          <w:szCs w:val="20"/>
        </w:rPr>
        <w:t>A summary of the Company’s stock option activity under the 2014 Plan and the 2021 Plan for the year ended December 31, 2021 is as follows:</w:t>
      </w:r>
      <w:r>
        <w:rPr>
          <w:sz w:val="20"/>
          <w:szCs w:val="20"/>
        </w:rPr>
        <w:t xml:space="preserve"> </w:t>
      </w:r>
    </w:p>
    <w:p w:rsidR="00000000" w:rsidRDefault="00AF2D19">
      <w:pPr>
        <w:pStyle w:val="a3"/>
        <w:spacing w:before="0" w:beforeAutospacing="0" w:after="0" w:afterAutospacing="0"/>
        <w:divId w:val="323121248"/>
        <w:rPr>
          <w:sz w:val="20"/>
          <w:szCs w:val="20"/>
        </w:rPr>
      </w:pPr>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221"/>
        <w:gridCol w:w="110"/>
        <w:gridCol w:w="110"/>
        <w:gridCol w:w="1011"/>
        <w:gridCol w:w="127"/>
        <w:gridCol w:w="110"/>
        <w:gridCol w:w="161"/>
        <w:gridCol w:w="943"/>
        <w:gridCol w:w="110"/>
        <w:gridCol w:w="110"/>
        <w:gridCol w:w="111"/>
        <w:gridCol w:w="890"/>
        <w:gridCol w:w="110"/>
        <w:gridCol w:w="110"/>
        <w:gridCol w:w="160"/>
        <w:gridCol w:w="956"/>
        <w:gridCol w:w="125"/>
      </w:tblGrid>
      <w:tr w:rsidR="00000000">
        <w:trPr>
          <w:divId w:val="323121248"/>
          <w:tblCellSpacing w:w="15" w:type="dxa"/>
        </w:trPr>
        <w:tc>
          <w:tcPr>
            <w:tcW w:w="1586" w:type="pct"/>
            <w:vAlign w:val="center"/>
            <w:hideMark/>
          </w:tcPr>
          <w:p w:rsidR="00000000" w:rsidRDefault="00AF2D19">
            <w:pPr>
              <w:rPr>
                <w:sz w:val="20"/>
                <w:szCs w:val="20"/>
              </w:rPr>
            </w:pPr>
          </w:p>
        </w:tc>
        <w:tc>
          <w:tcPr>
            <w:tcW w:w="64" w:type="pct"/>
            <w:vAlign w:val="center"/>
            <w:hideMark/>
          </w:tcPr>
          <w:p w:rsidR="00000000" w:rsidRDefault="00AF2D19">
            <w:pPr>
              <w:rPr>
                <w:rFonts w:eastAsia="Times New Roman"/>
                <w:sz w:val="20"/>
                <w:szCs w:val="20"/>
              </w:rPr>
            </w:pPr>
          </w:p>
        </w:tc>
        <w:tc>
          <w:tcPr>
            <w:tcW w:w="33" w:type="pct"/>
            <w:vAlign w:val="center"/>
            <w:hideMark/>
          </w:tcPr>
          <w:p w:rsidR="00000000" w:rsidRDefault="00AF2D19">
            <w:pPr>
              <w:rPr>
                <w:rFonts w:eastAsia="Times New Roman"/>
                <w:sz w:val="20"/>
                <w:szCs w:val="20"/>
              </w:rPr>
            </w:pPr>
          </w:p>
        </w:tc>
        <w:tc>
          <w:tcPr>
            <w:tcW w:w="740" w:type="pct"/>
            <w:vAlign w:val="center"/>
            <w:hideMark/>
          </w:tcPr>
          <w:p w:rsidR="00000000" w:rsidRDefault="00AF2D19">
            <w:pPr>
              <w:rPr>
                <w:rFonts w:eastAsia="Times New Roman"/>
                <w:sz w:val="20"/>
                <w:szCs w:val="20"/>
              </w:rPr>
            </w:pPr>
          </w:p>
        </w:tc>
        <w:tc>
          <w:tcPr>
            <w:tcW w:w="49"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74" w:type="pct"/>
            <w:vAlign w:val="center"/>
            <w:hideMark/>
          </w:tcPr>
          <w:p w:rsidR="00000000" w:rsidRDefault="00AF2D19">
            <w:pPr>
              <w:rPr>
                <w:rFonts w:eastAsia="Times New Roman"/>
                <w:sz w:val="20"/>
                <w:szCs w:val="20"/>
              </w:rPr>
            </w:pPr>
          </w:p>
        </w:tc>
        <w:tc>
          <w:tcPr>
            <w:tcW w:w="691" w:type="pct"/>
            <w:vAlign w:val="center"/>
            <w:hideMark/>
          </w:tcPr>
          <w:p w:rsidR="00000000" w:rsidRDefault="00AF2D19">
            <w:pPr>
              <w:rPr>
                <w:rFonts w:eastAsia="Times New Roman"/>
                <w:sz w:val="20"/>
                <w:szCs w:val="20"/>
              </w:rPr>
            </w:pPr>
          </w:p>
        </w:tc>
        <w:tc>
          <w:tcPr>
            <w:tcW w:w="33"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36" w:type="pct"/>
            <w:vAlign w:val="center"/>
            <w:hideMark/>
          </w:tcPr>
          <w:p w:rsidR="00000000" w:rsidRDefault="00AF2D19">
            <w:pPr>
              <w:rPr>
                <w:rFonts w:eastAsia="Times New Roman"/>
                <w:sz w:val="20"/>
                <w:szCs w:val="20"/>
              </w:rPr>
            </w:pPr>
          </w:p>
        </w:tc>
        <w:tc>
          <w:tcPr>
            <w:tcW w:w="653" w:type="pct"/>
            <w:vAlign w:val="center"/>
            <w:hideMark/>
          </w:tcPr>
          <w:p w:rsidR="00000000" w:rsidRDefault="00AF2D19">
            <w:pPr>
              <w:rPr>
                <w:rFonts w:eastAsia="Times New Roman"/>
                <w:sz w:val="20"/>
                <w:szCs w:val="20"/>
              </w:rPr>
            </w:pPr>
          </w:p>
        </w:tc>
        <w:tc>
          <w:tcPr>
            <w:tcW w:w="33" w:type="pct"/>
            <w:vAlign w:val="center"/>
            <w:hideMark/>
          </w:tcPr>
          <w:p w:rsidR="00000000" w:rsidRDefault="00AF2D19">
            <w:pPr>
              <w:rPr>
                <w:rFonts w:eastAsia="Times New Roman"/>
                <w:sz w:val="20"/>
                <w:szCs w:val="20"/>
              </w:rPr>
            </w:pPr>
          </w:p>
        </w:tc>
        <w:tc>
          <w:tcPr>
            <w:tcW w:w="64" w:type="pct"/>
            <w:vAlign w:val="center"/>
            <w:hideMark/>
          </w:tcPr>
          <w:p w:rsidR="00000000" w:rsidRDefault="00AF2D19">
            <w:pPr>
              <w:rPr>
                <w:rFonts w:eastAsia="Times New Roman"/>
                <w:sz w:val="20"/>
                <w:szCs w:val="20"/>
              </w:rPr>
            </w:pPr>
          </w:p>
        </w:tc>
        <w:tc>
          <w:tcPr>
            <w:tcW w:w="74" w:type="pct"/>
            <w:vAlign w:val="center"/>
            <w:hideMark/>
          </w:tcPr>
          <w:p w:rsidR="00000000" w:rsidRDefault="00AF2D19">
            <w:pPr>
              <w:rPr>
                <w:rFonts w:eastAsia="Times New Roman"/>
                <w:sz w:val="20"/>
                <w:szCs w:val="20"/>
              </w:rPr>
            </w:pPr>
          </w:p>
        </w:tc>
        <w:tc>
          <w:tcPr>
            <w:tcW w:w="699" w:type="pct"/>
            <w:vAlign w:val="center"/>
            <w:hideMark/>
          </w:tcPr>
          <w:p w:rsidR="00000000" w:rsidRDefault="00AF2D19">
            <w:pPr>
              <w:rPr>
                <w:rFonts w:eastAsia="Times New Roman"/>
                <w:sz w:val="20"/>
                <w:szCs w:val="20"/>
              </w:rPr>
            </w:pPr>
          </w:p>
        </w:tc>
        <w:tc>
          <w:tcPr>
            <w:tcW w:w="33" w:type="pct"/>
            <w:vAlign w:val="center"/>
            <w:hideMark/>
          </w:tcPr>
          <w:p w:rsidR="00000000" w:rsidRDefault="00AF2D19">
            <w:pPr>
              <w:rPr>
                <w:rFonts w:eastAsia="Times New Roman"/>
                <w:sz w:val="20"/>
                <w:szCs w:val="20"/>
              </w:rPr>
            </w:pPr>
          </w:p>
        </w:tc>
      </w:tr>
      <w:tr w:rsidR="00000000">
        <w:trPr>
          <w:divId w:val="323121248"/>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AF2D19">
            <w:pPr>
              <w:pStyle w:val="a3"/>
              <w:spacing w:before="0" w:beforeAutospacing="0" w:after="0" w:afterAutospacing="0"/>
              <w:jc w:val="center"/>
              <w:rPr>
                <w:sz w:val="16"/>
                <w:szCs w:val="16"/>
              </w:rPr>
            </w:pPr>
            <w:r>
              <w:rPr>
                <w:b/>
                <w:bCs/>
                <w:sz w:val="16"/>
                <w:szCs w:val="16"/>
              </w:rPr>
              <w:t>Year ended December 31, 202</w:t>
            </w:r>
            <w:r>
              <w:rPr>
                <w:b/>
                <w:bCs/>
                <w:sz w:val="16"/>
                <w:szCs w:val="16"/>
              </w:rPr>
              <w:t>1</w:t>
            </w:r>
            <w:r>
              <w:rPr>
                <w:b/>
                <w:bCs/>
                <w:sz w:val="11"/>
                <w:szCs w:val="11"/>
              </w:rPr>
              <w:t> (1</w:t>
            </w:r>
            <w:r>
              <w:rPr>
                <w:b/>
                <w:bCs/>
                <w:sz w:val="11"/>
                <w:szCs w:val="11"/>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323121248"/>
          <w:trHeight w:val="160"/>
          <w:tblCellSpacing w:w="15" w:type="dxa"/>
        </w:trPr>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Number of</w:t>
            </w:r>
            <w:r>
              <w:rPr>
                <w:b/>
                <w:bCs/>
                <w:sz w:val="16"/>
                <w:szCs w:val="16"/>
              </w:rPr>
              <w:br/>
              <w:t>option</w:t>
            </w:r>
            <w:r>
              <w:rPr>
                <w:b/>
                <w:bCs/>
                <w:sz w:val="16"/>
                <w:szCs w:val="16"/>
              </w:rPr>
              <w:t>s</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exercise</w:t>
            </w:r>
            <w:r>
              <w:rPr>
                <w:b/>
                <w:bCs/>
                <w:sz w:val="16"/>
                <w:szCs w:val="16"/>
              </w:rPr>
              <w:br/>
              <w:t>pric</w:t>
            </w:r>
            <w:r>
              <w:rPr>
                <w:b/>
                <w:bCs/>
                <w:sz w:val="16"/>
                <w:szCs w:val="16"/>
              </w:rPr>
              <w:t>e</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remaining</w:t>
            </w:r>
            <w:r>
              <w:rPr>
                <w:b/>
                <w:bCs/>
                <w:sz w:val="16"/>
                <w:szCs w:val="16"/>
              </w:rPr>
              <w:br/>
              <w:t>contractual</w:t>
            </w:r>
            <w:r>
              <w:rPr>
                <w:b/>
                <w:bCs/>
                <w:sz w:val="16"/>
                <w:szCs w:val="16"/>
              </w:rPr>
              <w:br/>
              <w:t>term (in years</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Aggregate</w:t>
            </w:r>
            <w:r>
              <w:rPr>
                <w:b/>
                <w:bCs/>
                <w:sz w:val="16"/>
                <w:szCs w:val="16"/>
              </w:rPr>
              <w:br/>
              <w:t>intrinsic value</w:t>
            </w:r>
            <w:r>
              <w:rPr>
                <w:b/>
                <w:bCs/>
                <w:sz w:val="16"/>
                <w:szCs w:val="16"/>
              </w:rPr>
              <w:t xml:space="preserve"> </w:t>
            </w:r>
            <w:r>
              <w:rPr>
                <w:b/>
                <w:bCs/>
                <w:sz w:val="11"/>
                <w:szCs w:val="11"/>
              </w:rPr>
              <w:t>(2</w:t>
            </w:r>
            <w:r>
              <w:rPr>
                <w:b/>
                <w:bCs/>
                <w:sz w:val="11"/>
                <w:szCs w:val="11"/>
              </w:rPr>
              <w:t>)</w:t>
            </w:r>
            <w:r>
              <w:rPr>
                <w:i/>
                <w:iCs/>
                <w:sz w:val="16"/>
                <w:szCs w:val="16"/>
              </w:rPr>
              <w:t> (in thousands</w:t>
            </w:r>
            <w:r>
              <w:rPr>
                <w:i/>
                <w:i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3231212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Outstanding at beginning of yea</w:t>
            </w:r>
            <w:r>
              <w:rPr>
                <w:sz w:val="20"/>
                <w:szCs w:val="20"/>
              </w:rPr>
              <w:t>r</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20,525,33</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0.7</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6.7</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153,93</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3231212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Grante</w:t>
            </w:r>
            <w:r>
              <w:rPr>
                <w:sz w:val="20"/>
                <w:szCs w:val="20"/>
              </w:rPr>
              <w:t>d</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7,983,65</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6.0</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divId w:val="3231212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Exercise</w:t>
            </w:r>
            <w:r>
              <w:rPr>
                <w:sz w:val="20"/>
                <w:szCs w:val="20"/>
              </w:rPr>
              <w:t>d</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3,627,10</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0.5</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divId w:val="3231212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Forfeite</w:t>
            </w:r>
            <w:r>
              <w:rPr>
                <w:sz w:val="20"/>
                <w:szCs w:val="20"/>
              </w:rPr>
              <w:t>d</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w:t>
            </w:r>
            <w:r>
              <w:rPr>
                <w:sz w:val="20"/>
                <w:szCs w:val="20"/>
              </w:rPr>
              <w:t>5,387,67</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3.8</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divId w:val="3231212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Outstanding at end of yea</w:t>
            </w:r>
            <w:r>
              <w:rPr>
                <w:sz w:val="20"/>
                <w:szCs w:val="20"/>
              </w:rPr>
              <w:t>r</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19,494,20</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1.9</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6.8</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19,21</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323121248"/>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Exercisable at end of yea</w:t>
            </w:r>
            <w:r>
              <w:rPr>
                <w:sz w:val="20"/>
                <w:szCs w:val="20"/>
              </w:rPr>
              <w:t>r</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14,496,43</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0.8</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6.0</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18,35</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0" w:beforeAutospacing="0" w:after="0" w:afterAutospacing="0"/>
        <w:divId w:val="323121248"/>
        <w:rPr>
          <w:sz w:val="20"/>
          <w:szCs w:val="20"/>
        </w:rPr>
      </w:pPr>
      <w:r>
        <w:rPr>
          <w:sz w:val="17"/>
          <w:szCs w:val="17"/>
        </w:rPr>
        <w:t> </w:t>
      </w:r>
    </w:p>
    <w:p w:rsidR="00000000" w:rsidRDefault="00AF2D19">
      <w:pPr>
        <w:jc w:val="both"/>
        <w:divId w:val="323121248"/>
        <w:rPr>
          <w:rFonts w:eastAsia="Times New Roman"/>
        </w:rPr>
      </w:pPr>
      <w:r>
        <w:rPr>
          <w:rFonts w:eastAsia="Times New Roman"/>
          <w:sz w:val="17"/>
          <w:szCs w:val="17"/>
        </w:rPr>
        <w:t>(1</w:t>
      </w:r>
      <w:r>
        <w:rPr>
          <w:rFonts w:eastAsia="Times New Roman"/>
          <w:sz w:val="17"/>
          <w:szCs w:val="17"/>
        </w:rPr>
        <w:t>)</w:t>
      </w:r>
    </w:p>
    <w:p w:rsidR="00000000" w:rsidRDefault="00AF2D19">
      <w:pPr>
        <w:jc w:val="both"/>
        <w:divId w:val="1694766559"/>
        <w:rPr>
          <w:rFonts w:eastAsia="Times New Roman"/>
        </w:rPr>
      </w:pPr>
      <w:r>
        <w:rPr>
          <w:rFonts w:eastAsia="Times New Roman"/>
          <w:sz w:val="17"/>
          <w:szCs w:val="17"/>
        </w:rPr>
        <w:t>Number of options and the weighted average exercise price have been adjusted to reflect the exchange of Old Talkspace’s common stock for Talkspace’s common stock at an exchange ratio of approximately</w:t>
      </w:r>
      <w:r>
        <w:rPr>
          <w:rFonts w:eastAsia="Times New Roman"/>
          <w:sz w:val="17"/>
          <w:szCs w:val="17"/>
        </w:rPr>
        <w:t xml:space="preserve"> </w:t>
      </w:r>
      <w:r>
        <w:rPr>
          <w:rFonts w:eastAsia="Times New Roman"/>
          <w:sz w:val="17"/>
          <w:szCs w:val="17"/>
        </w:rPr>
        <w:t>1.13414</w:t>
      </w:r>
      <w:r>
        <w:rPr>
          <w:rFonts w:eastAsia="Times New Roman"/>
          <w:sz w:val="17"/>
          <w:szCs w:val="17"/>
        </w:rPr>
        <w:t>0</w:t>
      </w:r>
      <w:r>
        <w:rPr>
          <w:rFonts w:eastAsia="Times New Roman"/>
          <w:sz w:val="17"/>
          <w:szCs w:val="17"/>
        </w:rPr>
        <w:t xml:space="preserve"> in June 2021 as a result of the Business Combin</w:t>
      </w:r>
      <w:r>
        <w:rPr>
          <w:rFonts w:eastAsia="Times New Roman"/>
          <w:sz w:val="17"/>
          <w:szCs w:val="17"/>
        </w:rPr>
        <w:t>ation. See Note 3, “Business Combination” in the notes to the consolidated financial statements for further details</w:t>
      </w:r>
      <w:r>
        <w:rPr>
          <w:rFonts w:eastAsia="Times New Roman"/>
          <w:sz w:val="17"/>
          <w:szCs w:val="17"/>
        </w:rPr>
        <w:t>.</w:t>
      </w:r>
    </w:p>
    <w:p w:rsidR="00000000" w:rsidRDefault="00AF2D19">
      <w:pPr>
        <w:jc w:val="both"/>
        <w:divId w:val="1990592656"/>
        <w:rPr>
          <w:rFonts w:eastAsia="Times New Roman"/>
        </w:rPr>
      </w:pPr>
      <w:r>
        <w:rPr>
          <w:rFonts w:eastAsia="Times New Roman"/>
          <w:sz w:val="17"/>
          <w:szCs w:val="17"/>
        </w:rPr>
        <w:t>(2</w:t>
      </w:r>
      <w:r>
        <w:rPr>
          <w:rFonts w:eastAsia="Times New Roman"/>
          <w:sz w:val="17"/>
          <w:szCs w:val="17"/>
        </w:rPr>
        <w:t>)</w:t>
      </w:r>
    </w:p>
    <w:p w:rsidR="00000000" w:rsidRDefault="00AF2D19">
      <w:pPr>
        <w:jc w:val="both"/>
        <w:divId w:val="538585888"/>
        <w:rPr>
          <w:rFonts w:eastAsia="Times New Roman"/>
        </w:rPr>
      </w:pPr>
      <w:r>
        <w:rPr>
          <w:rFonts w:eastAsia="Times New Roman"/>
          <w:sz w:val="17"/>
          <w:szCs w:val="17"/>
        </w:rPr>
        <w:t>The aggregate intrinsic value of options outstanding at end of the year and options exercisable at end of the year does not include</w:t>
      </w:r>
      <w:r>
        <w:rPr>
          <w:rFonts w:eastAsia="Times New Roman"/>
          <w:sz w:val="17"/>
          <w:szCs w:val="17"/>
        </w:rPr>
        <w:t xml:space="preserve"> </w:t>
      </w:r>
      <w:r>
        <w:rPr>
          <w:rFonts w:eastAsia="Times New Roman"/>
          <w:sz w:val="17"/>
          <w:szCs w:val="17"/>
        </w:rPr>
        <w:t>4,4</w:t>
      </w:r>
      <w:r>
        <w:rPr>
          <w:rFonts w:eastAsia="Times New Roman"/>
          <w:sz w:val="17"/>
          <w:szCs w:val="17"/>
        </w:rPr>
        <w:t>59,90</w:t>
      </w:r>
      <w:r>
        <w:rPr>
          <w:rFonts w:eastAsia="Times New Roman"/>
          <w:sz w:val="17"/>
          <w:szCs w:val="17"/>
        </w:rPr>
        <w:t>5</w:t>
      </w:r>
      <w:r>
        <w:rPr>
          <w:rFonts w:eastAsia="Times New Roman"/>
          <w:sz w:val="17"/>
          <w:szCs w:val="17"/>
        </w:rPr>
        <w:t xml:space="preserve"> and</w:t>
      </w:r>
      <w:r>
        <w:rPr>
          <w:rFonts w:eastAsia="Times New Roman"/>
          <w:sz w:val="17"/>
          <w:szCs w:val="17"/>
        </w:rPr>
        <w:t xml:space="preserve"> </w:t>
      </w:r>
      <w:r>
        <w:rPr>
          <w:rFonts w:eastAsia="Times New Roman"/>
          <w:sz w:val="17"/>
          <w:szCs w:val="17"/>
        </w:rPr>
        <w:t>515,31</w:t>
      </w:r>
      <w:r>
        <w:rPr>
          <w:rFonts w:eastAsia="Times New Roman"/>
          <w:sz w:val="17"/>
          <w:szCs w:val="17"/>
        </w:rPr>
        <w:t>3</w:t>
      </w:r>
      <w:r>
        <w:rPr>
          <w:rFonts w:eastAsia="Times New Roman"/>
          <w:sz w:val="17"/>
          <w:szCs w:val="17"/>
        </w:rPr>
        <w:t xml:space="preserve"> options that are out of the money, respectively</w:t>
      </w:r>
      <w:r>
        <w:rPr>
          <w:rFonts w:eastAsia="Times New Roman"/>
          <w:sz w:val="17"/>
          <w:szCs w:val="17"/>
        </w:rPr>
        <w:t>.</w:t>
      </w:r>
    </w:p>
    <w:p w:rsidR="00000000" w:rsidRDefault="00AF2D19">
      <w:pPr>
        <w:pStyle w:val="a3"/>
        <w:spacing w:before="120" w:beforeAutospacing="0" w:after="0" w:afterAutospacing="0"/>
        <w:jc w:val="both"/>
        <w:divId w:val="1902405851"/>
        <w:rPr>
          <w:sz w:val="20"/>
          <w:szCs w:val="20"/>
        </w:rPr>
      </w:pPr>
      <w:r>
        <w:rPr>
          <w:sz w:val="20"/>
          <w:szCs w:val="20"/>
        </w:rPr>
        <w:t xml:space="preserve">The weighted average grant-date fair value of stock options granted to employees during the years ended December 31, 2021 and 2020 was </w:t>
      </w:r>
      <w:r>
        <w:rPr>
          <w:sz w:val="20"/>
          <w:szCs w:val="20"/>
        </w:rPr>
        <w:t>$</w:t>
      </w:r>
      <w:r>
        <w:rPr>
          <w:sz w:val="20"/>
          <w:szCs w:val="20"/>
        </w:rPr>
        <w:t>3.8</w:t>
      </w:r>
      <w:r>
        <w:rPr>
          <w:sz w:val="20"/>
          <w:szCs w:val="20"/>
        </w:rPr>
        <w:t>1</w:t>
      </w:r>
      <w:r>
        <w:rPr>
          <w:sz w:val="20"/>
          <w:szCs w:val="20"/>
        </w:rPr>
        <w:t xml:space="preserve"> and </w:t>
      </w:r>
      <w:r>
        <w:rPr>
          <w:sz w:val="20"/>
          <w:szCs w:val="20"/>
        </w:rPr>
        <w:t>$</w:t>
      </w:r>
      <w:r>
        <w:rPr>
          <w:sz w:val="20"/>
          <w:szCs w:val="20"/>
        </w:rPr>
        <w:t>1.9</w:t>
      </w:r>
      <w:r>
        <w:rPr>
          <w:sz w:val="20"/>
          <w:szCs w:val="20"/>
        </w:rPr>
        <w:t>2</w:t>
      </w:r>
      <w:r>
        <w:rPr>
          <w:sz w:val="20"/>
          <w:szCs w:val="20"/>
        </w:rPr>
        <w:t xml:space="preserve"> per share, respectively</w:t>
      </w:r>
      <w:r>
        <w:rPr>
          <w:sz w:val="20"/>
          <w:szCs w:val="20"/>
        </w:rPr>
        <w:t>.</w:t>
      </w:r>
    </w:p>
    <w:p w:rsidR="00000000" w:rsidRDefault="00AF2D19">
      <w:pPr>
        <w:pStyle w:val="a3"/>
        <w:spacing w:before="120" w:beforeAutospacing="0" w:after="0" w:afterAutospacing="0"/>
        <w:jc w:val="both"/>
        <w:divId w:val="1834642469"/>
        <w:rPr>
          <w:sz w:val="20"/>
          <w:szCs w:val="20"/>
        </w:rPr>
      </w:pPr>
      <w:r>
        <w:rPr>
          <w:sz w:val="20"/>
          <w:szCs w:val="20"/>
        </w:rPr>
        <w:t>The fair value for options granted for the years ended December 31, 2021, 2020 and 2019 was estimated on the date of grant using a Black-Scholes-Merton options pricing model with the following weighted average assumptions</w:t>
      </w:r>
      <w:r>
        <w:rPr>
          <w:sz w:val="20"/>
          <w:szCs w:val="20"/>
        </w:rPr>
        <w:t>:</w:t>
      </w:r>
      <w:r>
        <w:rPr>
          <w:sz w:val="20"/>
          <w:szCs w:val="20"/>
        </w:rPr>
        <w:t xml:space="preserve"> </w:t>
      </w:r>
    </w:p>
    <w:p w:rsidR="00000000" w:rsidRDefault="00AF2D19">
      <w:pPr>
        <w:pStyle w:val="a3"/>
        <w:spacing w:before="0" w:beforeAutospacing="0" w:after="0" w:afterAutospacing="0"/>
        <w:divId w:val="1834642469"/>
        <w:rPr>
          <w:sz w:val="20"/>
          <w:szCs w:val="20"/>
        </w:rPr>
      </w:pPr>
      <w:r>
        <w:t> </w:t>
      </w:r>
    </w:p>
    <w:tbl>
      <w:tblPr>
        <w:tblW w:w="4450" w:type="pct"/>
        <w:tblCellSpacing w:w="15" w:type="dxa"/>
        <w:tblCellMar>
          <w:top w:w="15" w:type="dxa"/>
          <w:left w:w="15" w:type="dxa"/>
          <w:bottom w:w="15" w:type="dxa"/>
          <w:right w:w="15" w:type="dxa"/>
        </w:tblCellMar>
        <w:tblLook w:val="04A0" w:firstRow="1" w:lastRow="0" w:firstColumn="1" w:lastColumn="0" w:noHBand="0" w:noVBand="1"/>
      </w:tblPr>
      <w:tblGrid>
        <w:gridCol w:w="3004"/>
        <w:gridCol w:w="110"/>
        <w:gridCol w:w="1347"/>
        <w:gridCol w:w="110"/>
        <w:gridCol w:w="1348"/>
        <w:gridCol w:w="110"/>
        <w:gridCol w:w="1363"/>
      </w:tblGrid>
      <w:tr w:rsidR="00000000">
        <w:trPr>
          <w:divId w:val="1834642469"/>
          <w:tblCellSpacing w:w="15" w:type="dxa"/>
        </w:trPr>
        <w:tc>
          <w:tcPr>
            <w:tcW w:w="2069" w:type="pct"/>
            <w:vAlign w:val="center"/>
            <w:hideMark/>
          </w:tcPr>
          <w:p w:rsidR="00000000" w:rsidRDefault="00AF2D19">
            <w:pPr>
              <w:rPr>
                <w:sz w:val="20"/>
                <w:szCs w:val="20"/>
              </w:rPr>
            </w:pPr>
          </w:p>
        </w:tc>
        <w:tc>
          <w:tcPr>
            <w:tcW w:w="55" w:type="pct"/>
            <w:vAlign w:val="center"/>
            <w:hideMark/>
          </w:tcPr>
          <w:p w:rsidR="00000000" w:rsidRDefault="00AF2D19">
            <w:pPr>
              <w:rPr>
                <w:rFonts w:eastAsia="Times New Roman"/>
                <w:sz w:val="20"/>
                <w:szCs w:val="20"/>
              </w:rPr>
            </w:pPr>
          </w:p>
        </w:tc>
        <w:tc>
          <w:tcPr>
            <w:tcW w:w="921" w:type="pct"/>
            <w:vAlign w:val="center"/>
            <w:hideMark/>
          </w:tcPr>
          <w:p w:rsidR="00000000" w:rsidRDefault="00AF2D19">
            <w:pPr>
              <w:rPr>
                <w:rFonts w:eastAsia="Times New Roman"/>
                <w:sz w:val="20"/>
                <w:szCs w:val="20"/>
              </w:rPr>
            </w:pPr>
          </w:p>
        </w:tc>
        <w:tc>
          <w:tcPr>
            <w:tcW w:w="55" w:type="pct"/>
            <w:vAlign w:val="center"/>
            <w:hideMark/>
          </w:tcPr>
          <w:p w:rsidR="00000000" w:rsidRDefault="00AF2D19">
            <w:pPr>
              <w:rPr>
                <w:rFonts w:eastAsia="Times New Roman"/>
                <w:sz w:val="20"/>
                <w:szCs w:val="20"/>
              </w:rPr>
            </w:pPr>
          </w:p>
        </w:tc>
        <w:tc>
          <w:tcPr>
            <w:tcW w:w="921" w:type="pct"/>
            <w:vAlign w:val="center"/>
            <w:hideMark/>
          </w:tcPr>
          <w:p w:rsidR="00000000" w:rsidRDefault="00AF2D19">
            <w:pPr>
              <w:rPr>
                <w:rFonts w:eastAsia="Times New Roman"/>
                <w:sz w:val="20"/>
                <w:szCs w:val="20"/>
              </w:rPr>
            </w:pPr>
          </w:p>
        </w:tc>
        <w:tc>
          <w:tcPr>
            <w:tcW w:w="55" w:type="pct"/>
            <w:vAlign w:val="center"/>
            <w:hideMark/>
          </w:tcPr>
          <w:p w:rsidR="00000000" w:rsidRDefault="00AF2D19">
            <w:pPr>
              <w:rPr>
                <w:rFonts w:eastAsia="Times New Roman"/>
                <w:sz w:val="20"/>
                <w:szCs w:val="20"/>
              </w:rPr>
            </w:pPr>
          </w:p>
        </w:tc>
        <w:tc>
          <w:tcPr>
            <w:tcW w:w="921" w:type="pct"/>
            <w:vAlign w:val="center"/>
            <w:hideMark/>
          </w:tcPr>
          <w:p w:rsidR="00000000" w:rsidRDefault="00AF2D19">
            <w:pPr>
              <w:rPr>
                <w:rFonts w:eastAsia="Times New Roman"/>
                <w:sz w:val="20"/>
                <w:szCs w:val="20"/>
              </w:rPr>
            </w:pPr>
          </w:p>
        </w:tc>
      </w:tr>
      <w:tr w:rsidR="00000000">
        <w:trPr>
          <w:divId w:val="1834642469"/>
          <w:trHeight w:val="160"/>
          <w:tblCellSpacing w:w="15" w:type="dxa"/>
        </w:trPr>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5"/>
            <w:vAlign w:val="bottom"/>
            <w:hideMark/>
          </w:tcPr>
          <w:p w:rsidR="00000000" w:rsidRDefault="00AF2D19">
            <w:pPr>
              <w:pStyle w:val="a3"/>
              <w:spacing w:before="0" w:beforeAutospacing="0" w:after="0" w:afterAutospacing="0"/>
              <w:jc w:val="center"/>
              <w:rPr>
                <w:sz w:val="16"/>
                <w:szCs w:val="16"/>
              </w:rPr>
            </w:pPr>
            <w:r>
              <w:rPr>
                <w:b/>
                <w:bCs/>
                <w:sz w:val="16"/>
                <w:szCs w:val="16"/>
              </w:rPr>
              <w:t>Years ended Decemb</w:t>
            </w:r>
            <w:r>
              <w:rPr>
                <w:b/>
                <w:bCs/>
                <w:sz w:val="16"/>
                <w:szCs w:val="16"/>
              </w:rPr>
              <w:t>er 31</w:t>
            </w:r>
            <w:r>
              <w:rPr>
                <w:b/>
                <w:bCs/>
                <w:sz w:val="16"/>
                <w:szCs w:val="16"/>
              </w:rPr>
              <w:t>,</w:t>
            </w:r>
          </w:p>
        </w:tc>
      </w:tr>
      <w:tr w:rsidR="00000000">
        <w:trPr>
          <w:divId w:val="1834642469"/>
          <w:trHeight w:val="160"/>
          <w:tblCellSpacing w:w="15" w:type="dxa"/>
        </w:trPr>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b/>
                <w:bCs/>
                <w:sz w:val="16"/>
                <w:szCs w:val="16"/>
              </w:rPr>
              <w:t>201</w:t>
            </w:r>
            <w:r>
              <w:rPr>
                <w:b/>
                <w:bCs/>
                <w:sz w:val="16"/>
                <w:szCs w:val="16"/>
              </w:rPr>
              <w:t>9</w:t>
            </w:r>
          </w:p>
        </w:tc>
      </w:tr>
      <w:tr w:rsidR="00000000">
        <w:trPr>
          <w:divId w:val="1834642469"/>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Dividend yield</w:t>
            </w:r>
            <w:r>
              <w:rPr>
                <w:sz w:val="20"/>
                <w:szCs w:val="20"/>
              </w:rPr>
              <w:t xml:space="preserve"> </w:t>
            </w:r>
            <w:r>
              <w:rPr>
                <w:sz w:val="13"/>
                <w:szCs w:val="13"/>
              </w:rPr>
              <w:t>(1</w:t>
            </w:r>
            <w:r>
              <w:rPr>
                <w:sz w:val="13"/>
                <w:szCs w:val="13"/>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0</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0</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0</w:t>
            </w:r>
            <w:r>
              <w:rPr>
                <w:sz w:val="20"/>
                <w:szCs w:val="20"/>
              </w:rPr>
              <w:t>%</w:t>
            </w:r>
          </w:p>
        </w:tc>
      </w:tr>
      <w:tr w:rsidR="00000000">
        <w:trPr>
          <w:divId w:val="1834642469"/>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Expected volatility</w:t>
            </w:r>
            <w:r>
              <w:rPr>
                <w:sz w:val="20"/>
                <w:szCs w:val="20"/>
              </w:rPr>
              <w:t xml:space="preserve"> </w:t>
            </w:r>
            <w:r>
              <w:rPr>
                <w:sz w:val="13"/>
                <w:szCs w:val="13"/>
              </w:rPr>
              <w:t>(2</w:t>
            </w:r>
            <w:r>
              <w:rPr>
                <w:sz w:val="13"/>
                <w:szCs w:val="13"/>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65.0</w:t>
            </w:r>
            <w:r>
              <w:rPr>
                <w:sz w:val="20"/>
                <w:szCs w:val="20"/>
              </w:rPr>
              <w:t>0</w:t>
            </w:r>
            <w:r>
              <w:rPr>
                <w:sz w:val="20"/>
                <w:szCs w:val="20"/>
              </w:rPr>
              <w:t>%</w:t>
            </w:r>
            <w:r>
              <w:rPr>
                <w:sz w:val="20"/>
                <w:szCs w:val="20"/>
              </w:rPr>
              <w:t>-</w:t>
            </w:r>
            <w:r>
              <w:rPr>
                <w:sz w:val="20"/>
                <w:szCs w:val="20"/>
              </w:rPr>
              <w:t>75.2</w:t>
            </w:r>
            <w:r>
              <w:rPr>
                <w:sz w:val="20"/>
                <w:szCs w:val="20"/>
              </w:rPr>
              <w:t>3</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53.9</w:t>
            </w:r>
            <w:r>
              <w:rPr>
                <w:sz w:val="20"/>
                <w:szCs w:val="20"/>
              </w:rPr>
              <w:t>6</w:t>
            </w:r>
            <w:r>
              <w:rPr>
                <w:sz w:val="20"/>
                <w:szCs w:val="20"/>
              </w:rPr>
              <w:t>%</w:t>
            </w:r>
            <w:r>
              <w:rPr>
                <w:sz w:val="20"/>
                <w:szCs w:val="20"/>
              </w:rPr>
              <w:t>-</w:t>
            </w:r>
            <w:r>
              <w:rPr>
                <w:sz w:val="20"/>
                <w:szCs w:val="20"/>
              </w:rPr>
              <w:t>66.5</w:t>
            </w:r>
            <w:r>
              <w:rPr>
                <w:sz w:val="20"/>
                <w:szCs w:val="20"/>
              </w:rPr>
              <w:t>5</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59.8</w:t>
            </w:r>
            <w:r>
              <w:rPr>
                <w:sz w:val="20"/>
                <w:szCs w:val="20"/>
              </w:rPr>
              <w:t>1</w:t>
            </w:r>
            <w:r>
              <w:rPr>
                <w:sz w:val="20"/>
                <w:szCs w:val="20"/>
              </w:rPr>
              <w:t>%</w:t>
            </w:r>
            <w:r>
              <w:rPr>
                <w:sz w:val="20"/>
                <w:szCs w:val="20"/>
              </w:rPr>
              <w:t>-</w:t>
            </w:r>
            <w:r>
              <w:rPr>
                <w:sz w:val="20"/>
                <w:szCs w:val="20"/>
              </w:rPr>
              <w:t>64.6</w:t>
            </w:r>
            <w:r>
              <w:rPr>
                <w:sz w:val="20"/>
                <w:szCs w:val="20"/>
              </w:rPr>
              <w:t>1</w:t>
            </w:r>
            <w:r>
              <w:rPr>
                <w:sz w:val="20"/>
                <w:szCs w:val="20"/>
              </w:rPr>
              <w:t>%</w:t>
            </w:r>
          </w:p>
        </w:tc>
      </w:tr>
      <w:tr w:rsidR="00000000">
        <w:trPr>
          <w:divId w:val="1834642469"/>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Risk-free interest rate</w:t>
            </w:r>
            <w:r>
              <w:rPr>
                <w:sz w:val="20"/>
                <w:szCs w:val="20"/>
              </w:rPr>
              <w:t xml:space="preserve"> </w:t>
            </w:r>
            <w:r>
              <w:rPr>
                <w:sz w:val="13"/>
                <w:szCs w:val="13"/>
              </w:rPr>
              <w:t>(3</w:t>
            </w:r>
            <w:r>
              <w:rPr>
                <w:sz w:val="13"/>
                <w:szCs w:val="13"/>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0.6</w:t>
            </w:r>
            <w:r>
              <w:rPr>
                <w:sz w:val="20"/>
                <w:szCs w:val="20"/>
              </w:rPr>
              <w:t>6</w:t>
            </w:r>
            <w:r>
              <w:rPr>
                <w:sz w:val="20"/>
                <w:szCs w:val="20"/>
              </w:rPr>
              <w:t>%</w:t>
            </w:r>
            <w:r>
              <w:rPr>
                <w:sz w:val="20"/>
                <w:szCs w:val="20"/>
              </w:rPr>
              <w:t>-</w:t>
            </w:r>
            <w:r>
              <w:rPr>
                <w:sz w:val="20"/>
                <w:szCs w:val="20"/>
              </w:rPr>
              <w:t>1.3</w:t>
            </w:r>
            <w:r>
              <w:rPr>
                <w:sz w:val="20"/>
                <w:szCs w:val="20"/>
              </w:rPr>
              <w:t>9</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0.2</w:t>
            </w:r>
            <w:r>
              <w:rPr>
                <w:sz w:val="20"/>
                <w:szCs w:val="20"/>
              </w:rPr>
              <w:t>5</w:t>
            </w:r>
            <w:r>
              <w:rPr>
                <w:sz w:val="20"/>
                <w:szCs w:val="20"/>
              </w:rPr>
              <w:t>%</w:t>
            </w:r>
            <w:r>
              <w:rPr>
                <w:sz w:val="20"/>
                <w:szCs w:val="20"/>
              </w:rPr>
              <w:t>-</w:t>
            </w:r>
            <w:r>
              <w:rPr>
                <w:sz w:val="20"/>
                <w:szCs w:val="20"/>
              </w:rPr>
              <w:t>1.4</w:t>
            </w:r>
            <w:r>
              <w:rPr>
                <w:sz w:val="20"/>
                <w:szCs w:val="20"/>
              </w:rPr>
              <w:t>5</w:t>
            </w:r>
            <w:r>
              <w:rPr>
                <w:sz w:val="20"/>
                <w:szCs w:val="20"/>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1.5</w:t>
            </w:r>
            <w:r>
              <w:rPr>
                <w:sz w:val="20"/>
                <w:szCs w:val="20"/>
              </w:rPr>
              <w:t>9</w:t>
            </w:r>
            <w:r>
              <w:rPr>
                <w:sz w:val="20"/>
                <w:szCs w:val="20"/>
              </w:rPr>
              <w:t>%</w:t>
            </w:r>
            <w:r>
              <w:rPr>
                <w:sz w:val="20"/>
                <w:szCs w:val="20"/>
              </w:rPr>
              <w:t>-</w:t>
            </w:r>
            <w:r>
              <w:rPr>
                <w:sz w:val="20"/>
                <w:szCs w:val="20"/>
              </w:rPr>
              <w:t>2.4</w:t>
            </w:r>
            <w:r>
              <w:rPr>
                <w:sz w:val="20"/>
                <w:szCs w:val="20"/>
              </w:rPr>
              <w:t>1</w:t>
            </w:r>
            <w:r>
              <w:rPr>
                <w:sz w:val="20"/>
                <w:szCs w:val="20"/>
              </w:rPr>
              <w:t>%</w:t>
            </w:r>
          </w:p>
        </w:tc>
      </w:tr>
      <w:tr w:rsidR="00000000">
        <w:trPr>
          <w:divId w:val="1834642469"/>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Expected term (years)</w:t>
            </w:r>
            <w:r>
              <w:rPr>
                <w:sz w:val="20"/>
                <w:szCs w:val="20"/>
              </w:rPr>
              <w:t xml:space="preserve"> </w:t>
            </w:r>
            <w:r>
              <w:rPr>
                <w:sz w:val="13"/>
                <w:szCs w:val="13"/>
              </w:rPr>
              <w:t>(4</w:t>
            </w:r>
            <w:r>
              <w:rPr>
                <w:sz w:val="13"/>
                <w:szCs w:val="13"/>
              </w:rPr>
              <w: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5.2</w:t>
            </w:r>
            <w:r>
              <w:rPr>
                <w:sz w:val="20"/>
                <w:szCs w:val="20"/>
              </w:rPr>
              <w:t>7</w:t>
            </w:r>
            <w:r>
              <w:rPr>
                <w:sz w:val="20"/>
                <w:szCs w:val="20"/>
              </w:rPr>
              <w:t>-</w:t>
            </w:r>
            <w:r>
              <w:rPr>
                <w:sz w:val="20"/>
                <w:szCs w:val="20"/>
              </w:rPr>
              <w:t>6.2</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5.2</w:t>
            </w:r>
            <w:r>
              <w:rPr>
                <w:sz w:val="20"/>
                <w:szCs w:val="20"/>
              </w:rPr>
              <w:t>7</w:t>
            </w:r>
            <w:r>
              <w:rPr>
                <w:sz w:val="20"/>
                <w:szCs w:val="20"/>
              </w:rPr>
              <w:t>-</w:t>
            </w:r>
            <w:r>
              <w:rPr>
                <w:sz w:val="20"/>
                <w:szCs w:val="20"/>
              </w:rPr>
              <w:t>6.0</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center"/>
              <w:rPr>
                <w:sz w:val="20"/>
                <w:szCs w:val="20"/>
              </w:rPr>
            </w:pPr>
            <w:r>
              <w:rPr>
                <w:sz w:val="20"/>
                <w:szCs w:val="20"/>
              </w:rPr>
              <w:t>6.0</w:t>
            </w:r>
            <w:r>
              <w:rPr>
                <w:sz w:val="20"/>
                <w:szCs w:val="20"/>
              </w:rPr>
              <w:t>2</w:t>
            </w:r>
            <w:r>
              <w:rPr>
                <w:sz w:val="20"/>
                <w:szCs w:val="20"/>
              </w:rPr>
              <w:t>-</w:t>
            </w:r>
            <w:r>
              <w:rPr>
                <w:sz w:val="20"/>
                <w:szCs w:val="20"/>
              </w:rPr>
              <w:t>6.0</w:t>
            </w:r>
            <w:r>
              <w:rPr>
                <w:sz w:val="20"/>
                <w:szCs w:val="20"/>
              </w:rPr>
              <w:t>8</w:t>
            </w:r>
          </w:p>
        </w:tc>
      </w:tr>
    </w:tbl>
    <w:p w:rsidR="00000000" w:rsidRDefault="00AF2D19">
      <w:pPr>
        <w:pStyle w:val="a3"/>
        <w:spacing w:before="0" w:beforeAutospacing="0" w:after="0" w:afterAutospacing="0"/>
        <w:divId w:val="1834642469"/>
        <w:rPr>
          <w:sz w:val="20"/>
          <w:szCs w:val="20"/>
        </w:rPr>
      </w:pPr>
      <w:r>
        <w:rPr>
          <w:sz w:val="17"/>
          <w:szCs w:val="17"/>
        </w:rPr>
        <w:t> </w:t>
      </w:r>
    </w:p>
    <w:p w:rsidR="00000000" w:rsidRDefault="00AF2D19">
      <w:pPr>
        <w:jc w:val="both"/>
        <w:divId w:val="1834642469"/>
        <w:rPr>
          <w:rFonts w:eastAsia="Times New Roman"/>
        </w:rPr>
      </w:pPr>
      <w:r>
        <w:rPr>
          <w:rFonts w:eastAsia="Times New Roman"/>
          <w:sz w:val="17"/>
          <w:szCs w:val="17"/>
        </w:rPr>
        <w:t>(1</w:t>
      </w:r>
      <w:r>
        <w:rPr>
          <w:rFonts w:eastAsia="Times New Roman"/>
          <w:sz w:val="17"/>
          <w:szCs w:val="17"/>
        </w:rPr>
        <w:t>)</w:t>
      </w:r>
    </w:p>
    <w:p w:rsidR="00000000" w:rsidRDefault="00AF2D19">
      <w:pPr>
        <w:jc w:val="both"/>
        <w:divId w:val="2120025531"/>
        <w:rPr>
          <w:rFonts w:eastAsia="Times New Roman"/>
        </w:rPr>
      </w:pPr>
      <w:r>
        <w:rPr>
          <w:rFonts w:eastAsia="Times New Roman"/>
          <w:sz w:val="17"/>
          <w:szCs w:val="17"/>
        </w:rPr>
        <w:t>No dividends were paid during the years ending December 31, 2021, 2020 and 2019</w:t>
      </w:r>
      <w:r>
        <w:rPr>
          <w:rFonts w:eastAsia="Times New Roman"/>
          <w:sz w:val="17"/>
          <w:szCs w:val="17"/>
        </w:rPr>
        <w:t>.</w:t>
      </w:r>
    </w:p>
    <w:p w:rsidR="00000000" w:rsidRDefault="00AF2D19">
      <w:pPr>
        <w:jc w:val="both"/>
        <w:divId w:val="1205102094"/>
        <w:rPr>
          <w:rFonts w:eastAsia="Times New Roman"/>
        </w:rPr>
      </w:pPr>
      <w:r>
        <w:rPr>
          <w:rFonts w:eastAsia="Times New Roman"/>
          <w:sz w:val="17"/>
          <w:szCs w:val="17"/>
        </w:rPr>
        <w:t>(2</w:t>
      </w:r>
      <w:r>
        <w:rPr>
          <w:rFonts w:eastAsia="Times New Roman"/>
          <w:sz w:val="17"/>
          <w:szCs w:val="17"/>
        </w:rPr>
        <w:t>)</w:t>
      </w:r>
    </w:p>
    <w:p w:rsidR="00000000" w:rsidRDefault="00AF2D19">
      <w:pPr>
        <w:jc w:val="both"/>
        <w:divId w:val="1656302470"/>
        <w:rPr>
          <w:rFonts w:eastAsia="Times New Roman"/>
        </w:rPr>
      </w:pPr>
      <w:r>
        <w:rPr>
          <w:rFonts w:eastAsia="Times New Roman"/>
          <w:sz w:val="17"/>
          <w:szCs w:val="17"/>
        </w:rPr>
        <w:t>The expected volatility was calculated based upon historical stock price movements of similar publicly traded peer companies over the most recent periods ending on the grant date, equal to the expected term of the options, as adequate historical experience</w:t>
      </w:r>
      <w:r>
        <w:rPr>
          <w:rFonts w:eastAsia="Times New Roman"/>
          <w:sz w:val="17"/>
          <w:szCs w:val="17"/>
        </w:rPr>
        <w:t xml:space="preserve"> is not available to provide a reasonable estimate</w:t>
      </w:r>
      <w:r>
        <w:rPr>
          <w:rFonts w:eastAsia="Times New Roman"/>
          <w:sz w:val="17"/>
          <w:szCs w:val="17"/>
        </w:rPr>
        <w:t>.</w:t>
      </w:r>
    </w:p>
    <w:p w:rsidR="00000000" w:rsidRDefault="00AF2D19">
      <w:pPr>
        <w:jc w:val="both"/>
        <w:divId w:val="871304698"/>
        <w:rPr>
          <w:rFonts w:eastAsia="Times New Roman"/>
        </w:rPr>
      </w:pPr>
      <w:r>
        <w:rPr>
          <w:rFonts w:eastAsia="Times New Roman"/>
          <w:sz w:val="17"/>
          <w:szCs w:val="17"/>
        </w:rPr>
        <w:t>(3</w:t>
      </w:r>
      <w:r>
        <w:rPr>
          <w:rFonts w:eastAsia="Times New Roman"/>
          <w:sz w:val="17"/>
          <w:szCs w:val="17"/>
        </w:rPr>
        <w:t>)</w:t>
      </w:r>
    </w:p>
    <w:p w:rsidR="00000000" w:rsidRDefault="00AF2D19">
      <w:pPr>
        <w:jc w:val="both"/>
        <w:divId w:val="1136993300"/>
        <w:rPr>
          <w:rFonts w:eastAsia="Times New Roman"/>
        </w:rPr>
      </w:pPr>
      <w:r>
        <w:rPr>
          <w:rFonts w:eastAsia="Times New Roman"/>
          <w:sz w:val="17"/>
          <w:szCs w:val="17"/>
        </w:rPr>
        <w:t>The risk-free interest rate is based on the yield from U.S. treasury bonds with an equivalent term to the expected term of the options</w:t>
      </w:r>
      <w:r>
        <w:rPr>
          <w:rFonts w:eastAsia="Times New Roman"/>
          <w:sz w:val="17"/>
          <w:szCs w:val="17"/>
        </w:rPr>
        <w:t>.</w:t>
      </w:r>
      <w:r>
        <w:rPr>
          <w:rFonts w:eastAsia="Times New Roman"/>
          <w:sz w:val="17"/>
          <w:szCs w:val="17"/>
        </w:rPr>
        <w:t xml:space="preserve"> </w:t>
      </w:r>
    </w:p>
    <w:p w:rsidR="00000000" w:rsidRDefault="00AF2D19">
      <w:pPr>
        <w:jc w:val="both"/>
        <w:divId w:val="1843620984"/>
        <w:rPr>
          <w:rFonts w:eastAsia="Times New Roman"/>
        </w:rPr>
      </w:pPr>
      <w:r>
        <w:rPr>
          <w:rFonts w:eastAsia="Times New Roman"/>
          <w:sz w:val="17"/>
          <w:szCs w:val="17"/>
        </w:rPr>
        <w:t>(4</w:t>
      </w:r>
      <w:r>
        <w:rPr>
          <w:rFonts w:eastAsia="Times New Roman"/>
          <w:sz w:val="17"/>
          <w:szCs w:val="17"/>
        </w:rPr>
        <w:t>)</w:t>
      </w:r>
    </w:p>
    <w:p w:rsidR="00000000" w:rsidRDefault="00AF2D19">
      <w:pPr>
        <w:jc w:val="both"/>
        <w:divId w:val="717046284"/>
        <w:rPr>
          <w:rFonts w:eastAsia="Times New Roman"/>
        </w:rPr>
      </w:pPr>
      <w:r>
        <w:rPr>
          <w:rFonts w:eastAsia="Times New Roman"/>
          <w:sz w:val="17"/>
          <w:szCs w:val="17"/>
        </w:rPr>
        <w:t>The expected term of options granted is calculated using th</w:t>
      </w:r>
      <w:r>
        <w:rPr>
          <w:rFonts w:eastAsia="Times New Roman"/>
          <w:sz w:val="17"/>
          <w:szCs w:val="17"/>
        </w:rPr>
        <w:t>e simplified method for “plain vanilla” stock options awards</w:t>
      </w:r>
      <w:r>
        <w:rPr>
          <w:rFonts w:eastAsia="Times New Roman"/>
          <w:sz w:val="17"/>
          <w:szCs w:val="17"/>
        </w:rPr>
        <w:t>.</w:t>
      </w:r>
    </w:p>
    <w:p w:rsidR="00000000" w:rsidRDefault="00AF2D19">
      <w:pPr>
        <w:pStyle w:val="a3"/>
        <w:spacing w:before="120" w:beforeAutospacing="0" w:after="0" w:afterAutospacing="0"/>
        <w:jc w:val="both"/>
        <w:divId w:val="1902405851"/>
        <w:rPr>
          <w:sz w:val="20"/>
          <w:szCs w:val="20"/>
        </w:rPr>
      </w:pPr>
      <w:r>
        <w:rPr>
          <w:sz w:val="20"/>
          <w:szCs w:val="20"/>
        </w:rPr>
        <w:t xml:space="preserve">As of December 31, 2021, there was </w:t>
      </w:r>
      <w:r>
        <w:rPr>
          <w:sz w:val="20"/>
          <w:szCs w:val="20"/>
        </w:rPr>
        <w:t>$</w:t>
      </w:r>
      <w:r>
        <w:rPr>
          <w:sz w:val="20"/>
          <w:szCs w:val="20"/>
        </w:rPr>
        <w:t>17.</w:t>
      </w:r>
      <w:r>
        <w:rPr>
          <w:sz w:val="20"/>
          <w:szCs w:val="20"/>
        </w:rPr>
        <w:t>4</w:t>
      </w:r>
      <w:r>
        <w:rPr>
          <w:sz w:val="20"/>
          <w:szCs w:val="20"/>
        </w:rPr>
        <w:t xml:space="preserve"> million of total unrecognized compensation cost related to non-vested options that are expected to be recognized over a period of up to</w:t>
      </w:r>
      <w:r>
        <w:rPr>
          <w:sz w:val="20"/>
          <w:szCs w:val="20"/>
        </w:rPr>
        <w:t xml:space="preserve"> </w:t>
      </w:r>
      <w:r>
        <w:rPr>
          <w:sz w:val="20"/>
          <w:szCs w:val="20"/>
        </w:rPr>
        <w:t>4 year</w:t>
      </w:r>
      <w:r>
        <w:rPr>
          <w:sz w:val="20"/>
          <w:szCs w:val="20"/>
        </w:rPr>
        <w:t>s</w:t>
      </w:r>
      <w:r>
        <w:rPr>
          <w:sz w:val="20"/>
          <w:szCs w:val="20"/>
        </w:rPr>
        <w:t>.</w:t>
      </w:r>
    </w:p>
    <w:p w:rsidR="00000000" w:rsidRDefault="00AF2D19">
      <w:pPr>
        <w:pStyle w:val="a3"/>
        <w:spacing w:before="120" w:beforeAutospacing="0" w:after="0" w:afterAutospacing="0"/>
        <w:jc w:val="both"/>
        <w:divId w:val="1902405851"/>
        <w:rPr>
          <w:sz w:val="20"/>
          <w:szCs w:val="20"/>
        </w:rPr>
      </w:pPr>
      <w:r>
        <w:rPr>
          <w:sz w:val="20"/>
          <w:szCs w:val="20"/>
        </w:rPr>
        <w:t>During t</w:t>
      </w:r>
      <w:r>
        <w:rPr>
          <w:sz w:val="20"/>
          <w:szCs w:val="20"/>
        </w:rPr>
        <w:t>he year ended December 31, 2021, the Company issued</w:t>
      </w:r>
      <w:r>
        <w:rPr>
          <w:sz w:val="20"/>
          <w:szCs w:val="20"/>
        </w:rPr>
        <w:t xml:space="preserve"> </w:t>
      </w:r>
      <w:r>
        <w:rPr>
          <w:sz w:val="20"/>
          <w:szCs w:val="20"/>
        </w:rPr>
        <w:t>650,00</w:t>
      </w:r>
      <w:r>
        <w:rPr>
          <w:sz w:val="20"/>
          <w:szCs w:val="20"/>
        </w:rPr>
        <w:t>0</w:t>
      </w:r>
      <w:r>
        <w:rPr>
          <w:sz w:val="20"/>
          <w:szCs w:val="20"/>
        </w:rPr>
        <w:t xml:space="preserve"> warrants with similar terms as the Public Warrants to certain consultants in connection with the Closing of the Business Combination. The Company recognized $0.9 million of expense in connection w</w:t>
      </w:r>
      <w:r>
        <w:rPr>
          <w:sz w:val="20"/>
          <w:szCs w:val="20"/>
        </w:rPr>
        <w:t>ith these warrants</w:t>
      </w:r>
      <w:r>
        <w:rPr>
          <w:sz w:val="20"/>
          <w:szCs w:val="20"/>
        </w:rPr>
        <w:t>.</w:t>
      </w:r>
    </w:p>
    <w:p w:rsidR="00000000" w:rsidRDefault="00AF2D19">
      <w:pPr>
        <w:pStyle w:val="a3"/>
        <w:spacing w:before="0" w:beforeAutospacing="0" w:after="0" w:afterAutospacing="0"/>
        <w:divId w:val="1902405851"/>
        <w:rPr>
          <w:sz w:val="20"/>
          <w:szCs w:val="20"/>
        </w:rPr>
      </w:pPr>
      <w:r>
        <w:rPr>
          <w:sz w:val="20"/>
          <w:szCs w:val="20"/>
        </w:rPr>
        <w:t> </w:t>
      </w:r>
    </w:p>
    <w:p w:rsidR="00000000" w:rsidRDefault="00AF2D19">
      <w:pPr>
        <w:pStyle w:val="a3"/>
        <w:spacing w:before="0" w:beforeAutospacing="0" w:after="0" w:afterAutospacing="0"/>
        <w:jc w:val="center"/>
        <w:divId w:val="1902405851"/>
        <w:rPr>
          <w:sz w:val="20"/>
          <w:szCs w:val="20"/>
        </w:rPr>
      </w:pPr>
      <w:r>
        <w:rPr>
          <w:sz w:val="20"/>
          <w:szCs w:val="20"/>
        </w:rPr>
        <w:t>9</w:t>
      </w:r>
      <w:r>
        <w:rPr>
          <w:sz w:val="20"/>
          <w:szCs w:val="20"/>
        </w:rPr>
        <w:t>4</w:t>
      </w:r>
    </w:p>
    <w:p w:rsidR="00000000" w:rsidRDefault="00AF2D19">
      <w:pPr>
        <w:divId w:val="1902405851"/>
        <w:rPr>
          <w:rFonts w:eastAsia="Times New Roman"/>
        </w:rPr>
      </w:pPr>
      <w:r>
        <w:rPr>
          <w:rFonts w:eastAsia="Times New Roman"/>
        </w:rPr>
        <w:pict>
          <v:rect id="_x0000_i1122" style="width:0;height:1.5pt" o:hralign="center" o:hrstd="t" o:hr="t" fillcolor="#a0a0a0" stroked="f"/>
        </w:pict>
      </w:r>
    </w:p>
    <w:p w:rsidR="00000000" w:rsidRDefault="00AF2D19">
      <w:pPr>
        <w:pStyle w:val="a3"/>
        <w:spacing w:before="0" w:beforeAutospacing="0" w:after="0" w:afterAutospacing="0"/>
        <w:divId w:val="1902405851"/>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divId w:val="1902405851"/>
        <w:rPr>
          <w:sz w:val="20"/>
          <w:szCs w:val="20"/>
        </w:rPr>
      </w:pPr>
      <w:r>
        <w:rPr>
          <w:b/>
          <w:bCs/>
          <w:i/>
          <w:iCs/>
          <w:sz w:val="20"/>
          <w:szCs w:val="20"/>
        </w:rPr>
        <w:t>Restricted Stock Unit</w:t>
      </w:r>
      <w:r>
        <w:rPr>
          <w:b/>
          <w:bCs/>
          <w:i/>
          <w:iCs/>
          <w:sz w:val="20"/>
          <w:szCs w:val="20"/>
        </w:rPr>
        <w:t>s</w:t>
      </w:r>
    </w:p>
    <w:p w:rsidR="00000000" w:rsidRDefault="00AF2D19">
      <w:pPr>
        <w:pStyle w:val="a3"/>
        <w:spacing w:before="120" w:beforeAutospacing="0" w:after="0" w:afterAutospacing="0"/>
        <w:jc w:val="both"/>
        <w:divId w:val="1902405851"/>
        <w:rPr>
          <w:sz w:val="20"/>
          <w:szCs w:val="20"/>
        </w:rPr>
      </w:pPr>
      <w:r>
        <w:rPr>
          <w:sz w:val="20"/>
          <w:szCs w:val="20"/>
        </w:rPr>
        <w:t>The Company began issuing restricted stock units (“RSUs”</w:t>
      </w:r>
      <w:r>
        <w:rPr>
          <w:sz w:val="20"/>
          <w:szCs w:val="20"/>
        </w:rPr>
        <w:t>) to certain employees and directors of the Company in the fourth quarter of 2021 under the 2021 plan. These RSUs typically vest over a</w:t>
      </w:r>
      <w:r>
        <w:rPr>
          <w:sz w:val="20"/>
          <w:szCs w:val="20"/>
        </w:rPr>
        <w:t xml:space="preserve"> </w:t>
      </w:r>
      <w:r>
        <w:rPr>
          <w:sz w:val="20"/>
          <w:szCs w:val="20"/>
        </w:rPr>
        <w:t>four-yea</w:t>
      </w:r>
      <w:r>
        <w:rPr>
          <w:sz w:val="20"/>
          <w:szCs w:val="20"/>
        </w:rPr>
        <w:t>r</w:t>
      </w:r>
      <w:r>
        <w:rPr>
          <w:sz w:val="20"/>
          <w:szCs w:val="20"/>
        </w:rPr>
        <w:t xml:space="preserve"> period.</w:t>
      </w:r>
      <w:r>
        <w:rPr>
          <w:sz w:val="20"/>
          <w:szCs w:val="20"/>
        </w:rPr>
        <w:t xml:space="preserve"> </w:t>
      </w:r>
      <w:r>
        <w:rPr>
          <w:sz w:val="20"/>
          <w:szCs w:val="20"/>
        </w:rPr>
        <w:t>The following table summarizes the activity for restricted stock units for the year ended December 31,</w:t>
      </w:r>
      <w:r>
        <w:rPr>
          <w:sz w:val="20"/>
          <w:szCs w:val="20"/>
        </w:rPr>
        <w:t xml:space="preserve"> 2021</w:t>
      </w:r>
      <w:r>
        <w:rPr>
          <w:sz w:val="20"/>
          <w:szCs w:val="20"/>
        </w:rPr>
        <w:t>:</w:t>
      </w:r>
    </w:p>
    <w:p w:rsidR="00000000" w:rsidRDefault="00AF2D19">
      <w:pPr>
        <w:pStyle w:val="a3"/>
        <w:spacing w:before="60" w:beforeAutospacing="0" w:after="0" w:afterAutospacing="0"/>
        <w:jc w:val="both"/>
        <w:divId w:val="174522557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41"/>
        <w:gridCol w:w="95"/>
        <w:gridCol w:w="95"/>
        <w:gridCol w:w="1190"/>
        <w:gridCol w:w="107"/>
        <w:gridCol w:w="95"/>
        <w:gridCol w:w="131"/>
        <w:gridCol w:w="1042"/>
        <w:gridCol w:w="110"/>
      </w:tblGrid>
      <w:tr w:rsidR="00000000">
        <w:trPr>
          <w:divId w:val="1745225571"/>
          <w:tblCellSpacing w:w="15" w:type="dxa"/>
        </w:trPr>
        <w:tc>
          <w:tcPr>
            <w:tcW w:w="3383" w:type="pct"/>
            <w:vAlign w:val="center"/>
            <w:hideMark/>
          </w:tcPr>
          <w:p w:rsidR="00000000" w:rsidRDefault="00AF2D19">
            <w:pPr>
              <w:rPr>
                <w:sz w:val="20"/>
                <w:szCs w:val="20"/>
              </w:rPr>
            </w:pPr>
          </w:p>
        </w:tc>
        <w:tc>
          <w:tcPr>
            <w:tcW w:w="41"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754" w:type="pct"/>
            <w:vAlign w:val="center"/>
            <w:hideMark/>
          </w:tcPr>
          <w:p w:rsidR="00000000" w:rsidRDefault="00AF2D19">
            <w:pPr>
              <w:rPr>
                <w:rFonts w:eastAsia="Times New Roman"/>
                <w:sz w:val="20"/>
                <w:szCs w:val="20"/>
              </w:rPr>
            </w:pPr>
          </w:p>
        </w:tc>
        <w:tc>
          <w:tcPr>
            <w:tcW w:w="29" w:type="pct"/>
            <w:vAlign w:val="center"/>
            <w:hideMark/>
          </w:tcPr>
          <w:p w:rsidR="00000000" w:rsidRDefault="00AF2D19">
            <w:pPr>
              <w:rPr>
                <w:rFonts w:eastAsia="Times New Roman"/>
                <w:sz w:val="20"/>
                <w:szCs w:val="20"/>
              </w:rPr>
            </w:pPr>
          </w:p>
        </w:tc>
        <w:tc>
          <w:tcPr>
            <w:tcW w:w="41"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660"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r>
      <w:tr w:rsidR="00000000">
        <w:trPr>
          <w:divId w:val="1745225571"/>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AF2D19">
            <w:pPr>
              <w:pStyle w:val="a3"/>
              <w:spacing w:before="0" w:beforeAutospacing="0" w:after="0" w:afterAutospacing="0"/>
              <w:jc w:val="center"/>
              <w:rPr>
                <w:sz w:val="14"/>
                <w:szCs w:val="14"/>
              </w:rPr>
            </w:pPr>
            <w:r>
              <w:rPr>
                <w:b/>
                <w:bCs/>
                <w:sz w:val="14"/>
                <w:szCs w:val="14"/>
              </w:rPr>
              <w:t>Year ended December 31, 202</w:t>
            </w:r>
            <w:r>
              <w:rPr>
                <w:b/>
                <w:bCs/>
                <w:sz w:val="14"/>
                <w:szCs w:val="14"/>
              </w:rPr>
              <w:t>1</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divId w:val="1745225571"/>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Number of</w:t>
            </w:r>
            <w:r>
              <w:rPr>
                <w:b/>
                <w:bCs/>
                <w:sz w:val="14"/>
                <w:szCs w:val="14"/>
              </w:rPr>
              <w:br/>
              <w:t>restricted stock unit</w:t>
            </w:r>
            <w:r>
              <w:rPr>
                <w:b/>
                <w:bCs/>
                <w:sz w:val="14"/>
                <w:szCs w:val="14"/>
              </w:rPr>
              <w:t>s</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Weighted</w:t>
            </w:r>
            <w:r>
              <w:rPr>
                <w:b/>
                <w:bCs/>
                <w:sz w:val="14"/>
                <w:szCs w:val="14"/>
              </w:rPr>
              <w:br/>
              <w:t>average grant-date</w:t>
            </w:r>
            <w:r>
              <w:rPr>
                <w:b/>
                <w:bCs/>
                <w:sz w:val="14"/>
                <w:szCs w:val="14"/>
              </w:rPr>
              <w:br/>
              <w:t>fair valu</w:t>
            </w:r>
            <w:r>
              <w:rPr>
                <w:b/>
                <w:bCs/>
                <w:sz w:val="14"/>
                <w:szCs w:val="14"/>
              </w:rPr>
              <w:t>e</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divId w:val="174522557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Nonvested at beginning of yea</w:t>
            </w:r>
            <w:r>
              <w:rPr>
                <w:sz w:val="14"/>
                <w:szCs w:val="14"/>
              </w:rPr>
              <w:t>r</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74522557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Grante</w:t>
            </w:r>
            <w:r>
              <w:rPr>
                <w:sz w:val="14"/>
                <w:szCs w:val="14"/>
              </w:rPr>
              <w:t>d</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3,472,10</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3.5</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74522557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Veste</w:t>
            </w:r>
            <w:r>
              <w:rPr>
                <w:sz w:val="14"/>
                <w:szCs w:val="14"/>
              </w:rPr>
              <w:t>d</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512,68</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3.5</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74522557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Forfeite</w:t>
            </w:r>
            <w:r>
              <w:rPr>
                <w:sz w:val="14"/>
                <w:szCs w:val="14"/>
              </w:rPr>
              <w:t>d</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629,32</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3.5</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74522557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Nonvested at end of yea</w:t>
            </w:r>
            <w:r>
              <w:rPr>
                <w:sz w:val="14"/>
                <w:szCs w:val="14"/>
              </w:rPr>
              <w:t>r</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2,330,09</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3.5</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240" w:beforeAutospacing="0" w:after="0" w:afterAutospacing="0"/>
        <w:jc w:val="both"/>
        <w:divId w:val="1745225571"/>
        <w:rPr>
          <w:sz w:val="20"/>
          <w:szCs w:val="20"/>
        </w:rPr>
      </w:pPr>
      <w:r>
        <w:rPr>
          <w:sz w:val="20"/>
          <w:szCs w:val="20"/>
        </w:rPr>
        <w:t xml:space="preserve">As of December 31, 2021, there was </w:t>
      </w:r>
      <w:r>
        <w:rPr>
          <w:sz w:val="20"/>
          <w:szCs w:val="20"/>
        </w:rPr>
        <w:t>$</w:t>
      </w:r>
      <w:r>
        <w:rPr>
          <w:sz w:val="20"/>
          <w:szCs w:val="20"/>
        </w:rPr>
        <w:t>8.</w:t>
      </w:r>
      <w:r>
        <w:rPr>
          <w:sz w:val="20"/>
          <w:szCs w:val="20"/>
        </w:rPr>
        <w:t>2</w:t>
      </w:r>
      <w:r>
        <w:rPr>
          <w:sz w:val="20"/>
          <w:szCs w:val="20"/>
        </w:rPr>
        <w:t xml:space="preserve"> </w:t>
      </w:r>
      <w:r>
        <w:rPr>
          <w:sz w:val="20"/>
          <w:szCs w:val="20"/>
        </w:rPr>
        <w:t>million of total unrecognized compensation cost related to non-vested RSUs that are expected to be recognized over a period of up to</w:t>
      </w:r>
      <w:r>
        <w:rPr>
          <w:sz w:val="20"/>
          <w:szCs w:val="20"/>
        </w:rPr>
        <w:t xml:space="preserve"> </w:t>
      </w:r>
      <w:r>
        <w:rPr>
          <w:sz w:val="20"/>
          <w:szCs w:val="20"/>
        </w:rPr>
        <w:t>3.</w:t>
      </w:r>
      <w:r>
        <w:rPr>
          <w:sz w:val="20"/>
          <w:szCs w:val="20"/>
        </w:rPr>
        <w:t>7</w:t>
      </w:r>
      <w:r>
        <w:rPr>
          <w:sz w:val="20"/>
          <w:szCs w:val="20"/>
        </w:rPr>
        <w:t xml:space="preserve"> years</w:t>
      </w:r>
      <w:r>
        <w:rPr>
          <w:sz w:val="20"/>
          <w:szCs w:val="20"/>
        </w:rPr>
        <w:t>.</w:t>
      </w:r>
    </w:p>
    <w:p w:rsidR="00000000" w:rsidRDefault="00AF2D19">
      <w:pPr>
        <w:pStyle w:val="a3"/>
        <w:spacing w:before="120" w:beforeAutospacing="0" w:after="0" w:afterAutospacing="0"/>
        <w:jc w:val="both"/>
        <w:divId w:val="452022220"/>
        <w:rPr>
          <w:sz w:val="20"/>
          <w:szCs w:val="20"/>
        </w:rPr>
      </w:pPr>
      <w:r>
        <w:rPr>
          <w:sz w:val="20"/>
          <w:szCs w:val="20"/>
        </w:rPr>
        <w:t>The following table sets forth the total share-based compensation expense related to stock options and restricte</w:t>
      </w:r>
      <w:r>
        <w:rPr>
          <w:sz w:val="20"/>
          <w:szCs w:val="20"/>
        </w:rPr>
        <w:t>d stock units included in the respective components of operating expenses in the consolidated statement of operations and comprehensive loss</w:t>
      </w:r>
      <w:r>
        <w:rPr>
          <w:sz w:val="20"/>
          <w:szCs w:val="20"/>
        </w:rPr>
        <w:t>:</w:t>
      </w:r>
      <w:r>
        <w:rPr>
          <w:sz w:val="20"/>
          <w:szCs w:val="20"/>
        </w:rPr>
        <w:t xml:space="preserve"> </w:t>
      </w:r>
    </w:p>
    <w:p w:rsidR="00000000" w:rsidRDefault="00AF2D19">
      <w:pPr>
        <w:pStyle w:val="a3"/>
        <w:spacing w:before="0" w:beforeAutospacing="0" w:after="0" w:afterAutospacing="0"/>
        <w:jc w:val="both"/>
        <w:divId w:val="452022220"/>
        <w:rPr>
          <w:sz w:val="20"/>
          <w:szCs w:val="20"/>
        </w:rPr>
      </w:pPr>
      <w:r>
        <w:rPr>
          <w:sz w:val="20"/>
          <w:szCs w:val="20"/>
        </w:rPr>
        <w:t>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4559"/>
        <w:gridCol w:w="110"/>
        <w:gridCol w:w="160"/>
        <w:gridCol w:w="783"/>
        <w:gridCol w:w="110"/>
        <w:gridCol w:w="110"/>
        <w:gridCol w:w="160"/>
        <w:gridCol w:w="780"/>
        <w:gridCol w:w="110"/>
        <w:gridCol w:w="110"/>
        <w:gridCol w:w="160"/>
        <w:gridCol w:w="780"/>
        <w:gridCol w:w="125"/>
      </w:tblGrid>
      <w:tr w:rsidR="00000000">
        <w:trPr>
          <w:divId w:val="452022220"/>
          <w:tblCellSpacing w:w="15" w:type="dxa"/>
        </w:trPr>
        <w:tc>
          <w:tcPr>
            <w:tcW w:w="2982" w:type="pct"/>
            <w:vAlign w:val="center"/>
            <w:hideMark/>
          </w:tcPr>
          <w:p w:rsidR="00000000" w:rsidRDefault="00AF2D19">
            <w:pPr>
              <w:rPr>
                <w:sz w:val="20"/>
                <w:szCs w:val="20"/>
              </w:rPr>
            </w:pPr>
          </w:p>
        </w:tc>
        <w:tc>
          <w:tcPr>
            <w:tcW w:w="51" w:type="pct"/>
            <w:vAlign w:val="center"/>
            <w:hideMark/>
          </w:tcPr>
          <w:p w:rsidR="00000000" w:rsidRDefault="00AF2D19">
            <w:pPr>
              <w:rPr>
                <w:rFonts w:eastAsia="Times New Roman"/>
                <w:sz w:val="20"/>
                <w:szCs w:val="20"/>
              </w:rPr>
            </w:pPr>
          </w:p>
        </w:tc>
        <w:tc>
          <w:tcPr>
            <w:tcW w:w="67" w:type="pct"/>
            <w:vAlign w:val="center"/>
            <w:hideMark/>
          </w:tcPr>
          <w:p w:rsidR="00000000" w:rsidRDefault="00AF2D19">
            <w:pPr>
              <w:rPr>
                <w:rFonts w:eastAsia="Times New Roman"/>
                <w:sz w:val="20"/>
                <w:szCs w:val="20"/>
              </w:rPr>
            </w:pPr>
          </w:p>
        </w:tc>
        <w:tc>
          <w:tcPr>
            <w:tcW w:w="522"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c>
          <w:tcPr>
            <w:tcW w:w="51" w:type="pct"/>
            <w:vAlign w:val="center"/>
            <w:hideMark/>
          </w:tcPr>
          <w:p w:rsidR="00000000" w:rsidRDefault="00AF2D19">
            <w:pPr>
              <w:rPr>
                <w:rFonts w:eastAsia="Times New Roman"/>
                <w:sz w:val="20"/>
                <w:szCs w:val="20"/>
              </w:rPr>
            </w:pPr>
          </w:p>
        </w:tc>
        <w:tc>
          <w:tcPr>
            <w:tcW w:w="67" w:type="pct"/>
            <w:vAlign w:val="center"/>
            <w:hideMark/>
          </w:tcPr>
          <w:p w:rsidR="00000000" w:rsidRDefault="00AF2D19">
            <w:pPr>
              <w:rPr>
                <w:rFonts w:eastAsia="Times New Roman"/>
                <w:sz w:val="20"/>
                <w:szCs w:val="20"/>
              </w:rPr>
            </w:pPr>
          </w:p>
        </w:tc>
        <w:tc>
          <w:tcPr>
            <w:tcW w:w="520"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c>
          <w:tcPr>
            <w:tcW w:w="51" w:type="pct"/>
            <w:vAlign w:val="center"/>
            <w:hideMark/>
          </w:tcPr>
          <w:p w:rsidR="00000000" w:rsidRDefault="00AF2D19">
            <w:pPr>
              <w:rPr>
                <w:rFonts w:eastAsia="Times New Roman"/>
                <w:sz w:val="20"/>
                <w:szCs w:val="20"/>
              </w:rPr>
            </w:pPr>
          </w:p>
        </w:tc>
        <w:tc>
          <w:tcPr>
            <w:tcW w:w="67" w:type="pct"/>
            <w:vAlign w:val="center"/>
            <w:hideMark/>
          </w:tcPr>
          <w:p w:rsidR="00000000" w:rsidRDefault="00AF2D19">
            <w:pPr>
              <w:rPr>
                <w:rFonts w:eastAsia="Times New Roman"/>
                <w:sz w:val="20"/>
                <w:szCs w:val="20"/>
              </w:rPr>
            </w:pPr>
          </w:p>
        </w:tc>
        <w:tc>
          <w:tcPr>
            <w:tcW w:w="520" w:type="pct"/>
            <w:vAlign w:val="center"/>
            <w:hideMark/>
          </w:tcPr>
          <w:p w:rsidR="00000000" w:rsidRDefault="00AF2D19">
            <w:pPr>
              <w:rPr>
                <w:rFonts w:eastAsia="Times New Roman"/>
                <w:sz w:val="20"/>
                <w:szCs w:val="20"/>
              </w:rPr>
            </w:pPr>
          </w:p>
        </w:tc>
        <w:tc>
          <w:tcPr>
            <w:tcW w:w="32" w:type="pct"/>
            <w:vAlign w:val="center"/>
            <w:hideMark/>
          </w:tcPr>
          <w:p w:rsidR="00000000" w:rsidRDefault="00AF2D19">
            <w:pPr>
              <w:rPr>
                <w:rFonts w:eastAsia="Times New Roman"/>
                <w:sz w:val="20"/>
                <w:szCs w:val="20"/>
              </w:rPr>
            </w:pPr>
          </w:p>
        </w:tc>
      </w:tr>
      <w:tr w:rsidR="00000000">
        <w:trPr>
          <w:divId w:val="452022220"/>
          <w:trHeight w:val="160"/>
          <w:tblCellSpacing w:w="15" w:type="dxa"/>
        </w:trPr>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F2D19">
            <w:pPr>
              <w:pStyle w:val="a3"/>
              <w:spacing w:before="0" w:beforeAutospacing="0" w:after="0" w:afterAutospacing="0"/>
              <w:jc w:val="center"/>
              <w:rPr>
                <w:sz w:val="16"/>
                <w:szCs w:val="16"/>
              </w:rPr>
            </w:pPr>
            <w:r>
              <w:rPr>
                <w:b/>
                <w:bCs/>
                <w:sz w:val="16"/>
                <w:szCs w:val="16"/>
              </w:rPr>
              <w:t xml:space="preserve">For the Years Ended </w:t>
            </w:r>
            <w:r>
              <w:rPr>
                <w:b/>
                <w:bCs/>
                <w:sz w:val="16"/>
                <w:szCs w:val="16"/>
              </w:rPr>
              <w:br/>
              <w:t>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452022220"/>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452022220"/>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Research and development, ne</w:t>
            </w:r>
            <w:r>
              <w:rPr>
                <w:sz w:val="20"/>
                <w:szCs w:val="20"/>
              </w:rPr>
              <w:t>t</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3,10</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76</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452022220"/>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Clinical Operation</w:t>
            </w:r>
            <w:r>
              <w:rPr>
                <w:sz w:val="20"/>
                <w:szCs w:val="20"/>
              </w:rPr>
              <w:t>s</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1,71</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10</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40</w:t>
            </w:r>
            <w:r>
              <w:rPr>
                <w:sz w:val="20"/>
                <w:szCs w:val="20"/>
              </w:rPr>
              <w:t>1</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452022220"/>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6,08</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1,56</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18</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452022220"/>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16,50</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1,07</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2,05</w:t>
            </w:r>
            <w:r>
              <w:rPr>
                <w:sz w:val="20"/>
                <w:szCs w:val="20"/>
              </w:rPr>
              <w:t>3</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452022220"/>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Total stock-based compensation expens</w:t>
            </w:r>
            <w:r>
              <w:rPr>
                <w:sz w:val="20"/>
                <w:szCs w:val="20"/>
              </w:rPr>
              <w:t>e</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27,40</w:t>
            </w:r>
            <w:r>
              <w:rPr>
                <w:sz w:val="20"/>
                <w:szCs w:val="20"/>
              </w:rPr>
              <w:t>5</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2,97</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3,40</w:t>
            </w:r>
            <w:r>
              <w:rPr>
                <w:sz w:val="20"/>
                <w:szCs w:val="20"/>
              </w:rPr>
              <w:t>4</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240" w:beforeAutospacing="0" w:after="0" w:afterAutospacing="0"/>
        <w:jc w:val="both"/>
        <w:divId w:val="1902405851"/>
        <w:rPr>
          <w:sz w:val="20"/>
          <w:szCs w:val="20"/>
        </w:rPr>
      </w:pPr>
      <w:r>
        <w:rPr>
          <w:sz w:val="20"/>
          <w:szCs w:val="20"/>
        </w:rPr>
        <w:t>As discussed in Note 3, upon closing of the Business Combination, vested and unvested stock options of Old Talkspace were converted into Talkspace stock options using an exchange ratio of</w:t>
      </w:r>
      <w:r>
        <w:rPr>
          <w:sz w:val="20"/>
          <w:szCs w:val="20"/>
        </w:rPr>
        <w:t xml:space="preserve"> </w:t>
      </w:r>
      <w:r>
        <w:rPr>
          <w:sz w:val="20"/>
          <w:szCs w:val="20"/>
        </w:rPr>
        <w:t>1.13414</w:t>
      </w:r>
      <w:r>
        <w:rPr>
          <w:sz w:val="20"/>
          <w:szCs w:val="20"/>
        </w:rPr>
        <w:t>0</w:t>
      </w:r>
      <w:r>
        <w:rPr>
          <w:sz w:val="20"/>
          <w:szCs w:val="20"/>
        </w:rPr>
        <w:t>.</w:t>
      </w:r>
      <w:r>
        <w:rPr>
          <w:sz w:val="20"/>
          <w:szCs w:val="20"/>
        </w:rPr>
        <w:t xml:space="preserve"> </w:t>
      </w:r>
      <w:r>
        <w:rPr>
          <w:sz w:val="20"/>
          <w:szCs w:val="20"/>
        </w:rPr>
        <w:t xml:space="preserve">As a result of this modification, the Company recognized </w:t>
      </w:r>
      <w:r>
        <w:rPr>
          <w:sz w:val="20"/>
          <w:szCs w:val="20"/>
        </w:rPr>
        <w:t>$</w:t>
      </w:r>
      <w:r>
        <w:rPr>
          <w:sz w:val="20"/>
          <w:szCs w:val="20"/>
        </w:rPr>
        <w:t>15.</w:t>
      </w:r>
      <w:r>
        <w:rPr>
          <w:sz w:val="20"/>
          <w:szCs w:val="20"/>
        </w:rPr>
        <w:t>2</w:t>
      </w:r>
      <w:r>
        <w:rPr>
          <w:sz w:val="20"/>
          <w:szCs w:val="20"/>
        </w:rPr>
        <w:t xml:space="preserve"> million in additional share-based compensation expense during the year ended December 31, 2021. Additionally, the unrecognized compensation cost includes </w:t>
      </w:r>
      <w:r>
        <w:rPr>
          <w:sz w:val="20"/>
          <w:szCs w:val="20"/>
        </w:rPr>
        <w:t>$</w:t>
      </w:r>
      <w:r>
        <w:rPr>
          <w:sz w:val="20"/>
          <w:szCs w:val="20"/>
        </w:rPr>
        <w:t>1.</w:t>
      </w:r>
      <w:r>
        <w:rPr>
          <w:sz w:val="20"/>
          <w:szCs w:val="20"/>
        </w:rPr>
        <w:t>5</w:t>
      </w:r>
      <w:r>
        <w:rPr>
          <w:sz w:val="20"/>
          <w:szCs w:val="20"/>
        </w:rPr>
        <w:t xml:space="preserve"> million of expense related to the modification of unvested stock options in connection with </w:t>
      </w:r>
      <w:r>
        <w:rPr>
          <w:sz w:val="20"/>
          <w:szCs w:val="20"/>
        </w:rPr>
        <w:t>the Business Combination. This cost will be recognized over the vesting period for the respective stock options</w:t>
      </w:r>
      <w:r>
        <w:rPr>
          <w:sz w:val="20"/>
          <w:szCs w:val="20"/>
        </w:rPr>
        <w:t>.</w:t>
      </w:r>
    </w:p>
    <w:p w:rsidR="00000000" w:rsidRDefault="00AF2D19">
      <w:pPr>
        <w:pStyle w:val="a3"/>
        <w:spacing w:before="120" w:beforeAutospacing="0" w:after="0" w:afterAutospacing="0"/>
        <w:jc w:val="both"/>
        <w:divId w:val="1902405851"/>
        <w:rPr>
          <w:sz w:val="20"/>
          <w:szCs w:val="20"/>
        </w:rPr>
      </w:pPr>
      <w:r>
        <w:rPr>
          <w:sz w:val="20"/>
          <w:szCs w:val="20"/>
        </w:rPr>
        <w:t>On November 15, 2021,</w:t>
      </w:r>
      <w:r>
        <w:rPr>
          <w:sz w:val="20"/>
          <w:szCs w:val="20"/>
        </w:rPr>
        <w:t xml:space="preserve"> </w:t>
      </w:r>
      <w:r>
        <w:rPr>
          <w:sz w:val="20"/>
          <w:szCs w:val="20"/>
        </w:rPr>
        <w:t>Oren Frank (co-founder and former Chief Executive Officer and Director) and Roni Frank (co-founder and former Head of Cli</w:t>
      </w:r>
      <w:r>
        <w:rPr>
          <w:sz w:val="20"/>
          <w:szCs w:val="20"/>
        </w:rPr>
        <w:t xml:space="preserve">nical Services and Director) resigned from the Company’s Board of Directors and from all other board, officer and fiduciary positions held with the Company, but agreed to continue to serve as strategic advisors to the Board of Directors for a period of up </w:t>
      </w:r>
      <w:r>
        <w:rPr>
          <w:sz w:val="20"/>
          <w:szCs w:val="20"/>
        </w:rPr>
        <w:t>to six months. Per the terms of their respective Separation and Transition Agreements, Mr. Frank and Ms. Frank will each receive the severance benefits provided for under the Company’s Executive Severance Plan (except that, rather than receiving 12 and 6 m</w:t>
      </w:r>
      <w:r>
        <w:rPr>
          <w:sz w:val="20"/>
          <w:szCs w:val="20"/>
        </w:rPr>
        <w:t>onths of COBRA reimbursement payments, respectively, Mr. and Ms. Frank will each receive 24 months of COBRA reimbursement payments)</w:t>
      </w:r>
      <w:r>
        <w:rPr>
          <w:sz w:val="20"/>
          <w:szCs w:val="20"/>
        </w:rPr>
        <w:t>.</w:t>
      </w:r>
      <w:r>
        <w:rPr>
          <w:sz w:val="20"/>
          <w:szCs w:val="20"/>
        </w:rPr>
        <w:t xml:space="preserve"> In addition, the Company paid up-front payments of </w:t>
      </w:r>
      <w:r>
        <w:rPr>
          <w:sz w:val="20"/>
          <w:szCs w:val="20"/>
        </w:rPr>
        <w:t>$</w:t>
      </w:r>
      <w:r>
        <w:rPr>
          <w:sz w:val="20"/>
          <w:szCs w:val="20"/>
        </w:rPr>
        <w:t>750,00</w:t>
      </w:r>
      <w:r>
        <w:rPr>
          <w:sz w:val="20"/>
          <w:szCs w:val="20"/>
        </w:rPr>
        <w:t>0</w:t>
      </w:r>
      <w:r>
        <w:rPr>
          <w:sz w:val="20"/>
          <w:szCs w:val="20"/>
        </w:rPr>
        <w:t xml:space="preserve"> to each of Mr. and Ms. Frank as an additional separation paymen</w:t>
      </w:r>
      <w:r>
        <w:rPr>
          <w:sz w:val="20"/>
          <w:szCs w:val="20"/>
        </w:rPr>
        <w:t>t in recognition of their contributions to the Company as founders and as additional consideration for their continued compliance with their restrictive covenants. All stock options held by Mr. Frank and Ms. Frank that were granted prior to the Business Co</w:t>
      </w:r>
      <w:r>
        <w:rPr>
          <w:sz w:val="20"/>
          <w:szCs w:val="20"/>
        </w:rPr>
        <w:t>mbination accelerated vesting and will remain exercisable until June 1, 2024, and all stock options granted following the Business Combination were cancelled and forfeited. The vesting of restricted stock units granted after the Business Combination that w</w:t>
      </w:r>
      <w:r>
        <w:rPr>
          <w:sz w:val="20"/>
          <w:szCs w:val="20"/>
        </w:rPr>
        <w:t xml:space="preserve">ould have otherwise vested through June 1, 2024 were accelerated and the remainder were cancelled and forfeited. The Company recognized </w:t>
      </w:r>
      <w:r>
        <w:rPr>
          <w:sz w:val="20"/>
          <w:szCs w:val="20"/>
        </w:rPr>
        <w:t>$</w:t>
      </w:r>
      <w:r>
        <w:rPr>
          <w:sz w:val="20"/>
          <w:szCs w:val="20"/>
        </w:rPr>
        <w:t>3.</w:t>
      </w:r>
      <w:r>
        <w:rPr>
          <w:sz w:val="20"/>
          <w:szCs w:val="20"/>
        </w:rPr>
        <w:t>8</w:t>
      </w:r>
      <w:r>
        <w:rPr>
          <w:sz w:val="20"/>
          <w:szCs w:val="20"/>
        </w:rPr>
        <w:t xml:space="preserve"> million in share-based compensation expense as a result of the modification of Mr. and Ms. Frank equity awards duri</w:t>
      </w:r>
      <w:r>
        <w:rPr>
          <w:sz w:val="20"/>
          <w:szCs w:val="20"/>
        </w:rPr>
        <w:t>ng the fourth quarter of 2021</w:t>
      </w:r>
      <w:r>
        <w:rPr>
          <w:sz w:val="20"/>
          <w:szCs w:val="20"/>
        </w:rPr>
        <w:t>.</w:t>
      </w:r>
    </w:p>
    <w:p w:rsidR="00000000" w:rsidRDefault="00AF2D19">
      <w:pPr>
        <w:pStyle w:val="a3"/>
        <w:spacing w:before="0" w:beforeAutospacing="0" w:after="0" w:afterAutospacing="0"/>
        <w:divId w:val="1902405851"/>
        <w:rPr>
          <w:sz w:val="20"/>
          <w:szCs w:val="20"/>
        </w:rPr>
      </w:pPr>
      <w:r>
        <w:rPr>
          <w:sz w:val="20"/>
          <w:szCs w:val="20"/>
        </w:rPr>
        <w:t> </w:t>
      </w:r>
    </w:p>
    <w:p w:rsidR="00000000" w:rsidRDefault="00AF2D19">
      <w:pPr>
        <w:pStyle w:val="a3"/>
        <w:spacing w:before="0" w:beforeAutospacing="0" w:after="0" w:afterAutospacing="0"/>
        <w:jc w:val="center"/>
        <w:divId w:val="1902405851"/>
        <w:rPr>
          <w:sz w:val="20"/>
          <w:szCs w:val="20"/>
        </w:rPr>
      </w:pPr>
      <w:r>
        <w:rPr>
          <w:sz w:val="20"/>
          <w:szCs w:val="20"/>
        </w:rPr>
        <w:t>9</w:t>
      </w:r>
      <w:r>
        <w:rPr>
          <w:sz w:val="20"/>
          <w:szCs w:val="20"/>
        </w:rPr>
        <w:t>5</w:t>
      </w:r>
    </w:p>
    <w:p w:rsidR="00000000" w:rsidRDefault="00AF2D19">
      <w:pPr>
        <w:divId w:val="1902405851"/>
        <w:rPr>
          <w:rFonts w:eastAsia="Times New Roman"/>
        </w:rPr>
      </w:pPr>
      <w:r>
        <w:rPr>
          <w:rFonts w:eastAsia="Times New Roman"/>
        </w:rPr>
        <w:pict>
          <v:rect id="_x0000_i1123" style="width:0;height:1.5pt" o:hralign="center" o:hrstd="t" o:hr="t" fillcolor="#a0a0a0" stroked="f"/>
        </w:pict>
      </w:r>
    </w:p>
    <w:p w:rsidR="00000000" w:rsidRDefault="00AF2D19">
      <w:pPr>
        <w:pStyle w:val="a3"/>
        <w:spacing w:before="0" w:beforeAutospacing="0" w:after="0" w:afterAutospacing="0"/>
        <w:divId w:val="1902405851"/>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divId w:val="1902405851"/>
        <w:rPr>
          <w:sz w:val="20"/>
          <w:szCs w:val="20"/>
        </w:rPr>
      </w:pPr>
      <w:r>
        <w:rPr>
          <w:sz w:val="20"/>
          <w:szCs w:val="20"/>
        </w:rPr>
        <w:t> </w:t>
      </w:r>
    </w:p>
    <w:p w:rsidR="00000000" w:rsidRDefault="00AF2D19">
      <w:pPr>
        <w:pStyle w:val="a3"/>
        <w:spacing w:before="0" w:beforeAutospacing="0" w:after="0" w:afterAutospacing="0"/>
        <w:divId w:val="820776667"/>
        <w:rPr>
          <w:sz w:val="20"/>
          <w:szCs w:val="20"/>
        </w:rPr>
      </w:pPr>
      <w:r>
        <w:rPr>
          <w:b/>
          <w:bCs/>
          <w:sz w:val="20"/>
          <w:szCs w:val="20"/>
        </w:rPr>
        <w:t>NOTE 14.</w:t>
      </w:r>
      <w:r>
        <w:rPr>
          <w:b/>
          <w:bCs/>
          <w:sz w:val="20"/>
          <w:szCs w:val="20"/>
        </w:rPr>
        <w:t xml:space="preserve"> </w:t>
      </w:r>
      <w:r>
        <w:rPr>
          <w:b/>
          <w:bCs/>
          <w:sz w:val="20"/>
          <w:szCs w:val="20"/>
        </w:rPr>
        <w:t>NET LOSS PER SHAR</w:t>
      </w:r>
      <w:r>
        <w:rPr>
          <w:b/>
          <w:bCs/>
          <w:sz w:val="20"/>
          <w:szCs w:val="20"/>
        </w:rPr>
        <w:t>E</w:t>
      </w:r>
    </w:p>
    <w:p w:rsidR="00000000" w:rsidRDefault="00AF2D19">
      <w:pPr>
        <w:pStyle w:val="a3"/>
        <w:spacing w:before="0" w:beforeAutospacing="0" w:after="0" w:afterAutospacing="0"/>
        <w:jc w:val="both"/>
        <w:divId w:val="820776667"/>
        <w:rPr>
          <w:sz w:val="20"/>
          <w:szCs w:val="20"/>
        </w:rPr>
      </w:pPr>
      <w:r>
        <w:rPr>
          <w:sz w:val="12"/>
          <w:szCs w:val="12"/>
        </w:rPr>
        <w:t> </w:t>
      </w:r>
    </w:p>
    <w:p w:rsidR="00000000" w:rsidRDefault="00AF2D19">
      <w:pPr>
        <w:pStyle w:val="a3"/>
        <w:spacing w:before="0" w:beforeAutospacing="0" w:after="0" w:afterAutospacing="0"/>
        <w:jc w:val="both"/>
        <w:divId w:val="927537252"/>
        <w:rPr>
          <w:sz w:val="20"/>
          <w:szCs w:val="20"/>
        </w:rPr>
      </w:pPr>
      <w:r>
        <w:rPr>
          <w:sz w:val="20"/>
          <w:szCs w:val="20"/>
        </w:rPr>
        <w:t>The following table sets forth the computation of basic and diluted net loss per share attributable to common stockholders for the years ended December 31, 2021, 2020 and 2019</w:t>
      </w:r>
      <w:r>
        <w:rPr>
          <w:sz w:val="20"/>
          <w:szCs w:val="20"/>
        </w:rPr>
        <w:t>:</w:t>
      </w:r>
      <w:r>
        <w:rPr>
          <w:sz w:val="20"/>
          <w:szCs w:val="20"/>
        </w:rPr>
        <w:t xml:space="preserve"> </w:t>
      </w:r>
    </w:p>
    <w:p w:rsidR="00000000" w:rsidRDefault="00AF2D19">
      <w:pPr>
        <w:pStyle w:val="a3"/>
        <w:spacing w:before="0" w:beforeAutospacing="0" w:after="0" w:afterAutospacing="0"/>
        <w:divId w:val="927537252"/>
        <w:rPr>
          <w:sz w:val="20"/>
          <w:szCs w:val="20"/>
        </w:rPr>
      </w:pPr>
      <w:r>
        <w:t> </w:t>
      </w:r>
    </w:p>
    <w:tbl>
      <w:tblPr>
        <w:tblW w:w="4450" w:type="pct"/>
        <w:tblCellSpacing w:w="15" w:type="dxa"/>
        <w:tblCellMar>
          <w:top w:w="15" w:type="dxa"/>
          <w:left w:w="15" w:type="dxa"/>
          <w:bottom w:w="15" w:type="dxa"/>
          <w:right w:w="15" w:type="dxa"/>
        </w:tblCellMar>
        <w:tblLook w:val="04A0" w:firstRow="1" w:lastRow="0" w:firstColumn="1" w:lastColumn="0" w:noHBand="0" w:noVBand="1"/>
      </w:tblPr>
      <w:tblGrid>
        <w:gridCol w:w="3357"/>
        <w:gridCol w:w="110"/>
        <w:gridCol w:w="160"/>
        <w:gridCol w:w="960"/>
        <w:gridCol w:w="110"/>
        <w:gridCol w:w="110"/>
        <w:gridCol w:w="160"/>
        <w:gridCol w:w="960"/>
        <w:gridCol w:w="110"/>
        <w:gridCol w:w="110"/>
        <w:gridCol w:w="160"/>
        <w:gridCol w:w="960"/>
        <w:gridCol w:w="125"/>
      </w:tblGrid>
      <w:tr w:rsidR="00000000">
        <w:trPr>
          <w:divId w:val="927537252"/>
          <w:tblCellSpacing w:w="15" w:type="dxa"/>
        </w:trPr>
        <w:tc>
          <w:tcPr>
            <w:tcW w:w="2767" w:type="pct"/>
            <w:vAlign w:val="center"/>
            <w:hideMark/>
          </w:tcPr>
          <w:p w:rsidR="00000000" w:rsidRDefault="00AF2D19">
            <w:pPr>
              <w:rPr>
                <w:sz w:val="20"/>
                <w:szCs w:val="20"/>
              </w:rPr>
            </w:pPr>
          </w:p>
        </w:tc>
        <w:tc>
          <w:tcPr>
            <w:tcW w:w="53" w:type="pct"/>
            <w:vAlign w:val="center"/>
            <w:hideMark/>
          </w:tcPr>
          <w:p w:rsidR="00000000" w:rsidRDefault="00AF2D19">
            <w:pPr>
              <w:rPr>
                <w:rFonts w:eastAsia="Times New Roman"/>
                <w:sz w:val="20"/>
                <w:szCs w:val="20"/>
              </w:rPr>
            </w:pPr>
          </w:p>
        </w:tc>
        <w:tc>
          <w:tcPr>
            <w:tcW w:w="75" w:type="pct"/>
            <w:vAlign w:val="center"/>
            <w:hideMark/>
          </w:tcPr>
          <w:p w:rsidR="00000000" w:rsidRDefault="00AF2D19">
            <w:pPr>
              <w:rPr>
                <w:rFonts w:eastAsia="Times New Roman"/>
                <w:sz w:val="20"/>
                <w:szCs w:val="20"/>
              </w:rPr>
            </w:pPr>
          </w:p>
        </w:tc>
        <w:tc>
          <w:tcPr>
            <w:tcW w:w="580" w:type="pct"/>
            <w:vAlign w:val="center"/>
            <w:hideMark/>
          </w:tcPr>
          <w:p w:rsidR="00000000" w:rsidRDefault="00AF2D19">
            <w:pPr>
              <w:rPr>
                <w:rFonts w:eastAsia="Times New Roman"/>
                <w:sz w:val="20"/>
                <w:szCs w:val="20"/>
              </w:rPr>
            </w:pPr>
          </w:p>
        </w:tc>
        <w:tc>
          <w:tcPr>
            <w:tcW w:w="34" w:type="pct"/>
            <w:vAlign w:val="center"/>
            <w:hideMark/>
          </w:tcPr>
          <w:p w:rsidR="00000000" w:rsidRDefault="00AF2D19">
            <w:pPr>
              <w:rPr>
                <w:rFonts w:eastAsia="Times New Roman"/>
                <w:sz w:val="20"/>
                <w:szCs w:val="20"/>
              </w:rPr>
            </w:pPr>
          </w:p>
        </w:tc>
        <w:tc>
          <w:tcPr>
            <w:tcW w:w="53" w:type="pct"/>
            <w:vAlign w:val="center"/>
            <w:hideMark/>
          </w:tcPr>
          <w:p w:rsidR="00000000" w:rsidRDefault="00AF2D19">
            <w:pPr>
              <w:rPr>
                <w:rFonts w:eastAsia="Times New Roman"/>
                <w:sz w:val="20"/>
                <w:szCs w:val="20"/>
              </w:rPr>
            </w:pPr>
          </w:p>
        </w:tc>
        <w:tc>
          <w:tcPr>
            <w:tcW w:w="75" w:type="pct"/>
            <w:vAlign w:val="center"/>
            <w:hideMark/>
          </w:tcPr>
          <w:p w:rsidR="00000000" w:rsidRDefault="00AF2D19">
            <w:pPr>
              <w:rPr>
                <w:rFonts w:eastAsia="Times New Roman"/>
                <w:sz w:val="20"/>
                <w:szCs w:val="20"/>
              </w:rPr>
            </w:pPr>
          </w:p>
        </w:tc>
        <w:tc>
          <w:tcPr>
            <w:tcW w:w="580" w:type="pct"/>
            <w:vAlign w:val="center"/>
            <w:hideMark/>
          </w:tcPr>
          <w:p w:rsidR="00000000" w:rsidRDefault="00AF2D19">
            <w:pPr>
              <w:rPr>
                <w:rFonts w:eastAsia="Times New Roman"/>
                <w:sz w:val="20"/>
                <w:szCs w:val="20"/>
              </w:rPr>
            </w:pPr>
          </w:p>
        </w:tc>
        <w:tc>
          <w:tcPr>
            <w:tcW w:w="34" w:type="pct"/>
            <w:vAlign w:val="center"/>
            <w:hideMark/>
          </w:tcPr>
          <w:p w:rsidR="00000000" w:rsidRDefault="00AF2D19">
            <w:pPr>
              <w:rPr>
                <w:rFonts w:eastAsia="Times New Roman"/>
                <w:sz w:val="20"/>
                <w:szCs w:val="20"/>
              </w:rPr>
            </w:pPr>
          </w:p>
        </w:tc>
        <w:tc>
          <w:tcPr>
            <w:tcW w:w="53" w:type="pct"/>
            <w:vAlign w:val="center"/>
            <w:hideMark/>
          </w:tcPr>
          <w:p w:rsidR="00000000" w:rsidRDefault="00AF2D19">
            <w:pPr>
              <w:rPr>
                <w:rFonts w:eastAsia="Times New Roman"/>
                <w:sz w:val="20"/>
                <w:szCs w:val="20"/>
              </w:rPr>
            </w:pPr>
          </w:p>
        </w:tc>
        <w:tc>
          <w:tcPr>
            <w:tcW w:w="75" w:type="pct"/>
            <w:vAlign w:val="center"/>
            <w:hideMark/>
          </w:tcPr>
          <w:p w:rsidR="00000000" w:rsidRDefault="00AF2D19">
            <w:pPr>
              <w:rPr>
                <w:rFonts w:eastAsia="Times New Roman"/>
                <w:sz w:val="20"/>
                <w:szCs w:val="20"/>
              </w:rPr>
            </w:pPr>
          </w:p>
        </w:tc>
        <w:tc>
          <w:tcPr>
            <w:tcW w:w="580" w:type="pct"/>
            <w:vAlign w:val="center"/>
            <w:hideMark/>
          </w:tcPr>
          <w:p w:rsidR="00000000" w:rsidRDefault="00AF2D19">
            <w:pPr>
              <w:rPr>
                <w:rFonts w:eastAsia="Times New Roman"/>
                <w:sz w:val="20"/>
                <w:szCs w:val="20"/>
              </w:rPr>
            </w:pPr>
          </w:p>
        </w:tc>
        <w:tc>
          <w:tcPr>
            <w:tcW w:w="34" w:type="pct"/>
            <w:vAlign w:val="center"/>
            <w:hideMark/>
          </w:tcPr>
          <w:p w:rsidR="00000000" w:rsidRDefault="00AF2D19">
            <w:pPr>
              <w:rPr>
                <w:rFonts w:eastAsia="Times New Roman"/>
                <w:sz w:val="20"/>
                <w:szCs w:val="20"/>
              </w:rPr>
            </w:pPr>
          </w:p>
        </w:tc>
      </w:tr>
      <w:tr w:rsidR="00000000">
        <w:trPr>
          <w:divId w:val="927537252"/>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F2D19">
            <w:pPr>
              <w:pStyle w:val="a3"/>
              <w:spacing w:before="0" w:beforeAutospacing="0" w:after="0" w:afterAutospacing="0"/>
              <w:jc w:val="center"/>
              <w:rPr>
                <w:sz w:val="16"/>
                <w:szCs w:val="16"/>
              </w:rPr>
            </w:pPr>
            <w:r>
              <w:rPr>
                <w:b/>
                <w:bCs/>
                <w:sz w:val="16"/>
                <w:szCs w:val="16"/>
              </w:rPr>
              <w:t>For the Years Ended</w:t>
            </w:r>
            <w:r>
              <w:rPr>
                <w:b/>
                <w:bCs/>
                <w:sz w:val="16"/>
                <w:szCs w:val="16"/>
              </w:rPr>
              <w:br/>
              <w:t>December 31</w:t>
            </w:r>
            <w:r>
              <w:rPr>
                <w:b/>
                <w:b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927537252"/>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927537252"/>
          <w:trHeight w:val="160"/>
          <w:tblCellSpacing w:w="15" w:type="dxa"/>
        </w:trPr>
        <w:tc>
          <w:tcPr>
            <w:tcW w:w="0" w:type="auto"/>
            <w:vAlign w:val="bottom"/>
            <w:hideMark/>
          </w:tcPr>
          <w:p w:rsidR="00000000" w:rsidRDefault="00AF2D19">
            <w:pPr>
              <w:pStyle w:val="a3"/>
              <w:spacing w:before="0" w:beforeAutospacing="0" w:after="0" w:afterAutospacing="0"/>
              <w:rPr>
                <w:sz w:val="16"/>
                <w:szCs w:val="16"/>
              </w:rPr>
            </w:pPr>
            <w:r>
              <w:rPr>
                <w:i/>
                <w:iCs/>
                <w:sz w:val="16"/>
                <w:szCs w:val="16"/>
              </w:rPr>
              <w:t>(in thousands except share and per share data</w:t>
            </w:r>
            <w:r>
              <w:rPr>
                <w:i/>
                <w:iCs/>
                <w:sz w:val="16"/>
                <w:szCs w:val="16"/>
              </w:rPr>
              <w:t>)</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F2D19">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divId w:val="927537252"/>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los</w:t>
            </w:r>
            <w:r>
              <w:rPr>
                <w:sz w:val="20"/>
                <w:szCs w:val="20"/>
              </w:rPr>
              <w:t>s</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62,74</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22,37</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29,08</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27537252"/>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divId w:val="927537252"/>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Weighted-average shares used to compute net loss per share,</w:t>
            </w:r>
            <w:r>
              <w:rPr>
                <w:sz w:val="20"/>
                <w:szCs w:val="20"/>
              </w:rPr>
              <w:br/>
              <w:t>   basic and dilute</w:t>
            </w:r>
            <w:r>
              <w:rPr>
                <w:sz w:val="20"/>
                <w:szCs w:val="20"/>
              </w:rPr>
              <w:t>d</w:t>
            </w:r>
            <w:r>
              <w:rPr>
                <w:sz w:val="13"/>
                <w:szCs w:val="13"/>
              </w:rPr>
              <w:t> (1</w:t>
            </w:r>
            <w:r>
              <w:rPr>
                <w:sz w:val="13"/>
                <w:szCs w:val="13"/>
              </w:rPr>
              <w:t>)</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86,775,94</w:t>
            </w:r>
            <w:r>
              <w:rPr>
                <w:sz w:val="20"/>
                <w:szCs w:val="20"/>
              </w:rPr>
              <w:t>8</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13,359,35</w:t>
            </w:r>
            <w:r>
              <w:rPr>
                <w:sz w:val="20"/>
                <w:szCs w:val="20"/>
              </w:rPr>
              <w:t>0</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12,721,42</w:t>
            </w:r>
            <w:r>
              <w:rPr>
                <w:sz w:val="20"/>
                <w:szCs w:val="20"/>
              </w:rPr>
              <w:t>6</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divId w:val="927537252"/>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F2D19">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 </w:t>
            </w:r>
          </w:p>
        </w:tc>
      </w:tr>
      <w:tr w:rsidR="00000000">
        <w:trPr>
          <w:divId w:val="927537252"/>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0.7</w:t>
            </w:r>
            <w:r>
              <w:rPr>
                <w:sz w:val="20"/>
                <w:szCs w:val="20"/>
              </w:rPr>
              <w:t>2</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1.6</w:t>
            </w:r>
            <w:r>
              <w:rPr>
                <w:sz w:val="20"/>
                <w:szCs w:val="20"/>
              </w:rPr>
              <w:t>7</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w:t>
            </w:r>
          </w:p>
        </w:tc>
        <w:tc>
          <w:tcPr>
            <w:tcW w:w="0" w:type="auto"/>
            <w:vAlign w:val="bottom"/>
            <w:hideMark/>
          </w:tcPr>
          <w:p w:rsidR="00000000" w:rsidRDefault="00AF2D19">
            <w:pPr>
              <w:pStyle w:val="a3"/>
              <w:spacing w:before="0" w:beforeAutospacing="0" w:after="0" w:afterAutospacing="0"/>
              <w:jc w:val="right"/>
              <w:rPr>
                <w:sz w:val="20"/>
                <w:szCs w:val="20"/>
              </w:rPr>
            </w:pPr>
            <w:r>
              <w:rPr>
                <w:sz w:val="20"/>
                <w:szCs w:val="20"/>
              </w:rPr>
              <w:t>2.2</w:t>
            </w:r>
            <w:r>
              <w:rPr>
                <w:sz w:val="20"/>
                <w:szCs w:val="20"/>
              </w:rPr>
              <w:t>9</w:t>
            </w:r>
          </w:p>
        </w:tc>
        <w:tc>
          <w:tcPr>
            <w:tcW w:w="0" w:type="auto"/>
            <w:vAlign w:val="bottom"/>
            <w:hideMark/>
          </w:tcPr>
          <w:p w:rsidR="00000000" w:rsidRDefault="00AF2D19">
            <w:pPr>
              <w:pStyle w:val="a3"/>
              <w:spacing w:before="0" w:beforeAutospacing="0" w:after="0" w:afterAutospacing="0"/>
              <w:rPr>
                <w:sz w:val="20"/>
                <w:szCs w:val="20"/>
              </w:rPr>
            </w:pPr>
            <w:r>
              <w:rPr>
                <w:sz w:val="20"/>
                <w:szCs w:val="20"/>
              </w:rPr>
              <w:t> </w:t>
            </w:r>
          </w:p>
        </w:tc>
      </w:tr>
    </w:tbl>
    <w:p w:rsidR="00000000" w:rsidRDefault="00AF2D19">
      <w:pPr>
        <w:pStyle w:val="a3"/>
        <w:spacing w:before="0" w:beforeAutospacing="0" w:after="0" w:afterAutospacing="0"/>
        <w:divId w:val="927537252"/>
        <w:rPr>
          <w:sz w:val="20"/>
          <w:szCs w:val="20"/>
        </w:rPr>
      </w:pPr>
      <w:r>
        <w:t> </w:t>
      </w:r>
    </w:p>
    <w:p w:rsidR="00000000" w:rsidRDefault="00AF2D19">
      <w:pPr>
        <w:jc w:val="both"/>
        <w:divId w:val="927537252"/>
        <w:rPr>
          <w:rFonts w:eastAsia="Times New Roman"/>
        </w:rPr>
      </w:pPr>
      <w:r>
        <w:rPr>
          <w:rFonts w:eastAsia="Times New Roman"/>
          <w:sz w:val="17"/>
          <w:szCs w:val="17"/>
        </w:rPr>
        <w:t>(1</w:t>
      </w:r>
      <w:r>
        <w:rPr>
          <w:rFonts w:eastAsia="Times New Roman"/>
          <w:sz w:val="17"/>
          <w:szCs w:val="17"/>
        </w:rPr>
        <w:t>)</w:t>
      </w:r>
    </w:p>
    <w:p w:rsidR="00000000" w:rsidRDefault="00AF2D19">
      <w:pPr>
        <w:jc w:val="both"/>
        <w:divId w:val="1316911684"/>
        <w:rPr>
          <w:rFonts w:eastAsia="Times New Roman"/>
        </w:rPr>
      </w:pPr>
      <w:r>
        <w:rPr>
          <w:rFonts w:eastAsia="Times New Roman"/>
          <w:sz w:val="17"/>
          <w:szCs w:val="17"/>
        </w:rPr>
        <w:t>Prior period results have been adjusted to reflect the exchange of Old Talkspace’s common stock for Talkspace’s common stock at an exchange ratio of approximately</w:t>
      </w:r>
      <w:r>
        <w:rPr>
          <w:rFonts w:eastAsia="Times New Roman"/>
          <w:sz w:val="17"/>
          <w:szCs w:val="17"/>
        </w:rPr>
        <w:t xml:space="preserve"> </w:t>
      </w:r>
      <w:r>
        <w:rPr>
          <w:rFonts w:eastAsia="Times New Roman"/>
          <w:sz w:val="17"/>
          <w:szCs w:val="17"/>
        </w:rPr>
        <w:t>1.13414</w:t>
      </w:r>
      <w:r>
        <w:rPr>
          <w:rFonts w:eastAsia="Times New Roman"/>
          <w:sz w:val="17"/>
          <w:szCs w:val="17"/>
        </w:rPr>
        <w:t>0</w:t>
      </w:r>
      <w:r>
        <w:rPr>
          <w:rFonts w:eastAsia="Times New Roman"/>
          <w:sz w:val="17"/>
          <w:szCs w:val="17"/>
        </w:rPr>
        <w:t xml:space="preserve"> in June 2021 as a result of the Business Combination. See Note 3, “Business Combinat</w:t>
      </w:r>
      <w:r>
        <w:rPr>
          <w:rFonts w:eastAsia="Times New Roman"/>
          <w:sz w:val="17"/>
          <w:szCs w:val="17"/>
        </w:rPr>
        <w:t>ion” for further details</w:t>
      </w:r>
      <w:r>
        <w:rPr>
          <w:rFonts w:eastAsia="Times New Roman"/>
          <w:sz w:val="17"/>
          <w:szCs w:val="17"/>
        </w:rPr>
        <w:t>.</w:t>
      </w:r>
    </w:p>
    <w:p w:rsidR="00000000" w:rsidRDefault="00AF2D19">
      <w:pPr>
        <w:pStyle w:val="a3"/>
        <w:spacing w:before="120" w:beforeAutospacing="0" w:after="0" w:afterAutospacing="0"/>
        <w:jc w:val="both"/>
        <w:divId w:val="820776667"/>
        <w:rPr>
          <w:sz w:val="20"/>
          <w:szCs w:val="20"/>
        </w:rPr>
      </w:pPr>
      <w:r>
        <w:rPr>
          <w:sz w:val="20"/>
          <w:szCs w:val="20"/>
        </w:rPr>
        <w:t>For the year ended December 31, 2021, the following were excluded from the calculation of diluted loss per share since each would have had an anti-dilutive effect given the Company’s net loss:</w:t>
      </w:r>
      <w:r>
        <w:rPr>
          <w:sz w:val="20"/>
          <w:szCs w:val="20"/>
        </w:rPr>
        <w:t xml:space="preserve"> </w:t>
      </w:r>
      <w:r>
        <w:rPr>
          <w:sz w:val="20"/>
          <w:szCs w:val="20"/>
        </w:rPr>
        <w:t>19,494,86</w:t>
      </w:r>
      <w:r>
        <w:rPr>
          <w:sz w:val="20"/>
          <w:szCs w:val="20"/>
        </w:rPr>
        <w:t>1</w:t>
      </w:r>
      <w:r>
        <w:rPr>
          <w:sz w:val="20"/>
          <w:szCs w:val="20"/>
        </w:rPr>
        <w:t xml:space="preserve"> stock options,</w:t>
      </w:r>
      <w:r>
        <w:rPr>
          <w:sz w:val="20"/>
          <w:szCs w:val="20"/>
        </w:rPr>
        <w:t xml:space="preserve"> </w:t>
      </w:r>
      <w:r>
        <w:rPr>
          <w:sz w:val="20"/>
          <w:szCs w:val="20"/>
        </w:rPr>
        <w:t>2,330,09</w:t>
      </w:r>
      <w:r>
        <w:rPr>
          <w:sz w:val="20"/>
          <w:szCs w:val="20"/>
        </w:rPr>
        <w:t>4</w:t>
      </w:r>
      <w:r>
        <w:rPr>
          <w:sz w:val="20"/>
          <w:szCs w:val="20"/>
        </w:rPr>
        <w:t xml:space="preserve"> r</w:t>
      </w:r>
      <w:r>
        <w:rPr>
          <w:sz w:val="20"/>
          <w:szCs w:val="20"/>
        </w:rPr>
        <w:t>estricted stock units,</w:t>
      </w:r>
      <w:r>
        <w:rPr>
          <w:sz w:val="20"/>
          <w:szCs w:val="20"/>
        </w:rPr>
        <w:t xml:space="preserve"> </w:t>
      </w:r>
      <w:r>
        <w:rPr>
          <w:sz w:val="20"/>
          <w:szCs w:val="20"/>
        </w:rPr>
        <w:t>12,780,00</w:t>
      </w:r>
      <w:r>
        <w:rPr>
          <w:sz w:val="20"/>
          <w:szCs w:val="20"/>
        </w:rPr>
        <w:t>0</w:t>
      </w:r>
      <w:r>
        <w:rPr>
          <w:sz w:val="20"/>
          <w:szCs w:val="20"/>
        </w:rPr>
        <w:t xml:space="preserve"> private placement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w:t>
      </w:r>
      <w:r>
        <w:rPr>
          <w:sz w:val="20"/>
          <w:szCs w:val="20"/>
        </w:rPr>
        <w:t>.</w:t>
      </w:r>
    </w:p>
    <w:p w:rsidR="00000000" w:rsidRDefault="00AF2D19">
      <w:pPr>
        <w:pStyle w:val="a3"/>
        <w:spacing w:before="120" w:beforeAutospacing="0" w:after="0" w:afterAutospacing="0"/>
        <w:jc w:val="both"/>
        <w:divId w:val="820776667"/>
        <w:rPr>
          <w:sz w:val="20"/>
          <w:szCs w:val="20"/>
        </w:rPr>
      </w:pPr>
      <w:r>
        <w:rPr>
          <w:sz w:val="20"/>
          <w:szCs w:val="20"/>
        </w:rPr>
        <w:t xml:space="preserve">For the year ended December 31, 2020, the following were excluded from the calculation of diluted loss per share since each </w:t>
      </w:r>
      <w:r>
        <w:rPr>
          <w:sz w:val="20"/>
          <w:szCs w:val="20"/>
        </w:rPr>
        <w:t>would have had an anti-dilutive effect given the Company’s net loss:</w:t>
      </w:r>
      <w:r>
        <w:rPr>
          <w:sz w:val="20"/>
          <w:szCs w:val="20"/>
        </w:rPr>
        <w:t xml:space="preserve"> </w:t>
      </w:r>
      <w:r>
        <w:rPr>
          <w:sz w:val="20"/>
          <w:szCs w:val="20"/>
        </w:rPr>
        <w:t>83,395,81</w:t>
      </w:r>
      <w:r>
        <w:rPr>
          <w:sz w:val="20"/>
          <w:szCs w:val="20"/>
        </w:rPr>
        <w:t>5</w:t>
      </w:r>
      <w:r>
        <w:rPr>
          <w:sz w:val="20"/>
          <w:szCs w:val="20"/>
        </w:rPr>
        <w:t xml:space="preserve"> shares of convertible preferred stock,</w:t>
      </w:r>
      <w:r>
        <w:rPr>
          <w:sz w:val="20"/>
          <w:szCs w:val="20"/>
        </w:rPr>
        <w:t xml:space="preserve"> </w:t>
      </w:r>
      <w:r>
        <w:rPr>
          <w:sz w:val="20"/>
          <w:szCs w:val="20"/>
        </w:rPr>
        <w:t>18,097,81</w:t>
      </w:r>
      <w:r>
        <w:rPr>
          <w:sz w:val="20"/>
          <w:szCs w:val="20"/>
        </w:rPr>
        <w:t>5</w:t>
      </w:r>
      <w:r>
        <w:rPr>
          <w:sz w:val="20"/>
          <w:szCs w:val="20"/>
        </w:rPr>
        <w:t xml:space="preserve"> stock options,</w:t>
      </w:r>
      <w:r>
        <w:rPr>
          <w:sz w:val="20"/>
          <w:szCs w:val="20"/>
        </w:rPr>
        <w:t xml:space="preserve"> </w:t>
      </w:r>
      <w:r>
        <w:rPr>
          <w:sz w:val="20"/>
          <w:szCs w:val="20"/>
        </w:rPr>
        <w:t>60,00</w:t>
      </w:r>
      <w:r>
        <w:rPr>
          <w:sz w:val="20"/>
          <w:szCs w:val="20"/>
        </w:rPr>
        <w:t>0</w:t>
      </w:r>
      <w:r>
        <w:rPr>
          <w:sz w:val="20"/>
          <w:szCs w:val="20"/>
        </w:rPr>
        <w:t xml:space="preserve"> warrants to the Company’s common stock and</w:t>
      </w:r>
      <w:r>
        <w:rPr>
          <w:sz w:val="20"/>
          <w:szCs w:val="20"/>
        </w:rPr>
        <w:t xml:space="preserve"> </w:t>
      </w:r>
      <w:r>
        <w:rPr>
          <w:sz w:val="20"/>
          <w:szCs w:val="20"/>
        </w:rPr>
        <w:t>50,88</w:t>
      </w:r>
      <w:r>
        <w:rPr>
          <w:sz w:val="20"/>
          <w:szCs w:val="20"/>
        </w:rPr>
        <w:t>1</w:t>
      </w:r>
      <w:r>
        <w:rPr>
          <w:sz w:val="20"/>
          <w:szCs w:val="20"/>
        </w:rPr>
        <w:t xml:space="preserve"> warrants to the Company’s series D convertible preferr</w:t>
      </w:r>
      <w:r>
        <w:rPr>
          <w:sz w:val="20"/>
          <w:szCs w:val="20"/>
        </w:rPr>
        <w:t>ed stock</w:t>
      </w:r>
      <w:r>
        <w:rPr>
          <w:sz w:val="20"/>
          <w:szCs w:val="20"/>
        </w:rPr>
        <w:t>.</w:t>
      </w:r>
    </w:p>
    <w:p w:rsidR="00000000" w:rsidRDefault="00AF2D19">
      <w:pPr>
        <w:pStyle w:val="a3"/>
        <w:spacing w:before="120" w:beforeAutospacing="0" w:after="0" w:afterAutospacing="0"/>
        <w:jc w:val="both"/>
        <w:divId w:val="820776667"/>
        <w:rPr>
          <w:sz w:val="20"/>
          <w:szCs w:val="20"/>
        </w:rPr>
      </w:pPr>
      <w:r>
        <w:rPr>
          <w:sz w:val="20"/>
          <w:szCs w:val="20"/>
        </w:rPr>
        <w:t>For the year ended December 31, 2019, the following were excluded from the calculation of diluted loss per share since each would have had an anti-dilutive effect given the Company’s net loss:</w:t>
      </w:r>
      <w:r>
        <w:rPr>
          <w:sz w:val="20"/>
          <w:szCs w:val="20"/>
        </w:rPr>
        <w:t xml:space="preserve"> </w:t>
      </w:r>
      <w:r>
        <w:rPr>
          <w:sz w:val="20"/>
          <w:szCs w:val="20"/>
        </w:rPr>
        <w:t>83,395,81</w:t>
      </w:r>
      <w:r>
        <w:rPr>
          <w:sz w:val="20"/>
          <w:szCs w:val="20"/>
        </w:rPr>
        <w:t>5</w:t>
      </w:r>
      <w:r>
        <w:rPr>
          <w:sz w:val="20"/>
          <w:szCs w:val="20"/>
        </w:rPr>
        <w:t xml:space="preserve"> shares of convertible preferred stock,</w:t>
      </w:r>
      <w:r>
        <w:rPr>
          <w:sz w:val="20"/>
          <w:szCs w:val="20"/>
        </w:rPr>
        <w:t xml:space="preserve"> </w:t>
      </w:r>
      <w:r>
        <w:rPr>
          <w:sz w:val="20"/>
          <w:szCs w:val="20"/>
        </w:rPr>
        <w:t>13,</w:t>
      </w:r>
      <w:r>
        <w:rPr>
          <w:sz w:val="20"/>
          <w:szCs w:val="20"/>
        </w:rPr>
        <w:t>841,06</w:t>
      </w:r>
      <w:r>
        <w:rPr>
          <w:sz w:val="20"/>
          <w:szCs w:val="20"/>
        </w:rPr>
        <w:t>5</w:t>
      </w:r>
      <w:r>
        <w:rPr>
          <w:sz w:val="20"/>
          <w:szCs w:val="20"/>
        </w:rPr>
        <w:t xml:space="preserve"> stock options,</w:t>
      </w:r>
      <w:r>
        <w:rPr>
          <w:sz w:val="20"/>
          <w:szCs w:val="20"/>
        </w:rPr>
        <w:t xml:space="preserve"> </w:t>
      </w:r>
      <w:r>
        <w:rPr>
          <w:sz w:val="20"/>
          <w:szCs w:val="20"/>
        </w:rPr>
        <w:t>60,00</w:t>
      </w:r>
      <w:r>
        <w:rPr>
          <w:sz w:val="20"/>
          <w:szCs w:val="20"/>
        </w:rPr>
        <w:t>0</w:t>
      </w:r>
      <w:r>
        <w:rPr>
          <w:sz w:val="20"/>
          <w:szCs w:val="20"/>
        </w:rPr>
        <w:t xml:space="preserve"> warrants to the Company’s common stock and</w:t>
      </w:r>
      <w:r>
        <w:rPr>
          <w:sz w:val="20"/>
          <w:szCs w:val="20"/>
        </w:rPr>
        <w:t xml:space="preserve"> </w:t>
      </w:r>
      <w:r>
        <w:rPr>
          <w:sz w:val="20"/>
          <w:szCs w:val="20"/>
        </w:rPr>
        <w:t>50,88</w:t>
      </w:r>
      <w:r>
        <w:rPr>
          <w:sz w:val="20"/>
          <w:szCs w:val="20"/>
        </w:rPr>
        <w:t>1</w:t>
      </w:r>
      <w:r>
        <w:rPr>
          <w:sz w:val="20"/>
          <w:szCs w:val="20"/>
        </w:rPr>
        <w:t xml:space="preserve"> warrants to the Company’s series D convertible preferred stock</w:t>
      </w:r>
      <w:r>
        <w:rPr>
          <w:sz w:val="20"/>
          <w:szCs w:val="20"/>
        </w:rPr>
        <w:t>.</w:t>
      </w:r>
    </w:p>
    <w:p w:rsidR="00000000" w:rsidRDefault="00AF2D19">
      <w:pPr>
        <w:pStyle w:val="a3"/>
        <w:spacing w:before="360" w:beforeAutospacing="0" w:after="240" w:afterAutospacing="0"/>
        <w:divId w:val="881864910"/>
        <w:rPr>
          <w:sz w:val="20"/>
          <w:szCs w:val="20"/>
        </w:rPr>
      </w:pPr>
      <w:r>
        <w:rPr>
          <w:b/>
          <w:bCs/>
          <w:sz w:val="20"/>
          <w:szCs w:val="20"/>
        </w:rPr>
        <w:t>NOTE 15.</w:t>
      </w:r>
      <w:r>
        <w:rPr>
          <w:b/>
          <w:bCs/>
          <w:sz w:val="20"/>
          <w:szCs w:val="20"/>
        </w:rPr>
        <w:t xml:space="preserve"> </w:t>
      </w:r>
      <w:r>
        <w:rPr>
          <w:b/>
          <w:bCs/>
          <w:sz w:val="20"/>
          <w:szCs w:val="20"/>
        </w:rPr>
        <w:t>TAXES ON INCOM</w:t>
      </w:r>
      <w:r>
        <w:rPr>
          <w:b/>
          <w:bCs/>
          <w:sz w:val="20"/>
          <w:szCs w:val="20"/>
        </w:rPr>
        <w:t>E</w:t>
      </w:r>
      <w:r>
        <w:rPr>
          <w:b/>
          <w:bCs/>
          <w:sz w:val="20"/>
          <w:szCs w:val="20"/>
        </w:rPr>
        <w:t xml:space="preserve"> </w:t>
      </w:r>
    </w:p>
    <w:p w:rsidR="00000000" w:rsidRDefault="00AF2D19">
      <w:pPr>
        <w:pStyle w:val="a3"/>
        <w:spacing w:before="120" w:beforeAutospacing="0" w:after="0" w:afterAutospacing="0"/>
        <w:jc w:val="both"/>
        <w:divId w:val="881864910"/>
        <w:rPr>
          <w:sz w:val="20"/>
          <w:szCs w:val="20"/>
        </w:rPr>
      </w:pPr>
      <w:r>
        <w:rPr>
          <w:sz w:val="20"/>
          <w:szCs w:val="20"/>
        </w:rPr>
        <w:t>The Company and its subsidiaries file income tax returns in the U.S. federal, and vari</w:t>
      </w:r>
      <w:r>
        <w:rPr>
          <w:sz w:val="20"/>
          <w:szCs w:val="20"/>
        </w:rPr>
        <w:t>ous states and foreign jurisdictions. The Company assessed its uncertain tax positions and determined that it has no uncertain tax position at December 31, 2021</w:t>
      </w:r>
      <w:r>
        <w:rPr>
          <w:sz w:val="20"/>
          <w:szCs w:val="20"/>
        </w:rPr>
        <w:t>.</w:t>
      </w:r>
    </w:p>
    <w:p w:rsidR="00000000" w:rsidRDefault="00AF2D19">
      <w:pPr>
        <w:pStyle w:val="a3"/>
        <w:spacing w:before="120" w:beforeAutospacing="0" w:after="240" w:afterAutospacing="0"/>
        <w:jc w:val="both"/>
        <w:divId w:val="1769613341"/>
        <w:rPr>
          <w:sz w:val="20"/>
          <w:szCs w:val="20"/>
        </w:rPr>
      </w:pPr>
      <w:r>
        <w:rPr>
          <w:sz w:val="20"/>
          <w:szCs w:val="20"/>
        </w:rPr>
        <w:t xml:space="preserve">A reconciliation of the Company’s statutory income tax rate to the Company’s effective income </w:t>
      </w:r>
      <w:r>
        <w:rPr>
          <w:sz w:val="20"/>
          <w:szCs w:val="20"/>
        </w:rPr>
        <w:t>tax rate is as follows</w:t>
      </w:r>
      <w:r>
        <w:rPr>
          <w:sz w:val="20"/>
          <w:szCs w:val="20"/>
        </w:rPr>
        <w:t>:</w:t>
      </w:r>
      <w:r>
        <w:rPr>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5"/>
        <w:gridCol w:w="142"/>
        <w:gridCol w:w="130"/>
        <w:gridCol w:w="1133"/>
        <w:gridCol w:w="177"/>
        <w:gridCol w:w="143"/>
        <w:gridCol w:w="130"/>
        <w:gridCol w:w="1132"/>
        <w:gridCol w:w="177"/>
        <w:gridCol w:w="143"/>
        <w:gridCol w:w="130"/>
        <w:gridCol w:w="1132"/>
        <w:gridCol w:w="192"/>
      </w:tblGrid>
      <w:tr w:rsidR="00000000">
        <w:trPr>
          <w:divId w:val="1769613341"/>
          <w:tblCellSpacing w:w="15" w:type="dxa"/>
        </w:trPr>
        <w:tc>
          <w:tcPr>
            <w:tcW w:w="2234" w:type="pct"/>
            <w:vAlign w:val="center"/>
            <w:hideMark/>
          </w:tcPr>
          <w:p w:rsidR="00000000" w:rsidRDefault="00AF2D19">
            <w:pPr>
              <w:rPr>
                <w:sz w:val="20"/>
                <w:szCs w:val="20"/>
              </w:rPr>
            </w:pPr>
          </w:p>
        </w:tc>
        <w:tc>
          <w:tcPr>
            <w:tcW w:w="88"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715" w:type="pct"/>
            <w:vAlign w:val="center"/>
            <w:hideMark/>
          </w:tcPr>
          <w:p w:rsidR="00000000" w:rsidRDefault="00AF2D19">
            <w:pPr>
              <w:rPr>
                <w:rFonts w:eastAsia="Times New Roman"/>
                <w:sz w:val="20"/>
                <w:szCs w:val="20"/>
              </w:rPr>
            </w:pPr>
          </w:p>
        </w:tc>
        <w:tc>
          <w:tcPr>
            <w:tcW w:w="73" w:type="pct"/>
            <w:vAlign w:val="center"/>
            <w:hideMark/>
          </w:tcPr>
          <w:p w:rsidR="00000000" w:rsidRDefault="00AF2D19">
            <w:pPr>
              <w:rPr>
                <w:rFonts w:eastAsia="Times New Roman"/>
                <w:sz w:val="20"/>
                <w:szCs w:val="20"/>
              </w:rPr>
            </w:pPr>
          </w:p>
        </w:tc>
        <w:tc>
          <w:tcPr>
            <w:tcW w:w="88"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714" w:type="pct"/>
            <w:vAlign w:val="center"/>
            <w:hideMark/>
          </w:tcPr>
          <w:p w:rsidR="00000000" w:rsidRDefault="00AF2D19">
            <w:pPr>
              <w:rPr>
                <w:rFonts w:eastAsia="Times New Roman"/>
                <w:sz w:val="20"/>
                <w:szCs w:val="20"/>
              </w:rPr>
            </w:pPr>
          </w:p>
        </w:tc>
        <w:tc>
          <w:tcPr>
            <w:tcW w:w="73" w:type="pct"/>
            <w:vAlign w:val="center"/>
            <w:hideMark/>
          </w:tcPr>
          <w:p w:rsidR="00000000" w:rsidRDefault="00AF2D19">
            <w:pPr>
              <w:rPr>
                <w:rFonts w:eastAsia="Times New Roman"/>
                <w:sz w:val="20"/>
                <w:szCs w:val="20"/>
              </w:rPr>
            </w:pPr>
          </w:p>
        </w:tc>
        <w:tc>
          <w:tcPr>
            <w:tcW w:w="88"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714" w:type="pct"/>
            <w:vAlign w:val="center"/>
            <w:hideMark/>
          </w:tcPr>
          <w:p w:rsidR="00000000" w:rsidRDefault="00AF2D19">
            <w:pPr>
              <w:rPr>
                <w:rFonts w:eastAsia="Times New Roman"/>
                <w:sz w:val="20"/>
                <w:szCs w:val="20"/>
              </w:rPr>
            </w:pPr>
          </w:p>
        </w:tc>
        <w:tc>
          <w:tcPr>
            <w:tcW w:w="73" w:type="pct"/>
            <w:vAlign w:val="center"/>
            <w:hideMark/>
          </w:tcPr>
          <w:p w:rsidR="00000000" w:rsidRDefault="00AF2D19">
            <w:pPr>
              <w:rPr>
                <w:rFonts w:eastAsia="Times New Roman"/>
                <w:sz w:val="20"/>
                <w:szCs w:val="20"/>
              </w:rPr>
            </w:pPr>
          </w:p>
        </w:tc>
      </w:tr>
      <w:tr w:rsidR="00000000">
        <w:trPr>
          <w:divId w:val="1769613341"/>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10"/>
            <w:vAlign w:val="bottom"/>
            <w:hideMark/>
          </w:tcPr>
          <w:p w:rsidR="00000000" w:rsidRDefault="00AF2D19">
            <w:pPr>
              <w:pStyle w:val="a3"/>
              <w:spacing w:before="0" w:beforeAutospacing="0" w:after="0" w:afterAutospacing="0"/>
              <w:jc w:val="center"/>
              <w:rPr>
                <w:sz w:val="14"/>
                <w:szCs w:val="14"/>
              </w:rPr>
            </w:pPr>
            <w:r>
              <w:rPr>
                <w:b/>
                <w:bCs/>
                <w:sz w:val="14"/>
                <w:szCs w:val="14"/>
              </w:rPr>
              <w:t>For the Years ended</w:t>
            </w:r>
            <w:r>
              <w:rPr>
                <w:b/>
                <w:bCs/>
                <w:sz w:val="14"/>
                <w:szCs w:val="14"/>
              </w:rPr>
              <w:br/>
              <w:t>December 31</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divId w:val="1769613341"/>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i/>
                <w:iCs/>
                <w:sz w:val="14"/>
                <w:szCs w:val="14"/>
              </w:rPr>
              <w:t>(in thousands</w:t>
            </w:r>
            <w:r>
              <w:rPr>
                <w:i/>
                <w:i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1</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0</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201</w:t>
            </w:r>
            <w:r>
              <w:rPr>
                <w:b/>
                <w:bCs/>
                <w:sz w:val="14"/>
                <w:szCs w:val="14"/>
              </w:rPr>
              <w:t>9</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divId w:val="176961334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Loss before income taxe</w:t>
            </w:r>
            <w:r>
              <w:rPr>
                <w:sz w:val="14"/>
                <w:szCs w:val="14"/>
              </w:rPr>
              <w:t>s</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62,69</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22,34</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29,07</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76961334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Statutory tax rat</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r>
      <w:tr w:rsidR="00000000">
        <w:trPr>
          <w:divId w:val="176961334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Theoretical tax benefi</w:t>
            </w:r>
            <w:r>
              <w:rPr>
                <w:sz w:val="14"/>
                <w:szCs w:val="14"/>
              </w:rPr>
              <w:t>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13,16</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4,69</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6,10</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76961334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Increase (decrease) in effective tax rate due to</w:t>
            </w: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r>
      <w:tr w:rsidR="00000000">
        <w:trPr>
          <w:divId w:val="176961334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State taxes, net of federal benefi</w:t>
            </w:r>
            <w:r>
              <w:rPr>
                <w:sz w:val="14"/>
                <w:szCs w:val="14"/>
              </w:rPr>
              <w:t>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2,50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1,12</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1,50</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76961334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Permanent difference</w:t>
            </w:r>
            <w:r>
              <w:rPr>
                <w:sz w:val="14"/>
                <w:szCs w:val="14"/>
              </w:rPr>
              <w:t>s</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1,49</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58</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59</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r>
      <w:tr w:rsidR="00000000">
        <w:trPr>
          <w:divId w:val="176961334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Valuation allowanc</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17,11</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5,20</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7,01</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r>
      <w:tr w:rsidR="00000000">
        <w:trPr>
          <w:divId w:val="1769613341"/>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Actual income taxe</w:t>
            </w:r>
            <w:r>
              <w:rPr>
                <w:sz w:val="14"/>
                <w:szCs w:val="14"/>
              </w:rPr>
              <w:t>s</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4</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120" w:beforeAutospacing="0" w:after="0" w:afterAutospacing="0"/>
        <w:jc w:val="both"/>
        <w:divId w:val="881864910"/>
        <w:rPr>
          <w:sz w:val="20"/>
          <w:szCs w:val="20"/>
        </w:rPr>
      </w:pPr>
      <w:r>
        <w:rPr>
          <w:sz w:val="20"/>
          <w:szCs w:val="20"/>
        </w:rPr>
        <w:t>The main reconciling item between the statutory tax rate of the Company and the effective tax rate is the recognition of valuation allowance in respect of deferred taxes relating to accumulated net operating losses carried forward due to the uncertainty of</w:t>
      </w:r>
      <w:r>
        <w:rPr>
          <w:sz w:val="20"/>
          <w:szCs w:val="20"/>
        </w:rPr>
        <w:t xml:space="preserve"> the realization of such deferred taxes</w:t>
      </w:r>
      <w:r>
        <w:rPr>
          <w:sz w:val="20"/>
          <w:szCs w:val="20"/>
        </w:rPr>
        <w:t>.</w:t>
      </w:r>
    </w:p>
    <w:p w:rsidR="00000000" w:rsidRDefault="00AF2D19">
      <w:pPr>
        <w:pStyle w:val="a3"/>
        <w:spacing w:before="0" w:beforeAutospacing="0" w:after="0" w:afterAutospacing="0"/>
        <w:jc w:val="both"/>
        <w:divId w:val="881864910"/>
        <w:rPr>
          <w:sz w:val="20"/>
          <w:szCs w:val="20"/>
        </w:rPr>
      </w:pPr>
      <w:r>
        <w:rPr>
          <w:sz w:val="20"/>
          <w:szCs w:val="20"/>
        </w:rPr>
        <w:t> </w:t>
      </w:r>
    </w:p>
    <w:p w:rsidR="00000000" w:rsidRDefault="00AF2D19">
      <w:pPr>
        <w:pStyle w:val="a3"/>
        <w:spacing w:before="0" w:beforeAutospacing="0" w:after="0" w:afterAutospacing="0"/>
        <w:jc w:val="both"/>
        <w:divId w:val="1247886254"/>
        <w:rPr>
          <w:sz w:val="20"/>
          <w:szCs w:val="20"/>
        </w:rPr>
      </w:pPr>
      <w:r>
        <w:rPr>
          <w:sz w:val="20"/>
          <w:szCs w:val="20"/>
        </w:rPr>
        <w:t>Loss (income) before taxes is attributable to the following tax jurisdictions</w:t>
      </w:r>
      <w:r>
        <w:rPr>
          <w:sz w:val="20"/>
          <w:szCs w:val="20"/>
        </w:rPr>
        <w:t>:</w:t>
      </w:r>
    </w:p>
    <w:p w:rsidR="00000000" w:rsidRDefault="00AF2D19">
      <w:pPr>
        <w:pStyle w:val="a3"/>
        <w:spacing w:before="0" w:beforeAutospacing="0" w:after="0" w:afterAutospacing="0"/>
        <w:jc w:val="both"/>
        <w:divId w:val="1247886254"/>
        <w:rPr>
          <w:sz w:val="20"/>
          <w:szCs w:val="20"/>
        </w:rPr>
      </w:pPr>
      <w:r>
        <w:rPr>
          <w:sz w:val="20"/>
          <w:szCs w:val="20"/>
        </w:rPr>
        <w:t> </w:t>
      </w:r>
    </w:p>
    <w:p w:rsidR="00000000" w:rsidRDefault="00AF2D19">
      <w:pPr>
        <w:pStyle w:val="a3"/>
        <w:spacing w:before="0" w:beforeAutospacing="0" w:after="0" w:afterAutospacing="0"/>
        <w:jc w:val="center"/>
        <w:divId w:val="1247886254"/>
        <w:rPr>
          <w:sz w:val="20"/>
          <w:szCs w:val="20"/>
        </w:rPr>
      </w:pPr>
      <w:r>
        <w:rPr>
          <w:sz w:val="20"/>
          <w:szCs w:val="20"/>
        </w:rPr>
        <w:t>9</w:t>
      </w:r>
      <w:r>
        <w:rPr>
          <w:sz w:val="20"/>
          <w:szCs w:val="20"/>
        </w:rPr>
        <w:t>6</w:t>
      </w:r>
    </w:p>
    <w:p w:rsidR="00000000" w:rsidRDefault="00AF2D19">
      <w:pPr>
        <w:divId w:val="1247886254"/>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AF2D19">
      <w:pPr>
        <w:pStyle w:val="a3"/>
        <w:spacing w:before="0" w:beforeAutospacing="0" w:after="0" w:afterAutospacing="0"/>
        <w:divId w:val="1247886254"/>
        <w:rPr>
          <w:sz w:val="20"/>
          <w:szCs w:val="20"/>
        </w:rPr>
      </w:pPr>
      <w:hyperlink w:anchor="toc_page" w:history="1">
        <w:r>
          <w:rPr>
            <w:rStyle w:val="a4"/>
            <w:sz w:val="20"/>
            <w:szCs w:val="20"/>
          </w:rPr>
          <w:t>Table of Content</w:t>
        </w:r>
        <w:r>
          <w:rPr>
            <w:rStyle w:val="a4"/>
            <w:sz w:val="20"/>
            <w:szCs w:val="20"/>
          </w:rPr>
          <w:t>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49"/>
        <w:gridCol w:w="127"/>
        <w:gridCol w:w="130"/>
        <w:gridCol w:w="1056"/>
        <w:gridCol w:w="107"/>
        <w:gridCol w:w="127"/>
        <w:gridCol w:w="130"/>
        <w:gridCol w:w="1047"/>
        <w:gridCol w:w="107"/>
        <w:gridCol w:w="127"/>
        <w:gridCol w:w="130"/>
        <w:gridCol w:w="1047"/>
        <w:gridCol w:w="122"/>
      </w:tblGrid>
      <w:tr w:rsidR="00000000">
        <w:trPr>
          <w:divId w:val="1247886254"/>
          <w:tblCellSpacing w:w="15" w:type="dxa"/>
        </w:trPr>
        <w:tc>
          <w:tcPr>
            <w:tcW w:w="2552" w:type="pct"/>
            <w:vAlign w:val="center"/>
            <w:hideMark/>
          </w:tcPr>
          <w:p w:rsidR="00000000" w:rsidRDefault="00AF2D19">
            <w:pPr>
              <w:rPr>
                <w:sz w:val="20"/>
                <w:szCs w:val="20"/>
              </w:rPr>
            </w:pPr>
          </w:p>
        </w:tc>
        <w:tc>
          <w:tcPr>
            <w:tcW w:w="78"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666" w:type="pct"/>
            <w:vAlign w:val="center"/>
            <w:hideMark/>
          </w:tcPr>
          <w:p w:rsidR="00000000" w:rsidRDefault="00AF2D19">
            <w:pPr>
              <w:rPr>
                <w:rFonts w:eastAsia="Times New Roman"/>
                <w:sz w:val="20"/>
                <w:szCs w:val="20"/>
              </w:rPr>
            </w:pPr>
          </w:p>
        </w:tc>
        <w:tc>
          <w:tcPr>
            <w:tcW w:w="29" w:type="pct"/>
            <w:vAlign w:val="center"/>
            <w:hideMark/>
          </w:tcPr>
          <w:p w:rsidR="00000000" w:rsidRDefault="00AF2D19">
            <w:pPr>
              <w:rPr>
                <w:rFonts w:eastAsia="Times New Roman"/>
                <w:sz w:val="20"/>
                <w:szCs w:val="20"/>
              </w:rPr>
            </w:pPr>
          </w:p>
        </w:tc>
        <w:tc>
          <w:tcPr>
            <w:tcW w:w="78"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660" w:type="pct"/>
            <w:vAlign w:val="center"/>
            <w:hideMark/>
          </w:tcPr>
          <w:p w:rsidR="00000000" w:rsidRDefault="00AF2D19">
            <w:pPr>
              <w:rPr>
                <w:rFonts w:eastAsia="Times New Roman"/>
                <w:sz w:val="20"/>
                <w:szCs w:val="20"/>
              </w:rPr>
            </w:pPr>
          </w:p>
        </w:tc>
        <w:tc>
          <w:tcPr>
            <w:tcW w:w="29" w:type="pct"/>
            <w:vAlign w:val="center"/>
            <w:hideMark/>
          </w:tcPr>
          <w:p w:rsidR="00000000" w:rsidRDefault="00AF2D19">
            <w:pPr>
              <w:rPr>
                <w:rFonts w:eastAsia="Times New Roman"/>
                <w:sz w:val="20"/>
                <w:szCs w:val="20"/>
              </w:rPr>
            </w:pPr>
          </w:p>
        </w:tc>
        <w:tc>
          <w:tcPr>
            <w:tcW w:w="78"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660" w:type="pct"/>
            <w:vAlign w:val="center"/>
            <w:hideMark/>
          </w:tcPr>
          <w:p w:rsidR="00000000" w:rsidRDefault="00AF2D19">
            <w:pPr>
              <w:rPr>
                <w:rFonts w:eastAsia="Times New Roman"/>
                <w:sz w:val="20"/>
                <w:szCs w:val="20"/>
              </w:rPr>
            </w:pPr>
          </w:p>
        </w:tc>
        <w:tc>
          <w:tcPr>
            <w:tcW w:w="29" w:type="pct"/>
            <w:vAlign w:val="center"/>
            <w:hideMark/>
          </w:tcPr>
          <w:p w:rsidR="00000000" w:rsidRDefault="00AF2D19">
            <w:pPr>
              <w:rPr>
                <w:rFonts w:eastAsia="Times New Roman"/>
                <w:sz w:val="20"/>
                <w:szCs w:val="20"/>
              </w:rPr>
            </w:pPr>
          </w:p>
        </w:tc>
      </w:tr>
      <w:tr w:rsidR="00000000">
        <w:trPr>
          <w:divId w:val="1247886254"/>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10"/>
            <w:vAlign w:val="bottom"/>
            <w:hideMark/>
          </w:tcPr>
          <w:p w:rsidR="00000000" w:rsidRDefault="00AF2D19">
            <w:pPr>
              <w:pStyle w:val="a3"/>
              <w:spacing w:before="0" w:beforeAutospacing="0" w:after="0" w:afterAutospacing="0"/>
              <w:jc w:val="center"/>
              <w:rPr>
                <w:sz w:val="14"/>
                <w:szCs w:val="14"/>
              </w:rPr>
            </w:pPr>
            <w:r>
              <w:rPr>
                <w:b/>
                <w:bCs/>
                <w:sz w:val="14"/>
                <w:szCs w:val="14"/>
              </w:rPr>
              <w:t>For the Years Ended</w:t>
            </w:r>
            <w:r>
              <w:rPr>
                <w:b/>
                <w:bCs/>
                <w:sz w:val="14"/>
                <w:szCs w:val="14"/>
              </w:rPr>
              <w:br/>
              <w:t>December 31</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divId w:val="1247886254"/>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i/>
                <w:iCs/>
                <w:sz w:val="14"/>
                <w:szCs w:val="14"/>
              </w:rPr>
              <w:t>(in thousands</w:t>
            </w:r>
            <w:r>
              <w:rPr>
                <w:i/>
                <w:i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1</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0</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201</w:t>
            </w:r>
            <w:r>
              <w:rPr>
                <w:b/>
                <w:bCs/>
                <w:sz w:val="14"/>
                <w:szCs w:val="14"/>
              </w:rPr>
              <w:t>9</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divId w:val="1247886254"/>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U.S. operation</w:t>
            </w:r>
            <w:r>
              <w:rPr>
                <w:sz w:val="14"/>
                <w:szCs w:val="14"/>
              </w:rPr>
              <w:t>s</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62,90</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22,41</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29,12</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247886254"/>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Foreign operation</w:t>
            </w:r>
            <w:r>
              <w:rPr>
                <w:sz w:val="14"/>
                <w:szCs w:val="14"/>
              </w:rPr>
              <w:t>s</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20</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6</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4</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r>
      <w:tr w:rsidR="00000000">
        <w:trPr>
          <w:divId w:val="1247886254"/>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62,69</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22,34</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29,07</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0" w:beforeAutospacing="0" w:after="0" w:afterAutospacing="0"/>
        <w:jc w:val="both"/>
        <w:divId w:val="881864910"/>
        <w:rPr>
          <w:sz w:val="20"/>
          <w:szCs w:val="20"/>
        </w:rPr>
      </w:pPr>
      <w:r>
        <w:rPr>
          <w:sz w:val="20"/>
          <w:szCs w:val="20"/>
        </w:rPr>
        <w:t> </w:t>
      </w:r>
    </w:p>
    <w:p w:rsidR="00000000" w:rsidRDefault="00AF2D19">
      <w:pPr>
        <w:pStyle w:val="a3"/>
        <w:spacing w:before="0" w:beforeAutospacing="0" w:after="0" w:afterAutospacing="0"/>
        <w:divId w:val="36127850"/>
        <w:rPr>
          <w:sz w:val="20"/>
          <w:szCs w:val="20"/>
        </w:rPr>
      </w:pPr>
      <w:r>
        <w:rPr>
          <w:sz w:val="20"/>
          <w:szCs w:val="20"/>
        </w:rPr>
        <w:t>The tax effects of temporary differences that give rise to significant portions of the deferred tax assets and deferred tax liabilities are as follows</w:t>
      </w:r>
      <w:r>
        <w:rPr>
          <w:sz w:val="20"/>
          <w:szCs w:val="20"/>
        </w:rPr>
        <w:t>:</w:t>
      </w:r>
    </w:p>
    <w:p w:rsidR="00000000" w:rsidRDefault="00AF2D19">
      <w:pPr>
        <w:pStyle w:val="a3"/>
        <w:spacing w:before="0" w:beforeAutospacing="0" w:after="0" w:afterAutospacing="0"/>
        <w:divId w:val="3612785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1"/>
        <w:gridCol w:w="184"/>
        <w:gridCol w:w="130"/>
        <w:gridCol w:w="1231"/>
        <w:gridCol w:w="107"/>
        <w:gridCol w:w="139"/>
        <w:gridCol w:w="130"/>
        <w:gridCol w:w="1232"/>
        <w:gridCol w:w="122"/>
      </w:tblGrid>
      <w:tr w:rsidR="00000000">
        <w:trPr>
          <w:divId w:val="36127850"/>
          <w:tblCellSpacing w:w="15" w:type="dxa"/>
        </w:trPr>
        <w:tc>
          <w:tcPr>
            <w:tcW w:w="3126" w:type="pct"/>
            <w:vAlign w:val="center"/>
            <w:hideMark/>
          </w:tcPr>
          <w:p w:rsidR="00000000" w:rsidRDefault="00AF2D19">
            <w:pPr>
              <w:rPr>
                <w:sz w:val="20"/>
                <w:szCs w:val="20"/>
              </w:rPr>
            </w:pPr>
          </w:p>
        </w:tc>
        <w:tc>
          <w:tcPr>
            <w:tcW w:w="111"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764" w:type="pct"/>
            <w:vAlign w:val="center"/>
            <w:hideMark/>
          </w:tcPr>
          <w:p w:rsidR="00000000" w:rsidRDefault="00AF2D19">
            <w:pPr>
              <w:rPr>
                <w:rFonts w:eastAsia="Times New Roman"/>
                <w:sz w:val="20"/>
                <w:szCs w:val="20"/>
              </w:rPr>
            </w:pPr>
          </w:p>
        </w:tc>
        <w:tc>
          <w:tcPr>
            <w:tcW w:w="29" w:type="pct"/>
            <w:vAlign w:val="center"/>
            <w:hideMark/>
          </w:tcPr>
          <w:p w:rsidR="00000000" w:rsidRDefault="00AF2D19">
            <w:pPr>
              <w:rPr>
                <w:rFonts w:eastAsia="Times New Roman"/>
                <w:sz w:val="20"/>
                <w:szCs w:val="20"/>
              </w:rPr>
            </w:pPr>
          </w:p>
        </w:tc>
        <w:tc>
          <w:tcPr>
            <w:tcW w:w="83"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764" w:type="pct"/>
            <w:vAlign w:val="center"/>
            <w:hideMark/>
          </w:tcPr>
          <w:p w:rsidR="00000000" w:rsidRDefault="00AF2D19">
            <w:pPr>
              <w:rPr>
                <w:rFonts w:eastAsia="Times New Roman"/>
                <w:sz w:val="20"/>
                <w:szCs w:val="20"/>
              </w:rPr>
            </w:pPr>
          </w:p>
        </w:tc>
        <w:tc>
          <w:tcPr>
            <w:tcW w:w="29" w:type="pct"/>
            <w:vAlign w:val="center"/>
            <w:hideMark/>
          </w:tcPr>
          <w:p w:rsidR="00000000" w:rsidRDefault="00AF2D19">
            <w:pPr>
              <w:rPr>
                <w:rFonts w:eastAsia="Times New Roman"/>
                <w:sz w:val="20"/>
                <w:szCs w:val="20"/>
              </w:rPr>
            </w:pPr>
          </w:p>
        </w:tc>
      </w:tr>
      <w:tr w:rsidR="00000000">
        <w:trPr>
          <w:divId w:val="36127850"/>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AF2D19">
            <w:pPr>
              <w:pStyle w:val="a3"/>
              <w:spacing w:before="0" w:beforeAutospacing="0" w:after="0" w:afterAutospacing="0"/>
              <w:jc w:val="center"/>
              <w:rPr>
                <w:sz w:val="14"/>
                <w:szCs w:val="14"/>
              </w:rPr>
            </w:pPr>
            <w:r>
              <w:rPr>
                <w:b/>
                <w:bCs/>
                <w:sz w:val="14"/>
                <w:szCs w:val="14"/>
              </w:rPr>
              <w:t>For the Years ended</w:t>
            </w:r>
            <w:r>
              <w:rPr>
                <w:b/>
                <w:bCs/>
                <w:sz w:val="14"/>
                <w:szCs w:val="14"/>
              </w:rPr>
              <w:br/>
              <w:t>December 31</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divId w:val="36127850"/>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i/>
                <w:iCs/>
                <w:sz w:val="14"/>
                <w:szCs w:val="14"/>
              </w:rPr>
              <w:t>(in thousands</w:t>
            </w:r>
            <w:r>
              <w:rPr>
                <w:i/>
                <w:i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1</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0</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divId w:val="3612785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Net deferred tax assets</w:t>
            </w:r>
            <w:r>
              <w:rPr>
                <w:sz w:val="14"/>
                <w:szCs w:val="14"/>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3612785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Net operating loss carryforward</w:t>
            </w:r>
            <w:r>
              <w:rPr>
                <w:sz w:val="14"/>
                <w:szCs w:val="14"/>
              </w:rPr>
              <w:t>s</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49,90</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25,77</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3612785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Stock based compensatio</w:t>
            </w:r>
            <w:r>
              <w:rPr>
                <w:sz w:val="14"/>
                <w:szCs w:val="14"/>
              </w:rPr>
              <w:t>n</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3,15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31</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3612785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Fixed asset</w:t>
            </w:r>
            <w:r>
              <w:rPr>
                <w:sz w:val="14"/>
                <w:szCs w:val="14"/>
              </w:rPr>
              <w:t>s</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34</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4</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3612785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Othe</w:t>
            </w:r>
            <w:r>
              <w:rPr>
                <w:sz w:val="14"/>
                <w:szCs w:val="14"/>
              </w:rPr>
              <w:t>r</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4</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81</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3612785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w:t>
            </w:r>
            <w:r>
              <w:rPr>
                <w:sz w:val="14"/>
                <w:szCs w:val="14"/>
              </w:rPr>
              <w:t>Total gross deferred tax assets, ne</w:t>
            </w:r>
            <w:r>
              <w:rPr>
                <w:sz w:val="14"/>
                <w:szCs w:val="14"/>
              </w:rPr>
              <w:t>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53,44</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26,95</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3612785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Valuation allowanc</w:t>
            </w:r>
            <w:r>
              <w:rPr>
                <w:sz w:val="14"/>
                <w:szCs w:val="14"/>
              </w:rPr>
              <w:t>e</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44,18</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27,07</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r>
      <w:tr w:rsidR="00000000">
        <w:trPr>
          <w:divId w:val="3612785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Net deferred tax asset</w:t>
            </w:r>
            <w:r>
              <w:rPr>
                <w:sz w:val="14"/>
                <w:szCs w:val="14"/>
              </w:rPr>
              <w:t>s</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r>
      <w:tr w:rsidR="00000000">
        <w:trPr>
          <w:divId w:val="3612785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Deferred tax liabilities (long term)</w:t>
            </w:r>
            <w:r>
              <w:rPr>
                <w:sz w:val="14"/>
                <w:szCs w:val="14"/>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r>
      <w:tr w:rsidR="00000000">
        <w:trPr>
          <w:divId w:val="3612785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Warrant</w:t>
            </w:r>
            <w:r>
              <w:rPr>
                <w:sz w:val="14"/>
                <w:szCs w:val="14"/>
              </w:rPr>
              <w:t>s</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r>
              <w:rPr>
                <w:sz w:val="14"/>
                <w:szCs w:val="14"/>
              </w:rPr>
              <w:t>9,25</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11</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3612785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Net deferred tax asset</w:t>
            </w:r>
            <w:r>
              <w:rPr>
                <w:sz w:val="14"/>
                <w:szCs w:val="14"/>
              </w:rPr>
              <w:t>s</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0" w:beforeAutospacing="0" w:after="0" w:afterAutospacing="0"/>
        <w:jc w:val="both"/>
        <w:divId w:val="881864910"/>
        <w:rPr>
          <w:sz w:val="20"/>
          <w:szCs w:val="20"/>
        </w:rPr>
      </w:pPr>
      <w:r>
        <w:rPr>
          <w:sz w:val="20"/>
          <w:szCs w:val="20"/>
        </w:rPr>
        <w:t> </w:t>
      </w:r>
    </w:p>
    <w:p w:rsidR="00000000" w:rsidRDefault="00AF2D19">
      <w:pPr>
        <w:pStyle w:val="a3"/>
        <w:spacing w:before="0" w:beforeAutospacing="0" w:after="0" w:afterAutospacing="0"/>
        <w:jc w:val="both"/>
        <w:divId w:val="881864910"/>
        <w:rPr>
          <w:sz w:val="20"/>
          <w:szCs w:val="20"/>
        </w:rPr>
      </w:pPr>
      <w:r>
        <w:rPr>
          <w:sz w:val="20"/>
          <w:szCs w:val="20"/>
        </w:rPr>
        <w:t>Realization of the future tax benefits is dependent on the Company’s ability to generate sufficient taxable income within the carryforward period. A valuation allowance is provided for deferred tax assets when it is “more likely than not” that some portion</w:t>
      </w:r>
      <w:r>
        <w:rPr>
          <w:sz w:val="20"/>
          <w:szCs w:val="20"/>
        </w:rPr>
        <w:t xml:space="preserve"> of the deferred tax asset will not be realized. Because of the Company’s recent history of operating losses, management believes the recognition of the deferred tax assets arising from the above-mentioned future tax benefits is currently not more likely t</w:t>
      </w:r>
      <w:r>
        <w:rPr>
          <w:sz w:val="20"/>
          <w:szCs w:val="20"/>
        </w:rPr>
        <w:t>han not to be realized and, accordingly, has provided a full valuation allowance. A valuation allowance has been recorded for the net deferred tax assets at December 31, 2021 and 2020</w:t>
      </w:r>
      <w:r>
        <w:rPr>
          <w:sz w:val="20"/>
          <w:szCs w:val="20"/>
        </w:rPr>
        <w:t>.</w:t>
      </w:r>
    </w:p>
    <w:p w:rsidR="00000000" w:rsidRDefault="00AF2D19">
      <w:pPr>
        <w:pStyle w:val="a3"/>
        <w:spacing w:before="120" w:beforeAutospacing="0" w:after="0" w:afterAutospacing="0"/>
        <w:jc w:val="both"/>
        <w:divId w:val="881864910"/>
        <w:rPr>
          <w:sz w:val="20"/>
          <w:szCs w:val="20"/>
        </w:rPr>
      </w:pPr>
      <w:r>
        <w:rPr>
          <w:sz w:val="20"/>
          <w:szCs w:val="20"/>
        </w:rPr>
        <w:t>The Company maintains a full valuation allowance on its net deferred ta</w:t>
      </w:r>
      <w:r>
        <w:rPr>
          <w:sz w:val="20"/>
          <w:szCs w:val="20"/>
        </w:rPr>
        <w:t xml:space="preserve">x assets. The assessment regarding whether a valuation allowance is required considers both positive and negative evidence when determining whether it is more likely than not that deferred tax assets are recoverable. In making this assessment, significant </w:t>
      </w:r>
      <w:r>
        <w:rPr>
          <w:sz w:val="20"/>
          <w:szCs w:val="20"/>
        </w:rPr>
        <w:t>weight is given to evidence that can be objectively verified. Management considered the Company’s cumulative loss in recent years and forecasted losses in the near term as significant negative evidence. Based upon a review of the four sources of income ide</w:t>
      </w:r>
      <w:r>
        <w:rPr>
          <w:sz w:val="20"/>
          <w:szCs w:val="20"/>
        </w:rPr>
        <w:t>ntified within ASC 740, management determined that the negative evidence outweighed the positive evidence and that a full valuation allowance on the net deferred tax assets will be maintained. Management will continue to assess the realizability of our def</w:t>
      </w:r>
      <w:r>
        <w:rPr>
          <w:sz w:val="20"/>
          <w:szCs w:val="20"/>
        </w:rPr>
        <w:t>erred tax assets going forward and will adjust the valuation allowance as needed. The Company’s valuation allowance increased by</w:t>
      </w:r>
      <w:r>
        <w:rPr>
          <w:sz w:val="20"/>
          <w:szCs w:val="20"/>
        </w:rPr>
        <w:t xml:space="preserve"> </w:t>
      </w:r>
      <w:r>
        <w:rPr>
          <w:sz w:val="20"/>
          <w:szCs w:val="20"/>
        </w:rPr>
        <w:t>$</w:t>
      </w:r>
      <w:r>
        <w:rPr>
          <w:sz w:val="20"/>
          <w:szCs w:val="20"/>
        </w:rPr>
        <w:t>17.</w:t>
      </w:r>
      <w:r>
        <w:rPr>
          <w:sz w:val="20"/>
          <w:szCs w:val="20"/>
        </w:rPr>
        <w:t>1</w:t>
      </w:r>
      <w:r>
        <w:rPr>
          <w:sz w:val="20"/>
          <w:szCs w:val="20"/>
        </w:rPr>
        <w:t xml:space="preserve"> million during the year ended December 31, 2021 primarily due to increases in its net operating loss carryforwards</w:t>
      </w:r>
      <w:r>
        <w:rPr>
          <w:sz w:val="20"/>
          <w:szCs w:val="20"/>
        </w:rPr>
        <w:t>.</w:t>
      </w:r>
    </w:p>
    <w:p w:rsidR="00000000" w:rsidRDefault="00AF2D19">
      <w:pPr>
        <w:pStyle w:val="a3"/>
        <w:spacing w:before="120" w:beforeAutospacing="0" w:after="0" w:afterAutospacing="0"/>
        <w:jc w:val="both"/>
        <w:divId w:val="881864910"/>
        <w:rPr>
          <w:sz w:val="20"/>
          <w:szCs w:val="20"/>
        </w:rPr>
      </w:pPr>
      <w:r>
        <w:rPr>
          <w:sz w:val="20"/>
          <w:szCs w:val="20"/>
        </w:rPr>
        <w:t>At De</w:t>
      </w:r>
      <w:r>
        <w:rPr>
          <w:sz w:val="20"/>
          <w:szCs w:val="20"/>
        </w:rPr>
        <w:t xml:space="preserve">cember 31, 2021, the Company has federal and state net operating loss carryovers (“NOL”) of approximately </w:t>
      </w:r>
      <w:r>
        <w:rPr>
          <w:sz w:val="20"/>
          <w:szCs w:val="20"/>
        </w:rPr>
        <w:t>$</w:t>
      </w:r>
      <w:r>
        <w:rPr>
          <w:sz w:val="20"/>
          <w:szCs w:val="20"/>
        </w:rPr>
        <w:t>194.</w:t>
      </w:r>
      <w:r>
        <w:rPr>
          <w:sz w:val="20"/>
          <w:szCs w:val="20"/>
        </w:rPr>
        <w:t>0</w:t>
      </w:r>
      <w:r>
        <w:rPr>
          <w:sz w:val="20"/>
          <w:szCs w:val="20"/>
        </w:rPr>
        <w:t xml:space="preserve"> million and </w:t>
      </w:r>
      <w:r>
        <w:rPr>
          <w:sz w:val="20"/>
          <w:szCs w:val="20"/>
        </w:rPr>
        <w:t>$</w:t>
      </w:r>
      <w:r>
        <w:rPr>
          <w:sz w:val="20"/>
          <w:szCs w:val="20"/>
        </w:rPr>
        <w:t>180.</w:t>
      </w:r>
      <w:r>
        <w:rPr>
          <w:sz w:val="20"/>
          <w:szCs w:val="20"/>
        </w:rPr>
        <w:t>6</w:t>
      </w:r>
      <w:r>
        <w:rPr>
          <w:sz w:val="20"/>
          <w:szCs w:val="20"/>
        </w:rPr>
        <w:t xml:space="preserve"> million, respectively, which are available to reduce future taxable income.</w:t>
      </w:r>
      <w:r>
        <w:rPr>
          <w:sz w:val="20"/>
          <w:szCs w:val="20"/>
        </w:rPr>
        <w:t xml:space="preserve"> </w:t>
      </w:r>
      <w:r>
        <w:rPr>
          <w:sz w:val="20"/>
          <w:szCs w:val="20"/>
        </w:rPr>
        <w:t>The NOL carryforwards begin to expire in 2032 an</w:t>
      </w:r>
      <w:r>
        <w:rPr>
          <w:sz w:val="20"/>
          <w:szCs w:val="20"/>
        </w:rPr>
        <w:t>d may become subject to annual limitation in the event of certain cumulative changes in the ownership interest of significant stockholders over a three-year period in ex</w:t>
      </w:r>
      <w:r>
        <w:rPr>
          <w:sz w:val="20"/>
          <w:szCs w:val="20"/>
        </w:rPr>
        <w:t>c</w:t>
      </w:r>
      <w:r>
        <w:rPr>
          <w:sz w:val="20"/>
          <w:szCs w:val="20"/>
        </w:rPr>
        <w:t>ess of</w:t>
      </w:r>
      <w:r>
        <w:rPr>
          <w:sz w:val="20"/>
          <w:szCs w:val="20"/>
        </w:rPr>
        <w:t xml:space="preserve"> </w:t>
      </w:r>
      <w:r>
        <w:rPr>
          <w:sz w:val="20"/>
          <w:szCs w:val="20"/>
        </w:rPr>
        <w:t>5</w:t>
      </w:r>
      <w:r>
        <w:rPr>
          <w:sz w:val="20"/>
          <w:szCs w:val="20"/>
        </w:rPr>
        <w:t>0</w:t>
      </w:r>
      <w:r>
        <w:rPr>
          <w:sz w:val="20"/>
          <w:szCs w:val="20"/>
        </w:rPr>
        <w:t>%, as defined under I.R.C. Section 38</w:t>
      </w:r>
      <w:r>
        <w:rPr>
          <w:sz w:val="20"/>
          <w:szCs w:val="20"/>
        </w:rPr>
        <w:t>2</w:t>
      </w:r>
      <w:r>
        <w:rPr>
          <w:sz w:val="20"/>
          <w:szCs w:val="20"/>
        </w:rPr>
        <w:t>. This could limit the amount of tax at</w:t>
      </w:r>
      <w:r>
        <w:rPr>
          <w:sz w:val="20"/>
          <w:szCs w:val="20"/>
        </w:rPr>
        <w:t>tributes that can be utilized annually to offset future taxable income or future tax liabilities. The federal losses generated from 2018 onward do not expire</w:t>
      </w:r>
      <w:r>
        <w:rPr>
          <w:sz w:val="20"/>
          <w:szCs w:val="20"/>
        </w:rPr>
        <w:t>.</w:t>
      </w:r>
    </w:p>
    <w:p w:rsidR="00000000" w:rsidRDefault="00AF2D19">
      <w:pPr>
        <w:pStyle w:val="a3"/>
        <w:spacing w:before="120" w:beforeAutospacing="0" w:after="0" w:afterAutospacing="0"/>
        <w:jc w:val="both"/>
        <w:divId w:val="881864910"/>
        <w:rPr>
          <w:sz w:val="20"/>
          <w:szCs w:val="20"/>
        </w:rPr>
      </w:pPr>
      <w:r>
        <w:rPr>
          <w:sz w:val="20"/>
          <w:szCs w:val="20"/>
        </w:rPr>
        <w:t>The Company files income tax returns in the United States and Israel. The Company is not currentl</w:t>
      </w:r>
      <w:r>
        <w:rPr>
          <w:sz w:val="20"/>
          <w:szCs w:val="20"/>
        </w:rPr>
        <w:t>y under examination by any income tax authority, nor has it been notified that an examination is contemplated. The Company is no longer subject to U.S. federal, state or local income tax examinations by the tax authorities for years before 2018. The Israel</w:t>
      </w:r>
      <w:r>
        <w:rPr>
          <w:sz w:val="20"/>
          <w:szCs w:val="20"/>
        </w:rPr>
        <w:t xml:space="preserve"> subsidiary tax assessments filed by the Company through the 2015 are considered closed</w:t>
      </w:r>
      <w:r>
        <w:rPr>
          <w:sz w:val="20"/>
          <w:szCs w:val="20"/>
        </w:rPr>
        <w:t>.</w:t>
      </w:r>
    </w:p>
    <w:p w:rsidR="00000000" w:rsidRDefault="00AF2D19">
      <w:pPr>
        <w:pStyle w:val="a3"/>
        <w:spacing w:before="360" w:beforeAutospacing="0" w:after="0" w:afterAutospacing="0"/>
        <w:divId w:val="1752464843"/>
        <w:rPr>
          <w:sz w:val="20"/>
          <w:szCs w:val="20"/>
        </w:rPr>
      </w:pPr>
      <w:r>
        <w:rPr>
          <w:b/>
          <w:bCs/>
          <w:sz w:val="20"/>
          <w:szCs w:val="20"/>
        </w:rPr>
        <w:t>NOTE 16.</w:t>
      </w:r>
      <w:r>
        <w:rPr>
          <w:b/>
          <w:bCs/>
          <w:sz w:val="20"/>
          <w:szCs w:val="20"/>
        </w:rPr>
        <w:t xml:space="preserve"> </w:t>
      </w:r>
      <w:r>
        <w:rPr>
          <w:b/>
          <w:bCs/>
          <w:sz w:val="20"/>
          <w:szCs w:val="20"/>
        </w:rPr>
        <w:t>EMPLOYEE BENEFIT PLA</w:t>
      </w:r>
      <w:r>
        <w:rPr>
          <w:b/>
          <w:bCs/>
          <w:sz w:val="20"/>
          <w:szCs w:val="20"/>
        </w:rPr>
        <w:t>N</w:t>
      </w:r>
    </w:p>
    <w:p w:rsidR="00000000" w:rsidRDefault="00AF2D19">
      <w:pPr>
        <w:pStyle w:val="a3"/>
        <w:spacing w:before="120" w:beforeAutospacing="0" w:after="0" w:afterAutospacing="0"/>
        <w:jc w:val="both"/>
        <w:divId w:val="1752464843"/>
        <w:rPr>
          <w:sz w:val="20"/>
          <w:szCs w:val="20"/>
        </w:rPr>
      </w:pPr>
      <w:r>
        <w:rPr>
          <w:sz w:val="20"/>
          <w:szCs w:val="20"/>
        </w:rPr>
        <w:t>The Company has established a 401(k) plan that qualifies as a deferred compensation arrangement under Section 401 of the Internal Revenu</w:t>
      </w:r>
      <w:r>
        <w:rPr>
          <w:sz w:val="20"/>
          <w:szCs w:val="20"/>
        </w:rPr>
        <w:t>e Code. All U.S. employees over the age of 21 are eligible to participate in the plan. The Company contributes</w:t>
      </w:r>
      <w:r>
        <w:rPr>
          <w:sz w:val="20"/>
          <w:szCs w:val="20"/>
        </w:rPr>
        <w:t xml:space="preserve"> </w:t>
      </w:r>
      <w:r>
        <w:rPr>
          <w:sz w:val="20"/>
          <w:szCs w:val="20"/>
        </w:rPr>
        <w:t>10</w:t>
      </w:r>
      <w:r>
        <w:rPr>
          <w:sz w:val="20"/>
          <w:szCs w:val="20"/>
        </w:rPr>
        <w:t>0</w:t>
      </w:r>
      <w:r>
        <w:rPr>
          <w:sz w:val="20"/>
          <w:szCs w:val="20"/>
        </w:rPr>
        <w:t>% of eligible employee’s elective deferral up to</w:t>
      </w:r>
      <w:r>
        <w:rPr>
          <w:sz w:val="20"/>
          <w:szCs w:val="20"/>
        </w:rPr>
        <w:t xml:space="preserve"> </w:t>
      </w:r>
      <w:r>
        <w:rPr>
          <w:sz w:val="20"/>
          <w:szCs w:val="20"/>
        </w:rPr>
        <w:t>4</w:t>
      </w:r>
      <w:r>
        <w:rPr>
          <w:sz w:val="20"/>
          <w:szCs w:val="20"/>
        </w:rPr>
        <w:t>% of eligible earnings. The Company made matching contributions to participants’ accounts t</w:t>
      </w:r>
      <w:r>
        <w:rPr>
          <w:sz w:val="20"/>
          <w:szCs w:val="20"/>
        </w:rPr>
        <w:t>o</w:t>
      </w:r>
      <w:r>
        <w:rPr>
          <w:sz w:val="20"/>
          <w:szCs w:val="20"/>
        </w:rPr>
        <w:t xml:space="preserve">taling </w:t>
      </w:r>
      <w:r>
        <w:rPr>
          <w:sz w:val="20"/>
          <w:szCs w:val="20"/>
        </w:rPr>
        <w:t>$</w:t>
      </w:r>
      <w:r>
        <w:rPr>
          <w:sz w:val="20"/>
          <w:szCs w:val="20"/>
        </w:rPr>
        <w:t>0.</w:t>
      </w:r>
      <w:r>
        <w:rPr>
          <w:sz w:val="20"/>
          <w:szCs w:val="20"/>
        </w:rPr>
        <w:t>5</w:t>
      </w:r>
      <w:r>
        <w:rPr>
          <w:sz w:val="20"/>
          <w:szCs w:val="20"/>
        </w:rPr>
        <w:t xml:space="preserve"> million,</w:t>
      </w:r>
      <w:r>
        <w:rPr>
          <w:sz w:val="20"/>
          <w:szCs w:val="20"/>
        </w:rPr>
        <w:t xml:space="preserve"> </w:t>
      </w:r>
      <w:r>
        <w:rPr>
          <w:sz w:val="20"/>
          <w:szCs w:val="20"/>
        </w:rPr>
        <w:t>$</w:t>
      </w:r>
      <w:r>
        <w:rPr>
          <w:sz w:val="20"/>
          <w:szCs w:val="20"/>
        </w:rPr>
        <w:t>0.</w:t>
      </w:r>
      <w:r>
        <w:rPr>
          <w:sz w:val="20"/>
          <w:szCs w:val="20"/>
        </w:rPr>
        <w:t>3</w:t>
      </w:r>
      <w:r>
        <w:rPr>
          <w:sz w:val="20"/>
          <w:szCs w:val="20"/>
        </w:rPr>
        <w:t xml:space="preserve"> million and </w:t>
      </w:r>
      <w:r>
        <w:rPr>
          <w:sz w:val="20"/>
          <w:szCs w:val="20"/>
        </w:rPr>
        <w:t>$</w:t>
      </w:r>
      <w:r>
        <w:rPr>
          <w:sz w:val="20"/>
          <w:szCs w:val="20"/>
        </w:rPr>
        <w:t>0.</w:t>
      </w:r>
      <w:r>
        <w:rPr>
          <w:sz w:val="20"/>
          <w:szCs w:val="20"/>
        </w:rPr>
        <w:t>3</w:t>
      </w:r>
      <w:r>
        <w:rPr>
          <w:sz w:val="20"/>
          <w:szCs w:val="20"/>
        </w:rPr>
        <w:t xml:space="preserve"> million during the years ended December 31, 2021, 2020 and 2019, respectively</w:t>
      </w:r>
      <w:r>
        <w:rPr>
          <w:sz w:val="20"/>
          <w:szCs w:val="20"/>
        </w:rPr>
        <w:t>.</w:t>
      </w:r>
    </w:p>
    <w:p w:rsidR="00000000" w:rsidRDefault="00AF2D19">
      <w:pPr>
        <w:pStyle w:val="a3"/>
        <w:spacing w:before="120" w:beforeAutospacing="0" w:after="0" w:afterAutospacing="0"/>
        <w:jc w:val="both"/>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9</w:t>
      </w:r>
      <w:r>
        <w:rPr>
          <w:sz w:val="20"/>
          <w:szCs w:val="20"/>
        </w:rPr>
        <w:t>7</w:t>
      </w:r>
    </w:p>
    <w:p w:rsidR="00000000" w:rsidRDefault="00AF2D19">
      <w:pPr>
        <w:rPr>
          <w:rFonts w:eastAsia="Times New Roman"/>
        </w:rPr>
      </w:pPr>
      <w:r>
        <w:rPr>
          <w:rFonts w:eastAsia="Times New Roman"/>
        </w:rPr>
        <w:pict>
          <v:rect id="_x0000_i112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360" w:beforeAutospacing="0" w:after="0" w:afterAutospacing="0"/>
        <w:divId w:val="1057162917"/>
        <w:rPr>
          <w:sz w:val="20"/>
          <w:szCs w:val="20"/>
        </w:rPr>
      </w:pPr>
      <w:r>
        <w:rPr>
          <w:b/>
          <w:bCs/>
          <w:sz w:val="20"/>
          <w:szCs w:val="20"/>
        </w:rPr>
        <w:t xml:space="preserve">NOTE 17. </w:t>
      </w:r>
      <w:r>
        <w:rPr>
          <w:b/>
          <w:bCs/>
          <w:sz w:val="20"/>
          <w:szCs w:val="20"/>
        </w:rPr>
        <w:t>ACCRUED EXPENSES AND OTHER CURRENT LIABILITIE</w:t>
      </w:r>
      <w:r>
        <w:rPr>
          <w:b/>
          <w:bCs/>
          <w:sz w:val="20"/>
          <w:szCs w:val="20"/>
        </w:rPr>
        <w:t>S</w:t>
      </w:r>
    </w:p>
    <w:p w:rsidR="00000000" w:rsidRDefault="00AF2D19">
      <w:pPr>
        <w:pStyle w:val="a3"/>
        <w:spacing w:before="240" w:beforeAutospacing="0" w:after="0" w:afterAutospacing="0"/>
        <w:divId w:val="1421834900"/>
        <w:rPr>
          <w:sz w:val="20"/>
          <w:szCs w:val="20"/>
        </w:rPr>
      </w:pPr>
      <w:r>
        <w:rPr>
          <w:sz w:val="20"/>
          <w:szCs w:val="20"/>
        </w:rPr>
        <w:t>Accrued expenses and other current liabilities are comprised of the following</w:t>
      </w:r>
      <w:r>
        <w:rPr>
          <w:sz w:val="20"/>
          <w:szCs w:val="20"/>
        </w:rPr>
        <w:t>:</w:t>
      </w:r>
    </w:p>
    <w:p w:rsidR="00000000" w:rsidRDefault="00AF2D19">
      <w:pPr>
        <w:pStyle w:val="a3"/>
        <w:spacing w:before="120" w:beforeAutospacing="0" w:after="0" w:afterAutospacing="0"/>
        <w:divId w:val="142183490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4"/>
        <w:gridCol w:w="159"/>
        <w:gridCol w:w="130"/>
        <w:gridCol w:w="1454"/>
        <w:gridCol w:w="95"/>
        <w:gridCol w:w="159"/>
        <w:gridCol w:w="130"/>
        <w:gridCol w:w="1455"/>
        <w:gridCol w:w="110"/>
      </w:tblGrid>
      <w:tr w:rsidR="00000000">
        <w:trPr>
          <w:divId w:val="1421834900"/>
          <w:tblCellSpacing w:w="15" w:type="dxa"/>
        </w:trPr>
        <w:tc>
          <w:tcPr>
            <w:tcW w:w="2866" w:type="pct"/>
            <w:vAlign w:val="center"/>
            <w:hideMark/>
          </w:tcPr>
          <w:p w:rsidR="00000000" w:rsidRDefault="00AF2D19">
            <w:pPr>
              <w:rPr>
                <w:sz w:val="20"/>
                <w:szCs w:val="20"/>
              </w:rPr>
            </w:pPr>
          </w:p>
        </w:tc>
        <w:tc>
          <w:tcPr>
            <w:tcW w:w="95"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903"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95"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903"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r>
      <w:tr w:rsidR="00000000">
        <w:trPr>
          <w:divId w:val="1421834900"/>
          <w:trHeight w:val="140"/>
          <w:tblCellSpacing w:w="15" w:type="dxa"/>
        </w:trPr>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AF2D19">
            <w:pPr>
              <w:pStyle w:val="a3"/>
              <w:spacing w:before="0" w:beforeAutospacing="0" w:after="0" w:afterAutospacing="0"/>
              <w:jc w:val="center"/>
              <w:rPr>
                <w:sz w:val="14"/>
                <w:szCs w:val="14"/>
              </w:rPr>
            </w:pPr>
            <w:r>
              <w:rPr>
                <w:b/>
                <w:bCs/>
                <w:sz w:val="14"/>
                <w:szCs w:val="14"/>
              </w:rPr>
              <w:t>For the Years Ended December 31</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divId w:val="1421834900"/>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i/>
                <w:iCs/>
                <w:sz w:val="14"/>
                <w:szCs w:val="14"/>
              </w:rPr>
              <w:t>(in thousands</w:t>
            </w:r>
            <w:r>
              <w:rPr>
                <w:i/>
                <w:i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1</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0</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divId w:val="1421834900"/>
          <w:trHeight w:val="140"/>
          <w:tblCellSpacing w:w="15" w:type="dxa"/>
        </w:trPr>
        <w:tc>
          <w:tcPr>
            <w:tcW w:w="0" w:type="auto"/>
            <w:hideMark/>
          </w:tcPr>
          <w:p w:rsidR="00000000" w:rsidRDefault="00AF2D19">
            <w:pPr>
              <w:pStyle w:val="a3"/>
              <w:spacing w:before="0" w:beforeAutospacing="0" w:after="0" w:afterAutospacing="0"/>
              <w:ind w:left="200"/>
              <w:rPr>
                <w:sz w:val="14"/>
                <w:szCs w:val="14"/>
              </w:rPr>
            </w:pPr>
            <w:r>
              <w:rPr>
                <w:sz w:val="14"/>
                <w:szCs w:val="14"/>
              </w:rPr>
              <w:t>Employee compensatio</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5,98</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2,71</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421834900"/>
          <w:trHeight w:val="140"/>
          <w:tblCellSpacing w:w="15" w:type="dxa"/>
        </w:trPr>
        <w:tc>
          <w:tcPr>
            <w:tcW w:w="0" w:type="auto"/>
            <w:hideMark/>
          </w:tcPr>
          <w:p w:rsidR="00000000" w:rsidRDefault="00AF2D19">
            <w:pPr>
              <w:pStyle w:val="a3"/>
              <w:spacing w:before="0" w:beforeAutospacing="0" w:after="0" w:afterAutospacing="0"/>
              <w:ind w:left="200"/>
              <w:rPr>
                <w:sz w:val="14"/>
                <w:szCs w:val="14"/>
              </w:rPr>
            </w:pPr>
            <w:r>
              <w:rPr>
                <w:sz w:val="14"/>
                <w:szCs w:val="14"/>
              </w:rPr>
              <w:t>User acquisitio</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2,68</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1,29</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421834900"/>
          <w:trHeight w:val="140"/>
          <w:tblCellSpacing w:w="15" w:type="dxa"/>
        </w:trPr>
        <w:tc>
          <w:tcPr>
            <w:tcW w:w="0" w:type="auto"/>
            <w:hideMark/>
          </w:tcPr>
          <w:p w:rsidR="00000000" w:rsidRDefault="00AF2D19">
            <w:pPr>
              <w:pStyle w:val="a3"/>
              <w:spacing w:before="0" w:beforeAutospacing="0" w:after="0" w:afterAutospacing="0"/>
              <w:ind w:left="200"/>
              <w:rPr>
                <w:sz w:val="14"/>
                <w:szCs w:val="14"/>
              </w:rPr>
            </w:pPr>
            <w:r>
              <w:rPr>
                <w:sz w:val="14"/>
                <w:szCs w:val="14"/>
              </w:rPr>
              <w:t>Professional fee</w:t>
            </w:r>
            <w:r>
              <w:rPr>
                <w:sz w:val="14"/>
                <w:szCs w:val="14"/>
              </w:rPr>
              <w:t>s</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1,30</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2,02</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421834900"/>
          <w:trHeight w:val="140"/>
          <w:tblCellSpacing w:w="15" w:type="dxa"/>
        </w:trPr>
        <w:tc>
          <w:tcPr>
            <w:tcW w:w="0" w:type="auto"/>
            <w:hideMark/>
          </w:tcPr>
          <w:p w:rsidR="00000000" w:rsidRDefault="00AF2D19">
            <w:pPr>
              <w:pStyle w:val="a3"/>
              <w:spacing w:before="0" w:beforeAutospacing="0" w:after="0" w:afterAutospacing="0"/>
              <w:ind w:left="200"/>
              <w:rPr>
                <w:sz w:val="14"/>
                <w:szCs w:val="14"/>
              </w:rPr>
            </w:pPr>
            <w:r>
              <w:rPr>
                <w:sz w:val="14"/>
                <w:szCs w:val="14"/>
              </w:rPr>
              <w:t>Othe</w:t>
            </w:r>
            <w:r>
              <w:rPr>
                <w:sz w:val="14"/>
                <w:szCs w:val="14"/>
              </w:rPr>
              <w:t>r</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2,59</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1,39</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divId w:val="1421834900"/>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Accrued expenses and other current liabilitie</w:t>
            </w:r>
            <w:r>
              <w:rPr>
                <w:sz w:val="14"/>
                <w:szCs w:val="14"/>
              </w:rPr>
              <w:t>s</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12,56</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20"/>
                <w:szCs w:val="20"/>
              </w:rPr>
            </w:pPr>
            <w:r>
              <w:rPr>
                <w:sz w:val="14"/>
                <w:szCs w:val="14"/>
              </w:rPr>
              <w:t>7,41</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9</w:t>
      </w:r>
      <w:r>
        <w:rPr>
          <w:sz w:val="20"/>
          <w:szCs w:val="20"/>
        </w:rPr>
        <w:t>8</w:t>
      </w:r>
    </w:p>
    <w:p w:rsidR="00000000" w:rsidRDefault="00AF2D19">
      <w:pPr>
        <w:rPr>
          <w:rFonts w:eastAsia="Times New Roman"/>
        </w:rPr>
      </w:pPr>
      <w:r>
        <w:rPr>
          <w:rFonts w:eastAsia="Times New Roman"/>
        </w:rPr>
        <w:pict>
          <v:rect id="_x0000_i1126"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240" w:beforeAutospacing="0" w:after="0" w:afterAutospacing="0"/>
        <w:rPr>
          <w:sz w:val="20"/>
          <w:szCs w:val="20"/>
        </w:rPr>
      </w:pPr>
      <w:r>
        <w:rPr>
          <w:b/>
          <w:bCs/>
          <w:sz w:val="20"/>
          <w:szCs w:val="20"/>
        </w:rPr>
        <w:t>I</w:t>
      </w:r>
      <w:r>
        <w:rPr>
          <w:b/>
          <w:bCs/>
          <w:sz w:val="20"/>
          <w:szCs w:val="20"/>
        </w:rPr>
        <w:t>t</w:t>
      </w:r>
      <w:r>
        <w:rPr>
          <w:b/>
          <w:bCs/>
          <w:sz w:val="20"/>
          <w:szCs w:val="20"/>
        </w:rPr>
        <w:t>em 9. CHANGES IN AND DISAGREEMENTS WITH ACCOUNTANTS ON ACCOUNTING AND FINANCIAL DISCLOSUR</w:t>
      </w:r>
      <w:r>
        <w:rPr>
          <w:b/>
          <w:bCs/>
          <w:sz w:val="20"/>
          <w:szCs w:val="20"/>
        </w:rPr>
        <w:t>E</w:t>
      </w:r>
    </w:p>
    <w:p w:rsidR="00000000" w:rsidRDefault="00AF2D19">
      <w:pPr>
        <w:pStyle w:val="a3"/>
        <w:spacing w:before="120" w:beforeAutospacing="0" w:after="0" w:afterAutospacing="0"/>
        <w:jc w:val="both"/>
        <w:rPr>
          <w:sz w:val="20"/>
          <w:szCs w:val="20"/>
        </w:rPr>
      </w:pPr>
      <w:r>
        <w:rPr>
          <w:sz w:val="20"/>
          <w:szCs w:val="20"/>
        </w:rPr>
        <w:t xml:space="preserve">The information required by this Item 9 was previously reported in our Current Report on Form 8-K that was filed with the Securities and Exchange Commission on June </w:t>
      </w:r>
      <w:r>
        <w:rPr>
          <w:sz w:val="20"/>
          <w:szCs w:val="20"/>
        </w:rPr>
        <w:t>23, 2021</w:t>
      </w:r>
      <w:r>
        <w:rPr>
          <w:sz w:val="20"/>
          <w:szCs w:val="20"/>
        </w:rPr>
        <w:t>.</w:t>
      </w:r>
    </w:p>
    <w:p w:rsidR="00000000" w:rsidRDefault="00AF2D19">
      <w:pPr>
        <w:pStyle w:val="a3"/>
        <w:spacing w:before="360" w:beforeAutospacing="0" w:after="0" w:afterAutospacing="0"/>
        <w:rPr>
          <w:sz w:val="20"/>
          <w:szCs w:val="20"/>
        </w:rPr>
      </w:pPr>
      <w:r>
        <w:rPr>
          <w:b/>
          <w:bCs/>
          <w:sz w:val="20"/>
          <w:szCs w:val="20"/>
        </w:rPr>
        <w:t>I</w:t>
      </w:r>
      <w:r>
        <w:rPr>
          <w:b/>
          <w:bCs/>
          <w:sz w:val="20"/>
          <w:szCs w:val="20"/>
        </w:rPr>
        <w:t>tem 9A. CONTROLS AND PROCEDURE</w:t>
      </w:r>
      <w:r>
        <w:rPr>
          <w:b/>
          <w:bCs/>
          <w:sz w:val="20"/>
          <w:szCs w:val="20"/>
        </w:rPr>
        <w:t>S</w:t>
      </w:r>
    </w:p>
    <w:p w:rsidR="00000000" w:rsidRDefault="00AF2D19">
      <w:pPr>
        <w:pStyle w:val="a3"/>
        <w:spacing w:before="240" w:beforeAutospacing="0" w:after="0" w:afterAutospacing="0"/>
        <w:rPr>
          <w:sz w:val="20"/>
          <w:szCs w:val="20"/>
        </w:rPr>
      </w:pPr>
      <w:r>
        <w:rPr>
          <w:b/>
          <w:bCs/>
          <w:i/>
          <w:iCs/>
          <w:sz w:val="20"/>
          <w:szCs w:val="20"/>
        </w:rPr>
        <w:t>Limitations on Effectiveness of Disclosure Controls and Procedure</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In designing and evaluating our disclosure controls and procedures, management recognizes that any controls and procedures, no matter how well designed and operated, can provide only reasonable assurance of achieving the desired control objectives. In addi</w:t>
      </w:r>
      <w:r>
        <w:rPr>
          <w:sz w:val="20"/>
          <w:szCs w:val="20"/>
        </w:rPr>
        <w:t>tion, the design of the disclosure controls and procedures must reflect the fact that there are resource constraints and that management is required to apply judgment in evaluating the benefits of possible controls and procedures relative to their costs</w:t>
      </w:r>
      <w:r>
        <w:rPr>
          <w:sz w:val="20"/>
          <w:szCs w:val="20"/>
        </w:rPr>
        <w:t>.</w:t>
      </w:r>
    </w:p>
    <w:p w:rsidR="00000000" w:rsidRDefault="00AF2D19">
      <w:pPr>
        <w:pStyle w:val="a3"/>
        <w:spacing w:before="240" w:beforeAutospacing="0" w:after="0" w:afterAutospacing="0"/>
        <w:jc w:val="both"/>
        <w:rPr>
          <w:sz w:val="20"/>
          <w:szCs w:val="20"/>
        </w:rPr>
      </w:pPr>
      <w:r>
        <w:rPr>
          <w:b/>
          <w:bCs/>
          <w:i/>
          <w:iCs/>
          <w:sz w:val="20"/>
          <w:szCs w:val="20"/>
        </w:rPr>
        <w:t>E</w:t>
      </w:r>
      <w:r>
        <w:rPr>
          <w:b/>
          <w:bCs/>
          <w:i/>
          <w:iCs/>
          <w:sz w:val="20"/>
          <w:szCs w:val="20"/>
        </w:rPr>
        <w:t>valuation of Disclosure Controls and Procedure</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Our management, with the participation of our principal executive officer and principal financial officer, evaluated, as of the end of the period covered by this Form 10-K, the effectiveness of our disclosure</w:t>
      </w:r>
      <w:r>
        <w:rPr>
          <w:sz w:val="20"/>
          <w:szCs w:val="20"/>
        </w:rPr>
        <w:t xml:space="preserve"> controls and procedures (as that term is defined in Rules 13a-15(e) and 15d-15(e) under the Exchange Act). Based on that evaluation, our principal executive officer and principal financial officer concluded that our disclosure controls and procedures were</w:t>
      </w:r>
      <w:r>
        <w:rPr>
          <w:sz w:val="20"/>
          <w:szCs w:val="20"/>
        </w:rPr>
        <w:t xml:space="preserve"> not effective at the reasonable assurance level as of December 31, 2021 due to the material weaknesses in our internal control over financial reporting described below</w:t>
      </w:r>
      <w:r>
        <w:rPr>
          <w:sz w:val="20"/>
          <w:szCs w:val="20"/>
        </w:rPr>
        <w:t>.</w:t>
      </w:r>
    </w:p>
    <w:p w:rsidR="00000000" w:rsidRDefault="00AF2D19">
      <w:pPr>
        <w:pStyle w:val="a3"/>
        <w:spacing w:before="240" w:beforeAutospacing="0" w:after="0" w:afterAutospacing="0"/>
        <w:jc w:val="both"/>
        <w:rPr>
          <w:sz w:val="20"/>
          <w:szCs w:val="20"/>
        </w:rPr>
      </w:pPr>
      <w:r>
        <w:rPr>
          <w:b/>
          <w:bCs/>
          <w:i/>
          <w:iCs/>
          <w:sz w:val="20"/>
          <w:szCs w:val="20"/>
        </w:rPr>
        <w:t>Material Weaknesse</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A material weakness is a deficiency, or a combination of deficienc</w:t>
      </w:r>
      <w:r>
        <w:rPr>
          <w:sz w:val="20"/>
          <w:szCs w:val="20"/>
        </w:rPr>
        <w:t>ies, in internal control over financial reporting, such that a reasonable possibility exists that a material misstatement of our annual or interim financial statements could not be prevented or detected on a timely basis. We have identified material weakne</w:t>
      </w:r>
      <w:r>
        <w:rPr>
          <w:sz w:val="20"/>
          <w:szCs w:val="20"/>
        </w:rPr>
        <w:t xml:space="preserve">sses in our controls related to the following (a) the aggregation of open control deficiencies across the Company’s financial reporting processes because the controls were not fully designed and operating effectively, (b) not fully designing, implementing </w:t>
      </w:r>
      <w:r>
        <w:rPr>
          <w:sz w:val="20"/>
          <w:szCs w:val="20"/>
        </w:rPr>
        <w:t>and monitoring general information technology controls in the areas of user access and program change-management for systems supporting all of the Company’s internal control processes and (c) our controls on accounting for complex financial instruments suc</w:t>
      </w:r>
      <w:r>
        <w:rPr>
          <w:sz w:val="20"/>
          <w:szCs w:val="20"/>
        </w:rPr>
        <w:t>h as warrants, did not operate effectively to appropriately apply the provisions of ASC 815-40, resulting in the failure to prevent a material error in our accounting for warrants and the resulting restatement of our previously issued financial statements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 xml:space="preserve">In addition, on April 12, 2021, the Acting Director of the Division of Corporation Finance and Acting Chief Accountant of the SEC together issued a statement (the “SEC Statement”) regarding the accounting and reporting considerations for warrants issued </w:t>
      </w:r>
      <w:r>
        <w:rPr>
          <w:sz w:val="20"/>
          <w:szCs w:val="20"/>
        </w:rPr>
        <w:t>by special purpose acquisition companies entitled “Staff Statement on Accounting and Reporting Considerations for Warrants Issued by Special Purpose Acquisition Companies (“SPACs”). Specifically, the SEC Statement focused on certain settlement terms and pr</w:t>
      </w:r>
      <w:r>
        <w:rPr>
          <w:sz w:val="20"/>
          <w:szCs w:val="20"/>
        </w:rPr>
        <w:t>ovisions related to certain tender offers following a business combination, which terms are similar to those contained in the Warrant Agreement governing our warrants and the HEC Forward Purchase Agreement. Following the issuance of the SEC Statement, on M</w:t>
      </w:r>
      <w:r>
        <w:rPr>
          <w:sz w:val="20"/>
          <w:szCs w:val="20"/>
        </w:rPr>
        <w:t>ay 4, 2021, HEC concluded that it was appropriate to restate its previously issued audited financial statements as of December 31, 2020 and for the period from February 6, 2020 (inception) through December 31, 2020, as well as its financial data as of June</w:t>
      </w:r>
      <w:r>
        <w:rPr>
          <w:sz w:val="20"/>
          <w:szCs w:val="20"/>
        </w:rPr>
        <w:t xml:space="preserve"> 11, 2020, and as part of such process, HEC identified a material weakness in its internal control over financial reporting. As the accounting acquirer in the Business Combination, we inherited this material weakness and the warrants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light of these ma</w:t>
      </w:r>
      <w:r>
        <w:rPr>
          <w:sz w:val="20"/>
          <w:szCs w:val="20"/>
        </w:rPr>
        <w:t>terial weaknesses, we performed additional analysis as deemed necessary to ensure that our financial statements were prepared in accordance with U.S. generally accepted accounting principles. Accordingly, management believes that the financial statements i</w:t>
      </w:r>
      <w:r>
        <w:rPr>
          <w:sz w:val="20"/>
          <w:szCs w:val="20"/>
        </w:rPr>
        <w:t>ncluded in this Form 10-K present fairly in all material respects our financial position, results of operations and cash flows for the periods presented</w:t>
      </w:r>
      <w:r>
        <w:rPr>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9</w:t>
      </w:r>
      <w:r>
        <w:rPr>
          <w:sz w:val="20"/>
          <w:szCs w:val="20"/>
        </w:rPr>
        <w:t>9</w:t>
      </w:r>
    </w:p>
    <w:p w:rsidR="00000000" w:rsidRDefault="00AF2D19">
      <w:pPr>
        <w:rPr>
          <w:rFonts w:eastAsia="Times New Roman"/>
        </w:rPr>
      </w:pPr>
      <w:r>
        <w:rPr>
          <w:rFonts w:eastAsia="Times New Roman"/>
        </w:rPr>
        <w:pict>
          <v:rect id="_x0000_i1127"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i/>
          <w:iCs/>
          <w:sz w:val="20"/>
          <w:szCs w:val="20"/>
        </w:rPr>
        <w:t>Remediation</w:t>
      </w:r>
      <w:r>
        <w:rPr>
          <w:b/>
          <w:bCs/>
          <w:i/>
          <w:iCs/>
          <w:sz w:val="20"/>
          <w:szCs w:val="20"/>
        </w:rPr>
        <w:t xml:space="preserve"> Activitie</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We currently are implementing several actions, as described below, to remediate the material weaknesses described in this Item 9A. Management is committed to ensuring that our internal controls over financial reporting are designed and operatin</w:t>
      </w:r>
      <w:r>
        <w:rPr>
          <w:sz w:val="20"/>
          <w:szCs w:val="20"/>
        </w:rPr>
        <w:t>g effectively</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i/>
          <w:iCs/>
          <w:sz w:val="20"/>
          <w:szCs w:val="20"/>
        </w:rPr>
        <w:t>Financial Reportin</w:t>
      </w:r>
      <w:r>
        <w:rPr>
          <w:i/>
          <w:iCs/>
          <w:sz w:val="20"/>
          <w:szCs w:val="20"/>
        </w:rPr>
        <w:t>g</w:t>
      </w:r>
    </w:p>
    <w:p w:rsidR="00000000" w:rsidRDefault="00AF2D19">
      <w:pPr>
        <w:pStyle w:val="a3"/>
        <w:spacing w:before="120" w:beforeAutospacing="0" w:after="0" w:afterAutospacing="0"/>
        <w:jc w:val="both"/>
        <w:rPr>
          <w:sz w:val="20"/>
          <w:szCs w:val="20"/>
        </w:rPr>
      </w:pPr>
      <w:r>
        <w:rPr>
          <w:sz w:val="20"/>
          <w:szCs w:val="20"/>
        </w:rPr>
        <w:t>We continue to make progress on our automated and manual business process controls, including reports generated from these IT systems, that are dependent upon the completeness and accuracy of information from the affecte</w:t>
      </w:r>
      <w:r>
        <w:rPr>
          <w:sz w:val="20"/>
          <w:szCs w:val="20"/>
        </w:rPr>
        <w:t xml:space="preserve">d ITGC material weakness. We are leveraging these improvements in the design of our future state processes and controls within our new enterprise resource planning (“ERP”) system, which is expected to go live during the first half of 2022. Our remediation </w:t>
      </w:r>
      <w:r>
        <w:rPr>
          <w:sz w:val="20"/>
          <w:szCs w:val="20"/>
        </w:rPr>
        <w:t>plan includes, but is not limited to</w:t>
      </w:r>
      <w:r>
        <w:rPr>
          <w:sz w:val="20"/>
          <w:szCs w:val="20"/>
        </w:rPr>
        <w:t>:</w:t>
      </w:r>
    </w:p>
    <w:p w:rsidR="00000000" w:rsidRDefault="00AF2D19">
      <w:pPr>
        <w:jc w:val="both"/>
        <w:divId w:val="515924794"/>
        <w:rPr>
          <w:rFonts w:eastAsia="Times New Roman"/>
        </w:rPr>
      </w:pPr>
      <w:r>
        <w:rPr>
          <w:rFonts w:eastAsia="Times New Roman"/>
          <w:sz w:val="20"/>
          <w:szCs w:val="20"/>
        </w:rPr>
        <w:t>•</w:t>
      </w:r>
    </w:p>
    <w:p w:rsidR="00000000" w:rsidRDefault="00AF2D19">
      <w:pPr>
        <w:jc w:val="both"/>
        <w:divId w:val="1681808331"/>
        <w:rPr>
          <w:rFonts w:eastAsia="Times New Roman"/>
        </w:rPr>
      </w:pPr>
      <w:r>
        <w:rPr>
          <w:rFonts w:eastAsia="Times New Roman"/>
          <w:sz w:val="20"/>
          <w:szCs w:val="20"/>
        </w:rPr>
        <w:t>Frequent communications between our Audit Committee and management regarding our financial reporting and internal control environment</w:t>
      </w:r>
      <w:r>
        <w:rPr>
          <w:rFonts w:eastAsia="Times New Roman"/>
          <w:sz w:val="20"/>
          <w:szCs w:val="20"/>
        </w:rPr>
        <w:t>;</w:t>
      </w:r>
    </w:p>
    <w:p w:rsidR="00000000" w:rsidRDefault="00AF2D19">
      <w:pPr>
        <w:jc w:val="both"/>
        <w:divId w:val="1236012812"/>
        <w:rPr>
          <w:rFonts w:eastAsia="Times New Roman"/>
        </w:rPr>
      </w:pPr>
      <w:r>
        <w:rPr>
          <w:rFonts w:eastAsia="Times New Roman"/>
          <w:sz w:val="20"/>
          <w:szCs w:val="20"/>
        </w:rPr>
        <w:t>•</w:t>
      </w:r>
    </w:p>
    <w:p w:rsidR="00000000" w:rsidRDefault="00AF2D19">
      <w:pPr>
        <w:jc w:val="both"/>
        <w:divId w:val="1272590705"/>
        <w:rPr>
          <w:rFonts w:eastAsia="Times New Roman"/>
        </w:rPr>
      </w:pPr>
      <w:r>
        <w:rPr>
          <w:rFonts w:eastAsia="Times New Roman"/>
          <w:sz w:val="20"/>
          <w:szCs w:val="20"/>
        </w:rPr>
        <w:t>The planned expansion of the finance, accounting, reporting and information technology teams through the addition of ex</w:t>
      </w:r>
      <w:r>
        <w:rPr>
          <w:rFonts w:eastAsia="Times New Roman"/>
          <w:sz w:val="20"/>
          <w:szCs w:val="20"/>
        </w:rPr>
        <w:t>perienced and qualified resources</w:t>
      </w:r>
      <w:r>
        <w:rPr>
          <w:rFonts w:eastAsia="Times New Roman"/>
          <w:sz w:val="20"/>
          <w:szCs w:val="20"/>
        </w:rPr>
        <w:t>;</w:t>
      </w:r>
    </w:p>
    <w:p w:rsidR="00000000" w:rsidRDefault="00AF2D19">
      <w:pPr>
        <w:jc w:val="both"/>
        <w:divId w:val="347030738"/>
        <w:rPr>
          <w:rFonts w:eastAsia="Times New Roman"/>
        </w:rPr>
      </w:pPr>
      <w:r>
        <w:rPr>
          <w:rFonts w:eastAsia="Times New Roman"/>
          <w:sz w:val="20"/>
          <w:szCs w:val="20"/>
        </w:rPr>
        <w:t>•</w:t>
      </w:r>
    </w:p>
    <w:p w:rsidR="00000000" w:rsidRDefault="00AF2D19">
      <w:pPr>
        <w:jc w:val="both"/>
        <w:divId w:val="961501387"/>
        <w:rPr>
          <w:rFonts w:eastAsia="Times New Roman"/>
        </w:rPr>
      </w:pPr>
      <w:r>
        <w:rPr>
          <w:rFonts w:eastAsia="Times New Roman"/>
          <w:sz w:val="20"/>
          <w:szCs w:val="20"/>
        </w:rPr>
        <w:t>The planned improvement of the process and controls in the determination of the appropriate accounting and classification of our financial instruments and key agreements</w:t>
      </w:r>
      <w:r>
        <w:rPr>
          <w:rFonts w:eastAsia="Times New Roman"/>
          <w:sz w:val="20"/>
          <w:szCs w:val="20"/>
        </w:rPr>
        <w:t>;</w:t>
      </w:r>
    </w:p>
    <w:p w:rsidR="00000000" w:rsidRDefault="00AF2D19">
      <w:pPr>
        <w:jc w:val="both"/>
        <w:divId w:val="801462229"/>
        <w:rPr>
          <w:rFonts w:eastAsia="Times New Roman"/>
        </w:rPr>
      </w:pPr>
      <w:r>
        <w:rPr>
          <w:rFonts w:eastAsia="Times New Roman"/>
          <w:sz w:val="20"/>
          <w:szCs w:val="20"/>
        </w:rPr>
        <w:t>•</w:t>
      </w:r>
    </w:p>
    <w:p w:rsidR="00000000" w:rsidRDefault="00AF2D19">
      <w:pPr>
        <w:jc w:val="both"/>
        <w:divId w:val="1034502930"/>
        <w:rPr>
          <w:rFonts w:eastAsia="Times New Roman"/>
        </w:rPr>
      </w:pPr>
      <w:r>
        <w:rPr>
          <w:rFonts w:eastAsia="Times New Roman"/>
          <w:sz w:val="20"/>
          <w:szCs w:val="20"/>
        </w:rPr>
        <w:t>Delivery of additional internal controls train</w:t>
      </w:r>
      <w:r>
        <w:rPr>
          <w:rFonts w:eastAsia="Times New Roman"/>
          <w:sz w:val="20"/>
          <w:szCs w:val="20"/>
        </w:rPr>
        <w:t>ing, as well as policy and control standardization where possible</w:t>
      </w:r>
      <w:r>
        <w:rPr>
          <w:rFonts w:eastAsia="Times New Roman"/>
          <w:sz w:val="20"/>
          <w:szCs w:val="20"/>
        </w:rPr>
        <w:t>;</w:t>
      </w:r>
    </w:p>
    <w:p w:rsidR="00000000" w:rsidRDefault="00AF2D19">
      <w:pPr>
        <w:jc w:val="both"/>
        <w:divId w:val="840045639"/>
        <w:rPr>
          <w:rFonts w:eastAsia="Times New Roman"/>
        </w:rPr>
      </w:pPr>
      <w:r>
        <w:rPr>
          <w:rFonts w:eastAsia="Times New Roman"/>
          <w:sz w:val="20"/>
          <w:szCs w:val="20"/>
        </w:rPr>
        <w:t>•</w:t>
      </w:r>
    </w:p>
    <w:p w:rsidR="00000000" w:rsidRDefault="00AF2D19">
      <w:pPr>
        <w:jc w:val="both"/>
        <w:divId w:val="921177694"/>
        <w:rPr>
          <w:rFonts w:eastAsia="Times New Roman"/>
        </w:rPr>
      </w:pPr>
      <w:r>
        <w:rPr>
          <w:rFonts w:eastAsia="Times New Roman"/>
          <w:sz w:val="20"/>
          <w:szCs w:val="20"/>
        </w:rPr>
        <w:t>Re-designed internal controls processes as part of our Sarbanes-Oxley program to drive accountability and efficiency</w:t>
      </w:r>
      <w:r>
        <w:rPr>
          <w:rFonts w:eastAsia="Times New Roman"/>
          <w:sz w:val="20"/>
          <w:szCs w:val="20"/>
        </w:rPr>
        <w:t>;</w:t>
      </w:r>
    </w:p>
    <w:p w:rsidR="00000000" w:rsidRDefault="00AF2D19">
      <w:pPr>
        <w:jc w:val="both"/>
        <w:divId w:val="1342198491"/>
        <w:rPr>
          <w:rFonts w:eastAsia="Times New Roman"/>
        </w:rPr>
      </w:pPr>
      <w:r>
        <w:rPr>
          <w:rFonts w:eastAsia="Times New Roman"/>
          <w:sz w:val="20"/>
          <w:szCs w:val="20"/>
        </w:rPr>
        <w:t>•</w:t>
      </w:r>
    </w:p>
    <w:p w:rsidR="00000000" w:rsidRDefault="00AF2D19">
      <w:pPr>
        <w:jc w:val="both"/>
        <w:divId w:val="115802781"/>
        <w:rPr>
          <w:rFonts w:eastAsia="Times New Roman"/>
        </w:rPr>
      </w:pPr>
      <w:r>
        <w:rPr>
          <w:rFonts w:eastAsia="Times New Roman"/>
          <w:sz w:val="20"/>
          <w:szCs w:val="20"/>
        </w:rPr>
        <w:t>Instituted monthly review of financial statements to evaluate resul</w:t>
      </w:r>
      <w:r>
        <w:rPr>
          <w:rFonts w:eastAsia="Times New Roman"/>
          <w:sz w:val="20"/>
          <w:szCs w:val="20"/>
        </w:rPr>
        <w:t>ts, observe adherence to policies and agree on necessary actions;</w:t>
      </w:r>
      <w:r>
        <w:rPr>
          <w:rFonts w:eastAsia="Times New Roman"/>
          <w:sz w:val="20"/>
          <w:szCs w:val="20"/>
        </w:rPr>
        <w:t xml:space="preserve"> </w:t>
      </w:r>
    </w:p>
    <w:p w:rsidR="00000000" w:rsidRDefault="00AF2D19">
      <w:pPr>
        <w:jc w:val="both"/>
        <w:divId w:val="17513813"/>
        <w:rPr>
          <w:rFonts w:eastAsia="Times New Roman"/>
        </w:rPr>
      </w:pPr>
      <w:r>
        <w:rPr>
          <w:rFonts w:eastAsia="Times New Roman"/>
          <w:sz w:val="20"/>
          <w:szCs w:val="20"/>
        </w:rPr>
        <w:t>•</w:t>
      </w:r>
    </w:p>
    <w:p w:rsidR="00000000" w:rsidRDefault="00AF2D19">
      <w:pPr>
        <w:jc w:val="both"/>
        <w:divId w:val="1190676782"/>
        <w:rPr>
          <w:rFonts w:eastAsia="Times New Roman"/>
        </w:rPr>
      </w:pPr>
      <w:r>
        <w:rPr>
          <w:rFonts w:eastAsia="Times New Roman"/>
          <w:sz w:val="20"/>
          <w:szCs w:val="20"/>
        </w:rPr>
        <w:t xml:space="preserve">Engaged outside resources to assist with the design and implementation of a risk-based internal controls plan, enhance process documentation, provide company-wide training, and help with </w:t>
      </w:r>
      <w:r>
        <w:rPr>
          <w:rFonts w:eastAsia="Times New Roman"/>
          <w:sz w:val="20"/>
          <w:szCs w:val="20"/>
        </w:rPr>
        <w:t>management's self-assessment and testing of internal control</w:t>
      </w:r>
      <w:r>
        <w:rPr>
          <w:rFonts w:eastAsia="Times New Roman"/>
          <w:sz w:val="20"/>
          <w:szCs w:val="20"/>
        </w:rPr>
        <w:t>s</w:t>
      </w:r>
    </w:p>
    <w:p w:rsidR="00000000" w:rsidRDefault="00AF2D19">
      <w:pPr>
        <w:pStyle w:val="a3"/>
        <w:spacing w:before="240" w:beforeAutospacing="0" w:after="0" w:afterAutospacing="0"/>
        <w:jc w:val="both"/>
        <w:rPr>
          <w:sz w:val="20"/>
          <w:szCs w:val="20"/>
        </w:rPr>
      </w:pPr>
      <w:r>
        <w:rPr>
          <w:i/>
          <w:iCs/>
          <w:sz w:val="20"/>
          <w:szCs w:val="20"/>
        </w:rPr>
        <w:t>Information Technology General Controls (“ITGCs”</w:t>
      </w:r>
      <w:r>
        <w:rPr>
          <w:i/>
          <w:iCs/>
          <w:sz w:val="20"/>
          <w:szCs w:val="20"/>
        </w:rPr>
        <w:t>)</w:t>
      </w:r>
    </w:p>
    <w:p w:rsidR="00000000" w:rsidRDefault="00AF2D19">
      <w:pPr>
        <w:pStyle w:val="a3"/>
        <w:spacing w:before="120" w:beforeAutospacing="0" w:after="0" w:afterAutospacing="0"/>
        <w:jc w:val="both"/>
        <w:rPr>
          <w:sz w:val="20"/>
          <w:szCs w:val="20"/>
        </w:rPr>
      </w:pPr>
      <w:r>
        <w:rPr>
          <w:sz w:val="20"/>
          <w:szCs w:val="20"/>
        </w:rPr>
        <w:t>We continue to make progress in advancing foundational elements of our ITGCs as it relates to financial reporting. We are leveraging these found</w:t>
      </w:r>
      <w:r>
        <w:rPr>
          <w:sz w:val="20"/>
          <w:szCs w:val="20"/>
        </w:rPr>
        <w:t>ational elements in the design of our future state processes and controls within our new ERP system. Our remediation plan includes, but is not limited to</w:t>
      </w:r>
      <w:r>
        <w:rPr>
          <w:sz w:val="20"/>
          <w:szCs w:val="20"/>
        </w:rPr>
        <w:t>:</w:t>
      </w:r>
    </w:p>
    <w:p w:rsidR="00000000" w:rsidRDefault="00AF2D19">
      <w:pPr>
        <w:jc w:val="both"/>
        <w:divId w:val="2039046538"/>
        <w:rPr>
          <w:rFonts w:eastAsia="Times New Roman"/>
        </w:rPr>
      </w:pPr>
      <w:r>
        <w:rPr>
          <w:rFonts w:eastAsia="Times New Roman"/>
          <w:sz w:val="20"/>
          <w:szCs w:val="20"/>
        </w:rPr>
        <w:t>•</w:t>
      </w:r>
    </w:p>
    <w:p w:rsidR="00000000" w:rsidRDefault="00AF2D19">
      <w:pPr>
        <w:jc w:val="both"/>
        <w:divId w:val="2068336018"/>
        <w:rPr>
          <w:rFonts w:eastAsia="Times New Roman"/>
        </w:rPr>
      </w:pPr>
      <w:r>
        <w:rPr>
          <w:rFonts w:eastAsia="Times New Roman"/>
          <w:sz w:val="20"/>
          <w:szCs w:val="20"/>
        </w:rPr>
        <w:t>Implementing new, relevant IT systems related to our revenue processes and financial reporting</w:t>
      </w:r>
      <w:r>
        <w:rPr>
          <w:rFonts w:eastAsia="Times New Roman"/>
          <w:sz w:val="20"/>
          <w:szCs w:val="20"/>
        </w:rPr>
        <w:t>;</w:t>
      </w:r>
    </w:p>
    <w:p w:rsidR="00000000" w:rsidRDefault="00AF2D19">
      <w:pPr>
        <w:jc w:val="both"/>
        <w:divId w:val="1532106610"/>
        <w:rPr>
          <w:rFonts w:eastAsia="Times New Roman"/>
        </w:rPr>
      </w:pPr>
      <w:r>
        <w:rPr>
          <w:rFonts w:eastAsia="Times New Roman"/>
          <w:sz w:val="20"/>
          <w:szCs w:val="20"/>
        </w:rPr>
        <w:t>•</w:t>
      </w:r>
    </w:p>
    <w:p w:rsidR="00000000" w:rsidRDefault="00AF2D19">
      <w:pPr>
        <w:jc w:val="both"/>
        <w:divId w:val="337661009"/>
        <w:rPr>
          <w:rFonts w:eastAsia="Times New Roman"/>
        </w:rPr>
      </w:pPr>
      <w:r>
        <w:rPr>
          <w:rFonts w:eastAsia="Times New Roman"/>
          <w:sz w:val="20"/>
          <w:szCs w:val="20"/>
        </w:rPr>
        <w:t>I</w:t>
      </w:r>
      <w:r>
        <w:rPr>
          <w:rFonts w:eastAsia="Times New Roman"/>
          <w:sz w:val="20"/>
          <w:szCs w:val="20"/>
        </w:rPr>
        <w:t>mplementing improved IT change management policies and procedures, control activities, and tools impacting financial reporting to ensure changes affecting financial IT applications are identified, authorized, tested, and implemented appropriately</w:t>
      </w:r>
      <w:r>
        <w:rPr>
          <w:rFonts w:eastAsia="Times New Roman"/>
          <w:sz w:val="20"/>
          <w:szCs w:val="20"/>
        </w:rPr>
        <w:t>;</w:t>
      </w:r>
    </w:p>
    <w:p w:rsidR="00000000" w:rsidRDefault="00AF2D19">
      <w:pPr>
        <w:jc w:val="both"/>
        <w:divId w:val="1499732992"/>
        <w:rPr>
          <w:rFonts w:eastAsia="Times New Roman"/>
        </w:rPr>
      </w:pPr>
      <w:r>
        <w:rPr>
          <w:rFonts w:eastAsia="Times New Roman"/>
          <w:sz w:val="20"/>
          <w:szCs w:val="20"/>
        </w:rPr>
        <w:t>•</w:t>
      </w:r>
    </w:p>
    <w:p w:rsidR="00000000" w:rsidRDefault="00AF2D19">
      <w:pPr>
        <w:jc w:val="both"/>
        <w:divId w:val="157578417"/>
        <w:rPr>
          <w:rFonts w:eastAsia="Times New Roman"/>
        </w:rPr>
      </w:pPr>
      <w:r>
        <w:rPr>
          <w:rFonts w:eastAsia="Times New Roman"/>
          <w:sz w:val="20"/>
          <w:szCs w:val="20"/>
        </w:rPr>
        <w:t>Implem</w:t>
      </w:r>
      <w:r>
        <w:rPr>
          <w:rFonts w:eastAsia="Times New Roman"/>
          <w:sz w:val="20"/>
          <w:szCs w:val="20"/>
        </w:rPr>
        <w:t>enting improved processes for requesting, authorizing, and reviewing user access to key systems which impact our financial reporting, including identifying access to roles where manual business process controls may be required</w:t>
      </w:r>
      <w:r>
        <w:rPr>
          <w:rFonts w:eastAsia="Times New Roman"/>
          <w:sz w:val="20"/>
          <w:szCs w:val="20"/>
        </w:rPr>
        <w:t>;</w:t>
      </w:r>
    </w:p>
    <w:p w:rsidR="00000000" w:rsidRDefault="00AF2D19">
      <w:pPr>
        <w:jc w:val="both"/>
        <w:divId w:val="1834446897"/>
        <w:rPr>
          <w:rFonts w:eastAsia="Times New Roman"/>
        </w:rPr>
      </w:pPr>
      <w:r>
        <w:rPr>
          <w:rFonts w:eastAsia="Times New Roman"/>
          <w:sz w:val="20"/>
          <w:szCs w:val="20"/>
        </w:rPr>
        <w:t>•</w:t>
      </w:r>
    </w:p>
    <w:p w:rsidR="00000000" w:rsidRDefault="00AF2D19">
      <w:pPr>
        <w:jc w:val="both"/>
        <w:divId w:val="783156450"/>
        <w:rPr>
          <w:rFonts w:eastAsia="Times New Roman"/>
        </w:rPr>
      </w:pPr>
      <w:r>
        <w:rPr>
          <w:rFonts w:eastAsia="Times New Roman"/>
          <w:sz w:val="20"/>
          <w:szCs w:val="20"/>
        </w:rPr>
        <w:t>Implementing appropriate s</w:t>
      </w:r>
      <w:r>
        <w:rPr>
          <w:rFonts w:eastAsia="Times New Roman"/>
          <w:sz w:val="20"/>
          <w:szCs w:val="20"/>
        </w:rPr>
        <w:t>egregation of duties in relevant systems that impact internal control over financial reporting</w:t>
      </w:r>
      <w:r>
        <w:rPr>
          <w:rFonts w:eastAsia="Times New Roman"/>
          <w:sz w:val="20"/>
          <w:szCs w:val="20"/>
        </w:rPr>
        <w:t>;</w:t>
      </w:r>
    </w:p>
    <w:p w:rsidR="00000000" w:rsidRDefault="00AF2D19">
      <w:pPr>
        <w:jc w:val="both"/>
        <w:divId w:val="2116123206"/>
        <w:rPr>
          <w:rFonts w:eastAsia="Times New Roman"/>
        </w:rPr>
      </w:pPr>
      <w:r>
        <w:rPr>
          <w:rFonts w:eastAsia="Times New Roman"/>
          <w:sz w:val="20"/>
          <w:szCs w:val="20"/>
        </w:rPr>
        <w:t>•</w:t>
      </w:r>
    </w:p>
    <w:p w:rsidR="00000000" w:rsidRDefault="00AF2D19">
      <w:pPr>
        <w:jc w:val="both"/>
        <w:divId w:val="981421088"/>
        <w:rPr>
          <w:rFonts w:eastAsia="Times New Roman"/>
        </w:rPr>
      </w:pPr>
      <w:r>
        <w:rPr>
          <w:rFonts w:eastAsia="Times New Roman"/>
          <w:sz w:val="20"/>
          <w:szCs w:val="20"/>
        </w:rPr>
        <w:t>Increasing resources dedicated to monitoring ITGCs related to financial reporting to ensure compliance with policies and procedures; an</w:t>
      </w:r>
      <w:r>
        <w:rPr>
          <w:rFonts w:eastAsia="Times New Roman"/>
          <w:sz w:val="20"/>
          <w:szCs w:val="20"/>
        </w:rPr>
        <w:t>d</w:t>
      </w:r>
    </w:p>
    <w:p w:rsidR="00000000" w:rsidRDefault="00AF2D19">
      <w:pPr>
        <w:jc w:val="both"/>
        <w:divId w:val="1263149095"/>
        <w:rPr>
          <w:rFonts w:eastAsia="Times New Roman"/>
        </w:rPr>
      </w:pPr>
      <w:r>
        <w:rPr>
          <w:rFonts w:eastAsia="Times New Roman"/>
          <w:sz w:val="20"/>
          <w:szCs w:val="20"/>
        </w:rPr>
        <w:t>•</w:t>
      </w:r>
    </w:p>
    <w:p w:rsidR="00000000" w:rsidRDefault="00AF2D19">
      <w:pPr>
        <w:jc w:val="both"/>
        <w:divId w:val="141698710"/>
        <w:rPr>
          <w:rFonts w:eastAsia="Times New Roman"/>
        </w:rPr>
      </w:pPr>
      <w:r>
        <w:rPr>
          <w:rFonts w:eastAsia="Times New Roman"/>
          <w:sz w:val="20"/>
          <w:szCs w:val="20"/>
        </w:rPr>
        <w:t>Implementing additional training to ensure a clear understanding of risk assessment and monitoring activities related to automated processes and IT systems and ITGCs related to financial reporting</w:t>
      </w:r>
      <w:r>
        <w:rPr>
          <w:rFonts w:eastAsia="Times New Roman"/>
          <w:sz w:val="20"/>
          <w:szCs w:val="20"/>
        </w:rPr>
        <w:t>.</w:t>
      </w:r>
    </w:p>
    <w:p w:rsidR="00000000" w:rsidRDefault="00AF2D19">
      <w:pPr>
        <w:pStyle w:val="a3"/>
        <w:spacing w:before="0" w:beforeAutospacing="0" w:after="0" w:afterAutospacing="0"/>
        <w:jc w:val="center"/>
        <w:rPr>
          <w:sz w:val="20"/>
          <w:szCs w:val="20"/>
        </w:rPr>
      </w:pPr>
      <w:r>
        <w:rPr>
          <w:sz w:val="20"/>
          <w:szCs w:val="20"/>
        </w:rPr>
        <w:t>10</w:t>
      </w:r>
      <w:r>
        <w:rPr>
          <w:sz w:val="20"/>
          <w:szCs w:val="20"/>
        </w:rPr>
        <w:t>0</w:t>
      </w:r>
    </w:p>
    <w:p w:rsidR="00000000" w:rsidRDefault="00AF2D19">
      <w:pPr>
        <w:rPr>
          <w:rFonts w:eastAsia="Times New Roman"/>
        </w:rPr>
      </w:pPr>
      <w:r>
        <w:rPr>
          <w:rFonts w:eastAsia="Times New Roman"/>
        </w:rPr>
        <w:pict>
          <v:rect id="_x0000_i1128"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i/>
          <w:iCs/>
          <w:sz w:val="20"/>
          <w:szCs w:val="20"/>
        </w:rPr>
        <w:t>Complex accounting requirements (such as warrants</w:t>
      </w:r>
      <w:r>
        <w:rPr>
          <w:i/>
          <w:iCs/>
          <w:sz w:val="20"/>
          <w:szCs w:val="20"/>
        </w:rPr>
        <w:t>)</w:t>
      </w:r>
      <w:r>
        <w:rPr>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intend to address this material weakness by enhancing our processes to identify and appropriately apply applicable accounting requirements to better evaluate our research and understanding of the nuances of the complex accounting standards that apply to</w:t>
      </w:r>
      <w:r>
        <w:rPr>
          <w:sz w:val="20"/>
          <w:szCs w:val="20"/>
        </w:rPr>
        <w:t xml:space="preserve"> our financial statements. We intend to provide enhanced access to accounting literature, research materials and documents and increased communication among our personnel and third-party professionals with whom we consult regarding complex accounting appli</w:t>
      </w:r>
      <w:r>
        <w:rPr>
          <w:sz w:val="20"/>
          <w:szCs w:val="20"/>
        </w:rPr>
        <w:t>cations. We have also retained the services of a valuation expert to assist in valuation analysis of our warrants on a quarterly basis</w:t>
      </w:r>
      <w:r>
        <w:rPr>
          <w:sz w:val="20"/>
          <w:szCs w:val="20"/>
        </w:rPr>
        <w:t>.</w:t>
      </w:r>
    </w:p>
    <w:p w:rsidR="00000000" w:rsidRDefault="00AF2D19">
      <w:pPr>
        <w:pStyle w:val="a3"/>
        <w:spacing w:before="120" w:beforeAutospacing="0" w:after="0" w:afterAutospacing="0"/>
        <w:jc w:val="both"/>
        <w:rPr>
          <w:sz w:val="20"/>
          <w:szCs w:val="20"/>
        </w:rPr>
      </w:pPr>
      <w:r>
        <w:rPr>
          <w:sz w:val="20"/>
          <w:szCs w:val="20"/>
        </w:rPr>
        <w:t>When fully implemented and operational, we believe the controls we have designed or plan to design will remediate the co</w:t>
      </w:r>
      <w:r>
        <w:rPr>
          <w:sz w:val="20"/>
          <w:szCs w:val="20"/>
        </w:rPr>
        <w:t>ntrol deficiencies that have led to the material weaknesses we have identified and strengthen our internal controls over financial reporting</w:t>
      </w:r>
      <w:r>
        <w:rPr>
          <w:sz w:val="20"/>
          <w:szCs w:val="20"/>
        </w:rPr>
        <w:t>.</w:t>
      </w:r>
    </w:p>
    <w:p w:rsidR="00000000" w:rsidRDefault="00AF2D19">
      <w:pPr>
        <w:pStyle w:val="a3"/>
        <w:spacing w:before="120" w:beforeAutospacing="0" w:after="0" w:afterAutospacing="0"/>
        <w:jc w:val="both"/>
        <w:rPr>
          <w:sz w:val="20"/>
          <w:szCs w:val="20"/>
        </w:rPr>
      </w:pPr>
      <w:r>
        <w:rPr>
          <w:sz w:val="20"/>
          <w:szCs w:val="20"/>
        </w:rPr>
        <w:t>The material weaknesses will not be considered remediated until the applicable controls operate for a sufficient p</w:t>
      </w:r>
      <w:r>
        <w:rPr>
          <w:sz w:val="20"/>
          <w:szCs w:val="20"/>
        </w:rPr>
        <w:t>eriod of time and management has concluded, through testing, that these controls are operating effectively</w:t>
      </w:r>
      <w:r>
        <w:rPr>
          <w:sz w:val="20"/>
          <w:szCs w:val="20"/>
        </w:rPr>
        <w:t>.</w:t>
      </w:r>
    </w:p>
    <w:p w:rsidR="00000000" w:rsidRDefault="00AF2D19">
      <w:pPr>
        <w:pStyle w:val="a3"/>
        <w:spacing w:before="240" w:beforeAutospacing="0" w:after="0" w:afterAutospacing="0"/>
        <w:jc w:val="both"/>
        <w:rPr>
          <w:sz w:val="20"/>
          <w:szCs w:val="20"/>
        </w:rPr>
      </w:pPr>
      <w:r>
        <w:rPr>
          <w:i/>
          <w:iCs/>
          <w:sz w:val="20"/>
          <w:szCs w:val="20"/>
        </w:rPr>
        <w:t>Changes in Internal Control over Financial Reportin</w:t>
      </w:r>
      <w:r>
        <w:rPr>
          <w:i/>
          <w:iCs/>
          <w:sz w:val="20"/>
          <w:szCs w:val="20"/>
        </w:rPr>
        <w:t>g</w:t>
      </w:r>
    </w:p>
    <w:p w:rsidR="00000000" w:rsidRDefault="00AF2D19">
      <w:pPr>
        <w:pStyle w:val="a3"/>
        <w:spacing w:before="120" w:beforeAutospacing="0" w:after="0" w:afterAutospacing="0"/>
        <w:jc w:val="both"/>
        <w:rPr>
          <w:sz w:val="20"/>
          <w:szCs w:val="20"/>
        </w:rPr>
      </w:pPr>
      <w:r>
        <w:rPr>
          <w:sz w:val="20"/>
          <w:szCs w:val="20"/>
        </w:rPr>
        <w:t>Other than as described above, there were no changes in our internal control over financial rep</w:t>
      </w:r>
      <w:r>
        <w:rPr>
          <w:sz w:val="20"/>
          <w:szCs w:val="20"/>
        </w:rPr>
        <w:t>orting (as such term is defined in Rules 13a-15(f) and 15d- 15(f) of the Exchange Act) during the quarter ended December 31, 2021 that have materially affected, or are reasonably likely to materially affect, our internal control over financial reporting</w:t>
      </w:r>
      <w:r>
        <w:rPr>
          <w:sz w:val="20"/>
          <w:szCs w:val="20"/>
        </w:rPr>
        <w:t>.</w:t>
      </w:r>
    </w:p>
    <w:p w:rsidR="00000000" w:rsidRDefault="00AF2D19">
      <w:pPr>
        <w:pStyle w:val="a3"/>
        <w:spacing w:before="120" w:beforeAutospacing="0" w:after="0" w:afterAutospacing="0"/>
        <w:jc w:val="both"/>
        <w:rPr>
          <w:sz w:val="20"/>
          <w:szCs w:val="20"/>
        </w:rPr>
      </w:pPr>
      <w:r>
        <w:rPr>
          <w:sz w:val="20"/>
          <w:szCs w:val="20"/>
        </w:rPr>
        <w:t>A</w:t>
      </w:r>
      <w:r>
        <w:rPr>
          <w:sz w:val="20"/>
          <w:szCs w:val="20"/>
        </w:rPr>
        <w:t>s disclosed elsewhere in this Annual Report on Form 10-K, we completed the Business Combination on June 22, 2021. Prior to the Business Combination, our predecessor, HEC, was a special purpose acquisition company formed for the purpose of effecting a merge</w:t>
      </w:r>
      <w:r>
        <w:rPr>
          <w:sz w:val="20"/>
          <w:szCs w:val="20"/>
        </w:rPr>
        <w:t>r, capital stock exchange, asset acquisition, stock purchase, recapitalization, reorganization, or similar business combination with one or more businesses. As a result, previously existing internal controls were no longer applicable or comprehensive enoug</w:t>
      </w:r>
      <w:r>
        <w:rPr>
          <w:sz w:val="20"/>
          <w:szCs w:val="20"/>
        </w:rPr>
        <w:t>h as of the assessment date, as HEC’s operations prior to the Business Combination were insignificant compared to those of the consolidated entity post-Business Combination. Therefore, management was unable, without incurring unreasonable effort or expense</w:t>
      </w:r>
      <w:r>
        <w:rPr>
          <w:sz w:val="20"/>
          <w:szCs w:val="20"/>
        </w:rPr>
        <w:t>, to complete an assessment of our internal control over financial reporting as of December 31, 2021. Accordingly, we are excluding management’s report on internal control over financial reporting pursuant to Section 215.02 of the SEC Division of Corporati</w:t>
      </w:r>
      <w:r>
        <w:rPr>
          <w:sz w:val="20"/>
          <w:szCs w:val="20"/>
        </w:rPr>
        <w:t>on Finance’s Regulation S-K Compliance &amp; Disclosure Interpretations. As a result, this Annual Report on Form 10-K also does not include an attestation report of our independent registered accounting firm</w:t>
      </w:r>
      <w:r>
        <w:rPr>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9B. OTHER INFORMATIO</w:t>
      </w:r>
      <w:r>
        <w:rPr>
          <w:b/>
          <w:bCs/>
          <w:sz w:val="20"/>
          <w:szCs w:val="20"/>
        </w:rPr>
        <w:t>N</w:t>
      </w:r>
    </w:p>
    <w:p w:rsidR="00000000" w:rsidRDefault="00AF2D19">
      <w:pPr>
        <w:pStyle w:val="a3"/>
        <w:spacing w:before="120" w:beforeAutospacing="0" w:after="0" w:afterAutospacing="0"/>
        <w:rPr>
          <w:sz w:val="20"/>
          <w:szCs w:val="20"/>
        </w:rPr>
      </w:pPr>
      <w:r>
        <w:rPr>
          <w:sz w:val="20"/>
          <w:szCs w:val="20"/>
        </w:rPr>
        <w:t>None</w:t>
      </w:r>
      <w:r>
        <w:rPr>
          <w:sz w:val="20"/>
          <w:szCs w:val="20"/>
        </w:rPr>
        <w:t>.</w:t>
      </w:r>
    </w:p>
    <w:p w:rsidR="00000000" w:rsidRDefault="00AF2D19">
      <w:pPr>
        <w:pStyle w:val="a3"/>
        <w:spacing w:before="360" w:beforeAutospacing="0" w:after="0" w:afterAutospacing="0"/>
        <w:rPr>
          <w:sz w:val="20"/>
          <w:szCs w:val="20"/>
        </w:rPr>
      </w:pPr>
      <w:r>
        <w:rPr>
          <w:b/>
          <w:bCs/>
          <w:sz w:val="20"/>
          <w:szCs w:val="20"/>
        </w:rPr>
        <w:t>Item 9C. DISCLOS</w:t>
      </w:r>
      <w:r>
        <w:rPr>
          <w:b/>
          <w:bCs/>
          <w:sz w:val="20"/>
          <w:szCs w:val="20"/>
        </w:rPr>
        <w:t>URE REGARDING FOREIGN JURISDICTIONS THAT PREVENT INSPECTION</w:t>
      </w:r>
      <w:r>
        <w:rPr>
          <w:b/>
          <w:bCs/>
          <w:sz w:val="20"/>
          <w:szCs w:val="20"/>
        </w:rPr>
        <w:t>S</w:t>
      </w:r>
    </w:p>
    <w:p w:rsidR="00000000" w:rsidRDefault="00AF2D19">
      <w:pPr>
        <w:pStyle w:val="a3"/>
        <w:spacing w:before="120" w:beforeAutospacing="0" w:after="0" w:afterAutospacing="0"/>
        <w:rPr>
          <w:sz w:val="20"/>
          <w:szCs w:val="20"/>
        </w:rPr>
      </w:pPr>
      <w:r>
        <w:rPr>
          <w:sz w:val="20"/>
          <w:szCs w:val="20"/>
        </w:rPr>
        <w:t>Not Applicable</w:t>
      </w:r>
      <w:r>
        <w:rPr>
          <w:sz w:val="20"/>
          <w:szCs w:val="20"/>
        </w:rPr>
        <w:t>.</w:t>
      </w:r>
    </w:p>
    <w:p w:rsidR="00000000" w:rsidRDefault="00AF2D19">
      <w:pPr>
        <w:pStyle w:val="a3"/>
        <w:spacing w:before="0" w:beforeAutospacing="0" w:after="0" w:afterAutospacing="0"/>
        <w:jc w:val="center"/>
        <w:rPr>
          <w:sz w:val="20"/>
          <w:szCs w:val="20"/>
        </w:rPr>
      </w:pPr>
      <w:r>
        <w:rPr>
          <w:sz w:val="20"/>
          <w:szCs w:val="20"/>
        </w:rPr>
        <w:t>10</w:t>
      </w:r>
      <w:r>
        <w:rPr>
          <w:sz w:val="20"/>
          <w:szCs w:val="20"/>
        </w:rPr>
        <w:t>1</w:t>
      </w:r>
    </w:p>
    <w:p w:rsidR="00000000" w:rsidRDefault="00AF2D19">
      <w:pPr>
        <w:rPr>
          <w:rFonts w:eastAsia="Times New Roman"/>
        </w:rPr>
      </w:pPr>
      <w:r>
        <w:rPr>
          <w:rFonts w:eastAsia="Times New Roman"/>
        </w:rPr>
        <w:pict>
          <v:rect id="_x0000_i1129"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0"/>
          <w:szCs w:val="20"/>
        </w:rPr>
        <w:t>PART II</w:t>
      </w:r>
      <w:r>
        <w:rPr>
          <w:b/>
          <w:bCs/>
          <w:sz w:val="20"/>
          <w:szCs w:val="20"/>
        </w:rPr>
        <w:t>I</w:t>
      </w:r>
    </w:p>
    <w:p w:rsidR="00000000" w:rsidRDefault="00AF2D19">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10. DIRECTORS, EXECUTIVE OFFICERS AND CORPORATE GOVERNANC</w:t>
      </w:r>
      <w:r>
        <w:rPr>
          <w:b/>
          <w:bCs/>
          <w:sz w:val="20"/>
          <w:szCs w:val="20"/>
        </w:rPr>
        <w:t>E</w:t>
      </w:r>
    </w:p>
    <w:p w:rsidR="00000000" w:rsidRDefault="00AF2D19">
      <w:pPr>
        <w:pStyle w:val="a3"/>
        <w:spacing w:before="120" w:beforeAutospacing="0" w:after="0" w:afterAutospacing="0"/>
        <w:jc w:val="both"/>
        <w:rPr>
          <w:sz w:val="20"/>
          <w:szCs w:val="20"/>
        </w:rPr>
      </w:pPr>
      <w:r>
        <w:rPr>
          <w:sz w:val="20"/>
          <w:szCs w:val="20"/>
        </w:rPr>
        <w:t>The following table provides information regarding our executive officers and members of our board of directors (ages as of the date of this Annual Report on Form 10-K)</w:t>
      </w:r>
      <w:r>
        <w:rPr>
          <w:sz w:val="20"/>
          <w:szCs w:val="20"/>
        </w:rPr>
        <w:t>:</w:t>
      </w:r>
    </w:p>
    <w:p w:rsidR="00000000" w:rsidRDefault="00AF2D1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86"/>
        <w:gridCol w:w="191"/>
        <w:gridCol w:w="516"/>
        <w:gridCol w:w="110"/>
        <w:gridCol w:w="3703"/>
      </w:tblGrid>
      <w:tr w:rsidR="00000000">
        <w:trPr>
          <w:tblCellSpacing w:w="15" w:type="dxa"/>
        </w:trPr>
        <w:tc>
          <w:tcPr>
            <w:tcW w:w="2300" w:type="pct"/>
            <w:vAlign w:val="center"/>
            <w:hideMark/>
          </w:tcPr>
          <w:p w:rsidR="00000000" w:rsidRDefault="00AF2D19">
            <w:pPr>
              <w:rPr>
                <w:sz w:val="20"/>
                <w:szCs w:val="20"/>
              </w:rPr>
            </w:pPr>
          </w:p>
        </w:tc>
        <w:tc>
          <w:tcPr>
            <w:tcW w:w="99" w:type="pct"/>
            <w:vAlign w:val="center"/>
            <w:hideMark/>
          </w:tcPr>
          <w:p w:rsidR="00000000" w:rsidRDefault="00AF2D19">
            <w:pPr>
              <w:rPr>
                <w:rFonts w:eastAsia="Times New Roman"/>
                <w:sz w:val="20"/>
                <w:szCs w:val="20"/>
              </w:rPr>
            </w:pPr>
          </w:p>
        </w:tc>
        <w:tc>
          <w:tcPr>
            <w:tcW w:w="299" w:type="pct"/>
            <w:vAlign w:val="center"/>
            <w:hideMark/>
          </w:tcPr>
          <w:p w:rsidR="00000000" w:rsidRDefault="00AF2D19">
            <w:pPr>
              <w:rPr>
                <w:rFonts w:eastAsia="Times New Roman"/>
                <w:sz w:val="20"/>
                <w:szCs w:val="20"/>
              </w:rPr>
            </w:pPr>
          </w:p>
        </w:tc>
        <w:tc>
          <w:tcPr>
            <w:tcW w:w="49" w:type="pct"/>
            <w:vAlign w:val="center"/>
            <w:hideMark/>
          </w:tcPr>
          <w:p w:rsidR="00000000" w:rsidRDefault="00AF2D19">
            <w:pPr>
              <w:rPr>
                <w:rFonts w:eastAsia="Times New Roman"/>
                <w:sz w:val="20"/>
                <w:szCs w:val="20"/>
              </w:rPr>
            </w:pPr>
          </w:p>
        </w:tc>
        <w:tc>
          <w:tcPr>
            <w:tcW w:w="2250" w:type="pct"/>
            <w:vAlign w:val="center"/>
            <w:hideMark/>
          </w:tcPr>
          <w:p w:rsidR="00000000" w:rsidRDefault="00AF2D19">
            <w:pPr>
              <w:rPr>
                <w:rFonts w:eastAsia="Times New Roman"/>
                <w:sz w:val="20"/>
                <w:szCs w:val="20"/>
              </w:rPr>
            </w:pPr>
          </w:p>
        </w:tc>
      </w:tr>
      <w:tr w:rsidR="00000000">
        <w:trPr>
          <w:trHeight w:val="180"/>
          <w:tblCellSpacing w:w="15" w:type="dxa"/>
        </w:trPr>
        <w:tc>
          <w:tcPr>
            <w:tcW w:w="0" w:type="auto"/>
            <w:tcMar>
              <w:top w:w="15" w:type="dxa"/>
              <w:left w:w="15" w:type="dxa"/>
              <w:bottom w:w="14" w:type="dxa"/>
              <w:right w:w="15" w:type="dxa"/>
            </w:tcMar>
            <w:hideMark/>
          </w:tcPr>
          <w:p w:rsidR="00000000" w:rsidRDefault="00AF2D19">
            <w:pPr>
              <w:pStyle w:val="a3"/>
              <w:spacing w:before="0" w:beforeAutospacing="0" w:after="0" w:afterAutospacing="0"/>
              <w:rPr>
                <w:sz w:val="17"/>
                <w:szCs w:val="17"/>
              </w:rPr>
            </w:pPr>
            <w:r>
              <w:rPr>
                <w:b/>
                <w:bCs/>
                <w:sz w:val="17"/>
                <w:szCs w:val="17"/>
              </w:rPr>
              <w:t>Nam</w:t>
            </w:r>
            <w:r>
              <w:rPr>
                <w:b/>
                <w:bCs/>
                <w:sz w:val="17"/>
                <w:szCs w:val="17"/>
              </w:rPr>
              <w:t>e</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tcMar>
              <w:top w:w="15" w:type="dxa"/>
              <w:left w:w="15" w:type="dxa"/>
              <w:bottom w:w="14" w:type="dxa"/>
              <w:right w:w="15" w:type="dxa"/>
            </w:tcMar>
            <w:hideMark/>
          </w:tcPr>
          <w:p w:rsidR="00000000" w:rsidRDefault="00AF2D19">
            <w:pPr>
              <w:pStyle w:val="a3"/>
              <w:spacing w:before="0" w:beforeAutospacing="0" w:after="0" w:afterAutospacing="0"/>
              <w:jc w:val="center"/>
              <w:rPr>
                <w:sz w:val="17"/>
                <w:szCs w:val="17"/>
              </w:rPr>
            </w:pPr>
            <w:r>
              <w:rPr>
                <w:b/>
                <w:bCs/>
                <w:sz w:val="17"/>
                <w:szCs w:val="17"/>
              </w:rPr>
              <w:t>Ag</w:t>
            </w:r>
            <w:r>
              <w:rPr>
                <w:b/>
                <w:bCs/>
                <w:sz w:val="17"/>
                <w:szCs w:val="17"/>
              </w:rPr>
              <w:t>e</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tcMar>
              <w:top w:w="15" w:type="dxa"/>
              <w:left w:w="15" w:type="dxa"/>
              <w:bottom w:w="14" w:type="dxa"/>
              <w:right w:w="15" w:type="dxa"/>
            </w:tcMar>
            <w:hideMark/>
          </w:tcPr>
          <w:p w:rsidR="00000000" w:rsidRDefault="00AF2D19">
            <w:pPr>
              <w:pStyle w:val="a3"/>
              <w:spacing w:before="0" w:beforeAutospacing="0" w:after="0" w:afterAutospacing="0"/>
              <w:jc w:val="center"/>
              <w:rPr>
                <w:sz w:val="18"/>
                <w:szCs w:val="18"/>
              </w:rPr>
            </w:pPr>
            <w:r>
              <w:rPr>
                <w:b/>
                <w:bCs/>
                <w:sz w:val="18"/>
                <w:szCs w:val="18"/>
              </w:rPr>
              <w:t>Positio</w:t>
            </w:r>
            <w:r>
              <w:rPr>
                <w:b/>
                <w:bCs/>
                <w:sz w:val="18"/>
                <w:szCs w:val="18"/>
              </w:rPr>
              <w:t>n</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Douglas L. Braunstei</w:t>
            </w:r>
            <w:r>
              <w:rPr>
                <w:sz w:val="20"/>
                <w:szCs w:val="20"/>
              </w:rPr>
              <w:t>n</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6</w:t>
            </w:r>
            <w:r>
              <w:rPr>
                <w:sz w:val="20"/>
                <w:szCs w:val="20"/>
              </w:rPr>
              <w:t>1</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Interim Chief Executive Officer and Directo</w:t>
            </w:r>
            <w:r>
              <w:rPr>
                <w:sz w:val="20"/>
                <w:szCs w:val="20"/>
              </w:rPr>
              <w:t>r</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Jennifer Ful</w:t>
            </w:r>
            <w:r>
              <w:rPr>
                <w:sz w:val="20"/>
                <w:szCs w:val="20"/>
              </w:rPr>
              <w:t>k</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4</w:t>
            </w:r>
            <w:r>
              <w:rPr>
                <w:sz w:val="20"/>
                <w:szCs w:val="20"/>
              </w:rPr>
              <w:t>5</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Chief Financial Office</w:t>
            </w:r>
            <w:r>
              <w:rPr>
                <w:sz w:val="20"/>
                <w:szCs w:val="20"/>
              </w:rPr>
              <w:t>r</w:t>
            </w:r>
            <w:r>
              <w:rPr>
                <w:sz w:val="20"/>
                <w:szCs w:val="20"/>
              </w:rPr>
              <w:t xml:space="preserve"> </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Samara H. Braunstei</w:t>
            </w:r>
            <w:r>
              <w:rPr>
                <w:sz w:val="20"/>
                <w:szCs w:val="20"/>
              </w:rPr>
              <w:t>n</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5</w:t>
            </w:r>
            <w:r>
              <w:rPr>
                <w:sz w:val="20"/>
                <w:szCs w:val="20"/>
              </w:rPr>
              <w:t>2</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Chief Marketing Office</w:t>
            </w:r>
            <w:r>
              <w:rPr>
                <w:sz w:val="20"/>
                <w:szCs w:val="20"/>
              </w:rPr>
              <w:t>r</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Gil Margoli</w:t>
            </w:r>
            <w:r>
              <w:rPr>
                <w:sz w:val="20"/>
                <w:szCs w:val="20"/>
              </w:rPr>
              <w:t>n</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4</w:t>
            </w:r>
            <w:r>
              <w:rPr>
                <w:sz w:val="20"/>
                <w:szCs w:val="20"/>
              </w:rPr>
              <w:t>4</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Chief Technology Office</w:t>
            </w:r>
            <w:r>
              <w:rPr>
                <w:sz w:val="20"/>
                <w:szCs w:val="20"/>
              </w:rPr>
              <w:t>r</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Erin Boy</w:t>
            </w:r>
            <w:r>
              <w:rPr>
                <w:sz w:val="20"/>
                <w:szCs w:val="20"/>
              </w:rPr>
              <w:t>d</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5</w:t>
            </w:r>
            <w:r>
              <w:rPr>
                <w:sz w:val="20"/>
                <w:szCs w:val="20"/>
              </w:rPr>
              <w:t>3</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Chief Growth Office</w:t>
            </w:r>
            <w:r>
              <w:rPr>
                <w:sz w:val="20"/>
                <w:szCs w:val="20"/>
              </w:rPr>
              <w:t>r</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John C. Reill</w:t>
            </w:r>
            <w:r>
              <w:rPr>
                <w:sz w:val="20"/>
                <w:szCs w:val="20"/>
              </w:rPr>
              <w:t>y</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5</w:t>
            </w:r>
            <w:r>
              <w:rPr>
                <w:sz w:val="20"/>
                <w:szCs w:val="20"/>
              </w:rPr>
              <w:t>6</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General Counse</w:t>
            </w:r>
            <w:r>
              <w:rPr>
                <w:sz w:val="20"/>
                <w:szCs w:val="20"/>
              </w:rPr>
              <w:t>l</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Jeffrey M. Crow</w:t>
            </w:r>
            <w:r>
              <w:rPr>
                <w:sz w:val="20"/>
                <w:szCs w:val="20"/>
              </w:rPr>
              <w:t>e</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6</w:t>
            </w:r>
            <w:r>
              <w:rPr>
                <w:sz w:val="20"/>
                <w:szCs w:val="20"/>
              </w:rPr>
              <w:t>5</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Directo</w:t>
            </w:r>
            <w:r>
              <w:rPr>
                <w:sz w:val="20"/>
                <w:szCs w:val="20"/>
              </w:rPr>
              <w:t>r</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Erez Shacha</w:t>
            </w:r>
            <w:r>
              <w:rPr>
                <w:sz w:val="20"/>
                <w:szCs w:val="20"/>
              </w:rPr>
              <w:t>r</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5</w:t>
            </w:r>
            <w:r>
              <w:rPr>
                <w:sz w:val="20"/>
                <w:szCs w:val="20"/>
              </w:rPr>
              <w:t>8</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Directo</w:t>
            </w:r>
            <w:r>
              <w:rPr>
                <w:sz w:val="20"/>
                <w:szCs w:val="20"/>
              </w:rPr>
              <w:t>r</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Curtis Warfiel</w:t>
            </w:r>
            <w:r>
              <w:rPr>
                <w:sz w:val="20"/>
                <w:szCs w:val="20"/>
              </w:rPr>
              <w:t>d</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5</w:t>
            </w:r>
            <w:r>
              <w:rPr>
                <w:sz w:val="20"/>
                <w:szCs w:val="20"/>
              </w:rPr>
              <w:t>3</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Directo</w:t>
            </w:r>
            <w:r>
              <w:rPr>
                <w:sz w:val="20"/>
                <w:szCs w:val="20"/>
              </w:rPr>
              <w:t>r</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Jacqueline Yeane</w:t>
            </w:r>
            <w:r>
              <w:rPr>
                <w:sz w:val="20"/>
                <w:szCs w:val="20"/>
              </w:rPr>
              <w:t>y</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5</w:t>
            </w:r>
            <w:r>
              <w:rPr>
                <w:sz w:val="20"/>
                <w:szCs w:val="20"/>
              </w:rPr>
              <w:t>3</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Directo</w:t>
            </w:r>
            <w:r>
              <w:rPr>
                <w:sz w:val="20"/>
                <w:szCs w:val="20"/>
              </w:rPr>
              <w:t>r</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Charles Ber</w:t>
            </w:r>
            <w:r>
              <w:rPr>
                <w:sz w:val="20"/>
                <w:szCs w:val="20"/>
              </w:rPr>
              <w:t>g</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6</w:t>
            </w:r>
            <w:r>
              <w:rPr>
                <w:sz w:val="20"/>
                <w:szCs w:val="20"/>
              </w:rPr>
              <w:t>4</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Directo</w:t>
            </w:r>
            <w:r>
              <w:rPr>
                <w:sz w:val="20"/>
                <w:szCs w:val="20"/>
              </w:rPr>
              <w:t>r</w:t>
            </w:r>
          </w:p>
        </w:tc>
      </w:tr>
      <w:tr w:rsidR="00000000">
        <w:trPr>
          <w:trHeight w:val="200"/>
          <w:tblCellSpacing w:w="15" w:type="dxa"/>
        </w:trPr>
        <w:tc>
          <w:tcPr>
            <w:tcW w:w="0" w:type="auto"/>
            <w:hideMark/>
          </w:tcPr>
          <w:p w:rsidR="00000000" w:rsidRDefault="00AF2D19">
            <w:pPr>
              <w:pStyle w:val="a3"/>
              <w:spacing w:before="0" w:beforeAutospacing="0" w:after="0" w:afterAutospacing="0"/>
              <w:rPr>
                <w:sz w:val="20"/>
                <w:szCs w:val="20"/>
              </w:rPr>
            </w:pPr>
            <w:r>
              <w:rPr>
                <w:sz w:val="20"/>
                <w:szCs w:val="20"/>
              </w:rPr>
              <w:t>Madhu Pawa</w:t>
            </w:r>
            <w:r>
              <w:rPr>
                <w:sz w:val="20"/>
                <w:szCs w:val="20"/>
              </w:rPr>
              <w:t>r</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20"/>
                <w:szCs w:val="20"/>
              </w:rPr>
            </w:pPr>
            <w:r>
              <w:rPr>
                <w:sz w:val="20"/>
                <w:szCs w:val="20"/>
              </w:rPr>
              <w:t>4</w:t>
            </w:r>
            <w:r>
              <w:rPr>
                <w:sz w:val="20"/>
                <w:szCs w:val="20"/>
              </w:rPr>
              <w:t>2</w:t>
            </w:r>
          </w:p>
        </w:tc>
        <w:tc>
          <w:tcPr>
            <w:tcW w:w="0" w:type="auto"/>
            <w:hideMark/>
          </w:tcPr>
          <w:p w:rsidR="00000000" w:rsidRDefault="00AF2D19">
            <w:pPr>
              <w:pStyle w:val="a3"/>
              <w:spacing w:before="0" w:beforeAutospacing="0" w:after="0" w:afterAutospacing="0"/>
              <w:rPr>
                <w:sz w:val="20"/>
                <w:szCs w:val="20"/>
              </w:rPr>
            </w:pPr>
            <w:r>
              <w:rPr>
                <w:sz w:val="20"/>
                <w:szCs w:val="20"/>
              </w:rPr>
              <w:t> </w:t>
            </w:r>
          </w:p>
        </w:tc>
        <w:tc>
          <w:tcPr>
            <w:tcW w:w="0" w:type="auto"/>
            <w:hideMark/>
          </w:tcPr>
          <w:p w:rsidR="00000000" w:rsidRDefault="00AF2D19">
            <w:pPr>
              <w:pStyle w:val="a3"/>
              <w:spacing w:before="0" w:beforeAutospacing="0" w:after="0" w:afterAutospacing="0"/>
              <w:rPr>
                <w:sz w:val="20"/>
                <w:szCs w:val="20"/>
              </w:rPr>
            </w:pPr>
            <w:r>
              <w:rPr>
                <w:sz w:val="20"/>
                <w:szCs w:val="20"/>
              </w:rPr>
              <w:t>Directo</w:t>
            </w:r>
            <w:r>
              <w:rPr>
                <w:sz w:val="20"/>
                <w:szCs w:val="20"/>
              </w:rPr>
              <w:t>r</w:t>
            </w:r>
          </w:p>
        </w:tc>
      </w:tr>
    </w:tbl>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sz w:val="20"/>
          <w:szCs w:val="20"/>
        </w:rPr>
        <w:t>Executive Officer</w:t>
      </w:r>
      <w:r>
        <w:rPr>
          <w:b/>
          <w:bCs/>
          <w:sz w:val="20"/>
          <w:szCs w:val="20"/>
        </w:rPr>
        <w:t>s</w:t>
      </w:r>
    </w:p>
    <w:p w:rsidR="00000000" w:rsidRDefault="00AF2D19">
      <w:pPr>
        <w:pStyle w:val="a3"/>
        <w:spacing w:before="120" w:beforeAutospacing="0" w:after="0" w:afterAutospacing="0"/>
        <w:jc w:val="both"/>
        <w:rPr>
          <w:sz w:val="20"/>
          <w:szCs w:val="20"/>
        </w:rPr>
      </w:pPr>
      <w:r>
        <w:rPr>
          <w:b/>
          <w:bCs/>
          <w:i/>
          <w:iCs/>
          <w:sz w:val="20"/>
          <w:szCs w:val="20"/>
        </w:rPr>
        <w:t>Douglas L. Braunstein</w:t>
      </w:r>
      <w:r>
        <w:rPr>
          <w:b/>
          <w:bCs/>
          <w:i/>
          <w:iCs/>
          <w:sz w:val="20"/>
          <w:szCs w:val="20"/>
        </w:rPr>
        <w:t>.</w:t>
      </w:r>
      <w:r>
        <w:rPr>
          <w:sz w:val="20"/>
          <w:szCs w:val="20"/>
        </w:rPr>
        <w:t xml:space="preserve"> Mr. Braunstein has served as Talkspace’s Interim Chief Executive Officer since November 2021 and has served as Chairman of the Talkspace, Inc. board of directors since the consummation of the Business Combination. </w:t>
      </w:r>
      <w:r>
        <w:rPr>
          <w:sz w:val="20"/>
          <w:szCs w:val="20"/>
        </w:rPr>
        <w:t>Mr. Braunstein is the Founder and a Managing Partner of Hudson Executive Capital. Prior to founding Hudson Executive Capital, Douglas L. Braunstein was the Chief Financial Officer of JPMorgan Chase &amp; Co., or JPMorgan Chase, from 2010 to 2012 and its Vice C</w:t>
      </w:r>
      <w:r>
        <w:rPr>
          <w:sz w:val="20"/>
          <w:szCs w:val="20"/>
        </w:rPr>
        <w:t>hairman from 2013 to 2015. In the role of Chief Financial Officer, Mr. Braunstein led the firm’s global financial operations and navigated the evolving legislative and regulatory landscape in the immediate post-financial crisis environment and served on th</w:t>
      </w:r>
      <w:r>
        <w:rPr>
          <w:sz w:val="20"/>
          <w:szCs w:val="20"/>
        </w:rPr>
        <w:t>e firm’s Operating Committee. Prior to his role as Chief Financial Officer of JP Morgan Chase, Mr. Braunstein served in several other leadership roles during his approximately twenty-year career at JPMorgan Chase, including Head of Investment Banking in th</w:t>
      </w:r>
      <w:r>
        <w:rPr>
          <w:sz w:val="20"/>
          <w:szCs w:val="20"/>
        </w:rPr>
        <w:t>e Americas, responsible for investment banking and corporate finance in the U.S., Canada and Latin America, Head of Global M&amp;A and Global Industry Coverage and Head of Healthcare Investment Banking, as well as serving on the Investment Bank Management Comm</w:t>
      </w:r>
      <w:r>
        <w:rPr>
          <w:sz w:val="20"/>
          <w:szCs w:val="20"/>
        </w:rPr>
        <w:t>ittee for over ten years. We believe that Mr. Braunstein is qualified to serve as a member of our board of directors due to his extensive financial background, including service as chief financial officer, experience as a director and knowledge of the indu</w:t>
      </w:r>
      <w:r>
        <w:rPr>
          <w:sz w:val="20"/>
          <w:szCs w:val="20"/>
        </w:rPr>
        <w:t>stry</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Jennifer Fulk</w:t>
      </w:r>
      <w:r>
        <w:rPr>
          <w:b/>
          <w:bCs/>
          <w:i/>
          <w:iCs/>
          <w:sz w:val="20"/>
          <w:szCs w:val="20"/>
        </w:rPr>
        <w:t>.</w:t>
      </w:r>
      <w:r>
        <w:rPr>
          <w:sz w:val="16"/>
          <w:szCs w:val="16"/>
        </w:rPr>
        <w:t xml:space="preserve"> </w:t>
      </w:r>
      <w:r>
        <w:rPr>
          <w:sz w:val="20"/>
          <w:szCs w:val="20"/>
        </w:rPr>
        <w:t>Ms. Fulk has served as Talkspace’</w:t>
      </w:r>
      <w:r>
        <w:rPr>
          <w:sz w:val="20"/>
          <w:szCs w:val="20"/>
        </w:rPr>
        <w:t>s Chief Financial Officer since July 2021. Prior to Talkspace, Ms. Fulk served as Chief Financial Officer, U.S. Bio-Medicines at Eli Lilly and Company from June 2019 to July 2021. Prior to June 2019, Ms. Fulk served in various other roles during her 15-plu</w:t>
      </w:r>
      <w:r>
        <w:rPr>
          <w:sz w:val="20"/>
          <w:szCs w:val="20"/>
        </w:rPr>
        <w:t>s year career at Eli Lilly and Company, including as Senior Director, Investor Relations, from October 2018 to June 2019, Chief Financial Officer, North America, Elanco, from October 2016 to October 2018 and Senior Director, Global Finance and Integration,</w:t>
      </w:r>
      <w:r>
        <w:rPr>
          <w:sz w:val="20"/>
          <w:szCs w:val="20"/>
        </w:rPr>
        <w:t xml:space="preserve"> Elanco, from September 2014 to October 2016. Ms. Fulk received her Bachelor of Science in Information Systems and her Masters of Business Administration from Indiana University</w:t>
      </w:r>
      <w:r>
        <w:rPr>
          <w:sz w:val="20"/>
          <w:szCs w:val="20"/>
        </w:rPr>
        <w:t>.</w:t>
      </w:r>
    </w:p>
    <w:p w:rsidR="00000000" w:rsidRDefault="00AF2D19">
      <w:pPr>
        <w:pStyle w:val="a3"/>
        <w:spacing w:before="240" w:beforeAutospacing="0" w:after="0" w:afterAutospacing="0"/>
        <w:jc w:val="both"/>
        <w:rPr>
          <w:sz w:val="20"/>
          <w:szCs w:val="20"/>
        </w:rPr>
      </w:pPr>
      <w:r>
        <w:rPr>
          <w:b/>
          <w:bCs/>
          <w:i/>
          <w:iCs/>
          <w:sz w:val="20"/>
          <w:szCs w:val="20"/>
        </w:rPr>
        <w:t>Samara Braunstein</w:t>
      </w:r>
      <w:r>
        <w:rPr>
          <w:b/>
          <w:bCs/>
          <w:i/>
          <w:iCs/>
          <w:sz w:val="20"/>
          <w:szCs w:val="20"/>
        </w:rPr>
        <w:t>.</w:t>
      </w:r>
      <w:r>
        <w:rPr>
          <w:sz w:val="20"/>
          <w:szCs w:val="20"/>
        </w:rPr>
        <w:t xml:space="preserve"> Ms. Braunstein has served as Talkspace’s Chief Marketing O</w:t>
      </w:r>
      <w:r>
        <w:rPr>
          <w:sz w:val="20"/>
          <w:szCs w:val="20"/>
        </w:rPr>
        <w:t>fficer since December 2020. Prior to Talkspace, Ms. Braunstein served as Chief Revenue Officer for Concertiv, a decision-support platform that provides data analytics, group purchasing, and managed services to professional services firms and their key supp</w:t>
      </w:r>
      <w:r>
        <w:rPr>
          <w:sz w:val="20"/>
          <w:szCs w:val="20"/>
        </w:rPr>
        <w:t xml:space="preserve">liers, from 2019 to 2020. Ms. Braunstein was the CEO and Founder of Wellgate Products, LLC, an orthopedic device company which grew to become one of the largest brands in its category before its sale to a strategic buyer, from 2004 to 2008. She has served </w:t>
      </w:r>
      <w:r>
        <w:rPr>
          <w:sz w:val="20"/>
          <w:szCs w:val="20"/>
        </w:rPr>
        <w:t>in marketing and leadership roles at HigherOne Holdings, Inc, AOL TimeWarner, Warner Lambert, Revlon and HudsonView Group Associates LLC, and in Finance roles at predecessor companies to GTCR, LLC and Credit Suisse Group AG. Ms. Braunstein currently serves</w:t>
      </w:r>
      <w:r>
        <w:rPr>
          <w:sz w:val="20"/>
          <w:szCs w:val="20"/>
        </w:rPr>
        <w:t xml:space="preserve"> on the Board of Directors for Candesant Biomedical. Ms. Braunstein holds a B.A. from University of Michigan</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Gil Margolin</w:t>
      </w:r>
      <w:r>
        <w:rPr>
          <w:b/>
          <w:bCs/>
          <w:i/>
          <w:iCs/>
          <w:sz w:val="20"/>
          <w:szCs w:val="20"/>
        </w:rPr>
        <w:t>.</w:t>
      </w:r>
      <w:r>
        <w:rPr>
          <w:sz w:val="20"/>
          <w:szCs w:val="20"/>
        </w:rPr>
        <w:t xml:space="preserve"> Mr. Margolin has served as Talkspace’s Chief Technology Officer since April 2014. Prior to Talkspace, Mr. Margolin served as the Di</w:t>
      </w:r>
      <w:r>
        <w:rPr>
          <w:sz w:val="20"/>
          <w:szCs w:val="20"/>
        </w:rPr>
        <w:t xml:space="preserve">rector of Product Management at Deutsche Telekom AG, a telecommunications company, from October 2012 to April 2014. Prior to that, Mr. Margolin served as Director of Product Management at SupportSpace, </w:t>
      </w:r>
      <w:r>
        <w:rPr>
          <w:sz w:val="20"/>
          <w:szCs w:val="20"/>
        </w:rPr>
        <w:t>a</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10</w:t>
      </w:r>
      <w:r>
        <w:rPr>
          <w:sz w:val="20"/>
          <w:szCs w:val="20"/>
        </w:rPr>
        <w:t>2</w:t>
      </w:r>
    </w:p>
    <w:p w:rsidR="00000000" w:rsidRDefault="00AF2D19">
      <w:pPr>
        <w:rPr>
          <w:rFonts w:eastAsia="Times New Roman"/>
        </w:rPr>
      </w:pPr>
      <w:r>
        <w:rPr>
          <w:rFonts w:eastAsia="Times New Roman"/>
        </w:rPr>
        <w:pict>
          <v:rect id="_x0000_i113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sz w:val="20"/>
          <w:szCs w:val="20"/>
        </w:rPr>
        <w:t>cloud-based remote services company, from October 2011 to November 2012. Mr. Margolin previously held several roles at Amdocs, a software and services provider to communications and media companies, including as Direc</w:t>
      </w:r>
      <w:r>
        <w:rPr>
          <w:sz w:val="20"/>
          <w:szCs w:val="20"/>
        </w:rPr>
        <w:t>tor of Product Management from October 2009 to November 2011, Architecture Manager from 2007 to 2009, and Engineering Manager from 2004 to 2007. Mr. Margolin holds a B.S. in Computer Science from the University of Tel Aviv</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John Reilly</w:t>
      </w:r>
      <w:r>
        <w:rPr>
          <w:b/>
          <w:bCs/>
          <w:i/>
          <w:iCs/>
          <w:sz w:val="20"/>
          <w:szCs w:val="20"/>
        </w:rPr>
        <w:t>.</w:t>
      </w:r>
      <w:r>
        <w:rPr>
          <w:sz w:val="20"/>
          <w:szCs w:val="20"/>
        </w:rPr>
        <w:t xml:space="preserve"> Mr. Reilly has ser</w:t>
      </w:r>
      <w:r>
        <w:rPr>
          <w:sz w:val="20"/>
          <w:szCs w:val="20"/>
        </w:rPr>
        <w:t>ved as Talkspace’s Corporate and then General Counsel since March 2011. Prior to Talkspace, Mr. Reilly was a partner of Hilltop Holdings from 2004-2011, where he managed hospitality and real estate investments for private portfolio investors and acted as a</w:t>
      </w:r>
      <w:r>
        <w:rPr>
          <w:sz w:val="20"/>
          <w:szCs w:val="20"/>
        </w:rPr>
        <w:t xml:space="preserve"> fractional general counsel to several start-up companies. Mr. Reilly previously served as President of Highland Development Corporation, a real estate development company, from 1999 to 2003 where he partnered to build and operate congregate care campuses.</w:t>
      </w:r>
      <w:r>
        <w:rPr>
          <w:sz w:val="20"/>
          <w:szCs w:val="20"/>
        </w:rPr>
        <w:t xml:space="preserve"> Mr. Reilly also previously held several roles at Kapson Senior Quarters Corp., a publicly traded assisted living company, including as Senior Vice President of Acquisitions and Development from 1998 to 1999, Vice President of Development from 1997 to 1998</w:t>
      </w:r>
      <w:r>
        <w:rPr>
          <w:sz w:val="20"/>
          <w:szCs w:val="20"/>
        </w:rPr>
        <w:t xml:space="preserve"> and Corporate Counsel from 1996 to 1997. Mr. Reilly started his career as a legal associate at Squire, Sanders &amp; Dempsey in Washington DC. Mr. Reilly holds a J.D. from Boston College Law School and a B.A. from the University of Virginia</w:t>
      </w:r>
      <w:r>
        <w:rPr>
          <w:sz w:val="20"/>
          <w:szCs w:val="20"/>
        </w:rPr>
        <w:t>.</w:t>
      </w:r>
      <w:r>
        <w:rPr>
          <w:sz w:val="20"/>
          <w:szCs w:val="20"/>
        </w:rPr>
        <w:t xml:space="preserve">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sz w:val="20"/>
          <w:szCs w:val="20"/>
        </w:rPr>
        <w:t>Non-Employee D</w:t>
      </w:r>
      <w:r>
        <w:rPr>
          <w:b/>
          <w:bCs/>
          <w:sz w:val="20"/>
          <w:szCs w:val="20"/>
        </w:rPr>
        <w:t>irector</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b/>
          <w:bCs/>
          <w:i/>
          <w:iCs/>
          <w:sz w:val="20"/>
          <w:szCs w:val="20"/>
        </w:rPr>
        <w:t>Jeffrey Crowe</w:t>
      </w:r>
      <w:r>
        <w:rPr>
          <w:b/>
          <w:bCs/>
          <w:i/>
          <w:iCs/>
          <w:sz w:val="20"/>
          <w:szCs w:val="20"/>
        </w:rPr>
        <w:t>.</w:t>
      </w:r>
      <w:r>
        <w:rPr>
          <w:sz w:val="20"/>
          <w:szCs w:val="20"/>
        </w:rPr>
        <w:t xml:space="preserve"> Mr. Crowe has served as a member of Talkspace’s board of directors since May 2016. Mr. Crowe was CEO-in-residence with Norwest Venture Partners from January 2002 to December 2003, joined the firm as a Venture Partner in January 200</w:t>
      </w:r>
      <w:r>
        <w:rPr>
          <w:sz w:val="20"/>
          <w:szCs w:val="20"/>
        </w:rPr>
        <w:t>4, became a General Partner in January 2005 and has served as Managing Partner of the firm since January 2013. From December 1999 to April 2001, Mr. Crowe served as President, Chief Operating Officer and Director of DoveBid, a privately held business aucti</w:t>
      </w:r>
      <w:r>
        <w:rPr>
          <w:sz w:val="20"/>
          <w:szCs w:val="20"/>
        </w:rPr>
        <w:t>on firm. From May 1990 to November 1999, Mr. Crowe served as Chief Executive Officer of Edify Corporation (EDFY), a publicly traded enterprise software company. Mr. Crowe currently serves on the boards of several private companies. Mr. Crowe holds an M.B.A</w:t>
      </w:r>
      <w:r>
        <w:rPr>
          <w:sz w:val="20"/>
          <w:szCs w:val="20"/>
        </w:rPr>
        <w:t>. from the Stanford Graduate School of Business and a B.A. in history from Dartmouth College. We believe that Mr. Crowe is qualified to serve as a member of our board of directors due to his extensive experience as an investor, director and officer of a nu</w:t>
      </w:r>
      <w:r>
        <w:rPr>
          <w:sz w:val="20"/>
          <w:szCs w:val="20"/>
        </w:rPr>
        <w:t>mber of technology companies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Erez Shachar.</w:t>
      </w:r>
      <w:r>
        <w:rPr>
          <w:b/>
          <w:bCs/>
          <w:i/>
          <w:iCs/>
          <w:sz w:val="20"/>
          <w:szCs w:val="20"/>
        </w:rPr>
        <w:t xml:space="preserve"> </w:t>
      </w:r>
      <w:r>
        <w:rPr>
          <w:sz w:val="20"/>
          <w:szCs w:val="20"/>
        </w:rPr>
        <w:t>Mr. Shachar has served as a member of Talkspace’s board of directors since August 2017. Mr. Shachar is the co-founder and managing partner of Qumra Capital Management Ltd., a venture capital firm founded in 2014</w:t>
      </w:r>
      <w:r>
        <w:rPr>
          <w:sz w:val="20"/>
          <w:szCs w:val="20"/>
        </w:rPr>
        <w:t>. Since 2004, Mr. Shachar has also served as managing partner of Evergreen Venture Partners Ltd., a venture capital firm, focusing on investment opportunities in technology companies. Mr. Shachar currently serves as a member of the board of directors of se</w:t>
      </w:r>
      <w:r>
        <w:rPr>
          <w:sz w:val="20"/>
          <w:szCs w:val="20"/>
        </w:rPr>
        <w:t>veral private companies. Mr. Shachar holds a B.Sc from Tel Aviv University in Israel and M.B.A. from the INSEAD Business School. We believe that Mr. Shachar is qualified to serve as a member of our board of directors due to his extensive experience as an i</w:t>
      </w:r>
      <w:r>
        <w:rPr>
          <w:sz w:val="20"/>
          <w:szCs w:val="20"/>
        </w:rPr>
        <w:t>nvestor in many technology, high-growth, companies and his service as a director of several public and private companies</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Curtis Warfield</w:t>
      </w:r>
      <w:r>
        <w:rPr>
          <w:b/>
          <w:bCs/>
          <w:i/>
          <w:iCs/>
          <w:sz w:val="20"/>
          <w:szCs w:val="20"/>
        </w:rPr>
        <w:t>.</w:t>
      </w:r>
      <w:r>
        <w:rPr>
          <w:sz w:val="20"/>
          <w:szCs w:val="20"/>
        </w:rPr>
        <w:t xml:space="preserve"> Mr. Warfield has served as a member of Talkspace, Inc.’s board of directors since the consummation of the Business C</w:t>
      </w:r>
      <w:r>
        <w:rPr>
          <w:sz w:val="20"/>
          <w:szCs w:val="20"/>
        </w:rPr>
        <w:t>ombination. Since August 2016, Mr. Warfield has served as founder, President and Chief Executive Officer of Windham Advisors LLC, a management and strategic advisory firm that offers innovative business solutions for companies in the healthcare, BPO (Busin</w:t>
      </w:r>
      <w:r>
        <w:rPr>
          <w:sz w:val="20"/>
          <w:szCs w:val="20"/>
        </w:rPr>
        <w:t>ess Process Outsourcing) and other industries. Mr. Warfield previously served as part of the senior leadership team of Anthem, Inc., one of the nation’s largest health insurers from August 2017 to November 2019. From 2007 until 2015, Mr. Warfield served as</w:t>
      </w:r>
      <w:r>
        <w:rPr>
          <w:sz w:val="20"/>
          <w:szCs w:val="20"/>
        </w:rPr>
        <w:t xml:space="preserve"> CEO of NPAS, a healthcare services company. Since August 2018, Mr. Warfield has served on the board of directors of Texas Roadhouse, Inc., a restaurant company, and has served on the board of OneOncology, a network of oncology practices, since 2021. Mr. W</w:t>
      </w:r>
      <w:r>
        <w:rPr>
          <w:sz w:val="20"/>
          <w:szCs w:val="20"/>
        </w:rPr>
        <w:t>arfield holds a B.S. from the University of Louisville, Kentucky and is a Certified Public Accountant. We believe that Mr. Warfield is qualified to serve as a member of our board of directors due to his extensive experience as an executive of healthcare co</w:t>
      </w:r>
      <w:r>
        <w:rPr>
          <w:sz w:val="20"/>
          <w:szCs w:val="20"/>
        </w:rPr>
        <w:t>mpanies and his service as a director of a public company</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Jacqueline Yeaney</w:t>
      </w:r>
      <w:r>
        <w:rPr>
          <w:b/>
          <w:bCs/>
          <w:i/>
          <w:iCs/>
          <w:sz w:val="20"/>
          <w:szCs w:val="20"/>
        </w:rPr>
        <w:t>.</w:t>
      </w:r>
      <w:r>
        <w:rPr>
          <w:sz w:val="20"/>
          <w:szCs w:val="20"/>
        </w:rPr>
        <w:t xml:space="preserve"> Ms. Yeaney has served as a member of Talkspace, Inc.’s board of directors since the consummation of the Business Combination. Since August 2019, Ms. Yeaney has served as the Exe</w:t>
      </w:r>
      <w:r>
        <w:rPr>
          <w:sz w:val="20"/>
          <w:szCs w:val="20"/>
        </w:rPr>
        <w:t>cutive Vice President of Marketing at Tableau Software, LLC, a self-service analytics platform owned by Salesforce.com, Inc. From January 2017 until April 2019, Ms. Yeaney was the Chief Marketing Officer of Ellucian Inc., a provider of software and service</w:t>
      </w:r>
      <w:r>
        <w:rPr>
          <w:sz w:val="20"/>
          <w:szCs w:val="20"/>
        </w:rPr>
        <w:t>s for higher education management, and from May 2011 until December 2016, was the Executive Vice President of Strategy and Marketing of Red Hat, Inc, a provider of open source software solutions now owned by IBM. Ms. Yeaney started her career as an officer</w:t>
      </w:r>
      <w:r>
        <w:rPr>
          <w:sz w:val="20"/>
          <w:szCs w:val="20"/>
        </w:rPr>
        <w:t xml:space="preserve"> in the U.S. Air Force, and then spent several years as a management consultant at the Boston Consulting Group. Ms. Yeaney has served as a board member of Avaya Holdings Corp., a provider of digital communications products, solutions and services, since Ma</w:t>
      </w:r>
      <w:r>
        <w:rPr>
          <w:sz w:val="20"/>
          <w:szCs w:val="20"/>
        </w:rPr>
        <w:t>rch 2019. Ms. Yeaney holds a B.S. in electrical engineering from Rensselaer Polytechnic Institute and an M.B.A. from the Massachusetts Institute of Technology. We believe that Ms. Yeaney is qualified to serve as a member of our board of directors due to he</w:t>
      </w:r>
      <w:r>
        <w:rPr>
          <w:sz w:val="20"/>
          <w:szCs w:val="20"/>
        </w:rPr>
        <w:t>r extensiv</w:t>
      </w:r>
      <w:r>
        <w:rPr>
          <w:sz w:val="20"/>
          <w:szCs w:val="20"/>
        </w:rPr>
        <w:t>e</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10</w:t>
      </w:r>
      <w:r>
        <w:rPr>
          <w:sz w:val="20"/>
          <w:szCs w:val="20"/>
        </w:rPr>
        <w:t>3</w:t>
      </w:r>
    </w:p>
    <w:p w:rsidR="00000000" w:rsidRDefault="00AF2D19">
      <w:pPr>
        <w:rPr>
          <w:rFonts w:eastAsia="Times New Roman"/>
        </w:rPr>
      </w:pPr>
      <w:r>
        <w:rPr>
          <w:rFonts w:eastAsia="Times New Roman"/>
        </w:rPr>
        <w:pict>
          <v:rect id="_x0000_i1131"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sz w:val="20"/>
          <w:szCs w:val="20"/>
        </w:rPr>
        <w:t>experience as an executive of high-growth technology companies, her extensive experience as a management consultant and her experience as a board member of a public company</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Charles Berg</w:t>
      </w:r>
      <w:r>
        <w:rPr>
          <w:b/>
          <w:bCs/>
          <w:i/>
          <w:iCs/>
          <w:sz w:val="20"/>
          <w:szCs w:val="20"/>
        </w:rPr>
        <w:t>.</w:t>
      </w:r>
      <w:r>
        <w:rPr>
          <w:sz w:val="20"/>
          <w:szCs w:val="20"/>
        </w:rPr>
        <w:t xml:space="preserve"> Mr. Berg has served as a member of Talkspace, Inc.’s board of direc</w:t>
      </w:r>
      <w:r>
        <w:rPr>
          <w:sz w:val="20"/>
          <w:szCs w:val="20"/>
        </w:rPr>
        <w:t>tors since the consummation of the Business Combination. Since January 2022, Mr. Berg has been the President of U.S. Government Business and Senior Advisor Leading Medicare Advantage and Individual &amp; Family Plans at Cigna Corporation. Since March 2007, Mr.</w:t>
      </w:r>
      <w:r>
        <w:rPr>
          <w:sz w:val="20"/>
          <w:szCs w:val="20"/>
        </w:rPr>
        <w:t xml:space="preserve"> Berg has been a director of DaVita Inc., a publicly listed international dialysis provider, and between 2016 and 2017 he served as the Executive Chair of DaVita Medical Group. Mr. Berg currently sits on the board of directors of CareCentrix, Inc., a care </w:t>
      </w:r>
      <w:r>
        <w:rPr>
          <w:sz w:val="20"/>
          <w:szCs w:val="20"/>
        </w:rPr>
        <w:t>management provider to health plan members who require post-acute or home care services. Mr. Berg currently serves as a member of the Operating Council &amp; Senior Advisory Board of Consonance Capital Partners, a private equity firm, and as a director of Just</w:t>
      </w:r>
      <w:r>
        <w:rPr>
          <w:sz w:val="20"/>
          <w:szCs w:val="20"/>
        </w:rPr>
        <w:t>works, Inc., a private human resources and payment company. From 2008 to 2013, Mr. Berg served as Executive Chairman of WellCare Health Plans, Inc., a provider of managed care services for government-sponsored healthcare programs. Prior to his role at Well</w:t>
      </w:r>
      <w:r>
        <w:rPr>
          <w:sz w:val="20"/>
          <w:szCs w:val="20"/>
        </w:rPr>
        <w:t>Care Health Plans, Inc., Mr. Berg held various executive positions with Oxford Health Plans, Inc., a health benefit plan provider. He was executive vice president, medical delivery, and subsequently president and CEO when the plan was acquired by UnitedHea</w:t>
      </w:r>
      <w:r>
        <w:rPr>
          <w:sz w:val="20"/>
          <w:szCs w:val="20"/>
        </w:rPr>
        <w:t>lth Group. Mr. Berg then became an executive of UnitedHealth Group and was primarily responsible for integrating the Oxford business. Mr. Berg holds a J.D. from Georgetown University Law Center and a B.A. in political science from Macalester College. We be</w:t>
      </w:r>
      <w:r>
        <w:rPr>
          <w:sz w:val="20"/>
          <w:szCs w:val="20"/>
        </w:rPr>
        <w:t>lieve that Mr. Berg is qualified to serve as a member of our board of directors due to his leadership experience throughout the healthcare industry, and will contribute senior-level experience in building and scaling payer and provider-centric businesses a</w:t>
      </w:r>
      <w:r>
        <w:rPr>
          <w:sz w:val="20"/>
          <w:szCs w:val="20"/>
        </w:rPr>
        <w:t>cross the country</w:t>
      </w:r>
      <w:r>
        <w:rPr>
          <w:sz w:val="20"/>
          <w:szCs w:val="20"/>
        </w:rPr>
        <w:t>.</w:t>
      </w:r>
      <w:r>
        <w:rPr>
          <w:sz w:val="20"/>
          <w:szCs w:val="20"/>
        </w:rPr>
        <w:t xml:space="preserve"> </w:t>
      </w:r>
    </w:p>
    <w:p w:rsidR="00000000" w:rsidRDefault="00AF2D19">
      <w:pPr>
        <w:pStyle w:val="a3"/>
        <w:spacing w:before="240" w:beforeAutospacing="0" w:after="0" w:afterAutospacing="0"/>
        <w:jc w:val="both"/>
        <w:rPr>
          <w:sz w:val="20"/>
          <w:szCs w:val="20"/>
        </w:rPr>
      </w:pPr>
      <w:r>
        <w:rPr>
          <w:b/>
          <w:bCs/>
          <w:i/>
          <w:iCs/>
          <w:sz w:val="20"/>
          <w:szCs w:val="20"/>
        </w:rPr>
        <w:t>Madhu Pawar</w:t>
      </w:r>
      <w:r>
        <w:rPr>
          <w:b/>
          <w:bCs/>
          <w:i/>
          <w:iCs/>
          <w:sz w:val="20"/>
          <w:szCs w:val="20"/>
        </w:rPr>
        <w:t>.</w:t>
      </w:r>
      <w:r>
        <w:rPr>
          <w:sz w:val="20"/>
          <w:szCs w:val="20"/>
        </w:rPr>
        <w:t xml:space="preserve"> Ms. Pawar has served as a member of Talkspace, Inc.’s board of directors since the consummation of the Business Combination. Ms. Pawar is a Managing Director at Google LLC, where she has served since 2018, and is the Adjunc</w:t>
      </w:r>
      <w:r>
        <w:rPr>
          <w:sz w:val="20"/>
          <w:szCs w:val="20"/>
        </w:rPr>
        <w:t>t Professor of Analytics in Healthcare at Carnegie Mellon University, where she has served since 2020. At Google, Ms. Pawar manages the sales analytics and solutions organizations that drive the small and medium business (SMB) Adwords business, with a focu</w:t>
      </w:r>
      <w:r>
        <w:rPr>
          <w:sz w:val="20"/>
          <w:szCs w:val="20"/>
        </w:rPr>
        <w:t>s on machine learning and user experience. Prior to joining Google, Ms. Pawar worked at McKinsey &amp; Company for 12 years where she was a Partner in the healthcare systems and services practice. She began her career in software development as part of the Mob</w:t>
      </w:r>
      <w:r>
        <w:rPr>
          <w:sz w:val="20"/>
          <w:szCs w:val="20"/>
        </w:rPr>
        <w:t>ile Technologies division of Hewlett Packard’s Research &amp; Development Labs in Singapore. Ms. Pawar has previously served on the board of directors of Mensa Singapore and GirlVentures, a not-for-profit organization. Ms. Pawar holds a Master’s degree in Info</w:t>
      </w:r>
      <w:r>
        <w:rPr>
          <w:sz w:val="20"/>
          <w:szCs w:val="20"/>
        </w:rPr>
        <w:t>rmation Systems Management from Carnegie Mellon University and a Bachelor’s degree in Computer Science from Nanyang Technological University, Singapore. We believe that Ms. Pawar is qualified to serve as a member of our board of directors due to her extens</w:t>
      </w:r>
      <w:r>
        <w:rPr>
          <w:sz w:val="20"/>
          <w:szCs w:val="20"/>
        </w:rPr>
        <w:t>ive experience as an executive of high-growth technology companies and her extensive experience as a management consultant in the healthcare industry</w:t>
      </w:r>
      <w:r>
        <w:rPr>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sz w:val="20"/>
          <w:szCs w:val="20"/>
        </w:rPr>
        <w:t>Family Relationship</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Except for Douglas Braunstein and Samara Braunstein, who are married to one anoth</w:t>
      </w:r>
      <w:r>
        <w:rPr>
          <w:sz w:val="20"/>
          <w:szCs w:val="20"/>
        </w:rPr>
        <w:t>er, there are no family relationships among our directors and executive officers</w:t>
      </w:r>
      <w:r>
        <w:rPr>
          <w:sz w:val="20"/>
          <w:szCs w:val="20"/>
        </w:rPr>
        <w:t>.</w:t>
      </w:r>
      <w:r>
        <w:rPr>
          <w:sz w:val="20"/>
          <w:szCs w:val="20"/>
        </w:rPr>
        <w:t xml:space="preserve"> </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both"/>
        <w:rPr>
          <w:sz w:val="20"/>
          <w:szCs w:val="20"/>
        </w:rPr>
      </w:pPr>
      <w:r>
        <w:rPr>
          <w:b/>
          <w:bCs/>
          <w:sz w:val="20"/>
          <w:szCs w:val="20"/>
        </w:rPr>
        <w:t>Code of Ethic</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We have a code of ethics that applies to all of our executive officers, directors and employees, including our principal executive officer, principal financ</w:t>
      </w:r>
      <w:r>
        <w:rPr>
          <w:sz w:val="20"/>
          <w:szCs w:val="20"/>
        </w:rPr>
        <w:t xml:space="preserve">ial officer, principal accounting officer or controller or persons performing similar functions. The code of ethics are available on our website, www.talkspace.com. We intend to make any legally required disclosures regarding amendments to, or waivers of, </w:t>
      </w:r>
      <w:r>
        <w:rPr>
          <w:sz w:val="20"/>
          <w:szCs w:val="20"/>
        </w:rPr>
        <w:t>provisions of our code of ethics on our website rather than by filing a Current Report on Form 8-K</w:t>
      </w:r>
      <w:r>
        <w:rPr>
          <w:sz w:val="20"/>
          <w:szCs w:val="20"/>
        </w:rPr>
        <w:t>.</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both"/>
        <w:rPr>
          <w:sz w:val="20"/>
          <w:szCs w:val="20"/>
        </w:rPr>
      </w:pPr>
      <w:r>
        <w:rPr>
          <w:b/>
          <w:bCs/>
          <w:sz w:val="20"/>
          <w:szCs w:val="20"/>
        </w:rPr>
        <w:t>Audit Committee and Audit Committee Financial Exper</w:t>
      </w:r>
      <w:r>
        <w:rPr>
          <w:b/>
          <w:bCs/>
          <w:sz w:val="20"/>
          <w:szCs w:val="20"/>
        </w:rPr>
        <w:t>t</w:t>
      </w:r>
    </w:p>
    <w:p w:rsidR="00000000" w:rsidRDefault="00AF2D19">
      <w:pPr>
        <w:pStyle w:val="a3"/>
        <w:spacing w:before="120" w:beforeAutospacing="0" w:after="0" w:afterAutospacing="0"/>
        <w:jc w:val="both"/>
        <w:rPr>
          <w:sz w:val="20"/>
          <w:szCs w:val="20"/>
        </w:rPr>
      </w:pPr>
      <w:r>
        <w:rPr>
          <w:sz w:val="20"/>
          <w:szCs w:val="20"/>
        </w:rPr>
        <w:t>We have a separately-designated standing audit committee (“Audit Committee”) that consists of Jeffrey</w:t>
      </w:r>
      <w:r>
        <w:rPr>
          <w:sz w:val="20"/>
          <w:szCs w:val="20"/>
        </w:rPr>
        <w:t xml:space="preserve"> Crowe, Madhu Pawar, Curtis Warfield, and Jacqueline Yeaney, with Curtis Warfield serving as the chair of the Audit Committee. Our board of directors has determined that all members of the Audit Committee (Jeffrey Crowe, Madhu Pawar, Curtis Warfield, and J</w:t>
      </w:r>
      <w:r>
        <w:rPr>
          <w:sz w:val="20"/>
          <w:szCs w:val="20"/>
        </w:rPr>
        <w:t>acqueline Yeaney) are independent directors under the Nasdaq rules and the additional independence standards applicable to audit committee members established pursuant to Rule 10A-3 under the Exchange Act. Our board of directors has also determined that ea</w:t>
      </w:r>
      <w:r>
        <w:rPr>
          <w:sz w:val="20"/>
          <w:szCs w:val="20"/>
        </w:rPr>
        <w:t>ch of Jeffrey Crowe, Madhu Pawar, Curtis Warfield, and Jacqueline Yeaney meets the “financial literacy” requirement for audit committee members under the Nasdaq Stock Market rules and Curtis Warfield is an “audit committee financial expert” within the mean</w:t>
      </w:r>
      <w:r>
        <w:rPr>
          <w:sz w:val="20"/>
          <w:szCs w:val="20"/>
        </w:rPr>
        <w:t>ing of the SEC rules</w:t>
      </w:r>
      <w:r>
        <w:rPr>
          <w:sz w:val="20"/>
          <w:szCs w:val="20"/>
        </w:rPr>
        <w:t>.</w:t>
      </w:r>
      <w:r>
        <w:rPr>
          <w:sz w:val="20"/>
          <w:szCs w:val="20"/>
        </w:rPr>
        <w:t xml:space="preserve"> </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10</w:t>
      </w:r>
      <w:r>
        <w:rPr>
          <w:sz w:val="20"/>
          <w:szCs w:val="20"/>
        </w:rPr>
        <w:t>4</w:t>
      </w:r>
    </w:p>
    <w:p w:rsidR="00000000" w:rsidRDefault="00AF2D19">
      <w:pPr>
        <w:rPr>
          <w:rFonts w:eastAsia="Times New Roman"/>
        </w:rPr>
      </w:pPr>
      <w:r>
        <w:rPr>
          <w:rFonts w:eastAsia="Times New Roman"/>
        </w:rPr>
        <w:pict>
          <v:rect id="_x0000_i113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rPr>
          <w:sz w:val="20"/>
          <w:szCs w:val="20"/>
        </w:rPr>
      </w:pPr>
      <w:r>
        <w:rPr>
          <w:b/>
          <w:bCs/>
          <w:sz w:val="20"/>
          <w:szCs w:val="20"/>
        </w:rPr>
        <w:t>Delinquent Section 16(a) Report</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Section 16(a) of the Exchange Act requires our executive officers and directors, our principal accounting of</w:t>
      </w:r>
      <w:r>
        <w:rPr>
          <w:sz w:val="20"/>
          <w:szCs w:val="20"/>
        </w:rPr>
        <w:t>ficer and persons who beneficially own more than 10% of our common stock to file with the SEC reports of their ownership and changes in their ownership of our common stock. To our knowledge, based solely on review of the copies of such reports and amendmen</w:t>
      </w:r>
      <w:r>
        <w:rPr>
          <w:sz w:val="20"/>
          <w:szCs w:val="20"/>
        </w:rPr>
        <w:t>ts to such reports with respect to the year ended December 31, 2021 filed with the SEC and on written representations by our directors and executive officers, all required Section 16 reports under the Exchange Act for our directors, executive officers, pri</w:t>
      </w:r>
      <w:r>
        <w:rPr>
          <w:sz w:val="20"/>
          <w:szCs w:val="20"/>
        </w:rPr>
        <w:t>ncipal accounting officer and beneficial owners of greater than 10% of our common stock were filed on a timely basis during the year ended December 31, 2021 other than the following forms that were inadvertently filed late: (i) one Form 4 for Mark Hirshhor</w:t>
      </w:r>
      <w:r>
        <w:rPr>
          <w:sz w:val="20"/>
          <w:szCs w:val="20"/>
        </w:rPr>
        <w:t>n reporting two transactions, which was filed late with respect to one of those transactions, (ii) one Form 4 for Charles Berg reporting one transaction, (iii) one Form 4 for Jacqueline Yeaney reporting one transaction, (iv) one Form 4 for Samara Braunstei</w:t>
      </w:r>
      <w:r>
        <w:rPr>
          <w:sz w:val="20"/>
          <w:szCs w:val="20"/>
        </w:rPr>
        <w:t xml:space="preserve">n reporting two transactions, which was filed late with respect to one of those transactions, (v) one Form 4 for Curtis Warfield reporting one transaction, (vi) one Form 4 for Roni Frank reporting two transactions, which was filed late with respect to one </w:t>
      </w:r>
      <w:r>
        <w:rPr>
          <w:sz w:val="20"/>
          <w:szCs w:val="20"/>
        </w:rPr>
        <w:t>of those transactions, (vii) one Form 4 for John C. Reilly reporting two transactions, which was filed late with respect to one of those transactions, (viii) one Form 4 for Madhu Pawar reporting one transaction, (ix) one Form 4 for Gil Margolin reporting t</w:t>
      </w:r>
      <w:r>
        <w:rPr>
          <w:sz w:val="20"/>
          <w:szCs w:val="20"/>
        </w:rPr>
        <w:t>wo transactions, which was filed late with respect to one of those transactions, and (x) one Form 4 for Douglas Braunstein, Hudson Executive Capital and HEC Management GP LLC reporting one transaction</w:t>
      </w:r>
      <w:r>
        <w:rPr>
          <w:sz w:val="20"/>
          <w:szCs w:val="20"/>
        </w:rPr>
        <w:t>.</w:t>
      </w:r>
    </w:p>
    <w:p w:rsidR="00000000" w:rsidRDefault="00AF2D19">
      <w:pPr>
        <w:pStyle w:val="a3"/>
        <w:spacing w:before="120" w:beforeAutospacing="0" w:after="0" w:afterAutospacing="0"/>
        <w:jc w:val="both"/>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10</w:t>
      </w:r>
      <w:r>
        <w:rPr>
          <w:sz w:val="20"/>
          <w:szCs w:val="20"/>
        </w:rPr>
        <w:t>5</w:t>
      </w:r>
    </w:p>
    <w:p w:rsidR="00000000" w:rsidRDefault="00AF2D19">
      <w:pPr>
        <w:rPr>
          <w:rFonts w:eastAsia="Times New Roman"/>
        </w:rPr>
      </w:pPr>
      <w:r>
        <w:rPr>
          <w:rFonts w:eastAsia="Times New Roman"/>
        </w:rPr>
        <w:pict>
          <v:rect id="_x0000_i1133"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11. COMPENSATION DISCUSSION AND ANALYSI</w:t>
      </w:r>
      <w:r>
        <w:rPr>
          <w:b/>
          <w:bCs/>
          <w:sz w:val="20"/>
          <w:szCs w:val="20"/>
        </w:rPr>
        <w:t>S</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sz w:val="20"/>
          <w:szCs w:val="20"/>
        </w:rPr>
        <w:t>Genera</w:t>
      </w:r>
      <w:r>
        <w:rPr>
          <w:b/>
          <w:bCs/>
          <w:sz w:val="20"/>
          <w:szCs w:val="20"/>
        </w:rPr>
        <w:t>l</w:t>
      </w:r>
    </w:p>
    <w:p w:rsidR="00000000" w:rsidRDefault="00AF2D19">
      <w:pPr>
        <w:pStyle w:val="a3"/>
        <w:spacing w:before="120" w:beforeAutospacing="0" w:after="0" w:afterAutospacing="0"/>
        <w:jc w:val="both"/>
        <w:rPr>
          <w:sz w:val="20"/>
          <w:szCs w:val="20"/>
        </w:rPr>
      </w:pPr>
      <w:r>
        <w:rPr>
          <w:sz w:val="20"/>
          <w:szCs w:val="20"/>
        </w:rPr>
        <w:t>In this Compensation Discussion and Analysis (“CD&amp;A”), we provide an overview and analysis of the compensation aw</w:t>
      </w:r>
      <w:r>
        <w:rPr>
          <w:sz w:val="20"/>
          <w:szCs w:val="20"/>
        </w:rPr>
        <w:t xml:space="preserve">arded to or earned by our named executive officers identified in the Summary Compensation Table below (each, an “NEO”) during fiscal 2021, including the elements of our compensation program for NEOs, material compensation decisions made under that program </w:t>
      </w:r>
      <w:r>
        <w:rPr>
          <w:sz w:val="20"/>
          <w:szCs w:val="20"/>
        </w:rPr>
        <w:t>for fiscal 2021 and the material factors considered in making those decisions. Our NEOs for the year ended December 31, 2021 are</w:t>
      </w:r>
      <w:r>
        <w:rPr>
          <w:sz w:val="20"/>
          <w:szCs w:val="20"/>
        </w:rPr>
        <w:t>:</w:t>
      </w:r>
      <w:r>
        <w:rPr>
          <w:sz w:val="20"/>
          <w:szCs w:val="20"/>
        </w:rPr>
        <w:t xml:space="preserve"> </w:t>
      </w:r>
    </w:p>
    <w:p w:rsidR="00000000" w:rsidRDefault="00AF2D19">
      <w:pPr>
        <w:divId w:val="1675524389"/>
        <w:rPr>
          <w:rFonts w:eastAsia="Times New Roman"/>
        </w:rPr>
      </w:pPr>
      <w:r>
        <w:rPr>
          <w:rFonts w:eastAsia="Times New Roman"/>
          <w:sz w:val="20"/>
          <w:szCs w:val="20"/>
        </w:rPr>
        <w:t>•</w:t>
      </w:r>
    </w:p>
    <w:p w:rsidR="00000000" w:rsidRDefault="00AF2D19">
      <w:pPr>
        <w:divId w:val="1044980914"/>
        <w:rPr>
          <w:rFonts w:eastAsia="Times New Roman"/>
        </w:rPr>
      </w:pPr>
      <w:r>
        <w:rPr>
          <w:rFonts w:eastAsia="Times New Roman"/>
          <w:sz w:val="20"/>
          <w:szCs w:val="20"/>
        </w:rPr>
        <w:t>Douglas L. Braunstein, our Interim Chief Executive Officer</w:t>
      </w:r>
      <w:r>
        <w:rPr>
          <w:rFonts w:eastAsia="Times New Roman"/>
          <w:sz w:val="20"/>
          <w:szCs w:val="20"/>
        </w:rPr>
        <w:t>;</w:t>
      </w:r>
    </w:p>
    <w:p w:rsidR="00000000" w:rsidRDefault="00AF2D19">
      <w:pPr>
        <w:divId w:val="615916574"/>
        <w:rPr>
          <w:rFonts w:eastAsia="Times New Roman"/>
        </w:rPr>
      </w:pPr>
      <w:r>
        <w:rPr>
          <w:rFonts w:eastAsia="Times New Roman"/>
          <w:sz w:val="20"/>
          <w:szCs w:val="20"/>
        </w:rPr>
        <w:t>•</w:t>
      </w:r>
    </w:p>
    <w:p w:rsidR="00000000" w:rsidRDefault="00AF2D19">
      <w:pPr>
        <w:divId w:val="564797573"/>
        <w:rPr>
          <w:rFonts w:eastAsia="Times New Roman"/>
        </w:rPr>
      </w:pPr>
      <w:r>
        <w:rPr>
          <w:rFonts w:eastAsia="Times New Roman"/>
          <w:sz w:val="20"/>
          <w:szCs w:val="20"/>
        </w:rPr>
        <w:t>Oren Frank, our former Chief Executive Officer</w:t>
      </w:r>
      <w:r>
        <w:rPr>
          <w:rFonts w:eastAsia="Times New Roman"/>
          <w:sz w:val="20"/>
          <w:szCs w:val="20"/>
        </w:rPr>
        <w:t>;</w:t>
      </w:r>
    </w:p>
    <w:p w:rsidR="00000000" w:rsidRDefault="00AF2D19">
      <w:pPr>
        <w:divId w:val="86194350"/>
        <w:rPr>
          <w:rFonts w:eastAsia="Times New Roman"/>
        </w:rPr>
      </w:pPr>
      <w:r>
        <w:rPr>
          <w:rFonts w:eastAsia="Times New Roman"/>
          <w:sz w:val="20"/>
          <w:szCs w:val="20"/>
        </w:rPr>
        <w:t>•</w:t>
      </w:r>
    </w:p>
    <w:p w:rsidR="00000000" w:rsidRDefault="00AF2D19">
      <w:pPr>
        <w:divId w:val="778572084"/>
        <w:rPr>
          <w:rFonts w:eastAsia="Times New Roman"/>
        </w:rPr>
      </w:pPr>
      <w:r>
        <w:rPr>
          <w:rFonts w:eastAsia="Times New Roman"/>
          <w:sz w:val="20"/>
          <w:szCs w:val="20"/>
        </w:rPr>
        <w:t>Jennifer Fulk, our Chief Financial Officer;</w:t>
      </w:r>
      <w:r>
        <w:rPr>
          <w:rFonts w:eastAsia="Times New Roman"/>
          <w:sz w:val="20"/>
          <w:szCs w:val="20"/>
        </w:rPr>
        <w:t xml:space="preserve"> </w:t>
      </w:r>
    </w:p>
    <w:p w:rsidR="00000000" w:rsidRDefault="00AF2D19">
      <w:pPr>
        <w:divId w:val="1246576892"/>
        <w:rPr>
          <w:rFonts w:eastAsia="Times New Roman"/>
        </w:rPr>
      </w:pPr>
      <w:r>
        <w:rPr>
          <w:rFonts w:eastAsia="Times New Roman"/>
          <w:sz w:val="20"/>
          <w:szCs w:val="20"/>
        </w:rPr>
        <w:t>•</w:t>
      </w:r>
    </w:p>
    <w:p w:rsidR="00000000" w:rsidRDefault="00AF2D19">
      <w:pPr>
        <w:divId w:val="284777851"/>
        <w:rPr>
          <w:rFonts w:eastAsia="Times New Roman"/>
        </w:rPr>
      </w:pPr>
      <w:r>
        <w:rPr>
          <w:rFonts w:eastAsia="Times New Roman"/>
          <w:sz w:val="20"/>
          <w:szCs w:val="20"/>
        </w:rPr>
        <w:t>Mark Hirschhorn, our former President, Chief Financial Officer, and Chief Operating Officer</w:t>
      </w:r>
      <w:r>
        <w:rPr>
          <w:rFonts w:eastAsia="Times New Roman"/>
          <w:sz w:val="20"/>
          <w:szCs w:val="20"/>
        </w:rPr>
        <w:t>;</w:t>
      </w:r>
    </w:p>
    <w:p w:rsidR="00000000" w:rsidRDefault="00AF2D19">
      <w:pPr>
        <w:divId w:val="2143227060"/>
        <w:rPr>
          <w:rFonts w:eastAsia="Times New Roman"/>
        </w:rPr>
      </w:pPr>
      <w:r>
        <w:rPr>
          <w:rFonts w:eastAsia="Times New Roman"/>
          <w:sz w:val="20"/>
          <w:szCs w:val="20"/>
        </w:rPr>
        <w:t>•</w:t>
      </w:r>
    </w:p>
    <w:p w:rsidR="00000000" w:rsidRDefault="00AF2D19">
      <w:pPr>
        <w:divId w:val="226378206"/>
        <w:rPr>
          <w:rFonts w:eastAsia="Times New Roman"/>
        </w:rPr>
      </w:pPr>
      <w:r>
        <w:rPr>
          <w:rFonts w:eastAsia="Times New Roman"/>
          <w:sz w:val="20"/>
          <w:szCs w:val="20"/>
        </w:rPr>
        <w:t>Samara H. Braunstein, our Chief Marketing Officer</w:t>
      </w:r>
      <w:r>
        <w:rPr>
          <w:rFonts w:eastAsia="Times New Roman"/>
          <w:sz w:val="20"/>
          <w:szCs w:val="20"/>
        </w:rPr>
        <w:t>;</w:t>
      </w:r>
    </w:p>
    <w:p w:rsidR="00000000" w:rsidRDefault="00AF2D19">
      <w:pPr>
        <w:divId w:val="1975672392"/>
        <w:rPr>
          <w:rFonts w:eastAsia="Times New Roman"/>
        </w:rPr>
      </w:pPr>
      <w:r>
        <w:rPr>
          <w:rFonts w:eastAsia="Times New Roman"/>
          <w:sz w:val="20"/>
          <w:szCs w:val="20"/>
        </w:rPr>
        <w:t>•</w:t>
      </w:r>
    </w:p>
    <w:p w:rsidR="00000000" w:rsidRDefault="00AF2D19">
      <w:pPr>
        <w:divId w:val="1780251032"/>
        <w:rPr>
          <w:rFonts w:eastAsia="Times New Roman"/>
        </w:rPr>
      </w:pPr>
      <w:r>
        <w:rPr>
          <w:rFonts w:eastAsia="Times New Roman"/>
          <w:sz w:val="20"/>
          <w:szCs w:val="20"/>
        </w:rPr>
        <w:t>Gil Margoli</w:t>
      </w:r>
      <w:r>
        <w:rPr>
          <w:rFonts w:eastAsia="Times New Roman"/>
          <w:sz w:val="20"/>
          <w:szCs w:val="20"/>
        </w:rPr>
        <w:t>n, our Chief Technology Officer;</w:t>
      </w:r>
      <w:r>
        <w:rPr>
          <w:rFonts w:eastAsia="Times New Roman"/>
          <w:sz w:val="20"/>
          <w:szCs w:val="20"/>
        </w:rPr>
        <w:t xml:space="preserve"> </w:t>
      </w:r>
    </w:p>
    <w:p w:rsidR="00000000" w:rsidRDefault="00AF2D19">
      <w:pPr>
        <w:divId w:val="5402481"/>
        <w:rPr>
          <w:rFonts w:eastAsia="Times New Roman"/>
        </w:rPr>
      </w:pPr>
      <w:r>
        <w:rPr>
          <w:rFonts w:eastAsia="Times New Roman"/>
          <w:sz w:val="20"/>
          <w:szCs w:val="20"/>
        </w:rPr>
        <w:t>•</w:t>
      </w:r>
    </w:p>
    <w:p w:rsidR="00000000" w:rsidRDefault="00AF2D19">
      <w:pPr>
        <w:divId w:val="233858559"/>
        <w:rPr>
          <w:rFonts w:eastAsia="Times New Roman"/>
        </w:rPr>
      </w:pPr>
      <w:r>
        <w:rPr>
          <w:rFonts w:eastAsia="Times New Roman"/>
          <w:sz w:val="20"/>
          <w:szCs w:val="20"/>
        </w:rPr>
        <w:t>John C. Reilly, our General Counsel; and</w:t>
      </w:r>
      <w:r>
        <w:rPr>
          <w:rFonts w:eastAsia="Times New Roman"/>
          <w:sz w:val="20"/>
          <w:szCs w:val="20"/>
        </w:rPr>
        <w:t xml:space="preserve"> </w:t>
      </w:r>
    </w:p>
    <w:p w:rsidR="00000000" w:rsidRDefault="00AF2D19">
      <w:pPr>
        <w:divId w:val="923100803"/>
        <w:rPr>
          <w:rFonts w:eastAsia="Times New Roman"/>
        </w:rPr>
      </w:pPr>
      <w:r>
        <w:rPr>
          <w:rFonts w:eastAsia="Times New Roman"/>
          <w:sz w:val="20"/>
          <w:szCs w:val="20"/>
        </w:rPr>
        <w:t>•</w:t>
      </w:r>
    </w:p>
    <w:p w:rsidR="00000000" w:rsidRDefault="00AF2D19">
      <w:pPr>
        <w:divId w:val="2101902286"/>
        <w:rPr>
          <w:rFonts w:eastAsia="Times New Roman"/>
        </w:rPr>
      </w:pPr>
      <w:r>
        <w:rPr>
          <w:rFonts w:eastAsia="Times New Roman"/>
          <w:sz w:val="20"/>
          <w:szCs w:val="20"/>
        </w:rPr>
        <w:t>Roni Frank, our former Head of Clinical Services</w:t>
      </w:r>
      <w:r>
        <w:rPr>
          <w:rFonts w:eastAsia="Times New Roman"/>
          <w:sz w:val="20"/>
          <w:szCs w:val="20"/>
        </w:rPr>
        <w:t>.</w:t>
      </w:r>
    </w:p>
    <w:p w:rsidR="00000000" w:rsidRDefault="00AF2D19">
      <w:pPr>
        <w:pStyle w:val="a3"/>
        <w:spacing w:before="6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sz w:val="20"/>
          <w:szCs w:val="20"/>
        </w:rPr>
        <w:t>Executive Summar</w:t>
      </w:r>
      <w:r>
        <w:rPr>
          <w:b/>
          <w:bCs/>
          <w:sz w:val="20"/>
          <w:szCs w:val="20"/>
        </w:rPr>
        <w:t>y</w:t>
      </w:r>
    </w:p>
    <w:p w:rsidR="00000000" w:rsidRDefault="00AF2D19">
      <w:pPr>
        <w:pStyle w:val="a3"/>
        <w:spacing w:before="120" w:beforeAutospacing="0" w:after="0" w:afterAutospacing="0"/>
        <w:rPr>
          <w:sz w:val="20"/>
          <w:szCs w:val="20"/>
        </w:rPr>
      </w:pPr>
      <w:r>
        <w:rPr>
          <w:b/>
          <w:bCs/>
          <w:i/>
          <w:iCs/>
          <w:sz w:val="20"/>
          <w:szCs w:val="20"/>
        </w:rPr>
        <w:t>2021 Highlight</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 xml:space="preserve">On May 28, 2021, the Business Combination closed and we transitioned into becoming a new public company. In connection with the Business Combination, we engaged Meridian Compensation Partners (“Meridian”) as our independent compensation consultant to help </w:t>
      </w:r>
      <w:r>
        <w:rPr>
          <w:sz w:val="20"/>
          <w:szCs w:val="20"/>
        </w:rPr>
        <w:t>structure a competitive executive compensation program from a public company perspective</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On November 15, 2021, we announced the departure of Oren Frank and Roni Frank from their roles as Chief Executive Officer and Head of Clinical Services, respectively</w:t>
      </w:r>
      <w:r>
        <w:rPr>
          <w:sz w:val="20"/>
          <w:szCs w:val="20"/>
        </w:rPr>
        <w:t>, and as members of our board of directors (the “Board”). Also effective as of November 15, 2021, the Board appointed Douglas Braunstein, Chairman of the Board, to serve as Interim Chief Executive Officer while the Board conducts a formal search for a perm</w:t>
      </w:r>
      <w:r>
        <w:rPr>
          <w:sz w:val="20"/>
          <w:szCs w:val="20"/>
        </w:rPr>
        <w:t>anent chief executive officer to succeed Mr. Frank. Mr. Braunstein will not receive any additional compensation for his role as Interim Chief Executive Officer and remains Chairman of the Board</w:t>
      </w:r>
      <w:r>
        <w:rPr>
          <w:sz w:val="20"/>
          <w:szCs w:val="20"/>
        </w:rPr>
        <w:t>.</w:t>
      </w:r>
    </w:p>
    <w:p w:rsidR="00000000" w:rsidRDefault="00AF2D19">
      <w:pPr>
        <w:pStyle w:val="a3"/>
        <w:spacing w:before="120" w:beforeAutospacing="0" w:after="0" w:afterAutospacing="0"/>
        <w:jc w:val="both"/>
        <w:rPr>
          <w:sz w:val="20"/>
          <w:szCs w:val="20"/>
        </w:rPr>
      </w:pPr>
      <w:r>
        <w:rPr>
          <w:sz w:val="20"/>
          <w:szCs w:val="20"/>
        </w:rPr>
        <w:t>On November 22, 2021, we announced the resignation of Mark Hi</w:t>
      </w:r>
      <w:r>
        <w:rPr>
          <w:sz w:val="20"/>
          <w:szCs w:val="20"/>
        </w:rPr>
        <w:t>rschhorn from his role as President and Chief Operating Officer</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As a general matter, our executive compensation program consists of annual base salary, target cash bonus opportunities, and equity-based long-term incentives. This CD&amp;A provides a descripti</w:t>
      </w:r>
      <w:r>
        <w:rPr>
          <w:sz w:val="20"/>
          <w:szCs w:val="20"/>
        </w:rPr>
        <w:t>on of each of these elements for the fiscal year ending December 31, 2021. We will continue to evaluate, develop, and grow our executive compensation program as we progress as a newly public company</w:t>
      </w:r>
      <w:r>
        <w:rPr>
          <w:sz w:val="20"/>
          <w:szCs w:val="20"/>
        </w:rPr>
        <w:t>.</w:t>
      </w:r>
      <w:r>
        <w:rPr>
          <w:sz w:val="20"/>
          <w:szCs w:val="20"/>
        </w:rPr>
        <w:t xml:space="preserve">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10</w:t>
      </w:r>
      <w:r>
        <w:rPr>
          <w:sz w:val="20"/>
          <w:szCs w:val="20"/>
        </w:rPr>
        <w:t>6</w:t>
      </w:r>
    </w:p>
    <w:p w:rsidR="00000000" w:rsidRDefault="00AF2D19">
      <w:pPr>
        <w:rPr>
          <w:rFonts w:eastAsia="Times New Roman"/>
        </w:rPr>
      </w:pPr>
      <w:r>
        <w:rPr>
          <w:rFonts w:eastAsia="Times New Roman"/>
        </w:rPr>
        <w:pict>
          <v:rect id="_x0000_i1134"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jc w:val="both"/>
        <w:rPr>
          <w:sz w:val="20"/>
          <w:szCs w:val="20"/>
        </w:rPr>
      </w:pPr>
      <w:r>
        <w:rPr>
          <w:b/>
          <w:bCs/>
          <w:i/>
          <w:iCs/>
          <w:sz w:val="20"/>
          <w:szCs w:val="20"/>
        </w:rPr>
        <w:t>Compensation Governance and Best Practice</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We are committed to having strong governance standards with respect to our compensation programs, procedures and practices. Our key compensation practices include the following</w:t>
      </w:r>
      <w:r>
        <w:rPr>
          <w:sz w:val="20"/>
          <w:szCs w:val="20"/>
        </w:rPr>
        <w:t>:</w:t>
      </w:r>
    </w:p>
    <w:p w:rsidR="00000000" w:rsidRDefault="00AF2D1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2"/>
        <w:gridCol w:w="438"/>
        <w:gridCol w:w="3976"/>
      </w:tblGrid>
      <w:tr w:rsidR="00000000">
        <w:trPr>
          <w:tblCellSpacing w:w="15" w:type="dxa"/>
        </w:trPr>
        <w:tc>
          <w:tcPr>
            <w:tcW w:w="2349" w:type="pct"/>
            <w:vAlign w:val="center"/>
            <w:hideMark/>
          </w:tcPr>
          <w:p w:rsidR="00000000" w:rsidRDefault="00AF2D19">
            <w:pPr>
              <w:rPr>
                <w:sz w:val="20"/>
                <w:szCs w:val="20"/>
              </w:rPr>
            </w:pPr>
          </w:p>
        </w:tc>
        <w:tc>
          <w:tcPr>
            <w:tcW w:w="249" w:type="pct"/>
            <w:vAlign w:val="center"/>
            <w:hideMark/>
          </w:tcPr>
          <w:p w:rsidR="00000000" w:rsidRDefault="00AF2D19">
            <w:pPr>
              <w:rPr>
                <w:rFonts w:eastAsia="Times New Roman"/>
                <w:sz w:val="20"/>
                <w:szCs w:val="20"/>
              </w:rPr>
            </w:pPr>
          </w:p>
        </w:tc>
        <w:tc>
          <w:tcPr>
            <w:tcW w:w="2400" w:type="pct"/>
            <w:vAlign w:val="center"/>
            <w:hideMark/>
          </w:tcPr>
          <w:p w:rsidR="00000000" w:rsidRDefault="00AF2D19">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b/>
                <w:bCs/>
                <w:sz w:val="20"/>
                <w:szCs w:val="20"/>
                <w:u w:val="single"/>
              </w:rPr>
              <w:t>What We D</w:t>
            </w:r>
            <w:r>
              <w:rPr>
                <w:b/>
                <w:bCs/>
                <w:sz w:val="20"/>
                <w:szCs w:val="20"/>
                <w:u w:val="single"/>
              </w:rPr>
              <w:t>o</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b/>
                <w:bCs/>
                <w:sz w:val="20"/>
                <w:szCs w:val="20"/>
                <w:u w:val="single"/>
              </w:rPr>
              <w:t>What We Do Not D</w:t>
            </w:r>
            <w:r>
              <w:rPr>
                <w:b/>
                <w:bCs/>
                <w:sz w:val="20"/>
                <w:szCs w:val="20"/>
                <w:u w:val="single"/>
              </w:rPr>
              <w:t>o</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Emphasize the use of equity compensation to promote executive retention and reward long-term value creation</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Do not guarantee annual salary increases</w:t>
            </w:r>
            <w:r>
              <w:rPr>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Weight the overall pay mix towards incentive compensation for senior executives</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Do not grant uncapped cash incentives or guaranteed equity compensation</w:t>
            </w:r>
            <w:r>
              <w:rPr>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Engage an independent compensation consultant to advise our Compensation Committee</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Do not provid</w:t>
            </w:r>
            <w:r>
              <w:rPr>
                <w:sz w:val="20"/>
                <w:szCs w:val="20"/>
              </w:rPr>
              <w:t>e significant perquisites</w:t>
            </w:r>
            <w:r>
              <w:rPr>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Maintain rigorous stock ownership guidelines and a clawback policy</w:t>
            </w:r>
            <w:r>
              <w:rPr>
                <w:sz w:val="20"/>
                <w:szCs w:val="20"/>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Do not provide any compensation-related tax gross-ups</w:t>
            </w:r>
            <w:r>
              <w:rPr>
                <w:sz w:val="20"/>
                <w:szCs w:val="20"/>
              </w:rPr>
              <w:t>.</w:t>
            </w:r>
          </w:p>
        </w:tc>
      </w:tr>
    </w:tbl>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both"/>
        <w:rPr>
          <w:sz w:val="20"/>
          <w:szCs w:val="20"/>
        </w:rPr>
      </w:pPr>
      <w:r>
        <w:rPr>
          <w:b/>
          <w:bCs/>
          <w:sz w:val="20"/>
          <w:szCs w:val="20"/>
        </w:rPr>
        <w:t>Executive Compensation Objectives and Philosoph</w:t>
      </w:r>
      <w:r>
        <w:rPr>
          <w:b/>
          <w:bCs/>
          <w:sz w:val="20"/>
          <w:szCs w:val="20"/>
        </w:rPr>
        <w:t>y</w:t>
      </w:r>
    </w:p>
    <w:p w:rsidR="00000000" w:rsidRDefault="00AF2D19">
      <w:pPr>
        <w:pStyle w:val="a3"/>
        <w:spacing w:before="120" w:beforeAutospacing="0" w:after="0" w:afterAutospacing="0"/>
        <w:jc w:val="both"/>
        <w:rPr>
          <w:sz w:val="20"/>
          <w:szCs w:val="20"/>
        </w:rPr>
      </w:pPr>
      <w:r>
        <w:rPr>
          <w:sz w:val="20"/>
          <w:szCs w:val="20"/>
        </w:rPr>
        <w:t xml:space="preserve">The key objective in our executive compensation program is to attract, motivate, and reward leaders who create an inclusive and diverse environment and have with the skills and experience necessary to successfully execute on our strategic plan to maximize </w:t>
      </w:r>
      <w:r>
        <w:rPr>
          <w:sz w:val="20"/>
          <w:szCs w:val="20"/>
        </w:rPr>
        <w:t>stockholder value. Our executive compensation program is designed to</w:t>
      </w:r>
      <w:r>
        <w:rPr>
          <w:sz w:val="20"/>
          <w:szCs w:val="20"/>
        </w:rPr>
        <w:t>:</w:t>
      </w:r>
    </w:p>
    <w:p w:rsidR="00000000" w:rsidRDefault="00AF2D19">
      <w:pPr>
        <w:jc w:val="both"/>
        <w:divId w:val="1970234115"/>
        <w:rPr>
          <w:rFonts w:eastAsia="Times New Roman"/>
        </w:rPr>
      </w:pPr>
      <w:r>
        <w:rPr>
          <w:rFonts w:eastAsia="Times New Roman"/>
          <w:sz w:val="20"/>
          <w:szCs w:val="20"/>
        </w:rPr>
        <w:t>•</w:t>
      </w:r>
    </w:p>
    <w:p w:rsidR="00000000" w:rsidRDefault="00AF2D19">
      <w:pPr>
        <w:jc w:val="both"/>
        <w:divId w:val="1995836607"/>
        <w:rPr>
          <w:rFonts w:eastAsia="Times New Roman"/>
        </w:rPr>
      </w:pPr>
      <w:r>
        <w:rPr>
          <w:rFonts w:eastAsia="Times New Roman"/>
          <w:sz w:val="20"/>
          <w:szCs w:val="20"/>
        </w:rPr>
        <w:t>Attract and retain talented and experienced executives in a competitive and dynamic market;</w:t>
      </w:r>
      <w:r>
        <w:rPr>
          <w:rFonts w:eastAsia="Times New Roman"/>
          <w:sz w:val="20"/>
          <w:szCs w:val="20"/>
        </w:rPr>
        <w:t xml:space="preserve"> </w:t>
      </w:r>
    </w:p>
    <w:p w:rsidR="00000000" w:rsidRDefault="00AF2D19">
      <w:pPr>
        <w:jc w:val="both"/>
        <w:divId w:val="231936752"/>
        <w:rPr>
          <w:rFonts w:eastAsia="Times New Roman"/>
        </w:rPr>
      </w:pPr>
      <w:r>
        <w:rPr>
          <w:rFonts w:eastAsia="Times New Roman"/>
          <w:sz w:val="20"/>
          <w:szCs w:val="20"/>
        </w:rPr>
        <w:t>•</w:t>
      </w:r>
    </w:p>
    <w:p w:rsidR="00000000" w:rsidRDefault="00AF2D19">
      <w:pPr>
        <w:jc w:val="both"/>
        <w:divId w:val="342979112"/>
        <w:rPr>
          <w:rFonts w:eastAsia="Times New Roman"/>
        </w:rPr>
      </w:pPr>
      <w:r>
        <w:rPr>
          <w:rFonts w:eastAsia="Times New Roman"/>
          <w:sz w:val="20"/>
          <w:szCs w:val="20"/>
        </w:rPr>
        <w:t>Motivate our NEOs to help our company achieve the best possible financial and operational</w:t>
      </w:r>
      <w:r>
        <w:rPr>
          <w:rFonts w:eastAsia="Times New Roman"/>
          <w:sz w:val="20"/>
          <w:szCs w:val="20"/>
        </w:rPr>
        <w:t xml:space="preserve"> results;</w:t>
      </w:r>
      <w:r>
        <w:rPr>
          <w:rFonts w:eastAsia="Times New Roman"/>
          <w:sz w:val="20"/>
          <w:szCs w:val="20"/>
        </w:rPr>
        <w:t xml:space="preserve"> </w:t>
      </w:r>
    </w:p>
    <w:p w:rsidR="00000000" w:rsidRDefault="00AF2D19">
      <w:pPr>
        <w:jc w:val="both"/>
        <w:divId w:val="1929457854"/>
        <w:rPr>
          <w:rFonts w:eastAsia="Times New Roman"/>
        </w:rPr>
      </w:pPr>
      <w:r>
        <w:rPr>
          <w:rFonts w:eastAsia="Times New Roman"/>
          <w:sz w:val="20"/>
          <w:szCs w:val="20"/>
        </w:rPr>
        <w:t>•</w:t>
      </w:r>
    </w:p>
    <w:p w:rsidR="00000000" w:rsidRDefault="00AF2D19">
      <w:pPr>
        <w:jc w:val="both"/>
        <w:divId w:val="57553032"/>
        <w:rPr>
          <w:rFonts w:eastAsia="Times New Roman"/>
        </w:rPr>
      </w:pPr>
      <w:r>
        <w:rPr>
          <w:rFonts w:eastAsia="Times New Roman"/>
          <w:sz w:val="20"/>
          <w:szCs w:val="20"/>
        </w:rPr>
        <w:t>Provide reward opportunities consistent with our performance on both a short-term and long-term basis that are industry competitive, flexible, fiscally responsible, and linked to our overall business objectives; and</w:t>
      </w:r>
      <w:r>
        <w:rPr>
          <w:rFonts w:eastAsia="Times New Roman"/>
          <w:sz w:val="20"/>
          <w:szCs w:val="20"/>
        </w:rPr>
        <w:t xml:space="preserve"> </w:t>
      </w:r>
    </w:p>
    <w:p w:rsidR="00000000" w:rsidRDefault="00AF2D19">
      <w:pPr>
        <w:jc w:val="both"/>
        <w:divId w:val="2034768299"/>
        <w:rPr>
          <w:rFonts w:eastAsia="Times New Roman"/>
        </w:rPr>
      </w:pPr>
      <w:r>
        <w:rPr>
          <w:rFonts w:eastAsia="Times New Roman"/>
          <w:sz w:val="20"/>
          <w:szCs w:val="20"/>
        </w:rPr>
        <w:t>•</w:t>
      </w:r>
    </w:p>
    <w:p w:rsidR="00000000" w:rsidRDefault="00AF2D19">
      <w:pPr>
        <w:jc w:val="both"/>
        <w:divId w:val="1993949762"/>
        <w:rPr>
          <w:rFonts w:eastAsia="Times New Roman"/>
        </w:rPr>
      </w:pPr>
      <w:r>
        <w:rPr>
          <w:rFonts w:eastAsia="Times New Roman"/>
          <w:sz w:val="20"/>
          <w:szCs w:val="20"/>
        </w:rPr>
        <w:t>Align the long-term interests of our NEOs with those of our stockholders</w:t>
      </w:r>
      <w:r>
        <w:rPr>
          <w:rFonts w:eastAsia="Times New Roman"/>
          <w:sz w:val="20"/>
          <w:szCs w:val="20"/>
        </w:rPr>
        <w:t>.</w:t>
      </w:r>
    </w:p>
    <w:p w:rsidR="00000000" w:rsidRDefault="00AF2D19">
      <w:pPr>
        <w:pStyle w:val="a3"/>
        <w:spacing w:before="120" w:beforeAutospacing="0" w:after="0" w:afterAutospacing="0"/>
        <w:jc w:val="both"/>
        <w:rPr>
          <w:sz w:val="20"/>
          <w:szCs w:val="20"/>
        </w:rPr>
      </w:pPr>
      <w:r>
        <w:rPr>
          <w:sz w:val="20"/>
          <w:szCs w:val="20"/>
        </w:rPr>
        <w:t>We strive to set our overall total compensation at a competitive level. Executives may be compensated above or below the targeted market position based on factors such as experience,</w:t>
      </w:r>
      <w:r>
        <w:rPr>
          <w:sz w:val="20"/>
          <w:szCs w:val="20"/>
        </w:rPr>
        <w:t xml:space="preserve"> performance, scope of position and the competitive demand for proven executive talent, as described further below under</w:t>
      </w:r>
      <w:r>
        <w:rPr>
          <w:sz w:val="20"/>
          <w:szCs w:val="20"/>
        </w:rPr>
        <w:t xml:space="preserve"> </w:t>
      </w:r>
      <w:r>
        <w:rPr>
          <w:i/>
          <w:iCs/>
          <w:sz w:val="20"/>
          <w:szCs w:val="20"/>
        </w:rPr>
        <w:t>“Determination of Executive Compensation.</w:t>
      </w:r>
      <w:r>
        <w:rPr>
          <w:i/>
          <w:iCs/>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sz w:val="20"/>
          <w:szCs w:val="20"/>
        </w:rPr>
        <w:t>Determination of Executive Compensatio</w:t>
      </w:r>
      <w:r>
        <w:rPr>
          <w:b/>
          <w:bCs/>
          <w:sz w:val="20"/>
          <w:szCs w:val="20"/>
        </w:rPr>
        <w:t>n</w:t>
      </w:r>
      <w:r>
        <w:rPr>
          <w:b/>
          <w:bCs/>
          <w:sz w:val="20"/>
          <w:szCs w:val="20"/>
        </w:rPr>
        <w:t xml:space="preserve"> </w:t>
      </w:r>
    </w:p>
    <w:p w:rsidR="00000000" w:rsidRDefault="00AF2D19">
      <w:pPr>
        <w:pStyle w:val="a3"/>
        <w:spacing w:before="120" w:beforeAutospacing="0" w:after="0" w:afterAutospacing="0"/>
        <w:rPr>
          <w:sz w:val="20"/>
          <w:szCs w:val="20"/>
        </w:rPr>
      </w:pPr>
      <w:r>
        <w:rPr>
          <w:b/>
          <w:bCs/>
          <w:i/>
          <w:iCs/>
          <w:sz w:val="20"/>
          <w:szCs w:val="20"/>
        </w:rPr>
        <w:t>Role of Board of Directors, the Compensation Comm</w:t>
      </w:r>
      <w:r>
        <w:rPr>
          <w:b/>
          <w:bCs/>
          <w:i/>
          <w:iCs/>
          <w:sz w:val="20"/>
          <w:szCs w:val="20"/>
        </w:rPr>
        <w:t>ittee, and Executive Officer</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Compensation Committee is responsible for establishing and overseeing our executive compensation programs and will annually review and recommend to the Board for approval the compensation to be provided to our executive o</w:t>
      </w:r>
      <w:r>
        <w:rPr>
          <w:sz w:val="20"/>
          <w:szCs w:val="20"/>
        </w:rPr>
        <w:t>fficers</w:t>
      </w:r>
      <w:r>
        <w:rPr>
          <w:sz w:val="20"/>
          <w:szCs w:val="20"/>
        </w:rPr>
        <w:t>.</w:t>
      </w:r>
    </w:p>
    <w:p w:rsidR="00000000" w:rsidRDefault="00AF2D19">
      <w:pPr>
        <w:pStyle w:val="a3"/>
        <w:spacing w:before="120" w:beforeAutospacing="0" w:after="0" w:afterAutospacing="0"/>
        <w:jc w:val="both"/>
        <w:rPr>
          <w:sz w:val="20"/>
          <w:szCs w:val="20"/>
        </w:rPr>
      </w:pPr>
      <w:r>
        <w:rPr>
          <w:sz w:val="20"/>
          <w:szCs w:val="20"/>
        </w:rPr>
        <w:t>In setting executive compensation, the Compensation Committee will consider a number of factors, including the recommendations of our Chief Executive Officer (other than with respect to the Chief Executive Officer’s own compensation) and our human</w:t>
      </w:r>
      <w:r>
        <w:rPr>
          <w:sz w:val="20"/>
          <w:szCs w:val="20"/>
        </w:rPr>
        <w:t xml:space="preserve"> resources team, current and past total compensation, competitive market data and analysis provided by the Compensation Committee’s independent compensation consultant, Company performance and each executive’s impact on performance, each executive’s relati</w:t>
      </w:r>
      <w:r>
        <w:rPr>
          <w:sz w:val="20"/>
          <w:szCs w:val="20"/>
        </w:rPr>
        <w:t>ve scope of responsibility and potential, each executive’s individual performance and demonstrated leadership, and internal equity pay considerations. Our Chief Executive Officer’s recommendations are based on his evaluation of each other executive officer</w:t>
      </w:r>
      <w:r>
        <w:rPr>
          <w:sz w:val="20"/>
          <w:szCs w:val="20"/>
        </w:rPr>
        <w:t>’s individual performance and contributions, of which our Chief Executive Officer has direct knowledge. Our Board makes decisions regarding our Chief Executive Officer’s and other executive officers’ compensation, following recommendation from the Compensa</w:t>
      </w:r>
      <w:r>
        <w:rPr>
          <w:sz w:val="20"/>
          <w:szCs w:val="20"/>
        </w:rPr>
        <w:t>tion Committee</w:t>
      </w:r>
      <w:r>
        <w:rPr>
          <w:sz w:val="20"/>
          <w:szCs w:val="20"/>
        </w:rPr>
        <w:t>.</w:t>
      </w:r>
    </w:p>
    <w:p w:rsidR="00000000" w:rsidRDefault="00AF2D19">
      <w:pPr>
        <w:pStyle w:val="a3"/>
        <w:spacing w:before="120" w:beforeAutospacing="0" w:after="0" w:afterAutospacing="0"/>
        <w:rPr>
          <w:sz w:val="20"/>
          <w:szCs w:val="20"/>
        </w:rPr>
      </w:pPr>
      <w:r>
        <w:rPr>
          <w:b/>
          <w:bCs/>
          <w:i/>
          <w:iCs/>
          <w:sz w:val="20"/>
          <w:szCs w:val="20"/>
        </w:rPr>
        <w:t>Role of Compensation Consultan</w:t>
      </w:r>
      <w:r>
        <w:rPr>
          <w:b/>
          <w:bCs/>
          <w:i/>
          <w:iCs/>
          <w:sz w:val="20"/>
          <w:szCs w:val="20"/>
        </w:rPr>
        <w:t>t</w:t>
      </w:r>
    </w:p>
    <w:p w:rsidR="00000000" w:rsidRDefault="00AF2D19">
      <w:pPr>
        <w:pStyle w:val="a3"/>
        <w:spacing w:before="120" w:beforeAutospacing="0" w:after="0" w:afterAutospacing="0"/>
        <w:jc w:val="both"/>
        <w:rPr>
          <w:sz w:val="20"/>
          <w:szCs w:val="20"/>
        </w:rPr>
      </w:pPr>
      <w:r>
        <w:rPr>
          <w:sz w:val="20"/>
          <w:szCs w:val="20"/>
        </w:rPr>
        <w:t xml:space="preserve">In order to design a competitive executive compensation program that will continue to attract top executive talent and reflect our compensation philosophy, our Compensation Committee has retained Meridian as </w:t>
      </w:r>
      <w:r>
        <w:rPr>
          <w:sz w:val="20"/>
          <w:szCs w:val="20"/>
        </w:rPr>
        <w:t>an independent compensation consultant to provide executive compensation advisory services, help evaluate our compensation philosophy and objectives and provide guidance in designing, maintaining, and administering our executive compensation program. The C</w:t>
      </w:r>
      <w:r>
        <w:rPr>
          <w:sz w:val="20"/>
          <w:szCs w:val="20"/>
        </w:rPr>
        <w:t>ompensation Committee has evaluated Meridian’s independence pursuant to the requirements of Nasdaq and SEC rules and has determined that Meridian does not have any conflicts of interest in advising the Compensation Committee. Meridian did not provide any o</w:t>
      </w:r>
      <w:r>
        <w:rPr>
          <w:sz w:val="20"/>
          <w:szCs w:val="20"/>
        </w:rPr>
        <w:t>ther services to the Company in 2021</w:t>
      </w:r>
      <w:r>
        <w:rPr>
          <w:sz w:val="20"/>
          <w:szCs w:val="20"/>
        </w:rPr>
        <w:t>.</w:t>
      </w:r>
    </w:p>
    <w:p w:rsidR="00000000" w:rsidRDefault="00AF2D19">
      <w:pPr>
        <w:pStyle w:val="a3"/>
        <w:spacing w:before="0" w:beforeAutospacing="0" w:after="0" w:afterAutospacing="0"/>
        <w:jc w:val="center"/>
        <w:rPr>
          <w:sz w:val="20"/>
          <w:szCs w:val="20"/>
        </w:rPr>
      </w:pPr>
      <w:r>
        <w:rPr>
          <w:sz w:val="20"/>
          <w:szCs w:val="20"/>
        </w:rPr>
        <w:t>10</w:t>
      </w:r>
      <w:r>
        <w:rPr>
          <w:sz w:val="20"/>
          <w:szCs w:val="20"/>
        </w:rPr>
        <w:t>7</w:t>
      </w:r>
    </w:p>
    <w:p w:rsidR="00000000" w:rsidRDefault="00AF2D19">
      <w:pPr>
        <w:rPr>
          <w:rFonts w:eastAsia="Times New Roman"/>
        </w:rPr>
      </w:pPr>
      <w:r>
        <w:rPr>
          <w:rFonts w:eastAsia="Times New Roman"/>
        </w:rPr>
        <w:pict>
          <v:rect id="_x0000_i113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 xml:space="preserve">We are in the process of developing a peer group with Meridian and we expect to refer to this peer group in structuring our executive compensation program for fiscal year </w:t>
      </w:r>
      <w:r>
        <w:rPr>
          <w:sz w:val="20"/>
          <w:szCs w:val="20"/>
        </w:rPr>
        <w:t>2022. Our Compensation Committee may also refer to compensation survey data</w:t>
      </w:r>
      <w:r>
        <w:rPr>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sz w:val="20"/>
          <w:szCs w:val="20"/>
        </w:rPr>
        <w:t>Elements of Compensatio</w:t>
      </w:r>
      <w:r>
        <w:rPr>
          <w:b/>
          <w:bCs/>
          <w:sz w:val="20"/>
          <w:szCs w:val="20"/>
        </w:rPr>
        <w:t>n</w:t>
      </w:r>
    </w:p>
    <w:p w:rsidR="00000000" w:rsidRDefault="00AF2D19">
      <w:pPr>
        <w:pStyle w:val="a3"/>
        <w:spacing w:before="120" w:beforeAutospacing="0" w:after="0" w:afterAutospacing="0"/>
        <w:jc w:val="both"/>
        <w:rPr>
          <w:sz w:val="20"/>
          <w:szCs w:val="20"/>
        </w:rPr>
      </w:pPr>
      <w:r>
        <w:rPr>
          <w:sz w:val="20"/>
          <w:szCs w:val="20"/>
        </w:rPr>
        <w:t>The primary elements of our NEOs’ compensation and the main objectives of each are</w:t>
      </w:r>
      <w:r>
        <w:rPr>
          <w:sz w:val="20"/>
          <w:szCs w:val="20"/>
        </w:rPr>
        <w:t>:</w:t>
      </w:r>
    </w:p>
    <w:p w:rsidR="00000000" w:rsidRDefault="00AF2D19">
      <w:pPr>
        <w:jc w:val="both"/>
        <w:divId w:val="1670136523"/>
        <w:rPr>
          <w:rFonts w:eastAsia="Times New Roman"/>
        </w:rPr>
      </w:pPr>
      <w:r>
        <w:rPr>
          <w:rFonts w:eastAsia="Times New Roman"/>
          <w:sz w:val="20"/>
          <w:szCs w:val="20"/>
        </w:rPr>
        <w:t>•</w:t>
      </w:r>
    </w:p>
    <w:p w:rsidR="00000000" w:rsidRDefault="00AF2D19">
      <w:pPr>
        <w:jc w:val="both"/>
        <w:divId w:val="1067000780"/>
        <w:rPr>
          <w:rFonts w:eastAsia="Times New Roman"/>
        </w:rPr>
      </w:pPr>
      <w:r>
        <w:rPr>
          <w:rFonts w:eastAsia="Times New Roman"/>
          <w:i/>
          <w:iCs/>
          <w:sz w:val="20"/>
          <w:szCs w:val="20"/>
        </w:rPr>
        <w:t>Base Salar</w:t>
      </w:r>
      <w:r>
        <w:rPr>
          <w:rFonts w:eastAsia="Times New Roman"/>
          <w:i/>
          <w:iCs/>
          <w:sz w:val="20"/>
          <w:szCs w:val="20"/>
        </w:rPr>
        <w:t>y</w:t>
      </w:r>
      <w:r>
        <w:rPr>
          <w:rFonts w:eastAsia="Times New Roman"/>
          <w:sz w:val="20"/>
          <w:szCs w:val="20"/>
        </w:rPr>
        <w:t>. Base salary attracts and retains talented executives,</w:t>
      </w:r>
      <w:r>
        <w:rPr>
          <w:rFonts w:eastAsia="Times New Roman"/>
          <w:sz w:val="20"/>
          <w:szCs w:val="20"/>
        </w:rPr>
        <w:t xml:space="preserve"> recognizes individual roles and responsibilities, and provides stable income</w:t>
      </w:r>
      <w:r>
        <w:rPr>
          <w:rFonts w:eastAsia="Times New Roman"/>
          <w:sz w:val="20"/>
          <w:szCs w:val="20"/>
        </w:rPr>
        <w:t>;</w:t>
      </w:r>
    </w:p>
    <w:p w:rsidR="00000000" w:rsidRDefault="00AF2D19">
      <w:pPr>
        <w:jc w:val="both"/>
        <w:divId w:val="371078841"/>
        <w:rPr>
          <w:rFonts w:eastAsia="Times New Roman"/>
        </w:rPr>
      </w:pPr>
      <w:r>
        <w:rPr>
          <w:rFonts w:eastAsia="Times New Roman"/>
          <w:sz w:val="20"/>
          <w:szCs w:val="20"/>
        </w:rPr>
        <w:t>•</w:t>
      </w:r>
    </w:p>
    <w:p w:rsidR="00000000" w:rsidRDefault="00AF2D19">
      <w:pPr>
        <w:jc w:val="both"/>
        <w:divId w:val="283580338"/>
        <w:rPr>
          <w:rFonts w:eastAsia="Times New Roman"/>
        </w:rPr>
      </w:pPr>
      <w:r>
        <w:rPr>
          <w:rFonts w:eastAsia="Times New Roman"/>
          <w:i/>
          <w:iCs/>
          <w:sz w:val="20"/>
          <w:szCs w:val="20"/>
        </w:rPr>
        <w:t>Annual Cash Incentive Compensatio</w:t>
      </w:r>
      <w:r>
        <w:rPr>
          <w:rFonts w:eastAsia="Times New Roman"/>
          <w:i/>
          <w:iCs/>
          <w:sz w:val="20"/>
          <w:szCs w:val="20"/>
        </w:rPr>
        <w:t>n</w:t>
      </w:r>
      <w:r>
        <w:rPr>
          <w:rFonts w:eastAsia="Times New Roman"/>
          <w:sz w:val="20"/>
          <w:szCs w:val="20"/>
        </w:rPr>
        <w:t>. Annual bonuses promote short-term performance objectives and reward executives for their contributions toward Company performance</w:t>
      </w:r>
      <w:r>
        <w:rPr>
          <w:rFonts w:eastAsia="Times New Roman"/>
          <w:sz w:val="20"/>
          <w:szCs w:val="20"/>
        </w:rPr>
        <w:t>;</w:t>
      </w:r>
    </w:p>
    <w:p w:rsidR="00000000" w:rsidRDefault="00AF2D19">
      <w:pPr>
        <w:jc w:val="both"/>
        <w:divId w:val="1655450400"/>
        <w:rPr>
          <w:rFonts w:eastAsia="Times New Roman"/>
        </w:rPr>
      </w:pPr>
      <w:r>
        <w:rPr>
          <w:rFonts w:eastAsia="Times New Roman"/>
          <w:sz w:val="20"/>
          <w:szCs w:val="20"/>
        </w:rPr>
        <w:t>•</w:t>
      </w:r>
    </w:p>
    <w:p w:rsidR="00000000" w:rsidRDefault="00AF2D19">
      <w:pPr>
        <w:jc w:val="both"/>
        <w:divId w:val="2118475939"/>
        <w:rPr>
          <w:rFonts w:eastAsia="Times New Roman"/>
        </w:rPr>
      </w:pPr>
      <w:r>
        <w:rPr>
          <w:rFonts w:eastAsia="Times New Roman"/>
          <w:i/>
          <w:iCs/>
          <w:sz w:val="20"/>
          <w:szCs w:val="20"/>
        </w:rPr>
        <w:t>Equity</w:t>
      </w:r>
      <w:r>
        <w:rPr>
          <w:rFonts w:eastAsia="Times New Roman"/>
          <w:i/>
          <w:iCs/>
          <w:sz w:val="20"/>
          <w:szCs w:val="20"/>
        </w:rPr>
        <w:t xml:space="preserve"> Based Long-Term Incentive Compensatio</w:t>
      </w:r>
      <w:r>
        <w:rPr>
          <w:rFonts w:eastAsia="Times New Roman"/>
          <w:i/>
          <w:iCs/>
          <w:sz w:val="20"/>
          <w:szCs w:val="20"/>
        </w:rPr>
        <w:t>n</w:t>
      </w:r>
      <w:r>
        <w:rPr>
          <w:rFonts w:eastAsia="Times New Roman"/>
          <w:sz w:val="20"/>
          <w:szCs w:val="20"/>
        </w:rPr>
        <w:t>. Equity compensation, provided in the form of stock options and RSUs, aligns executives’ interests with our stockholders’ interests, emphasizes long-term financial and operational performance, and helps retain execut</w:t>
      </w:r>
      <w:r>
        <w:rPr>
          <w:rFonts w:eastAsia="Times New Roman"/>
          <w:sz w:val="20"/>
          <w:szCs w:val="20"/>
        </w:rPr>
        <w:t>ive talent</w:t>
      </w:r>
      <w:r>
        <w:rPr>
          <w:rFonts w:eastAsia="Times New Roman"/>
          <w:sz w:val="20"/>
          <w:szCs w:val="20"/>
        </w:rPr>
        <w:t>.</w:t>
      </w:r>
    </w:p>
    <w:p w:rsidR="00000000" w:rsidRDefault="00AF2D19">
      <w:pPr>
        <w:pStyle w:val="a3"/>
        <w:spacing w:before="120" w:beforeAutospacing="0" w:after="0" w:afterAutospacing="0"/>
        <w:jc w:val="both"/>
        <w:rPr>
          <w:sz w:val="20"/>
          <w:szCs w:val="20"/>
        </w:rPr>
      </w:pPr>
      <w:r>
        <w:rPr>
          <w:sz w:val="20"/>
          <w:szCs w:val="20"/>
        </w:rPr>
        <w:t>In addition, our NEOs are eligible to participate in our health and welfare programs and our 401(k) plan on the same basis as our other employees. We also maintain severance and change in control arrangements, which aid in attracting and retain</w:t>
      </w:r>
      <w:r>
        <w:rPr>
          <w:sz w:val="20"/>
          <w:szCs w:val="20"/>
        </w:rPr>
        <w:t>ing executive talent and help executives to remain focused and dedicated during potential transition periods due to a change in control. Each of these elements of compensation for 2021 is described further below</w:t>
      </w:r>
      <w:r>
        <w:rPr>
          <w:sz w:val="20"/>
          <w:szCs w:val="20"/>
        </w:rPr>
        <w:t>.</w:t>
      </w:r>
    </w:p>
    <w:p w:rsidR="00000000" w:rsidRDefault="00AF2D19">
      <w:pPr>
        <w:pStyle w:val="a3"/>
        <w:spacing w:before="120" w:beforeAutospacing="0" w:after="0" w:afterAutospacing="0"/>
        <w:jc w:val="both"/>
        <w:rPr>
          <w:sz w:val="20"/>
          <w:szCs w:val="20"/>
        </w:rPr>
      </w:pPr>
      <w:r>
        <w:rPr>
          <w:sz w:val="20"/>
          <w:szCs w:val="20"/>
        </w:rPr>
        <w:t>Douglas Braunstein received no compensation</w:t>
      </w:r>
      <w:r>
        <w:rPr>
          <w:sz w:val="20"/>
          <w:szCs w:val="20"/>
        </w:rPr>
        <w:t xml:space="preserve"> in respect of his services as our interim Chief Executive Officer during the year ended December 31, 2021; however, see a discussion of his compensation received for his services as a member of Board set forth below under</w:t>
      </w:r>
      <w:r>
        <w:rPr>
          <w:sz w:val="20"/>
          <w:szCs w:val="20"/>
        </w:rPr>
        <w:t xml:space="preserve"> </w:t>
      </w:r>
      <w:r>
        <w:rPr>
          <w:i/>
          <w:iCs/>
          <w:sz w:val="20"/>
          <w:szCs w:val="20"/>
        </w:rPr>
        <w:t>“2021 Director Compensation”</w:t>
      </w:r>
      <w:r>
        <w:rPr>
          <w:i/>
          <w:iCs/>
          <w:sz w:val="20"/>
          <w:szCs w:val="20"/>
        </w:rPr>
        <w:t>.</w:t>
      </w:r>
    </w:p>
    <w:p w:rsidR="00000000" w:rsidRDefault="00AF2D19">
      <w:pPr>
        <w:pStyle w:val="a3"/>
        <w:spacing w:before="120" w:beforeAutospacing="0" w:after="0" w:afterAutospacing="0"/>
        <w:rPr>
          <w:sz w:val="20"/>
          <w:szCs w:val="20"/>
        </w:rPr>
      </w:pPr>
      <w:r>
        <w:rPr>
          <w:b/>
          <w:bCs/>
          <w:i/>
          <w:iCs/>
          <w:sz w:val="20"/>
          <w:szCs w:val="20"/>
        </w:rPr>
        <w:t>Bas</w:t>
      </w:r>
      <w:r>
        <w:rPr>
          <w:b/>
          <w:bCs/>
          <w:i/>
          <w:iCs/>
          <w:sz w:val="20"/>
          <w:szCs w:val="20"/>
        </w:rPr>
        <w:t>e Salar</w:t>
      </w:r>
      <w:r>
        <w:rPr>
          <w:b/>
          <w:bCs/>
          <w:i/>
          <w:iCs/>
          <w:sz w:val="20"/>
          <w:szCs w:val="20"/>
        </w:rPr>
        <w:t>y</w:t>
      </w:r>
    </w:p>
    <w:p w:rsidR="00000000" w:rsidRDefault="00AF2D19">
      <w:pPr>
        <w:pStyle w:val="a3"/>
        <w:spacing w:before="120" w:beforeAutospacing="0" w:after="0" w:afterAutospacing="0"/>
        <w:jc w:val="both"/>
        <w:rPr>
          <w:sz w:val="20"/>
          <w:szCs w:val="20"/>
        </w:rPr>
      </w:pPr>
      <w:r>
        <w:rPr>
          <w:sz w:val="20"/>
          <w:szCs w:val="20"/>
        </w:rPr>
        <w:t>The base salaries of our NEOs are an important part of their total compensation package, and are intended to reflect their respective positions, duties and responsibilities. Base salaries provide our NEOs with a reasonable degree of financial cert</w:t>
      </w:r>
      <w:r>
        <w:rPr>
          <w:sz w:val="20"/>
          <w:szCs w:val="20"/>
        </w:rPr>
        <w:t>ainty and stability. Our Compensation Committee intends to annually review and determine the base salaries of our executives and evaluate the base salaries of new hires at the time of hire. In 2021, we approved incremental base salary increases for our NEO</w:t>
      </w:r>
      <w:r>
        <w:rPr>
          <w:sz w:val="20"/>
          <w:szCs w:val="20"/>
        </w:rPr>
        <w:t>s in connection with their entrance into new employment offer letters after our Business Combination, as further described below under</w:t>
      </w:r>
      <w:r>
        <w:rPr>
          <w:sz w:val="20"/>
          <w:szCs w:val="20"/>
        </w:rPr>
        <w:t xml:space="preserve"> </w:t>
      </w:r>
      <w:r>
        <w:rPr>
          <w:i/>
          <w:iCs/>
          <w:sz w:val="20"/>
          <w:szCs w:val="20"/>
        </w:rPr>
        <w:t>“Named Executive Officer Employment Agreements</w:t>
      </w:r>
      <w:r>
        <w:rPr>
          <w:i/>
          <w:iCs/>
          <w:sz w:val="20"/>
          <w:szCs w:val="20"/>
        </w:rPr>
        <w:t>”</w:t>
      </w:r>
      <w:r>
        <w:rPr>
          <w:sz w:val="20"/>
          <w:szCs w:val="20"/>
        </w:rPr>
        <w:t>. Ms. Fulk’s annual base salary was approved in connection with the commen</w:t>
      </w:r>
      <w:r>
        <w:rPr>
          <w:sz w:val="20"/>
          <w:szCs w:val="20"/>
        </w:rPr>
        <w:t>cement of her employment after our Business Combination. Following such determinations, our NEOs’ base salaries were as set forth below</w:t>
      </w:r>
      <w:r>
        <w:rPr>
          <w:sz w:val="20"/>
          <w:szCs w:val="20"/>
        </w:rPr>
        <w:t>:</w:t>
      </w:r>
    </w:p>
    <w:p w:rsidR="00000000" w:rsidRDefault="00AF2D19">
      <w:pPr>
        <w:pStyle w:val="a3"/>
        <w:spacing w:before="12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07"/>
        <w:gridCol w:w="234"/>
        <w:gridCol w:w="131"/>
        <w:gridCol w:w="1524"/>
        <w:gridCol w:w="110"/>
      </w:tblGrid>
      <w:tr w:rsidR="00000000">
        <w:trPr>
          <w:tblCellSpacing w:w="15" w:type="dxa"/>
        </w:trPr>
        <w:tc>
          <w:tcPr>
            <w:tcW w:w="3863" w:type="pct"/>
            <w:vAlign w:val="center"/>
            <w:hideMark/>
          </w:tcPr>
          <w:p w:rsidR="00000000" w:rsidRDefault="00AF2D19">
            <w:pPr>
              <w:rPr>
                <w:sz w:val="20"/>
                <w:szCs w:val="20"/>
              </w:rPr>
            </w:pPr>
          </w:p>
        </w:tc>
        <w:tc>
          <w:tcPr>
            <w:tcW w:w="137"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931"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b/>
                <w:bCs/>
                <w:sz w:val="14"/>
                <w:szCs w:val="14"/>
              </w:rPr>
              <w:t>Nam</w:t>
            </w:r>
            <w:r>
              <w:rPr>
                <w:b/>
                <w:bCs/>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2021 Annualized Base Salary at Year-En</w:t>
            </w:r>
            <w:r>
              <w:rPr>
                <w:b/>
                <w:bCs/>
                <w:sz w:val="14"/>
                <w:szCs w:val="14"/>
              </w:rPr>
              <w:t>d</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Oren Frank</w:t>
            </w:r>
            <w:r>
              <w:rPr>
                <w:sz w:val="14"/>
                <w:szCs w:val="14"/>
              </w:rPr>
              <w:t xml:space="preserve"> </w:t>
            </w:r>
            <w:r>
              <w:rPr>
                <w:sz w:val="9"/>
                <w:szCs w:val="9"/>
              </w:rPr>
              <w:t>(1</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w:t>
            </w:r>
          </w:p>
        </w:tc>
        <w:tc>
          <w:tcPr>
            <w:tcW w:w="0" w:type="auto"/>
            <w:hideMark/>
          </w:tcPr>
          <w:p w:rsidR="00000000" w:rsidRDefault="00AF2D19">
            <w:pPr>
              <w:pStyle w:val="a3"/>
              <w:spacing w:before="0" w:beforeAutospacing="0" w:after="0" w:afterAutospacing="0"/>
              <w:jc w:val="right"/>
              <w:rPr>
                <w:sz w:val="14"/>
                <w:szCs w:val="14"/>
              </w:rPr>
            </w:pPr>
            <w:r>
              <w:rPr>
                <w:sz w:val="14"/>
                <w:szCs w:val="14"/>
              </w:rPr>
              <w:t>350,00</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Mark Hirschhorn</w:t>
            </w:r>
            <w:r>
              <w:rPr>
                <w:sz w:val="14"/>
                <w:szCs w:val="14"/>
              </w:rPr>
              <w:t xml:space="preserve"> </w:t>
            </w:r>
            <w:r>
              <w:rPr>
                <w:sz w:val="9"/>
                <w:szCs w:val="9"/>
              </w:rPr>
              <w:t>(1</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w:t>
            </w:r>
          </w:p>
        </w:tc>
        <w:tc>
          <w:tcPr>
            <w:tcW w:w="0" w:type="auto"/>
            <w:hideMark/>
          </w:tcPr>
          <w:p w:rsidR="00000000" w:rsidRDefault="00AF2D19">
            <w:pPr>
              <w:pStyle w:val="a3"/>
              <w:spacing w:before="0" w:beforeAutospacing="0" w:after="0" w:afterAutospacing="0"/>
              <w:jc w:val="right"/>
              <w:rPr>
                <w:sz w:val="14"/>
                <w:szCs w:val="14"/>
              </w:rPr>
            </w:pPr>
            <w:r>
              <w:rPr>
                <w:sz w:val="14"/>
                <w:szCs w:val="14"/>
              </w:rPr>
              <w:t>425,00</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Jennifer Ful</w:t>
            </w:r>
            <w:r>
              <w:rPr>
                <w:sz w:val="14"/>
                <w:szCs w:val="14"/>
              </w:rPr>
              <w:t>k</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w:t>
            </w:r>
          </w:p>
        </w:tc>
        <w:tc>
          <w:tcPr>
            <w:tcW w:w="0" w:type="auto"/>
            <w:hideMark/>
          </w:tcPr>
          <w:p w:rsidR="00000000" w:rsidRDefault="00AF2D19">
            <w:pPr>
              <w:pStyle w:val="a3"/>
              <w:spacing w:before="0" w:beforeAutospacing="0" w:after="0" w:afterAutospacing="0"/>
              <w:jc w:val="right"/>
              <w:rPr>
                <w:sz w:val="14"/>
                <w:szCs w:val="14"/>
              </w:rPr>
            </w:pPr>
            <w:r>
              <w:rPr>
                <w:sz w:val="14"/>
                <w:szCs w:val="14"/>
              </w:rPr>
              <w:t>400,00</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Samara H. Braunstei</w:t>
            </w:r>
            <w:r>
              <w:rPr>
                <w:sz w:val="14"/>
                <w:szCs w:val="14"/>
              </w:rPr>
              <w:t>n</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w:t>
            </w:r>
          </w:p>
        </w:tc>
        <w:tc>
          <w:tcPr>
            <w:tcW w:w="0" w:type="auto"/>
            <w:hideMark/>
          </w:tcPr>
          <w:p w:rsidR="00000000" w:rsidRDefault="00AF2D19">
            <w:pPr>
              <w:pStyle w:val="a3"/>
              <w:spacing w:before="0" w:beforeAutospacing="0" w:after="0" w:afterAutospacing="0"/>
              <w:jc w:val="right"/>
              <w:rPr>
                <w:sz w:val="14"/>
                <w:szCs w:val="14"/>
              </w:rPr>
            </w:pPr>
            <w:r>
              <w:rPr>
                <w:sz w:val="14"/>
                <w:szCs w:val="14"/>
              </w:rPr>
              <w:t>330,00</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Gil Margoli</w:t>
            </w:r>
            <w:r>
              <w:rPr>
                <w:sz w:val="14"/>
                <w:szCs w:val="14"/>
              </w:rPr>
              <w:t>n</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w:t>
            </w:r>
          </w:p>
        </w:tc>
        <w:tc>
          <w:tcPr>
            <w:tcW w:w="0" w:type="auto"/>
            <w:hideMark/>
          </w:tcPr>
          <w:p w:rsidR="00000000" w:rsidRDefault="00AF2D19">
            <w:pPr>
              <w:pStyle w:val="a3"/>
              <w:spacing w:before="0" w:beforeAutospacing="0" w:after="0" w:afterAutospacing="0"/>
              <w:jc w:val="right"/>
              <w:rPr>
                <w:sz w:val="14"/>
                <w:szCs w:val="14"/>
              </w:rPr>
            </w:pPr>
            <w:r>
              <w:rPr>
                <w:sz w:val="14"/>
                <w:szCs w:val="14"/>
              </w:rPr>
              <w:t>330,00</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John C. Reill</w:t>
            </w:r>
            <w:r>
              <w:rPr>
                <w:sz w:val="14"/>
                <w:szCs w:val="14"/>
              </w:rPr>
              <w:t>y</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w:t>
            </w:r>
          </w:p>
        </w:tc>
        <w:tc>
          <w:tcPr>
            <w:tcW w:w="0" w:type="auto"/>
            <w:hideMark/>
          </w:tcPr>
          <w:p w:rsidR="00000000" w:rsidRDefault="00AF2D19">
            <w:pPr>
              <w:pStyle w:val="a3"/>
              <w:spacing w:before="0" w:beforeAutospacing="0" w:after="0" w:afterAutospacing="0"/>
              <w:jc w:val="right"/>
              <w:rPr>
                <w:sz w:val="14"/>
                <w:szCs w:val="14"/>
              </w:rPr>
            </w:pPr>
            <w:r>
              <w:rPr>
                <w:sz w:val="14"/>
                <w:szCs w:val="14"/>
              </w:rPr>
              <w:t>260,00</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Roni Frank</w:t>
            </w:r>
            <w:r>
              <w:rPr>
                <w:sz w:val="14"/>
                <w:szCs w:val="14"/>
              </w:rPr>
              <w:t xml:space="preserve"> </w:t>
            </w:r>
            <w:r>
              <w:rPr>
                <w:sz w:val="9"/>
                <w:szCs w:val="9"/>
              </w:rPr>
              <w:t>(1</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w:t>
            </w:r>
          </w:p>
        </w:tc>
        <w:tc>
          <w:tcPr>
            <w:tcW w:w="0" w:type="auto"/>
            <w:hideMark/>
          </w:tcPr>
          <w:p w:rsidR="00000000" w:rsidRDefault="00AF2D19">
            <w:pPr>
              <w:pStyle w:val="a3"/>
              <w:spacing w:before="0" w:beforeAutospacing="0" w:after="0" w:afterAutospacing="0"/>
              <w:jc w:val="right"/>
              <w:rPr>
                <w:sz w:val="14"/>
                <w:szCs w:val="14"/>
              </w:rPr>
            </w:pPr>
            <w:r>
              <w:rPr>
                <w:sz w:val="14"/>
                <w:szCs w:val="14"/>
              </w:rPr>
              <w:t>275,00</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120" w:beforeAutospacing="0" w:after="0" w:afterAutospacing="0"/>
        <w:jc w:val="both"/>
        <w:rPr>
          <w:sz w:val="20"/>
          <w:szCs w:val="20"/>
        </w:rPr>
      </w:pPr>
      <w:r>
        <w:rPr>
          <w:sz w:val="17"/>
          <w:szCs w:val="17"/>
        </w:rPr>
        <w:t>(1) Messrs. Frank and Hirschhorn and Ms. Frank were no longer employed as of December 31, 2021 and the numbers in the table above represent each of their annualized base salaries as of their dates of termination</w:t>
      </w:r>
      <w:r>
        <w:rPr>
          <w:sz w:val="17"/>
          <w:szCs w:val="17"/>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10</w:t>
      </w:r>
      <w:r>
        <w:rPr>
          <w:sz w:val="20"/>
          <w:szCs w:val="20"/>
        </w:rPr>
        <w:t>8</w:t>
      </w:r>
    </w:p>
    <w:p w:rsidR="00000000" w:rsidRDefault="00AF2D19">
      <w:pPr>
        <w:rPr>
          <w:rFonts w:eastAsia="Times New Roman"/>
        </w:rPr>
      </w:pPr>
      <w:r>
        <w:rPr>
          <w:rFonts w:eastAsia="Times New Roman"/>
        </w:rPr>
        <w:pict>
          <v:rect id="_x0000_i1136"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rPr>
          <w:sz w:val="20"/>
          <w:szCs w:val="20"/>
        </w:rPr>
      </w:pPr>
      <w:r>
        <w:rPr>
          <w:b/>
          <w:bCs/>
          <w:i/>
          <w:iCs/>
          <w:sz w:val="20"/>
          <w:szCs w:val="20"/>
        </w:rPr>
        <w:t>Cash Incentive Compensatio</w:t>
      </w:r>
      <w:r>
        <w:rPr>
          <w:b/>
          <w:bCs/>
          <w:i/>
          <w:iCs/>
          <w:sz w:val="20"/>
          <w:szCs w:val="20"/>
        </w:rPr>
        <w:t>n</w:t>
      </w:r>
    </w:p>
    <w:p w:rsidR="00000000" w:rsidRDefault="00AF2D19">
      <w:pPr>
        <w:pStyle w:val="a3"/>
        <w:spacing w:before="120" w:beforeAutospacing="0" w:after="0" w:afterAutospacing="0"/>
        <w:jc w:val="both"/>
        <w:rPr>
          <w:sz w:val="20"/>
          <w:szCs w:val="20"/>
        </w:rPr>
      </w:pPr>
      <w:r>
        <w:rPr>
          <w:sz w:val="20"/>
          <w:szCs w:val="20"/>
        </w:rPr>
        <w:t>We consider annual cash incentive bonuses to be an important component of our total compensation program and provides incentives necessary to retain executive officers. Each NEO i</w:t>
      </w:r>
      <w:r>
        <w:rPr>
          <w:sz w:val="20"/>
          <w:szCs w:val="20"/>
        </w:rPr>
        <w:t>s eligible to receive an annual performance-based cash bonus based on a specified target annual bonus award amount, expressed as a percentage of the NEO’s base salary. As of December 31, 2021, target bonuses were as follows</w:t>
      </w:r>
      <w:r>
        <w:rPr>
          <w:sz w:val="20"/>
          <w:szCs w:val="20"/>
        </w:rPr>
        <w:t>:</w:t>
      </w:r>
    </w:p>
    <w:p w:rsidR="00000000" w:rsidRDefault="00AF2D19">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76"/>
        <w:gridCol w:w="229"/>
        <w:gridCol w:w="96"/>
        <w:gridCol w:w="1613"/>
        <w:gridCol w:w="192"/>
      </w:tblGrid>
      <w:tr w:rsidR="00000000">
        <w:trPr>
          <w:tblCellSpacing w:w="15" w:type="dxa"/>
        </w:trPr>
        <w:tc>
          <w:tcPr>
            <w:tcW w:w="3782" w:type="pct"/>
            <w:vAlign w:val="center"/>
            <w:hideMark/>
          </w:tcPr>
          <w:p w:rsidR="00000000" w:rsidRDefault="00AF2D19">
            <w:pPr>
              <w:rPr>
                <w:sz w:val="20"/>
                <w:szCs w:val="20"/>
              </w:rPr>
            </w:pPr>
          </w:p>
        </w:tc>
        <w:tc>
          <w:tcPr>
            <w:tcW w:w="134"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986" w:type="pct"/>
            <w:vAlign w:val="center"/>
            <w:hideMark/>
          </w:tcPr>
          <w:p w:rsidR="00000000" w:rsidRDefault="00AF2D19">
            <w:pPr>
              <w:rPr>
                <w:rFonts w:eastAsia="Times New Roman"/>
                <w:sz w:val="20"/>
                <w:szCs w:val="20"/>
              </w:rPr>
            </w:pPr>
          </w:p>
        </w:tc>
        <w:tc>
          <w:tcPr>
            <w:tcW w:w="74" w:type="pct"/>
            <w:vAlign w:val="center"/>
            <w:hideMark/>
          </w:tcPr>
          <w:p w:rsidR="00000000" w:rsidRDefault="00AF2D19">
            <w:pPr>
              <w:rPr>
                <w:rFonts w:eastAsia="Times New Roman"/>
                <w:sz w:val="20"/>
                <w:szCs w:val="20"/>
              </w:rPr>
            </w:pP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b/>
                <w:bCs/>
                <w:sz w:val="14"/>
                <w:szCs w:val="14"/>
              </w:rPr>
              <w:t>Named Executive Office</w:t>
            </w:r>
            <w:r>
              <w:rPr>
                <w:b/>
                <w:bCs/>
                <w:sz w:val="14"/>
                <w:szCs w:val="14"/>
              </w:rPr>
              <w:t>r</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Target Percentag</w:t>
            </w:r>
            <w:r>
              <w:rPr>
                <w:b/>
                <w:bCs/>
                <w:sz w:val="14"/>
                <w:szCs w:val="14"/>
              </w:rPr>
              <w:t>e</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Oren Frank</w:t>
            </w:r>
            <w:r>
              <w:rPr>
                <w:sz w:val="14"/>
                <w:szCs w:val="14"/>
              </w:rPr>
              <w:t xml:space="preserve"> </w:t>
            </w:r>
            <w:r>
              <w:rPr>
                <w:sz w:val="9"/>
                <w:szCs w:val="9"/>
              </w:rPr>
              <w:t>(1</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Mark Hirschhorn</w:t>
            </w:r>
            <w:r>
              <w:rPr>
                <w:sz w:val="14"/>
                <w:szCs w:val="14"/>
              </w:rPr>
              <w:t xml:space="preserve"> </w:t>
            </w:r>
            <w:r>
              <w:rPr>
                <w:sz w:val="9"/>
                <w:szCs w:val="9"/>
              </w:rPr>
              <w:t>(1</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Jennifer Ful</w:t>
            </w:r>
            <w:r>
              <w:rPr>
                <w:sz w:val="14"/>
                <w:szCs w:val="14"/>
              </w:rPr>
              <w:t>k</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Samara H. Braunstei</w:t>
            </w:r>
            <w:r>
              <w:rPr>
                <w:sz w:val="14"/>
                <w:szCs w:val="14"/>
              </w:rPr>
              <w:t>n</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5</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Gil Margoli</w:t>
            </w:r>
            <w:r>
              <w:rPr>
                <w:sz w:val="14"/>
                <w:szCs w:val="14"/>
              </w:rPr>
              <w:t>n</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John C. Reill</w:t>
            </w:r>
            <w:r>
              <w:rPr>
                <w:sz w:val="14"/>
                <w:szCs w:val="14"/>
              </w:rPr>
              <w:t>y</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5</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Roni Frank</w:t>
            </w:r>
            <w:r>
              <w:rPr>
                <w:sz w:val="14"/>
                <w:szCs w:val="14"/>
              </w:rPr>
              <w:t xml:space="preserve"> </w:t>
            </w:r>
            <w:r>
              <w:rPr>
                <w:sz w:val="9"/>
                <w:szCs w:val="9"/>
              </w:rPr>
              <w:t>(1</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5</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bl>
    <w:p w:rsidR="00000000" w:rsidRDefault="00AF2D19">
      <w:pPr>
        <w:pStyle w:val="a3"/>
        <w:spacing w:before="120" w:beforeAutospacing="0" w:after="0" w:afterAutospacing="0"/>
        <w:jc w:val="both"/>
        <w:rPr>
          <w:sz w:val="20"/>
          <w:szCs w:val="20"/>
        </w:rPr>
      </w:pPr>
      <w:r>
        <w:rPr>
          <w:sz w:val="17"/>
          <w:szCs w:val="17"/>
        </w:rPr>
        <w:t>(1) Messrs. Frank and Hirschhorn and Ms. Frank were no longer employed as of December 31, 2021 and thus did not receive an annual bonus for 2021; however, the percentages in the table above represent each of their annual bonus target percentages as of thei</w:t>
      </w:r>
      <w:r>
        <w:rPr>
          <w:sz w:val="17"/>
          <w:szCs w:val="17"/>
        </w:rPr>
        <w:t>r dates of termination</w:t>
      </w:r>
      <w:r>
        <w:rPr>
          <w:sz w:val="17"/>
          <w:szCs w:val="17"/>
        </w:rPr>
        <w:t>.</w:t>
      </w:r>
    </w:p>
    <w:p w:rsidR="00000000" w:rsidRDefault="00AF2D19">
      <w:pPr>
        <w:pStyle w:val="a3"/>
        <w:spacing w:before="120" w:beforeAutospacing="0" w:after="0" w:afterAutospacing="0"/>
        <w:jc w:val="both"/>
        <w:rPr>
          <w:sz w:val="20"/>
          <w:szCs w:val="20"/>
        </w:rPr>
      </w:pPr>
      <w:r>
        <w:rPr>
          <w:sz w:val="20"/>
          <w:szCs w:val="20"/>
        </w:rPr>
        <w:t>Under the 2021 annual bonus program, each NEO was eligible to receive a percentage of the NEO’s target bonus opportunity, ranging from 0% to 200%, as determined by our interim Chief Executive Officer and the Board in their discretio</w:t>
      </w:r>
      <w:r>
        <w:rPr>
          <w:sz w:val="20"/>
          <w:szCs w:val="20"/>
        </w:rPr>
        <w:t>n based upon individual and Company performance in 20</w:t>
      </w:r>
      <w:r>
        <w:rPr>
          <w:sz w:val="20"/>
          <w:szCs w:val="20"/>
        </w:rPr>
        <w:t>2</w:t>
      </w:r>
      <w:r>
        <w:rPr>
          <w:sz w:val="20"/>
          <w:szCs w:val="20"/>
        </w:rPr>
        <w:t>1. Each NEO was ultimately awarded an annual bonus at 100% of target. In</w:t>
      </w:r>
      <w:r>
        <w:rPr>
          <w:sz w:val="20"/>
          <w:szCs w:val="20"/>
        </w:rPr>
        <w:t xml:space="preserve"> </w:t>
      </w:r>
      <w:r>
        <w:rPr>
          <w:sz w:val="20"/>
          <w:szCs w:val="20"/>
        </w:rPr>
        <w:t>making this determination, our interim Chief Executive Officer and the Board considered various indicators of Company and individ</w:t>
      </w:r>
      <w:r>
        <w:rPr>
          <w:sz w:val="20"/>
          <w:szCs w:val="20"/>
        </w:rPr>
        <w:t>ual performance, including the NEOs’ efforts in connection with our Business Combination and becoming a public company. Messrs. Frank and Hirschhorn and Ms. Frank were not eligible to receive a bonus with respect to 2021 since they departed from our Compan</w:t>
      </w:r>
      <w:r>
        <w:rPr>
          <w:sz w:val="20"/>
          <w:szCs w:val="20"/>
        </w:rPr>
        <w:t>y during the year</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The NEOs’ 2021 performance bonuses are set forth in the column entitled “Bonus” in the “Summary Compensation Table” below</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addition to her annual performance-based cash bonus, Jennifer Fulk also received a $200,000 signing bonus ass</w:t>
      </w:r>
      <w:r>
        <w:rPr>
          <w:sz w:val="20"/>
          <w:szCs w:val="20"/>
        </w:rPr>
        <w:t>ociated with her commencing employment as our Chief Financial Officer. This signing bonus was paid at the completion of her first thirty days of employment pursuant to the terms of her offer letter, which is further described below under</w:t>
      </w:r>
      <w:r>
        <w:rPr>
          <w:sz w:val="20"/>
          <w:szCs w:val="20"/>
        </w:rPr>
        <w:t xml:space="preserve"> </w:t>
      </w:r>
      <w:r>
        <w:rPr>
          <w:i/>
          <w:iCs/>
          <w:sz w:val="20"/>
          <w:szCs w:val="20"/>
        </w:rPr>
        <w:t>“Executive Employm</w:t>
      </w:r>
      <w:r>
        <w:rPr>
          <w:i/>
          <w:iCs/>
          <w:sz w:val="20"/>
          <w:szCs w:val="20"/>
        </w:rPr>
        <w:t>ent Agreements</w:t>
      </w:r>
      <w:r>
        <w:rPr>
          <w:i/>
          <w:iCs/>
          <w:sz w:val="20"/>
          <w:szCs w:val="20"/>
        </w:rPr>
        <w:t>”</w:t>
      </w:r>
      <w:r>
        <w:rPr>
          <w:sz w:val="20"/>
          <w:szCs w:val="20"/>
        </w:rPr>
        <w:t>.</w:t>
      </w:r>
    </w:p>
    <w:p w:rsidR="00000000" w:rsidRDefault="00AF2D19">
      <w:pPr>
        <w:pStyle w:val="a3"/>
        <w:spacing w:before="120" w:beforeAutospacing="0" w:after="0" w:afterAutospacing="0"/>
        <w:rPr>
          <w:sz w:val="20"/>
          <w:szCs w:val="20"/>
        </w:rPr>
      </w:pPr>
      <w:r>
        <w:rPr>
          <w:b/>
          <w:bCs/>
          <w:i/>
          <w:iCs/>
          <w:sz w:val="20"/>
          <w:szCs w:val="20"/>
        </w:rPr>
        <w:t>Equity-Based Long-Term Incentive Award</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We view equity-based compensation as a critical component of our balanced total compensation program. Equity-based compensation creates an ownership culture among our employees that provides an incen</w:t>
      </w:r>
      <w:r>
        <w:rPr>
          <w:sz w:val="20"/>
          <w:szCs w:val="20"/>
        </w:rPr>
        <w:t>tive to contribute to the continued growth and development of our business and aligns interest of executives with those of our stockholders. We do not currently have any formal policy for determining the number of equity-based awards to grant to NEOs</w:t>
      </w:r>
      <w:r>
        <w:rPr>
          <w:sz w:val="20"/>
          <w:szCs w:val="20"/>
        </w:rPr>
        <w:t>.</w:t>
      </w:r>
    </w:p>
    <w:p w:rsidR="00000000" w:rsidRDefault="00AF2D19">
      <w:pPr>
        <w:pStyle w:val="a3"/>
        <w:spacing w:before="120" w:beforeAutospacing="0" w:after="0" w:afterAutospacing="0"/>
        <w:jc w:val="both"/>
        <w:rPr>
          <w:sz w:val="20"/>
          <w:szCs w:val="20"/>
        </w:rPr>
      </w:pPr>
      <w:r>
        <w:rPr>
          <w:sz w:val="20"/>
          <w:szCs w:val="20"/>
        </w:rPr>
        <w:t>We b</w:t>
      </w:r>
      <w:r>
        <w:rPr>
          <w:sz w:val="20"/>
          <w:szCs w:val="20"/>
        </w:rPr>
        <w:t>elieve it is essential to provide equity-based compensation to our executive officers in order to link the interests and risks of our executive officers with those of our stockholders, reinforcing our commitment to ensuring a strong linkage between company</w:t>
      </w:r>
      <w:r>
        <w:rPr>
          <w:sz w:val="20"/>
          <w:szCs w:val="20"/>
        </w:rPr>
        <w:t xml:space="preserve"> performance and pay</w:t>
      </w:r>
      <w:r>
        <w:rPr>
          <w:sz w:val="20"/>
          <w:szCs w:val="20"/>
        </w:rPr>
        <w:t>.</w:t>
      </w:r>
    </w:p>
    <w:p w:rsidR="00000000" w:rsidRDefault="00AF2D19">
      <w:pPr>
        <w:pStyle w:val="a3"/>
        <w:spacing w:before="120" w:beforeAutospacing="0" w:after="0" w:afterAutospacing="0"/>
        <w:jc w:val="both"/>
        <w:rPr>
          <w:sz w:val="20"/>
          <w:szCs w:val="20"/>
        </w:rPr>
      </w:pPr>
      <w:r>
        <w:rPr>
          <w:sz w:val="20"/>
          <w:szCs w:val="20"/>
        </w:rPr>
        <w:t>In 2021, we maintained the 2014 Stock Incentive Plan (the “2014 Plan”), which was terminated in connection with the closing of the Business Combination. Under the 2014 Plan, we offered awards of stock options to eligible service provi</w:t>
      </w:r>
      <w:r>
        <w:rPr>
          <w:sz w:val="20"/>
          <w:szCs w:val="20"/>
        </w:rPr>
        <w:t>ders, including our NEOs. In connection with the closing of the Business Combination and the adoption of the 2021 Incentive Award Plan (the “2021 Plan”), no further awards will be granted under the 2014 Plan; however, any outstanding awards granted under t</w:t>
      </w:r>
      <w:r>
        <w:rPr>
          <w:sz w:val="20"/>
          <w:szCs w:val="20"/>
        </w:rPr>
        <w:t>he 2014 Plan will remain outstanding, subject to the terms of the 2014 Plan and any applicable award agreement. Options granted prior to the Business Combination generally vest over four years in 48 equal monthly installments and awards granted following t</w:t>
      </w:r>
      <w:r>
        <w:rPr>
          <w:sz w:val="20"/>
          <w:szCs w:val="20"/>
        </w:rPr>
        <w:t>he Business Combination generally vest over four years in 16 equal quarterly installments, in each case subject to continued service; however, new employee grants (both prior to and following the Business Combination) are generally subject to one year of c</w:t>
      </w:r>
      <w:r>
        <w:rPr>
          <w:sz w:val="20"/>
          <w:szCs w:val="20"/>
        </w:rPr>
        <w:t>liff vesting followed by equal monthly or quarterly installments thereafter, as applicable</w:t>
      </w:r>
      <w:r>
        <w:rPr>
          <w:sz w:val="20"/>
          <w:szCs w:val="20"/>
        </w:rPr>
        <w:t>.</w:t>
      </w:r>
      <w:r>
        <w:rPr>
          <w:sz w:val="20"/>
          <w:szCs w:val="20"/>
        </w:rPr>
        <w:t xml:space="preserve">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10</w:t>
      </w:r>
      <w:r>
        <w:rPr>
          <w:sz w:val="20"/>
          <w:szCs w:val="20"/>
        </w:rPr>
        <w:t>9</w:t>
      </w:r>
    </w:p>
    <w:p w:rsidR="00000000" w:rsidRDefault="00AF2D19">
      <w:pPr>
        <w:rPr>
          <w:rFonts w:eastAsia="Times New Roman"/>
        </w:rPr>
      </w:pPr>
      <w:r>
        <w:rPr>
          <w:rFonts w:eastAsia="Times New Roman"/>
        </w:rPr>
        <w:pict>
          <v:rect id="_x0000_i1137"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240" w:afterAutospacing="0"/>
        <w:jc w:val="both"/>
        <w:rPr>
          <w:sz w:val="20"/>
          <w:szCs w:val="20"/>
        </w:rPr>
      </w:pPr>
      <w:r>
        <w:rPr>
          <w:sz w:val="20"/>
          <w:szCs w:val="20"/>
        </w:rPr>
        <w:t>In 2021, we granted equity-based compensation to our NEOs in the form o</w:t>
      </w:r>
      <w:r>
        <w:rPr>
          <w:sz w:val="20"/>
          <w:szCs w:val="20"/>
        </w:rPr>
        <w:t>f the following grants of stock options and RSUs</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2"/>
        <w:gridCol w:w="157"/>
        <w:gridCol w:w="96"/>
        <w:gridCol w:w="1487"/>
        <w:gridCol w:w="95"/>
        <w:gridCol w:w="158"/>
        <w:gridCol w:w="95"/>
        <w:gridCol w:w="1486"/>
        <w:gridCol w:w="110"/>
      </w:tblGrid>
      <w:tr w:rsidR="00000000">
        <w:trPr>
          <w:tblCellSpacing w:w="15" w:type="dxa"/>
        </w:trPr>
        <w:tc>
          <w:tcPr>
            <w:tcW w:w="2872" w:type="pct"/>
            <w:vAlign w:val="center"/>
            <w:hideMark/>
          </w:tcPr>
          <w:p w:rsidR="00000000" w:rsidRDefault="00AF2D19">
            <w:pPr>
              <w:rPr>
                <w:sz w:val="20"/>
                <w:szCs w:val="20"/>
              </w:rPr>
            </w:pPr>
          </w:p>
        </w:tc>
        <w:tc>
          <w:tcPr>
            <w:tcW w:w="95"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924"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95"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923"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b/>
                <w:bCs/>
                <w:sz w:val="14"/>
                <w:szCs w:val="14"/>
              </w:rPr>
              <w:t>Nam</w:t>
            </w:r>
            <w:r>
              <w:rPr>
                <w:b/>
                <w:bCs/>
                <w:sz w:val="14"/>
                <w:szCs w:val="14"/>
              </w:rPr>
              <w:t>e</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Number of Shares Underlying Stock Option</w:t>
            </w:r>
            <w:r>
              <w:rPr>
                <w:b/>
                <w:bCs/>
                <w:sz w:val="14"/>
                <w:szCs w:val="14"/>
              </w:rPr>
              <w:t>s</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Number of RSU</w:t>
            </w:r>
            <w:r>
              <w:rPr>
                <w:b/>
                <w:bCs/>
                <w:sz w:val="14"/>
                <w:szCs w:val="14"/>
              </w:rPr>
              <w:t>s</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Oren Fran</w:t>
            </w:r>
            <w:r>
              <w:rPr>
                <w:sz w:val="14"/>
                <w:szCs w:val="14"/>
              </w:rPr>
              <w:t>k</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1,732,50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433,12</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Mark Hirschhor</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990,00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247,50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Jennifer Ful</w:t>
            </w:r>
            <w:r>
              <w:rPr>
                <w:sz w:val="14"/>
                <w:szCs w:val="14"/>
              </w:rPr>
              <w:t>k</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492,60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123,75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Samara H. Braunstei</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1,013,70</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123,75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Gil Margoli</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495,00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123,75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John C. Reill</w:t>
            </w:r>
            <w:r>
              <w:rPr>
                <w:sz w:val="14"/>
                <w:szCs w:val="14"/>
              </w:rPr>
              <w:t>y</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247,50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61,87</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Roni Fran</w:t>
            </w:r>
            <w:r>
              <w:rPr>
                <w:sz w:val="14"/>
                <w:szCs w:val="14"/>
              </w:rPr>
              <w:t>k</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495,00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123,75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240" w:beforeAutospacing="0" w:after="0" w:afterAutospacing="0"/>
        <w:jc w:val="both"/>
        <w:rPr>
          <w:sz w:val="20"/>
          <w:szCs w:val="20"/>
        </w:rPr>
      </w:pPr>
      <w:r>
        <w:rPr>
          <w:sz w:val="20"/>
          <w:szCs w:val="20"/>
        </w:rPr>
        <w:t>Both the option grants and the RSU grants were intended to retain and incentivize our NEOs to lead our company to sustained, long-term superior financial and operational performance and were approved following consideration of the factors set forth above u</w:t>
      </w:r>
      <w:r>
        <w:rPr>
          <w:sz w:val="20"/>
          <w:szCs w:val="20"/>
        </w:rPr>
        <w:t>nder</w:t>
      </w:r>
      <w:r>
        <w:rPr>
          <w:sz w:val="20"/>
          <w:szCs w:val="20"/>
        </w:rPr>
        <w:t xml:space="preserve"> </w:t>
      </w:r>
      <w:r>
        <w:rPr>
          <w:i/>
          <w:iCs/>
          <w:sz w:val="20"/>
          <w:szCs w:val="20"/>
        </w:rPr>
        <w:t>“Determination of Executive Compensation</w:t>
      </w:r>
      <w:r>
        <w:rPr>
          <w:i/>
          <w:iCs/>
          <w:sz w:val="20"/>
          <w:szCs w:val="20"/>
        </w:rPr>
        <w:t>”</w:t>
      </w:r>
      <w:r>
        <w:rPr>
          <w:sz w:val="20"/>
          <w:szCs w:val="20"/>
        </w:rPr>
        <w:t>.</w:t>
      </w:r>
    </w:p>
    <w:p w:rsidR="00000000" w:rsidRDefault="00AF2D19">
      <w:pPr>
        <w:pStyle w:val="a3"/>
        <w:spacing w:before="120" w:beforeAutospacing="0" w:after="0" w:afterAutospacing="0"/>
        <w:rPr>
          <w:sz w:val="20"/>
          <w:szCs w:val="20"/>
        </w:rPr>
      </w:pPr>
      <w:r>
        <w:rPr>
          <w:b/>
          <w:bCs/>
          <w:i/>
          <w:iCs/>
          <w:sz w:val="20"/>
          <w:szCs w:val="20"/>
        </w:rPr>
        <w:t>Retirement Savings, Health and Welfare Benefit</w:t>
      </w:r>
      <w:r>
        <w:rPr>
          <w:b/>
          <w:bCs/>
          <w:i/>
          <w:iCs/>
          <w:sz w:val="20"/>
          <w:szCs w:val="20"/>
        </w:rPr>
        <w:t>s</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maintain a 401(k) retirement savings plan for our employees, including our NEOs, who satisfy certain eligibility requirements. Our NEOs are eligible to part</w:t>
      </w:r>
      <w:r>
        <w:rPr>
          <w:sz w:val="20"/>
          <w:szCs w:val="20"/>
        </w:rPr>
        <w:t xml:space="preserve">icipate in the 401(k) plan on the same terms as other full-time employees. The Internal Revenue Code (the “Code”) allows eligible employees to defer a portion of their compensation, within prescribed limits, on a pre-tax basis through contributions to the </w:t>
      </w:r>
      <w:r>
        <w:rPr>
          <w:sz w:val="20"/>
          <w:szCs w:val="20"/>
        </w:rPr>
        <w:t>401(k) plan. Currently, we match contributions made by participants in the 401(k) plan up to a specified percentage of the employee contributions, and these matching contributions are fully-vested as of the date on which the contribution is made. We believ</w:t>
      </w:r>
      <w:r>
        <w:rPr>
          <w:sz w:val="20"/>
          <w:szCs w:val="20"/>
        </w:rPr>
        <w:t xml:space="preserve">e that providing a vehicle for tax-deferred retirement savings though our 401(k) plan, and making fully vested matching contributions, adds to the overall desirability of our executive compensation package and further incentivizes our employees, including </w:t>
      </w:r>
      <w:r>
        <w:rPr>
          <w:sz w:val="20"/>
          <w:szCs w:val="20"/>
        </w:rPr>
        <w:t>our NEOs, in accordance with our compensation policies</w:t>
      </w:r>
      <w:r>
        <w:rPr>
          <w:sz w:val="20"/>
          <w:szCs w:val="20"/>
        </w:rPr>
        <w:t>.</w:t>
      </w:r>
    </w:p>
    <w:p w:rsidR="00000000" w:rsidRDefault="00AF2D19">
      <w:pPr>
        <w:pStyle w:val="a3"/>
        <w:spacing w:before="120" w:beforeAutospacing="0" w:after="0" w:afterAutospacing="0"/>
        <w:rPr>
          <w:sz w:val="20"/>
          <w:szCs w:val="20"/>
        </w:rPr>
      </w:pPr>
      <w:r>
        <w:rPr>
          <w:b/>
          <w:bCs/>
          <w:i/>
          <w:iCs/>
          <w:sz w:val="20"/>
          <w:szCs w:val="20"/>
        </w:rPr>
        <w:t>Employee Benefits and Perquisite</w:t>
      </w:r>
      <w:r>
        <w:rPr>
          <w:b/>
          <w:bCs/>
          <w:i/>
          <w:iCs/>
          <w:sz w:val="20"/>
          <w:szCs w:val="20"/>
        </w:rPr>
        <w:t>s</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All of our full-time employees, including our NEOs, are eligible to participate in our health and welfare plans, including medical, dental and vision benefits, medic</w:t>
      </w:r>
      <w:r>
        <w:rPr>
          <w:sz w:val="20"/>
          <w:szCs w:val="20"/>
        </w:rPr>
        <w:t>al and dependent care flexible spending accounts, short-term and long-term disability insurance, and life insurance. We believe the benefits described above are necessary and appropriate to provide a competitive compensation package to our NEOs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do not</w:t>
      </w:r>
      <w:r>
        <w:rPr>
          <w:sz w:val="20"/>
          <w:szCs w:val="20"/>
        </w:rPr>
        <w:t xml:space="preserve"> currently provide perquisites to our NEOs, and we do not view perquisites or other personal benefits as a significant component of our executive compensation program. In the future, we may provide perquisites or other personal benefits in limited circumst</w:t>
      </w:r>
      <w:r>
        <w:rPr>
          <w:sz w:val="20"/>
          <w:szCs w:val="20"/>
        </w:rPr>
        <w:t>ances, such as where we believe it is appropriate to assist an individual executive officer in the performance of the executive’s duties, to make our executive officers more efficient and effective, and for recruitment, motivation, or retention purposes. A</w:t>
      </w:r>
      <w:r>
        <w:rPr>
          <w:sz w:val="20"/>
          <w:szCs w:val="20"/>
        </w:rPr>
        <w:t>ll future practices with respect to perquisites or other personal benefits will be approved by the Compensation Committee</w:t>
      </w:r>
      <w:r>
        <w:rPr>
          <w:sz w:val="20"/>
          <w:szCs w:val="20"/>
        </w:rPr>
        <w:t>.</w:t>
      </w:r>
    </w:p>
    <w:p w:rsidR="00000000" w:rsidRDefault="00AF2D19">
      <w:pPr>
        <w:pStyle w:val="a3"/>
        <w:spacing w:before="120" w:beforeAutospacing="0" w:after="0" w:afterAutospacing="0"/>
        <w:jc w:val="both"/>
        <w:rPr>
          <w:sz w:val="20"/>
          <w:szCs w:val="20"/>
        </w:rPr>
      </w:pPr>
      <w:r>
        <w:rPr>
          <w:sz w:val="20"/>
          <w:szCs w:val="20"/>
        </w:rPr>
        <w:t>We do not generally provide any tax “gross ups” to our NEOs</w:t>
      </w:r>
      <w:r>
        <w:rPr>
          <w:sz w:val="20"/>
          <w:szCs w:val="20"/>
        </w:rPr>
        <w:t>.</w:t>
      </w:r>
      <w:r>
        <w:rPr>
          <w:sz w:val="20"/>
          <w:szCs w:val="20"/>
        </w:rPr>
        <w:t xml:space="preserve"> </w:t>
      </w:r>
    </w:p>
    <w:p w:rsidR="00000000" w:rsidRDefault="00AF2D19">
      <w:pPr>
        <w:pStyle w:val="a3"/>
        <w:spacing w:before="120" w:beforeAutospacing="0" w:after="0" w:afterAutospacing="0"/>
        <w:rPr>
          <w:sz w:val="20"/>
          <w:szCs w:val="20"/>
        </w:rPr>
      </w:pPr>
      <w:r>
        <w:rPr>
          <w:b/>
          <w:bCs/>
          <w:i/>
          <w:iCs/>
          <w:sz w:val="20"/>
          <w:szCs w:val="20"/>
        </w:rPr>
        <w:t>Severance and Change in Control Arrangement</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In connection with the Bus</w:t>
      </w:r>
      <w:r>
        <w:rPr>
          <w:sz w:val="20"/>
          <w:szCs w:val="20"/>
        </w:rPr>
        <w:t xml:space="preserve">iness Combination, we adopted our Executive Severance Plan (as amended and restated, the </w:t>
      </w:r>
      <w:r>
        <w:rPr>
          <w:sz w:val="20"/>
          <w:szCs w:val="20"/>
        </w:rPr>
        <w:t>“</w:t>
      </w:r>
      <w:r>
        <w:rPr>
          <w:sz w:val="20"/>
          <w:szCs w:val="20"/>
          <w:u w:val="single"/>
        </w:rPr>
        <w:t>Executive Severance Pla</w:t>
      </w:r>
      <w:r>
        <w:rPr>
          <w:sz w:val="20"/>
          <w:szCs w:val="20"/>
          <w:u w:val="single"/>
        </w:rPr>
        <w:t>n</w:t>
      </w:r>
      <w:r>
        <w:rPr>
          <w:sz w:val="20"/>
          <w:szCs w:val="20"/>
        </w:rPr>
        <w:t>”), which provides certain of our executives, including our NEOs, with severance benefits and payments upon certain terminations without cause</w:t>
      </w:r>
      <w:r>
        <w:rPr>
          <w:sz w:val="20"/>
          <w:szCs w:val="20"/>
        </w:rPr>
        <w:t xml:space="preserve"> or resignations for good reason. Our Compensation Committee believes that the Executive Severance Plan is necessary to attract and retain executive talent and is a customary component of executive compensation. In particular, the Executive Severance Plan </w:t>
      </w:r>
      <w:r>
        <w:rPr>
          <w:sz w:val="20"/>
          <w:szCs w:val="20"/>
        </w:rPr>
        <w:t xml:space="preserve">can mitigate a potential disincentive for our NEOs when they are evaluating a potential acquisition of the Company and can encourage retention through the conclusion of the transaction. The payments and benefits provided under the Executive Severance Plan </w:t>
      </w:r>
      <w:r>
        <w:rPr>
          <w:sz w:val="20"/>
          <w:szCs w:val="20"/>
        </w:rPr>
        <w:t xml:space="preserve">are designed to be competitive with market practices. A description of the Executive Severance Plan, as well as information on the estimated payments and benefits that our NEOs would have been eligible to receive as of December 31, 2021, are set forth in </w:t>
      </w:r>
      <w:r>
        <w:rPr>
          <w:sz w:val="20"/>
          <w:szCs w:val="20"/>
        </w:rPr>
        <w:t>“</w:t>
      </w:r>
      <w:r>
        <w:rPr>
          <w:i/>
          <w:iCs/>
          <w:sz w:val="20"/>
          <w:szCs w:val="20"/>
        </w:rPr>
        <w:t>Potential Payments Upon Termination or Change in Control”</w:t>
      </w:r>
      <w:r>
        <w:rPr>
          <w:i/>
          <w:iCs/>
          <w:sz w:val="20"/>
          <w:szCs w:val="20"/>
        </w:rPr>
        <w:t xml:space="preserve"> </w:t>
      </w:r>
      <w:r>
        <w:rPr>
          <w:sz w:val="20"/>
          <w:szCs w:val="20"/>
        </w:rPr>
        <w:t>below</w:t>
      </w:r>
      <w:r>
        <w:rPr>
          <w:sz w:val="20"/>
          <w:szCs w:val="20"/>
        </w:rPr>
        <w:t>.</w:t>
      </w:r>
      <w:r>
        <w:rPr>
          <w:sz w:val="20"/>
          <w:szCs w:val="20"/>
        </w:rPr>
        <w:t xml:space="preserve"> </w:t>
      </w:r>
    </w:p>
    <w:p w:rsidR="00000000" w:rsidRDefault="00AF2D19">
      <w:pPr>
        <w:pStyle w:val="a3"/>
        <w:spacing w:before="120" w:beforeAutospacing="0" w:after="0" w:afterAutospacing="0"/>
        <w:rPr>
          <w:sz w:val="20"/>
          <w:szCs w:val="20"/>
        </w:rPr>
      </w:pPr>
      <w:r>
        <w:rPr>
          <w:b/>
          <w:bCs/>
          <w:i/>
          <w:iCs/>
          <w:sz w:val="20"/>
          <w:szCs w:val="20"/>
        </w:rPr>
        <w:t>Other Policies and Consideration</w:t>
      </w:r>
      <w:r>
        <w:rPr>
          <w:b/>
          <w:bCs/>
          <w:i/>
          <w:iCs/>
          <w:sz w:val="20"/>
          <w:szCs w:val="20"/>
        </w:rPr>
        <w:t>s</w:t>
      </w:r>
    </w:p>
    <w:p w:rsidR="00000000" w:rsidRDefault="00AF2D19">
      <w:pPr>
        <w:pStyle w:val="a3"/>
        <w:spacing w:before="120" w:beforeAutospacing="0" w:after="0" w:afterAutospacing="0"/>
        <w:jc w:val="both"/>
        <w:rPr>
          <w:sz w:val="20"/>
          <w:szCs w:val="20"/>
        </w:rPr>
      </w:pPr>
      <w:r>
        <w:rPr>
          <w:b/>
          <w:bCs/>
          <w:i/>
          <w:iCs/>
          <w:sz w:val="20"/>
          <w:szCs w:val="20"/>
        </w:rPr>
        <w:t>Clawback Polic</w:t>
      </w:r>
      <w:r>
        <w:rPr>
          <w:b/>
          <w:bCs/>
          <w:i/>
          <w:iCs/>
          <w:sz w:val="20"/>
          <w:szCs w:val="20"/>
        </w:rPr>
        <w:t>y</w:t>
      </w:r>
      <w:r>
        <w:rPr>
          <w:sz w:val="20"/>
          <w:szCs w:val="20"/>
        </w:rPr>
        <w:t>. We believe in maintaining best practices for our executive compensation program. Consistent with that belief, our board of directors has ad</w:t>
      </w:r>
      <w:r>
        <w:rPr>
          <w:sz w:val="20"/>
          <w:szCs w:val="20"/>
        </w:rPr>
        <w:t>opted a “clawback” policy with respect to excess incentive-based cash and equity compensation in the event our publicly disclosed financial statements are required to be restated due to material noncompliance with any financial reporting requirement. Where</w:t>
      </w:r>
      <w:r>
        <w:rPr>
          <w:sz w:val="20"/>
          <w:szCs w:val="20"/>
        </w:rPr>
        <w:t xml:space="preserve"> such a restatement has occurred, the policy provides the Compensation Committee with th</w:t>
      </w:r>
      <w:r>
        <w:rPr>
          <w:sz w:val="20"/>
          <w:szCs w:val="20"/>
        </w:rPr>
        <w:t>e</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11</w:t>
      </w:r>
      <w:r>
        <w:rPr>
          <w:sz w:val="20"/>
          <w:szCs w:val="20"/>
        </w:rPr>
        <w:t>0</w:t>
      </w:r>
    </w:p>
    <w:p w:rsidR="00000000" w:rsidRDefault="00AF2D19">
      <w:pPr>
        <w:rPr>
          <w:rFonts w:eastAsia="Times New Roman"/>
        </w:rPr>
      </w:pPr>
      <w:r>
        <w:rPr>
          <w:rFonts w:eastAsia="Times New Roman"/>
        </w:rPr>
        <w:pict>
          <v:rect id="_x0000_i1138"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120" w:beforeAutospacing="0" w:after="0" w:afterAutospacing="0"/>
        <w:jc w:val="both"/>
        <w:rPr>
          <w:sz w:val="20"/>
          <w:szCs w:val="20"/>
        </w:rPr>
      </w:pPr>
      <w:r>
        <w:rPr>
          <w:sz w:val="20"/>
          <w:szCs w:val="20"/>
        </w:rPr>
        <w:t>discretion to recover cash incentives, equity awards or other incentive compensation of employees to the extent such compensation would have been reduced if calculated und</w:t>
      </w:r>
      <w:r>
        <w:rPr>
          <w:sz w:val="20"/>
          <w:szCs w:val="20"/>
        </w:rPr>
        <w:t>er the restatement, regardless of whether the employee was responsible for the restatement. Additionally, the policy provides the Compensation Committee with the discretion to recover cash incentives, equity awards or other incentive compensation of employ</w:t>
      </w:r>
      <w:r>
        <w:rPr>
          <w:sz w:val="20"/>
          <w:szCs w:val="20"/>
        </w:rPr>
        <w:t>ees who have engaged in behavior that is intentional or in reckless disregard of the employee’s duties to the Company or in material violation of the Company’s code of conduct, any other Company policy, or a law or regulation</w:t>
      </w:r>
      <w:r>
        <w:rPr>
          <w:sz w:val="20"/>
          <w:szCs w:val="20"/>
        </w:rPr>
        <w:t>.</w:t>
      </w:r>
    </w:p>
    <w:p w:rsidR="00000000" w:rsidRDefault="00AF2D19">
      <w:pPr>
        <w:pStyle w:val="a3"/>
        <w:spacing w:before="120" w:beforeAutospacing="0" w:after="0" w:afterAutospacing="0"/>
        <w:jc w:val="both"/>
        <w:rPr>
          <w:sz w:val="20"/>
          <w:szCs w:val="20"/>
        </w:rPr>
      </w:pPr>
      <w:r>
        <w:rPr>
          <w:b/>
          <w:bCs/>
          <w:i/>
          <w:iCs/>
          <w:sz w:val="20"/>
          <w:szCs w:val="20"/>
        </w:rPr>
        <w:t>Stock Ownership Guideline</w:t>
      </w:r>
      <w:r>
        <w:rPr>
          <w:b/>
          <w:bCs/>
          <w:i/>
          <w:iCs/>
          <w:sz w:val="20"/>
          <w:szCs w:val="20"/>
        </w:rPr>
        <w:t>s</w:t>
      </w:r>
      <w:r>
        <w:rPr>
          <w:sz w:val="20"/>
          <w:szCs w:val="20"/>
        </w:rPr>
        <w:t>. E</w:t>
      </w:r>
      <w:r>
        <w:rPr>
          <w:sz w:val="20"/>
          <w:szCs w:val="20"/>
        </w:rPr>
        <w:t>ffective June 22, 2021, the Board adopted stock ownership guidelines that are applicable to our executive officers, including our NEOs, and to our non-employee directors. Our executive officers and non-employee directors are expected to satisfy the applica</w:t>
      </w:r>
      <w:r>
        <w:rPr>
          <w:sz w:val="20"/>
          <w:szCs w:val="20"/>
        </w:rPr>
        <w:t xml:space="preserve">ble guidelines based on a base salary or annual retainer multiple, as applicable, within five years of the later of (i) the effective date of the guidelines, and (ii) the date of such individual’s appointment to a position with the Company that is subject </w:t>
      </w:r>
      <w:r>
        <w:rPr>
          <w:sz w:val="20"/>
          <w:szCs w:val="20"/>
        </w:rPr>
        <w:t>to such guidelines, and to hold at least the applicable minimum value in shares of common stock for so long as they are an executive officer or non-employee director, as applicable. We believe that stock ownership guidelines align the interests of our offi</w:t>
      </w:r>
      <w:r>
        <w:rPr>
          <w:sz w:val="20"/>
          <w:szCs w:val="20"/>
        </w:rPr>
        <w:t>cers and directors with our stockholders and encourage long-term management of the Company for the benefit of its stockholders</w:t>
      </w:r>
      <w:r>
        <w:rPr>
          <w:sz w:val="20"/>
          <w:szCs w:val="20"/>
        </w:rPr>
        <w:t>.</w:t>
      </w:r>
    </w:p>
    <w:p w:rsidR="00000000" w:rsidRDefault="00AF2D19">
      <w:pPr>
        <w:pStyle w:val="a3"/>
        <w:spacing w:before="120" w:beforeAutospacing="0" w:after="0" w:afterAutospacing="0"/>
        <w:jc w:val="both"/>
        <w:rPr>
          <w:sz w:val="20"/>
          <w:szCs w:val="20"/>
        </w:rPr>
      </w:pPr>
      <w:r>
        <w:rPr>
          <w:sz w:val="20"/>
          <w:szCs w:val="20"/>
        </w:rPr>
        <w:t> </w:t>
      </w:r>
    </w:p>
    <w:tbl>
      <w:tblPr>
        <w:tblW w:w="3300" w:type="pct"/>
        <w:tblCellSpacing w:w="15" w:type="dxa"/>
        <w:tblCellMar>
          <w:top w:w="15" w:type="dxa"/>
          <w:left w:w="15" w:type="dxa"/>
          <w:bottom w:w="15" w:type="dxa"/>
          <w:right w:w="15" w:type="dxa"/>
        </w:tblCellMar>
        <w:tblLook w:val="04A0" w:firstRow="1" w:lastRow="0" w:firstColumn="1" w:lastColumn="0" w:noHBand="0" w:noVBand="1"/>
      </w:tblPr>
      <w:tblGrid>
        <w:gridCol w:w="2577"/>
        <w:gridCol w:w="2905"/>
      </w:tblGrid>
      <w:tr w:rsidR="00000000">
        <w:trPr>
          <w:tblCellSpacing w:w="15" w:type="dxa"/>
        </w:trPr>
        <w:tc>
          <w:tcPr>
            <w:tcW w:w="2348" w:type="pct"/>
            <w:vAlign w:val="center"/>
            <w:hideMark/>
          </w:tcPr>
          <w:p w:rsidR="00000000" w:rsidRDefault="00AF2D19">
            <w:pPr>
              <w:rPr>
                <w:sz w:val="20"/>
                <w:szCs w:val="20"/>
              </w:rPr>
            </w:pPr>
          </w:p>
        </w:tc>
        <w:tc>
          <w:tcPr>
            <w:tcW w:w="2651"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7"/>
                <w:szCs w:val="17"/>
              </w:rPr>
            </w:pPr>
            <w:r>
              <w:rPr>
                <w:b/>
                <w:bCs/>
                <w:sz w:val="17"/>
                <w:szCs w:val="17"/>
              </w:rPr>
              <w:t>Participan</w:t>
            </w:r>
            <w:r>
              <w:rPr>
                <w:b/>
                <w:bCs/>
                <w:sz w:val="17"/>
                <w:szCs w:val="17"/>
              </w:rPr>
              <w:t>t</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7"/>
                <w:szCs w:val="17"/>
              </w:rPr>
            </w:pPr>
            <w:r>
              <w:rPr>
                <w:b/>
                <w:bCs/>
                <w:sz w:val="17"/>
                <w:szCs w:val="17"/>
              </w:rPr>
              <w:t>Salary/Cash Retainer Multiple Threshold ($</w:t>
            </w:r>
            <w:r>
              <w:rPr>
                <w:b/>
                <w:bCs/>
                <w:sz w:val="17"/>
                <w:szCs w:val="17"/>
              </w:rPr>
              <w:t>)</w:t>
            </w:r>
          </w:p>
        </w:tc>
      </w:tr>
      <w:tr w:rsidR="00000000">
        <w:trPr>
          <w:trHeight w:val="20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Chief Executive Office</w:t>
            </w:r>
            <w:r>
              <w:rPr>
                <w:sz w:val="20"/>
                <w:szCs w:val="20"/>
              </w:rPr>
              <w:t>r</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5x annual base salar</w:t>
            </w:r>
            <w:r>
              <w:rPr>
                <w:sz w:val="20"/>
                <w:szCs w:val="20"/>
              </w:rPr>
              <w:t>y</w:t>
            </w:r>
          </w:p>
        </w:tc>
      </w:tr>
      <w:tr w:rsidR="00000000">
        <w:trPr>
          <w:trHeight w:val="20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Chief Operating Off</w:t>
            </w:r>
            <w:r>
              <w:rPr>
                <w:sz w:val="20"/>
                <w:szCs w:val="20"/>
              </w:rPr>
              <w:t>ice</w:t>
            </w:r>
            <w:r>
              <w:rPr>
                <w:sz w:val="20"/>
                <w:szCs w:val="20"/>
              </w:rPr>
              <w:t>r</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3x annual base salar</w:t>
            </w:r>
            <w:r>
              <w:rPr>
                <w:sz w:val="20"/>
                <w:szCs w:val="20"/>
              </w:rPr>
              <w:t>y</w:t>
            </w:r>
          </w:p>
        </w:tc>
      </w:tr>
      <w:tr w:rsidR="00000000">
        <w:trPr>
          <w:trHeight w:val="20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Other Employee Participant</w:t>
            </w:r>
            <w:r>
              <w:rPr>
                <w:sz w:val="20"/>
                <w:szCs w:val="20"/>
              </w:rPr>
              <w:t>s</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2x annual base salar</w:t>
            </w:r>
            <w:r>
              <w:rPr>
                <w:sz w:val="20"/>
                <w:szCs w:val="20"/>
              </w:rPr>
              <w:t>y</w:t>
            </w:r>
          </w:p>
        </w:tc>
      </w:tr>
      <w:tr w:rsidR="00000000">
        <w:trPr>
          <w:trHeight w:val="20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Director</w:t>
            </w:r>
            <w:r>
              <w:rPr>
                <w:sz w:val="20"/>
                <w:szCs w:val="20"/>
              </w:rPr>
              <w:t>s</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5x annual cash retainer (not including committee retainers</w:t>
            </w:r>
            <w:r>
              <w:rPr>
                <w:sz w:val="20"/>
                <w:szCs w:val="20"/>
              </w:rPr>
              <w:t>)</w:t>
            </w:r>
          </w:p>
        </w:tc>
      </w:tr>
    </w:tbl>
    <w:p w:rsidR="00000000" w:rsidRDefault="00AF2D19">
      <w:pPr>
        <w:pStyle w:val="a3"/>
        <w:spacing w:before="120" w:beforeAutospacing="0" w:after="0" w:afterAutospacing="0"/>
        <w:jc w:val="both"/>
        <w:rPr>
          <w:sz w:val="20"/>
          <w:szCs w:val="20"/>
        </w:rPr>
      </w:pPr>
      <w:r>
        <w:rPr>
          <w:sz w:val="20"/>
          <w:szCs w:val="20"/>
        </w:rPr>
        <w:t> </w:t>
      </w:r>
    </w:p>
    <w:p w:rsidR="00000000" w:rsidRDefault="00AF2D19">
      <w:pPr>
        <w:pStyle w:val="a3"/>
        <w:spacing w:before="60" w:beforeAutospacing="0" w:after="0" w:afterAutospacing="0"/>
        <w:jc w:val="both"/>
        <w:rPr>
          <w:sz w:val="20"/>
          <w:szCs w:val="20"/>
        </w:rPr>
      </w:pPr>
      <w:r>
        <w:rPr>
          <w:b/>
          <w:bCs/>
          <w:i/>
          <w:iCs/>
          <w:sz w:val="20"/>
          <w:szCs w:val="20"/>
        </w:rPr>
        <w:t>Anti-Hedging Polic</w:t>
      </w:r>
      <w:r>
        <w:rPr>
          <w:b/>
          <w:bCs/>
          <w:i/>
          <w:iCs/>
          <w:sz w:val="20"/>
          <w:szCs w:val="20"/>
        </w:rPr>
        <w:t>y</w:t>
      </w:r>
      <w:r>
        <w:rPr>
          <w:sz w:val="20"/>
          <w:szCs w:val="20"/>
        </w:rPr>
        <w:t xml:space="preserve">. </w:t>
      </w:r>
      <w:r>
        <w:rPr>
          <w:sz w:val="20"/>
          <w:szCs w:val="20"/>
        </w:rPr>
        <w:t>Our Board of Directors has adopted an Insider Trading Compliance Policy, which applies to all of our directors, officers, and employees. The policy prohibits our directors, officers, and employees and any entities they control from purchasing financial ins</w:t>
      </w:r>
      <w:r>
        <w:rPr>
          <w:sz w:val="20"/>
          <w:szCs w:val="20"/>
        </w:rPr>
        <w:t>truments, such as prepaid variable forward contracts, equity swaps, collars, and exchange funds, or otherwise engaging in transactions that hedge or offset, or are designed to hedge or offset, any decrease in the market value of the Company’s equity securi</w:t>
      </w:r>
      <w:r>
        <w:rPr>
          <w:sz w:val="20"/>
          <w:szCs w:val="20"/>
        </w:rPr>
        <w:t>ties</w:t>
      </w:r>
      <w:r>
        <w:rPr>
          <w:sz w:val="20"/>
          <w:szCs w:val="20"/>
        </w:rPr>
        <w:t>.</w:t>
      </w:r>
    </w:p>
    <w:p w:rsidR="00000000" w:rsidRDefault="00AF2D19">
      <w:pPr>
        <w:pStyle w:val="a3"/>
        <w:spacing w:before="120" w:beforeAutospacing="0" w:after="0" w:afterAutospacing="0"/>
        <w:jc w:val="both"/>
        <w:rPr>
          <w:sz w:val="20"/>
          <w:szCs w:val="20"/>
        </w:rPr>
      </w:pPr>
      <w:r>
        <w:rPr>
          <w:b/>
          <w:bCs/>
          <w:i/>
          <w:iCs/>
          <w:sz w:val="20"/>
          <w:szCs w:val="20"/>
        </w:rPr>
        <w:t>Insider Trading Compliance Polic</w:t>
      </w:r>
      <w:r>
        <w:rPr>
          <w:b/>
          <w:bCs/>
          <w:i/>
          <w:iCs/>
          <w:sz w:val="20"/>
          <w:szCs w:val="20"/>
        </w:rPr>
        <w:t>y</w:t>
      </w:r>
      <w:r>
        <w:rPr>
          <w:sz w:val="20"/>
          <w:szCs w:val="20"/>
        </w:rPr>
        <w:t xml:space="preserve">. </w:t>
      </w:r>
      <w:r>
        <w:rPr>
          <w:sz w:val="20"/>
          <w:szCs w:val="20"/>
        </w:rPr>
        <w:t>Our Insider Trading Compliance Policy provides that no officer, director or employee or any entities they control may purchase, acquire or sell (or contract to purchase, acquire or sell) any type of security while in possession of material, non-public info</w:t>
      </w:r>
      <w:r>
        <w:rPr>
          <w:sz w:val="20"/>
          <w:szCs w:val="20"/>
        </w:rPr>
        <w:t>rmation relating to the security or the issuer of the security (whether or not the issuer of the security is the Company). This includes a put option, a call option or a short sale, or engaging in hedging transactions, as further described above under “Ant</w:t>
      </w:r>
      <w:r>
        <w:rPr>
          <w:sz w:val="20"/>
          <w:szCs w:val="20"/>
        </w:rPr>
        <w:t>i-Hedging Policy.” In addition, the prohibitions under our Insider Trading Compliance Policy do not apply to certain transactions, such as the exercise of stock options and/or the surrender of shares to the Company in payment of the exercise price or in sa</w:t>
      </w:r>
      <w:r>
        <w:rPr>
          <w:sz w:val="20"/>
          <w:szCs w:val="20"/>
        </w:rPr>
        <w:t>tisfaction of any tax withholding obligations, pursuant to the applicable equity incentive plan or award agreement; such exceptions are only permitted to the extent they do not involve a market sale of the Company’s securities</w:t>
      </w:r>
      <w:r>
        <w:rPr>
          <w:sz w:val="20"/>
          <w:szCs w:val="20"/>
        </w:rPr>
        <w:t>.</w:t>
      </w:r>
    </w:p>
    <w:p w:rsidR="00000000" w:rsidRDefault="00AF2D19">
      <w:pPr>
        <w:pStyle w:val="a3"/>
        <w:spacing w:before="120" w:beforeAutospacing="0" w:after="0" w:afterAutospacing="0"/>
        <w:jc w:val="both"/>
        <w:rPr>
          <w:sz w:val="20"/>
          <w:szCs w:val="20"/>
        </w:rPr>
      </w:pPr>
      <w:r>
        <w:rPr>
          <w:b/>
          <w:bCs/>
          <w:i/>
          <w:iCs/>
          <w:sz w:val="20"/>
          <w:szCs w:val="20"/>
        </w:rPr>
        <w:t>Section 409</w:t>
      </w:r>
      <w:r>
        <w:rPr>
          <w:b/>
          <w:bCs/>
          <w:i/>
          <w:iCs/>
          <w:sz w:val="20"/>
          <w:szCs w:val="20"/>
        </w:rPr>
        <w:t>A</w:t>
      </w:r>
      <w:r>
        <w:rPr>
          <w:i/>
          <w:iCs/>
          <w:sz w:val="20"/>
          <w:szCs w:val="20"/>
        </w:rPr>
        <w:t>.</w:t>
      </w:r>
      <w:r>
        <w:rPr>
          <w:i/>
          <w:iCs/>
          <w:sz w:val="20"/>
          <w:szCs w:val="20"/>
        </w:rPr>
        <w:t xml:space="preserve"> </w:t>
      </w:r>
      <w:r>
        <w:rPr>
          <w:sz w:val="20"/>
          <w:szCs w:val="20"/>
        </w:rPr>
        <w:t>The Compensati</w:t>
      </w:r>
      <w:r>
        <w:rPr>
          <w:sz w:val="20"/>
          <w:szCs w:val="20"/>
        </w:rPr>
        <w:t xml:space="preserve">on Committee takes into account whether components of the compensation for our executive officers will be adversely impacted by the penalty tax imposed by Section 409A of the Code, and aims to structure these components to be compliant with or exempt from </w:t>
      </w:r>
      <w:r>
        <w:rPr>
          <w:sz w:val="20"/>
          <w:szCs w:val="20"/>
        </w:rPr>
        <w:t>Section 409A to avoid such potential adverse tax consequences</w:t>
      </w:r>
      <w:r>
        <w:rPr>
          <w:sz w:val="20"/>
          <w:szCs w:val="20"/>
        </w:rPr>
        <w:t>.</w:t>
      </w:r>
    </w:p>
    <w:p w:rsidR="00000000" w:rsidRDefault="00AF2D19">
      <w:pPr>
        <w:pStyle w:val="a3"/>
        <w:spacing w:before="120" w:beforeAutospacing="0" w:after="0" w:afterAutospacing="0"/>
        <w:jc w:val="both"/>
        <w:rPr>
          <w:sz w:val="20"/>
          <w:szCs w:val="20"/>
        </w:rPr>
      </w:pPr>
      <w:r>
        <w:rPr>
          <w:b/>
          <w:bCs/>
          <w:i/>
          <w:iCs/>
          <w:sz w:val="20"/>
          <w:szCs w:val="20"/>
        </w:rPr>
        <w:t>“Golden Parachute” Payments.</w:t>
      </w:r>
      <w:r>
        <w:rPr>
          <w:b/>
          <w:bCs/>
          <w:i/>
          <w:iCs/>
          <w:sz w:val="20"/>
          <w:szCs w:val="20"/>
        </w:rPr>
        <w:t xml:space="preserve"> </w:t>
      </w:r>
      <w:r>
        <w:rPr>
          <w:sz w:val="20"/>
          <w:szCs w:val="20"/>
        </w:rPr>
        <w:t>Sections 280G and 4999 of the Code provide that certain executive officers and other service providers who are highly compensated or hold significant equity interes</w:t>
      </w:r>
      <w:r>
        <w:rPr>
          <w:sz w:val="20"/>
          <w:szCs w:val="20"/>
        </w:rPr>
        <w:t>ts may be subject to an excise tax if they receive payments or benefits in connection with a change in control of the Company that exceeds certain prescribed limits, and that we, or a successor, may forfeit a tax deduction on the amounts subject to this ad</w:t>
      </w:r>
      <w:r>
        <w:rPr>
          <w:sz w:val="20"/>
          <w:szCs w:val="20"/>
        </w:rPr>
        <w:t>ditional tax. While the Compensation Committee may take the potential forfeiture of such tax deduction into account when making compensation decisions, it will award compensation that it determines to be consistent with the goals of our executive compensat</w:t>
      </w:r>
      <w:r>
        <w:rPr>
          <w:sz w:val="20"/>
          <w:szCs w:val="20"/>
        </w:rPr>
        <w:t>ion program even if such compensation is not deductible by us. We do not provide any tax gross-ups to cover excise taxes under Section 4999 in connection with a change in control</w:t>
      </w:r>
      <w:r>
        <w:rPr>
          <w:sz w:val="20"/>
          <w:szCs w:val="20"/>
        </w:rPr>
        <w:t>.</w:t>
      </w:r>
    </w:p>
    <w:p w:rsidR="00000000" w:rsidRDefault="00AF2D19">
      <w:pPr>
        <w:pStyle w:val="a3"/>
        <w:spacing w:before="120" w:beforeAutospacing="0" w:after="0" w:afterAutospacing="0"/>
        <w:jc w:val="both"/>
        <w:rPr>
          <w:sz w:val="20"/>
          <w:szCs w:val="20"/>
        </w:rPr>
      </w:pPr>
      <w:r>
        <w:rPr>
          <w:b/>
          <w:bCs/>
          <w:i/>
          <w:iCs/>
          <w:sz w:val="20"/>
          <w:szCs w:val="20"/>
        </w:rPr>
        <w:t>Accounting for Share-Based Compensatio</w:t>
      </w:r>
      <w:r>
        <w:rPr>
          <w:b/>
          <w:bCs/>
          <w:i/>
          <w:iCs/>
          <w:sz w:val="20"/>
          <w:szCs w:val="20"/>
        </w:rPr>
        <w:t>n</w:t>
      </w:r>
      <w:r>
        <w:rPr>
          <w:i/>
          <w:iCs/>
          <w:sz w:val="20"/>
          <w:szCs w:val="20"/>
        </w:rPr>
        <w:t>.</w:t>
      </w:r>
      <w:r>
        <w:rPr>
          <w:i/>
          <w:iCs/>
          <w:sz w:val="20"/>
          <w:szCs w:val="20"/>
        </w:rPr>
        <w:t xml:space="preserve"> </w:t>
      </w:r>
      <w:r>
        <w:rPr>
          <w:sz w:val="20"/>
          <w:szCs w:val="20"/>
        </w:rPr>
        <w:t>We follow Financial Accounting Stan</w:t>
      </w:r>
      <w:r>
        <w:rPr>
          <w:sz w:val="20"/>
          <w:szCs w:val="20"/>
        </w:rPr>
        <w:t>dard Board Accounting Standards Codification Topic 718, (“ASC Topic 718”) for our share-based compensation awards. ASC Topic 718 requires companies to measure the compensation expense for all share-based payment awards made to employees and directors, incl</w:t>
      </w:r>
      <w:r>
        <w:rPr>
          <w:sz w:val="20"/>
          <w:szCs w:val="20"/>
        </w:rPr>
        <w:t>uding stock options and RSUs, based on the grant date “fair value” of these awards. This calculation is performed for accounting purposes and reported in the compensation tables below, even though our NEOs may never realize any value from their awards</w:t>
      </w:r>
      <w:r>
        <w:rPr>
          <w:sz w:val="20"/>
          <w:szCs w:val="20"/>
        </w:rPr>
        <w:t>.</w:t>
      </w:r>
    </w:p>
    <w:p w:rsidR="00000000" w:rsidRDefault="00AF2D19">
      <w:pPr>
        <w:pStyle w:val="a3"/>
        <w:spacing w:before="0" w:beforeAutospacing="0" w:after="0" w:afterAutospacing="0"/>
        <w:jc w:val="center"/>
        <w:rPr>
          <w:sz w:val="20"/>
          <w:szCs w:val="20"/>
        </w:rPr>
      </w:pPr>
      <w:r>
        <w:rPr>
          <w:sz w:val="20"/>
          <w:szCs w:val="20"/>
        </w:rPr>
        <w:t>11</w:t>
      </w:r>
      <w:r>
        <w:rPr>
          <w:sz w:val="20"/>
          <w:szCs w:val="20"/>
        </w:rPr>
        <w:t>1</w:t>
      </w:r>
    </w:p>
    <w:p w:rsidR="00000000" w:rsidRDefault="00AF2D19">
      <w:pPr>
        <w:rPr>
          <w:rFonts w:eastAsia="Times New Roman"/>
        </w:rPr>
      </w:pPr>
      <w:r>
        <w:rPr>
          <w:rFonts w:eastAsia="Times New Roman"/>
        </w:rPr>
        <w:pict>
          <v:rect id="_x0000_i1139"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rPr>
          <w:sz w:val="20"/>
          <w:szCs w:val="20"/>
        </w:rPr>
      </w:pPr>
      <w:r>
        <w:rPr>
          <w:b/>
          <w:bCs/>
          <w:i/>
          <w:iCs/>
          <w:sz w:val="20"/>
          <w:szCs w:val="20"/>
        </w:rPr>
        <w:t>COMPENSATION COMMITTEE REPOR</w:t>
      </w:r>
      <w:r>
        <w:rPr>
          <w:b/>
          <w:bCs/>
          <w:i/>
          <w:iCs/>
          <w:sz w:val="20"/>
          <w:szCs w:val="20"/>
        </w:rPr>
        <w:t>T</w:t>
      </w:r>
    </w:p>
    <w:p w:rsidR="00000000" w:rsidRDefault="00AF2D19">
      <w:pPr>
        <w:pStyle w:val="a3"/>
        <w:spacing w:before="120" w:beforeAutospacing="0" w:after="0" w:afterAutospacing="0"/>
        <w:jc w:val="both"/>
        <w:rPr>
          <w:sz w:val="20"/>
          <w:szCs w:val="20"/>
        </w:rPr>
      </w:pPr>
      <w:r>
        <w:rPr>
          <w:sz w:val="20"/>
          <w:szCs w:val="20"/>
        </w:rPr>
        <w:t>The Compensation Committee has reviewed and discussed the Compensation Discussion and Analysis above with our management. Based on the re</w:t>
      </w:r>
      <w:r>
        <w:rPr>
          <w:sz w:val="20"/>
          <w:szCs w:val="20"/>
        </w:rPr>
        <w:t>view and discussions, the Compensation Committee recommended to the Board that the Compensation Discussion and Analysis be included in the Company’s Annual Report on Form 10-K for the fiscal year ended December 31, 2021 and in its proxy statement for the 2</w:t>
      </w:r>
      <w:r>
        <w:rPr>
          <w:sz w:val="20"/>
          <w:szCs w:val="20"/>
        </w:rPr>
        <w:t>022 Annual Meeting of Stockholders</w:t>
      </w:r>
      <w:r>
        <w:rPr>
          <w:sz w:val="20"/>
          <w:szCs w:val="20"/>
        </w:rPr>
        <w:t>.</w:t>
      </w:r>
    </w:p>
    <w:p w:rsidR="00000000" w:rsidRDefault="00AF2D19">
      <w:pPr>
        <w:pStyle w:val="a3"/>
        <w:spacing w:before="12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center"/>
        <w:rPr>
          <w:sz w:val="20"/>
          <w:szCs w:val="20"/>
        </w:rPr>
      </w:pPr>
      <w:r>
        <w:rPr>
          <w:b/>
          <w:bCs/>
          <w:sz w:val="20"/>
          <w:szCs w:val="20"/>
        </w:rPr>
        <w:t>EXECUTIVE COMPENSATION TABLE</w:t>
      </w:r>
      <w:r>
        <w:rPr>
          <w:b/>
          <w:bCs/>
          <w:sz w:val="20"/>
          <w:szCs w:val="20"/>
        </w:rPr>
        <w:t>S</w:t>
      </w:r>
    </w:p>
    <w:p w:rsidR="00000000" w:rsidRDefault="00AF2D19">
      <w:pPr>
        <w:pStyle w:val="a3"/>
        <w:spacing w:before="0" w:beforeAutospacing="0" w:after="0" w:afterAutospacing="0"/>
        <w:rPr>
          <w:sz w:val="20"/>
          <w:szCs w:val="20"/>
        </w:rPr>
      </w:pPr>
      <w:r>
        <w:rPr>
          <w:sz w:val="20"/>
          <w:szCs w:val="20"/>
        </w:rPr>
        <w:br/>
      </w:r>
      <w:r>
        <w:rPr>
          <w:b/>
          <w:bCs/>
          <w:sz w:val="20"/>
          <w:szCs w:val="20"/>
        </w:rPr>
        <w:t>Summary Compensation Tabl</w:t>
      </w:r>
      <w:r>
        <w:rPr>
          <w:b/>
          <w:bCs/>
          <w:sz w:val="20"/>
          <w:szCs w:val="20"/>
        </w:rPr>
        <w:t>e</w:t>
      </w:r>
    </w:p>
    <w:p w:rsidR="00000000" w:rsidRDefault="00AF2D19">
      <w:pPr>
        <w:pStyle w:val="a3"/>
        <w:spacing w:before="120" w:beforeAutospacing="0" w:after="0" w:afterAutospacing="0"/>
        <w:jc w:val="both"/>
        <w:rPr>
          <w:sz w:val="20"/>
          <w:szCs w:val="20"/>
        </w:rPr>
      </w:pPr>
      <w:r>
        <w:rPr>
          <w:sz w:val="20"/>
          <w:szCs w:val="20"/>
        </w:rPr>
        <w:t>The following table contains information about the compensation earned by each of our NEOs during fiscal years ended December 31, 2021 and December 31, 2020</w:t>
      </w:r>
      <w:r>
        <w:rPr>
          <w:sz w:val="20"/>
          <w:szCs w:val="20"/>
        </w:rPr>
        <w:t>.</w:t>
      </w:r>
    </w:p>
    <w:p w:rsidR="00000000" w:rsidRDefault="00AF2D19">
      <w:pPr>
        <w:pStyle w:val="a3"/>
        <w:spacing w:before="12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22"/>
        <w:gridCol w:w="427"/>
        <w:gridCol w:w="958"/>
        <w:gridCol w:w="846"/>
        <w:gridCol w:w="881"/>
        <w:gridCol w:w="989"/>
        <w:gridCol w:w="1219"/>
        <w:gridCol w:w="964"/>
      </w:tblGrid>
      <w:tr w:rsidR="00000000">
        <w:trPr>
          <w:tblCellSpacing w:w="15" w:type="dxa"/>
        </w:trPr>
        <w:tc>
          <w:tcPr>
            <w:tcW w:w="1250" w:type="pct"/>
            <w:vAlign w:val="center"/>
            <w:hideMark/>
          </w:tcPr>
          <w:p w:rsidR="00000000" w:rsidRDefault="00AF2D19">
            <w:pPr>
              <w:rPr>
                <w:sz w:val="20"/>
                <w:szCs w:val="20"/>
              </w:rPr>
            </w:pPr>
          </w:p>
        </w:tc>
        <w:tc>
          <w:tcPr>
            <w:tcW w:w="268" w:type="pct"/>
            <w:vAlign w:val="center"/>
            <w:hideMark/>
          </w:tcPr>
          <w:p w:rsidR="00000000" w:rsidRDefault="00AF2D19">
            <w:pPr>
              <w:rPr>
                <w:rFonts w:eastAsia="Times New Roman"/>
                <w:sz w:val="20"/>
                <w:szCs w:val="20"/>
              </w:rPr>
            </w:pPr>
          </w:p>
        </w:tc>
        <w:tc>
          <w:tcPr>
            <w:tcW w:w="500" w:type="pct"/>
            <w:vAlign w:val="center"/>
            <w:hideMark/>
          </w:tcPr>
          <w:p w:rsidR="00000000" w:rsidRDefault="00AF2D19">
            <w:pPr>
              <w:rPr>
                <w:rFonts w:eastAsia="Times New Roman"/>
                <w:sz w:val="20"/>
                <w:szCs w:val="20"/>
              </w:rPr>
            </w:pPr>
          </w:p>
        </w:tc>
        <w:tc>
          <w:tcPr>
            <w:tcW w:w="529" w:type="pct"/>
            <w:vAlign w:val="center"/>
            <w:hideMark/>
          </w:tcPr>
          <w:p w:rsidR="00000000" w:rsidRDefault="00AF2D19">
            <w:pPr>
              <w:rPr>
                <w:rFonts w:eastAsia="Times New Roman"/>
                <w:sz w:val="20"/>
                <w:szCs w:val="20"/>
              </w:rPr>
            </w:pPr>
          </w:p>
        </w:tc>
        <w:tc>
          <w:tcPr>
            <w:tcW w:w="550" w:type="pct"/>
            <w:vAlign w:val="center"/>
            <w:hideMark/>
          </w:tcPr>
          <w:p w:rsidR="00000000" w:rsidRDefault="00AF2D19">
            <w:pPr>
              <w:rPr>
                <w:rFonts w:eastAsia="Times New Roman"/>
                <w:sz w:val="20"/>
                <w:szCs w:val="20"/>
              </w:rPr>
            </w:pPr>
          </w:p>
        </w:tc>
        <w:tc>
          <w:tcPr>
            <w:tcW w:w="600" w:type="pct"/>
            <w:vAlign w:val="center"/>
            <w:hideMark/>
          </w:tcPr>
          <w:p w:rsidR="00000000" w:rsidRDefault="00AF2D19">
            <w:pPr>
              <w:rPr>
                <w:rFonts w:eastAsia="Times New Roman"/>
                <w:sz w:val="20"/>
                <w:szCs w:val="20"/>
              </w:rPr>
            </w:pPr>
          </w:p>
        </w:tc>
        <w:tc>
          <w:tcPr>
            <w:tcW w:w="778" w:type="pct"/>
            <w:vAlign w:val="center"/>
            <w:hideMark/>
          </w:tcPr>
          <w:p w:rsidR="00000000" w:rsidRDefault="00AF2D19">
            <w:pPr>
              <w:rPr>
                <w:rFonts w:eastAsia="Times New Roman"/>
                <w:sz w:val="20"/>
                <w:szCs w:val="20"/>
              </w:rPr>
            </w:pPr>
          </w:p>
        </w:tc>
        <w:tc>
          <w:tcPr>
            <w:tcW w:w="523"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hideMark/>
          </w:tcPr>
          <w:p w:rsidR="00000000" w:rsidRDefault="00AF2D19">
            <w:pPr>
              <w:pStyle w:val="a3"/>
              <w:spacing w:before="0" w:beforeAutospacing="0" w:after="0" w:afterAutospacing="0"/>
              <w:jc w:val="center"/>
              <w:rPr>
                <w:sz w:val="16"/>
                <w:szCs w:val="16"/>
              </w:rPr>
            </w:pPr>
            <w:r>
              <w:rPr>
                <w:b/>
                <w:bCs/>
                <w:sz w:val="16"/>
                <w:szCs w:val="16"/>
              </w:rPr>
              <w:t>Name and Principal Positio</w:t>
            </w:r>
            <w:r>
              <w:rPr>
                <w:b/>
                <w:bCs/>
                <w:sz w:val="16"/>
                <w:szCs w:val="16"/>
              </w:rPr>
              <w:t>n</w:t>
            </w:r>
          </w:p>
        </w:tc>
        <w:tc>
          <w:tcPr>
            <w:tcW w:w="0" w:type="auto"/>
            <w:hideMark/>
          </w:tcPr>
          <w:p w:rsidR="00000000" w:rsidRDefault="00AF2D19">
            <w:pPr>
              <w:pStyle w:val="a3"/>
              <w:spacing w:before="0" w:beforeAutospacing="0" w:after="0" w:afterAutospacing="0"/>
              <w:jc w:val="center"/>
              <w:rPr>
                <w:sz w:val="16"/>
                <w:szCs w:val="16"/>
              </w:rPr>
            </w:pPr>
            <w:r>
              <w:rPr>
                <w:b/>
                <w:bCs/>
                <w:sz w:val="16"/>
                <w:szCs w:val="16"/>
              </w:rPr>
              <w:t>Yea</w:t>
            </w:r>
            <w:r>
              <w:rPr>
                <w:b/>
                <w:bCs/>
                <w:sz w:val="16"/>
                <w:szCs w:val="16"/>
              </w:rPr>
              <w:t>r</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b/>
                <w:bCs/>
                <w:sz w:val="16"/>
                <w:szCs w:val="16"/>
              </w:rPr>
              <w:t>Salary ($</w:t>
            </w:r>
            <w:r>
              <w:rPr>
                <w:b/>
                <w:bCs/>
                <w:sz w:val="16"/>
                <w:szCs w:val="16"/>
              </w:rPr>
              <w:t>)</w:t>
            </w:r>
          </w:p>
        </w:tc>
        <w:tc>
          <w:tcPr>
            <w:tcW w:w="0" w:type="auto"/>
            <w:hideMark/>
          </w:tcPr>
          <w:p w:rsidR="00000000" w:rsidRDefault="00AF2D19">
            <w:pPr>
              <w:pStyle w:val="a3"/>
              <w:spacing w:before="0" w:beforeAutospacing="0" w:after="0" w:afterAutospacing="0"/>
              <w:jc w:val="center"/>
              <w:rPr>
                <w:sz w:val="16"/>
                <w:szCs w:val="16"/>
              </w:rPr>
            </w:pPr>
            <w:r>
              <w:rPr>
                <w:b/>
                <w:bCs/>
                <w:sz w:val="16"/>
                <w:szCs w:val="16"/>
              </w:rPr>
              <w:t>Bonus ($</w:t>
            </w:r>
            <w:r>
              <w:rPr>
                <w:b/>
                <w:bCs/>
                <w:sz w:val="16"/>
                <w:szCs w:val="16"/>
              </w:rPr>
              <w:t>)</w:t>
            </w:r>
            <w:r>
              <w:rPr>
                <w:b/>
                <w:bCs/>
                <w:sz w:val="11"/>
                <w:szCs w:val="11"/>
              </w:rPr>
              <w:t>(3</w:t>
            </w:r>
            <w:r>
              <w:rPr>
                <w:b/>
                <w:bCs/>
                <w:sz w:val="11"/>
                <w:szCs w:val="11"/>
              </w:rPr>
              <w:t>)</w:t>
            </w:r>
          </w:p>
        </w:tc>
        <w:tc>
          <w:tcPr>
            <w:tcW w:w="0" w:type="auto"/>
            <w:hideMark/>
          </w:tcPr>
          <w:p w:rsidR="00000000" w:rsidRDefault="00AF2D19">
            <w:pPr>
              <w:pStyle w:val="a3"/>
              <w:spacing w:before="0" w:beforeAutospacing="0" w:after="0" w:afterAutospacing="0"/>
              <w:jc w:val="center"/>
              <w:rPr>
                <w:sz w:val="16"/>
                <w:szCs w:val="16"/>
              </w:rPr>
            </w:pPr>
            <w:r>
              <w:rPr>
                <w:b/>
                <w:bCs/>
                <w:sz w:val="16"/>
                <w:szCs w:val="16"/>
              </w:rPr>
              <w:t>Stock Awards ($</w:t>
            </w:r>
            <w:r>
              <w:rPr>
                <w:b/>
                <w:bCs/>
                <w:sz w:val="16"/>
                <w:szCs w:val="16"/>
              </w:rPr>
              <w:t>)</w:t>
            </w:r>
            <w:r>
              <w:rPr>
                <w:b/>
                <w:bCs/>
                <w:sz w:val="11"/>
                <w:szCs w:val="11"/>
              </w:rPr>
              <w:t>(4</w:t>
            </w:r>
            <w:r>
              <w:rPr>
                <w:b/>
                <w:bCs/>
                <w:sz w:val="11"/>
                <w:szCs w:val="11"/>
              </w:rPr>
              <w:t>)</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b/>
                <w:bCs/>
                <w:sz w:val="16"/>
                <w:szCs w:val="16"/>
              </w:rPr>
              <w:t>Option Awa</w:t>
            </w:r>
            <w:r>
              <w:rPr>
                <w:b/>
                <w:bCs/>
                <w:sz w:val="16"/>
                <w:szCs w:val="16"/>
              </w:rPr>
              <w:t>rds ($</w:t>
            </w:r>
            <w:r>
              <w:rPr>
                <w:b/>
                <w:bCs/>
                <w:sz w:val="16"/>
                <w:szCs w:val="16"/>
              </w:rPr>
              <w:t>)</w:t>
            </w:r>
            <w:r>
              <w:rPr>
                <w:b/>
                <w:bCs/>
                <w:sz w:val="11"/>
                <w:szCs w:val="11"/>
              </w:rPr>
              <w:t>(4</w:t>
            </w:r>
            <w:r>
              <w:rPr>
                <w:b/>
                <w:bCs/>
                <w:sz w:val="11"/>
                <w:szCs w:val="11"/>
              </w:rPr>
              <w:t>)</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b/>
                <w:bCs/>
                <w:sz w:val="16"/>
                <w:szCs w:val="16"/>
              </w:rPr>
              <w:t>All Other Compensation ($</w:t>
            </w:r>
            <w:r>
              <w:rPr>
                <w:b/>
                <w:bCs/>
                <w:sz w:val="16"/>
                <w:szCs w:val="16"/>
              </w:rPr>
              <w:t>)</w:t>
            </w:r>
            <w:r>
              <w:rPr>
                <w:b/>
                <w:bCs/>
                <w:sz w:val="11"/>
                <w:szCs w:val="11"/>
              </w:rPr>
              <w:t>(5</w:t>
            </w:r>
            <w:r>
              <w:rPr>
                <w:b/>
                <w:bCs/>
                <w:sz w:val="11"/>
                <w:szCs w:val="11"/>
              </w:rPr>
              <w:t>)</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b/>
                <w:bCs/>
                <w:sz w:val="16"/>
                <w:szCs w:val="16"/>
              </w:rPr>
              <w:t>Tota</w:t>
            </w:r>
            <w:r>
              <w:rPr>
                <w:b/>
                <w:bCs/>
                <w:sz w:val="16"/>
                <w:szCs w:val="16"/>
              </w:rPr>
              <w:t>l</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Douglas L. Braunstein</w:t>
            </w:r>
            <w:r>
              <w:rPr>
                <w:sz w:val="16"/>
                <w:szCs w:val="16"/>
              </w:rPr>
              <w:t xml:space="preserve"> </w:t>
            </w:r>
            <w:r>
              <w:rPr>
                <w:sz w:val="11"/>
                <w:szCs w:val="11"/>
              </w:rPr>
              <w:t>(1</w:t>
            </w:r>
            <w:r>
              <w:rPr>
                <w:sz w:val="11"/>
                <w:szCs w:val="11"/>
              </w:rPr>
              <w:t>)</w:t>
            </w:r>
          </w:p>
        </w:tc>
        <w:tc>
          <w:tcPr>
            <w:tcW w:w="0" w:type="auto"/>
            <w:hideMark/>
          </w:tcPr>
          <w:p w:rsidR="00000000" w:rsidRDefault="00AF2D19">
            <w:pPr>
              <w:pStyle w:val="a3"/>
              <w:spacing w:before="0" w:beforeAutospacing="0" w:after="0" w:afterAutospacing="0"/>
              <w:jc w:val="center"/>
              <w:rPr>
                <w:sz w:val="16"/>
                <w:szCs w:val="16"/>
              </w:rPr>
            </w:pPr>
            <w:r>
              <w:rPr>
                <w:sz w:val="16"/>
                <w:szCs w:val="16"/>
              </w:rPr>
              <w:t>202</w:t>
            </w:r>
            <w:r>
              <w:rPr>
                <w:sz w:val="16"/>
                <w:szCs w:val="16"/>
              </w:rPr>
              <w:t>1</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21,00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w:t>
            </w:r>
          </w:p>
        </w:tc>
        <w:tc>
          <w:tcPr>
            <w:tcW w:w="0" w:type="auto"/>
            <w:hideMark/>
          </w:tcPr>
          <w:p w:rsidR="00000000" w:rsidRDefault="00AF2D19">
            <w:pPr>
              <w:pStyle w:val="a3"/>
              <w:spacing w:before="0" w:beforeAutospacing="0" w:after="0" w:afterAutospacing="0"/>
              <w:jc w:val="center"/>
              <w:rPr>
                <w:sz w:val="16"/>
                <w:szCs w:val="16"/>
              </w:rPr>
            </w:pPr>
            <w:r>
              <w:rPr>
                <w:sz w:val="16"/>
                <w:szCs w:val="16"/>
              </w:rPr>
              <w:t>55,07</w:t>
            </w:r>
            <w:r>
              <w:rPr>
                <w:sz w:val="16"/>
                <w:szCs w:val="16"/>
              </w:rPr>
              <w:t>8</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322,55</w:t>
            </w:r>
            <w:r>
              <w:rPr>
                <w:sz w:val="16"/>
                <w:szCs w:val="16"/>
              </w:rPr>
              <w:t>0</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398,62</w:t>
            </w:r>
            <w:r>
              <w:rPr>
                <w:sz w:val="16"/>
                <w:szCs w:val="16"/>
              </w:rPr>
              <w:t>8</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i/>
                <w:iCs/>
                <w:sz w:val="16"/>
                <w:szCs w:val="16"/>
              </w:rPr>
              <w:t>Interim Chief Executive Office</w:t>
            </w:r>
            <w:r>
              <w:rPr>
                <w:i/>
                <w:iCs/>
                <w:sz w:val="16"/>
                <w:szCs w:val="16"/>
              </w:rPr>
              <w:t>r</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Oren Fran</w:t>
            </w:r>
            <w:r>
              <w:rPr>
                <w:sz w:val="16"/>
                <w:szCs w:val="16"/>
              </w:rPr>
              <w:t>k</w:t>
            </w:r>
          </w:p>
        </w:tc>
        <w:tc>
          <w:tcPr>
            <w:tcW w:w="0" w:type="auto"/>
            <w:hideMark/>
          </w:tcPr>
          <w:p w:rsidR="00000000" w:rsidRDefault="00AF2D19">
            <w:pPr>
              <w:pStyle w:val="a3"/>
              <w:spacing w:before="0" w:beforeAutospacing="0" w:after="0" w:afterAutospacing="0"/>
              <w:jc w:val="center"/>
              <w:rPr>
                <w:sz w:val="16"/>
                <w:szCs w:val="16"/>
              </w:rPr>
            </w:pPr>
            <w:r>
              <w:rPr>
                <w:sz w:val="16"/>
                <w:szCs w:val="16"/>
              </w:rPr>
              <w:t>202</w:t>
            </w:r>
            <w:r>
              <w:rPr>
                <w:sz w:val="16"/>
                <w:szCs w:val="16"/>
              </w:rPr>
              <w:t>1</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255,93</w:t>
            </w:r>
            <w:r>
              <w:rPr>
                <w:sz w:val="16"/>
                <w:szCs w:val="16"/>
              </w:rPr>
              <w:t>0</w:t>
            </w:r>
            <w:r>
              <w:rPr>
                <w:sz w:val="11"/>
                <w:szCs w:val="11"/>
              </w:rPr>
              <w:t>(2</w:t>
            </w:r>
            <w:r>
              <w:rPr>
                <w:sz w:val="11"/>
                <w:szCs w:val="11"/>
              </w:rPr>
              <w:t>)</w:t>
            </w:r>
          </w:p>
        </w:tc>
        <w:tc>
          <w:tcPr>
            <w:tcW w:w="0" w:type="auto"/>
            <w:hideMark/>
          </w:tcPr>
          <w:p w:rsidR="00000000" w:rsidRDefault="00AF2D19">
            <w:pPr>
              <w:pStyle w:val="a3"/>
              <w:spacing w:before="0" w:beforeAutospacing="0" w:after="0" w:afterAutospacing="0"/>
              <w:jc w:val="center"/>
              <w:rPr>
                <w:sz w:val="16"/>
                <w:szCs w:val="16"/>
              </w:rPr>
            </w:pPr>
            <w:r>
              <w:rPr>
                <w:sz w:val="16"/>
                <w:szCs w:val="16"/>
              </w:rPr>
              <w:t>-</w:t>
            </w:r>
            <w:r>
              <w:rPr>
                <w:sz w:val="16"/>
                <w:szCs w:val="16"/>
              </w:rPr>
              <w:t xml:space="preserve"> </w:t>
            </w:r>
          </w:p>
        </w:tc>
        <w:tc>
          <w:tcPr>
            <w:tcW w:w="0" w:type="auto"/>
            <w:hideMark/>
          </w:tcPr>
          <w:p w:rsidR="00000000" w:rsidRDefault="00AF2D19">
            <w:pPr>
              <w:pStyle w:val="a3"/>
              <w:spacing w:before="0" w:beforeAutospacing="0" w:after="0" w:afterAutospacing="0"/>
              <w:jc w:val="center"/>
              <w:rPr>
                <w:sz w:val="16"/>
                <w:szCs w:val="16"/>
              </w:rPr>
            </w:pPr>
            <w:r>
              <w:rPr>
                <w:sz w:val="16"/>
                <w:szCs w:val="16"/>
              </w:rPr>
              <w:t>1,550,58</w:t>
            </w:r>
            <w:r>
              <w:rPr>
                <w:sz w:val="16"/>
                <w:szCs w:val="16"/>
              </w:rPr>
              <w:t>8</w:t>
            </w:r>
            <w:r>
              <w:rPr>
                <w:sz w:val="16"/>
                <w:szCs w:val="16"/>
              </w:rPr>
              <w:t xml:space="preserve">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8,820,69</w:t>
            </w:r>
            <w:r>
              <w:rPr>
                <w:sz w:val="16"/>
                <w:szCs w:val="16"/>
              </w:rPr>
              <w:t>4</w:t>
            </w:r>
            <w:r>
              <w:rPr>
                <w:sz w:val="16"/>
                <w:szCs w:val="16"/>
              </w:rPr>
              <w:t xml:space="preserve">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1,581,36</w:t>
            </w:r>
            <w:r>
              <w:rPr>
                <w:sz w:val="16"/>
                <w:szCs w:val="16"/>
              </w:rPr>
              <w:t>8</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r>
              <w:rPr>
                <w:sz w:val="16"/>
                <w:szCs w:val="16"/>
              </w:rPr>
              <w:t>12,208,58</w:t>
            </w:r>
            <w:r>
              <w:rPr>
                <w:sz w:val="16"/>
                <w:szCs w:val="16"/>
              </w:rPr>
              <w:t>0</w:t>
            </w:r>
            <w:r>
              <w:rPr>
                <w:sz w:val="16"/>
                <w:szCs w:val="16"/>
              </w:rPr>
              <w:t xml:space="preserve">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i/>
                <w:iCs/>
                <w:sz w:val="16"/>
                <w:szCs w:val="16"/>
              </w:rPr>
              <w:t>Former Chief Executive Office</w:t>
            </w:r>
            <w:r>
              <w:rPr>
                <w:i/>
                <w:iCs/>
                <w:sz w:val="16"/>
                <w:szCs w:val="16"/>
              </w:rPr>
              <w:t>r</w:t>
            </w:r>
          </w:p>
        </w:tc>
        <w:tc>
          <w:tcPr>
            <w:tcW w:w="0" w:type="auto"/>
            <w:hideMark/>
          </w:tcPr>
          <w:p w:rsidR="00000000" w:rsidRDefault="00AF2D19">
            <w:pPr>
              <w:pStyle w:val="a3"/>
              <w:spacing w:before="0" w:beforeAutospacing="0" w:after="0" w:afterAutospacing="0"/>
              <w:jc w:val="center"/>
              <w:rPr>
                <w:sz w:val="16"/>
                <w:szCs w:val="16"/>
              </w:rPr>
            </w:pPr>
            <w:r>
              <w:rPr>
                <w:sz w:val="16"/>
                <w:szCs w:val="16"/>
              </w:rPr>
              <w:t>202</w:t>
            </w:r>
            <w:r>
              <w:rPr>
                <w:sz w:val="16"/>
                <w:szCs w:val="16"/>
              </w:rPr>
              <w:t>0</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250,00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575,00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r>
              <w:rPr>
                <w:sz w:val="16"/>
                <w:szCs w:val="16"/>
              </w:rPr>
              <w:t>-</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1,178,58</w:t>
            </w:r>
            <w:r>
              <w:rPr>
                <w:sz w:val="16"/>
                <w:szCs w:val="16"/>
              </w:rPr>
              <w:t>6</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11,40</w:t>
            </w:r>
            <w:r>
              <w:rPr>
                <w:sz w:val="16"/>
                <w:szCs w:val="16"/>
              </w:rPr>
              <w:t>0</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2,014,98</w:t>
            </w:r>
            <w:r>
              <w:rPr>
                <w:sz w:val="16"/>
                <w:szCs w:val="16"/>
              </w:rPr>
              <w:t>6</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left w:val="single" w:sz="4" w:space="0" w:color="auto"/>
            </w:tcBorders>
            <w:hideMark/>
          </w:tcPr>
          <w:p w:rsidR="00000000" w:rsidRDefault="00AF2D19">
            <w:pPr>
              <w:pStyle w:val="a3"/>
              <w:spacing w:before="0" w:beforeAutospacing="0" w:after="0" w:afterAutospacing="0"/>
              <w:rPr>
                <w:sz w:val="16"/>
                <w:szCs w:val="16"/>
              </w:rPr>
            </w:pPr>
            <w:r>
              <w:rPr>
                <w:sz w:val="16"/>
                <w:szCs w:val="16"/>
              </w:rPr>
              <w:t>Jennifer Ful</w:t>
            </w:r>
            <w:r>
              <w:rPr>
                <w:sz w:val="16"/>
                <w:szCs w:val="16"/>
              </w:rPr>
              <w:t>k</w:t>
            </w:r>
          </w:p>
        </w:tc>
        <w:tc>
          <w:tcPr>
            <w:tcW w:w="0" w:type="auto"/>
            <w:hideMark/>
          </w:tcPr>
          <w:p w:rsidR="00000000" w:rsidRDefault="00AF2D19">
            <w:pPr>
              <w:pStyle w:val="a3"/>
              <w:spacing w:before="0" w:beforeAutospacing="0" w:after="0" w:afterAutospacing="0"/>
              <w:jc w:val="center"/>
              <w:rPr>
                <w:sz w:val="16"/>
                <w:szCs w:val="16"/>
              </w:rPr>
            </w:pPr>
            <w:r>
              <w:rPr>
                <w:sz w:val="16"/>
                <w:szCs w:val="16"/>
              </w:rPr>
              <w:t>202</w:t>
            </w:r>
            <w:r>
              <w:rPr>
                <w:sz w:val="16"/>
                <w:szCs w:val="16"/>
              </w:rPr>
              <w:t>1</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174,24</w:t>
            </w:r>
            <w:r>
              <w:rPr>
                <w:sz w:val="16"/>
                <w:szCs w:val="16"/>
              </w:rPr>
              <w:t>2</w:t>
            </w:r>
            <w:r>
              <w:rPr>
                <w:sz w:val="11"/>
                <w:szCs w:val="11"/>
              </w:rPr>
              <w:t>(2</w:t>
            </w:r>
            <w:r>
              <w:rPr>
                <w:sz w:val="11"/>
                <w:szCs w:val="11"/>
              </w:rPr>
              <w:t>)</w:t>
            </w:r>
          </w:p>
        </w:tc>
        <w:tc>
          <w:tcPr>
            <w:tcW w:w="0" w:type="auto"/>
            <w:hideMark/>
          </w:tcPr>
          <w:p w:rsidR="00000000" w:rsidRDefault="00AF2D19">
            <w:pPr>
              <w:pStyle w:val="a3"/>
              <w:spacing w:before="0" w:beforeAutospacing="0" w:after="0" w:afterAutospacing="0"/>
              <w:jc w:val="center"/>
              <w:rPr>
                <w:sz w:val="16"/>
                <w:szCs w:val="16"/>
              </w:rPr>
            </w:pPr>
            <w:r>
              <w:rPr>
                <w:sz w:val="16"/>
                <w:szCs w:val="16"/>
              </w:rPr>
              <w:t>600,00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443,02</w:t>
            </w:r>
            <w:r>
              <w:rPr>
                <w:sz w:val="16"/>
                <w:szCs w:val="16"/>
              </w:rPr>
              <w:t>5</w:t>
            </w:r>
            <w:r>
              <w:rPr>
                <w:sz w:val="16"/>
                <w:szCs w:val="16"/>
              </w:rPr>
              <w:t xml:space="preserve">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1,690,57</w:t>
            </w:r>
            <w:r>
              <w:rPr>
                <w:sz w:val="16"/>
                <w:szCs w:val="16"/>
              </w:rPr>
              <w:t>0</w:t>
            </w:r>
            <w:r>
              <w:rPr>
                <w:sz w:val="16"/>
                <w:szCs w:val="16"/>
              </w:rPr>
              <w:t xml:space="preserve">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2,66</w:t>
            </w:r>
            <w:r>
              <w:rPr>
                <w:sz w:val="16"/>
                <w:szCs w:val="16"/>
              </w:rPr>
              <w:t>7</w:t>
            </w:r>
          </w:p>
        </w:tc>
        <w:tc>
          <w:tcPr>
            <w:tcW w:w="0" w:type="auto"/>
            <w:tcBorders>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2,910,50</w:t>
            </w:r>
            <w:r>
              <w:rPr>
                <w:sz w:val="16"/>
                <w:szCs w:val="16"/>
              </w:rPr>
              <w:t>4</w:t>
            </w:r>
            <w:r>
              <w:rPr>
                <w:sz w:val="16"/>
                <w:szCs w:val="16"/>
              </w:rPr>
              <w:t xml:space="preserve">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i/>
                <w:iCs/>
                <w:sz w:val="16"/>
                <w:szCs w:val="16"/>
              </w:rPr>
              <w:t>Chief Financial Office</w:t>
            </w:r>
            <w:r>
              <w:rPr>
                <w:i/>
                <w:iCs/>
                <w:sz w:val="16"/>
                <w:szCs w:val="16"/>
              </w:rPr>
              <w:t>r</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Mark Hirschhor</w:t>
            </w:r>
            <w:r>
              <w:rPr>
                <w:sz w:val="16"/>
                <w:szCs w:val="16"/>
              </w:rPr>
              <w:t>n</w:t>
            </w:r>
          </w:p>
        </w:tc>
        <w:tc>
          <w:tcPr>
            <w:tcW w:w="0" w:type="auto"/>
            <w:hideMark/>
          </w:tcPr>
          <w:p w:rsidR="00000000" w:rsidRDefault="00AF2D19">
            <w:pPr>
              <w:pStyle w:val="a3"/>
              <w:spacing w:before="0" w:beforeAutospacing="0" w:after="0" w:afterAutospacing="0"/>
              <w:jc w:val="center"/>
              <w:rPr>
                <w:sz w:val="16"/>
                <w:szCs w:val="16"/>
              </w:rPr>
            </w:pPr>
            <w:r>
              <w:rPr>
                <w:sz w:val="16"/>
                <w:szCs w:val="16"/>
              </w:rPr>
              <w:t>202</w:t>
            </w:r>
            <w:r>
              <w:rPr>
                <w:sz w:val="16"/>
                <w:szCs w:val="16"/>
              </w:rPr>
              <w:t>1</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317,91</w:t>
            </w:r>
            <w:r>
              <w:rPr>
                <w:sz w:val="16"/>
                <w:szCs w:val="16"/>
              </w:rPr>
              <w:t>4</w:t>
            </w:r>
            <w:r>
              <w:rPr>
                <w:sz w:val="11"/>
                <w:szCs w:val="11"/>
              </w:rPr>
              <w:t>(2</w:t>
            </w:r>
            <w:r>
              <w:rPr>
                <w:sz w:val="11"/>
                <w:szCs w:val="11"/>
              </w:rPr>
              <w:t>)</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r>
              <w:rPr>
                <w:sz w:val="16"/>
                <w:szCs w:val="16"/>
              </w:rPr>
              <w:t>-</w:t>
            </w:r>
          </w:p>
        </w:tc>
        <w:tc>
          <w:tcPr>
            <w:tcW w:w="0" w:type="auto"/>
            <w:hideMark/>
          </w:tcPr>
          <w:p w:rsidR="00000000" w:rsidRDefault="00AF2D19">
            <w:pPr>
              <w:pStyle w:val="a3"/>
              <w:spacing w:before="0" w:beforeAutospacing="0" w:after="0" w:afterAutospacing="0"/>
              <w:jc w:val="center"/>
              <w:rPr>
                <w:sz w:val="16"/>
                <w:szCs w:val="16"/>
              </w:rPr>
            </w:pPr>
            <w:r>
              <w:rPr>
                <w:sz w:val="16"/>
                <w:szCs w:val="16"/>
              </w:rPr>
              <w:t>886,05</w:t>
            </w:r>
            <w:r>
              <w:rPr>
                <w:sz w:val="16"/>
                <w:szCs w:val="16"/>
              </w:rPr>
              <w:t>0</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5,727,48</w:t>
            </w:r>
            <w:r>
              <w:rPr>
                <w:sz w:val="16"/>
                <w:szCs w:val="16"/>
              </w:rPr>
              <w:t>0</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9,07</w:t>
            </w:r>
            <w:r>
              <w:rPr>
                <w:sz w:val="16"/>
                <w:szCs w:val="16"/>
              </w:rPr>
              <w:t>3</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6,940,51</w:t>
            </w:r>
            <w:r>
              <w:rPr>
                <w:sz w:val="16"/>
                <w:szCs w:val="16"/>
              </w:rPr>
              <w:t>8</w:t>
            </w:r>
            <w:r>
              <w:rPr>
                <w:sz w:val="16"/>
                <w:szCs w:val="16"/>
              </w:rPr>
              <w:t xml:space="preserve">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i/>
                <w:iCs/>
                <w:sz w:val="16"/>
                <w:szCs w:val="16"/>
              </w:rPr>
              <w:t>Former President, Chief Financial Officer, and Chief Operating Office</w:t>
            </w:r>
            <w:r>
              <w:rPr>
                <w:i/>
                <w:iCs/>
                <w:sz w:val="16"/>
                <w:szCs w:val="16"/>
              </w:rPr>
              <w:t>r</w:t>
            </w:r>
          </w:p>
        </w:tc>
        <w:tc>
          <w:tcPr>
            <w:tcW w:w="0" w:type="auto"/>
            <w:hideMark/>
          </w:tcPr>
          <w:p w:rsidR="00000000" w:rsidRDefault="00AF2D19">
            <w:pPr>
              <w:pStyle w:val="a3"/>
              <w:spacing w:before="0" w:beforeAutospacing="0" w:after="0" w:afterAutospacing="0"/>
              <w:jc w:val="center"/>
              <w:rPr>
                <w:sz w:val="16"/>
                <w:szCs w:val="16"/>
              </w:rPr>
            </w:pPr>
            <w:r>
              <w:rPr>
                <w:sz w:val="16"/>
                <w:szCs w:val="16"/>
              </w:rPr>
              <w:t>202</w:t>
            </w:r>
            <w:r>
              <w:rPr>
                <w:sz w:val="16"/>
                <w:szCs w:val="16"/>
              </w:rPr>
              <w:t>0</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262,50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700,00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r>
              <w:rPr>
                <w:sz w:val="16"/>
                <w:szCs w:val="16"/>
              </w:rPr>
              <w:t>-</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2,036,54</w:t>
            </w:r>
            <w:r>
              <w:rPr>
                <w:sz w:val="16"/>
                <w:szCs w:val="16"/>
              </w:rPr>
              <w:t>4</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2,31</w:t>
            </w:r>
            <w:r>
              <w:rPr>
                <w:sz w:val="16"/>
                <w:szCs w:val="16"/>
              </w:rPr>
              <w:t>0</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3,001,35</w:t>
            </w:r>
            <w:r>
              <w:rPr>
                <w:sz w:val="16"/>
                <w:szCs w:val="16"/>
              </w:rPr>
              <w:t>4</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left w:val="single" w:sz="4" w:space="0" w:color="auto"/>
            </w:tcBorders>
            <w:hideMark/>
          </w:tcPr>
          <w:p w:rsidR="00000000" w:rsidRDefault="00AF2D19">
            <w:pPr>
              <w:pStyle w:val="a3"/>
              <w:spacing w:before="0" w:beforeAutospacing="0" w:after="0" w:afterAutospacing="0"/>
              <w:rPr>
                <w:sz w:val="16"/>
                <w:szCs w:val="16"/>
              </w:rPr>
            </w:pPr>
            <w:r>
              <w:rPr>
                <w:sz w:val="16"/>
                <w:szCs w:val="16"/>
              </w:rPr>
              <w:t>Samara H. Braunstei</w:t>
            </w:r>
            <w:r>
              <w:rPr>
                <w:sz w:val="16"/>
                <w:szCs w:val="16"/>
              </w:rPr>
              <w:t>n</w:t>
            </w:r>
          </w:p>
        </w:tc>
        <w:tc>
          <w:tcPr>
            <w:tcW w:w="0" w:type="auto"/>
            <w:hideMark/>
          </w:tcPr>
          <w:p w:rsidR="00000000" w:rsidRDefault="00AF2D19">
            <w:pPr>
              <w:pStyle w:val="a3"/>
              <w:spacing w:before="0" w:beforeAutospacing="0" w:after="0" w:afterAutospacing="0"/>
              <w:jc w:val="center"/>
              <w:rPr>
                <w:sz w:val="16"/>
                <w:szCs w:val="16"/>
              </w:rPr>
            </w:pPr>
            <w:r>
              <w:rPr>
                <w:sz w:val="16"/>
                <w:szCs w:val="16"/>
              </w:rPr>
              <w:t>202</w:t>
            </w:r>
            <w:r>
              <w:rPr>
                <w:sz w:val="16"/>
                <w:szCs w:val="16"/>
              </w:rPr>
              <w:t>1</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313,86</w:t>
            </w:r>
            <w:r>
              <w:rPr>
                <w:sz w:val="16"/>
                <w:szCs w:val="16"/>
              </w:rPr>
              <w:t>4</w:t>
            </w:r>
          </w:p>
        </w:tc>
        <w:tc>
          <w:tcPr>
            <w:tcW w:w="0" w:type="auto"/>
            <w:hideMark/>
          </w:tcPr>
          <w:p w:rsidR="00000000" w:rsidRDefault="00AF2D19">
            <w:pPr>
              <w:pStyle w:val="a3"/>
              <w:spacing w:before="0" w:beforeAutospacing="0" w:after="0" w:afterAutospacing="0"/>
              <w:jc w:val="center"/>
              <w:rPr>
                <w:sz w:val="16"/>
                <w:szCs w:val="16"/>
              </w:rPr>
            </w:pPr>
            <w:r>
              <w:rPr>
                <w:sz w:val="16"/>
                <w:szCs w:val="16"/>
              </w:rPr>
              <w:t>165,00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443,02</w:t>
            </w:r>
            <w:r>
              <w:rPr>
                <w:sz w:val="16"/>
                <w:szCs w:val="16"/>
              </w:rPr>
              <w:t>5</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5,333,01</w:t>
            </w:r>
            <w:r>
              <w:rPr>
                <w:sz w:val="16"/>
                <w:szCs w:val="16"/>
              </w:rPr>
              <w:t>9</w:t>
            </w:r>
            <w:r>
              <w:rPr>
                <w:sz w:val="16"/>
                <w:szCs w:val="16"/>
              </w:rPr>
              <w:t xml:space="preserve">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r>
              <w:rPr>
                <w:sz w:val="16"/>
                <w:szCs w:val="16"/>
              </w:rPr>
              <w:t>-</w:t>
            </w:r>
          </w:p>
        </w:tc>
        <w:tc>
          <w:tcPr>
            <w:tcW w:w="0" w:type="auto"/>
            <w:tcBorders>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6,254,90</w:t>
            </w:r>
            <w:r>
              <w:rPr>
                <w:sz w:val="16"/>
                <w:szCs w:val="16"/>
              </w:rPr>
              <w:t>8</w:t>
            </w:r>
            <w:r>
              <w:rPr>
                <w:sz w:val="16"/>
                <w:szCs w:val="16"/>
              </w:rPr>
              <w:t xml:space="preserve">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i/>
                <w:iCs/>
                <w:sz w:val="16"/>
                <w:szCs w:val="16"/>
              </w:rPr>
              <w:t>Chief Marketing Office</w:t>
            </w:r>
            <w:r>
              <w:rPr>
                <w:i/>
                <w:iCs/>
                <w:sz w:val="16"/>
                <w:szCs w:val="16"/>
              </w:rPr>
              <w:t>r</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left w:val="single" w:sz="4" w:space="0" w:color="auto"/>
            </w:tcBorders>
            <w:hideMark/>
          </w:tcPr>
          <w:p w:rsidR="00000000" w:rsidRDefault="00AF2D19">
            <w:pPr>
              <w:pStyle w:val="a3"/>
              <w:spacing w:before="0" w:beforeAutospacing="0" w:after="0" w:afterAutospacing="0"/>
              <w:rPr>
                <w:sz w:val="16"/>
                <w:szCs w:val="16"/>
              </w:rPr>
            </w:pPr>
            <w:r>
              <w:rPr>
                <w:sz w:val="16"/>
                <w:szCs w:val="16"/>
              </w:rPr>
              <w:t>Gil Margoli</w:t>
            </w:r>
            <w:r>
              <w:rPr>
                <w:sz w:val="16"/>
                <w:szCs w:val="16"/>
              </w:rPr>
              <w:t>n</w:t>
            </w:r>
          </w:p>
        </w:tc>
        <w:tc>
          <w:tcPr>
            <w:tcW w:w="0" w:type="auto"/>
            <w:hideMark/>
          </w:tcPr>
          <w:p w:rsidR="00000000" w:rsidRDefault="00AF2D19">
            <w:pPr>
              <w:pStyle w:val="a3"/>
              <w:spacing w:before="0" w:beforeAutospacing="0" w:after="0" w:afterAutospacing="0"/>
              <w:jc w:val="center"/>
              <w:rPr>
                <w:sz w:val="16"/>
                <w:szCs w:val="16"/>
              </w:rPr>
            </w:pPr>
            <w:r>
              <w:rPr>
                <w:sz w:val="16"/>
                <w:szCs w:val="16"/>
              </w:rPr>
              <w:t>202</w:t>
            </w:r>
            <w:r>
              <w:rPr>
                <w:sz w:val="16"/>
                <w:szCs w:val="16"/>
              </w:rPr>
              <w:t>1</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315,00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330,00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443,02</w:t>
            </w:r>
            <w:r>
              <w:rPr>
                <w:sz w:val="16"/>
                <w:szCs w:val="16"/>
              </w:rPr>
              <w:t>5</w:t>
            </w:r>
            <w:r>
              <w:rPr>
                <w:sz w:val="16"/>
                <w:szCs w:val="16"/>
              </w:rPr>
              <w:t xml:space="preserve">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3,408,31</w:t>
            </w:r>
            <w:r>
              <w:rPr>
                <w:sz w:val="16"/>
                <w:szCs w:val="16"/>
              </w:rPr>
              <w:t>0</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11,60</w:t>
            </w:r>
            <w:r>
              <w:rPr>
                <w:sz w:val="16"/>
                <w:szCs w:val="16"/>
              </w:rPr>
              <w:t>0</w:t>
            </w:r>
          </w:p>
        </w:tc>
        <w:tc>
          <w:tcPr>
            <w:tcW w:w="0" w:type="auto"/>
            <w:tcBorders>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3,999,57</w:t>
            </w:r>
            <w:r>
              <w:rPr>
                <w:sz w:val="16"/>
                <w:szCs w:val="16"/>
              </w:rPr>
              <w:t>2</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i/>
                <w:iCs/>
                <w:sz w:val="16"/>
                <w:szCs w:val="16"/>
              </w:rPr>
              <w:t>Chief Technology Office</w:t>
            </w:r>
            <w:r>
              <w:rPr>
                <w:i/>
                <w:iCs/>
                <w:sz w:val="16"/>
                <w:szCs w:val="16"/>
              </w:rPr>
              <w:t>r</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left w:val="single" w:sz="4" w:space="0" w:color="auto"/>
            </w:tcBorders>
            <w:hideMark/>
          </w:tcPr>
          <w:p w:rsidR="00000000" w:rsidRDefault="00AF2D19">
            <w:pPr>
              <w:pStyle w:val="a3"/>
              <w:spacing w:before="0" w:beforeAutospacing="0" w:after="0" w:afterAutospacing="0"/>
              <w:rPr>
                <w:sz w:val="16"/>
                <w:szCs w:val="16"/>
              </w:rPr>
            </w:pPr>
            <w:r>
              <w:rPr>
                <w:sz w:val="16"/>
                <w:szCs w:val="16"/>
              </w:rPr>
              <w:t>John C. Reill</w:t>
            </w:r>
            <w:r>
              <w:rPr>
                <w:sz w:val="16"/>
                <w:szCs w:val="16"/>
              </w:rPr>
              <w:t>y</w:t>
            </w:r>
          </w:p>
        </w:tc>
        <w:tc>
          <w:tcPr>
            <w:tcW w:w="0" w:type="auto"/>
            <w:hideMark/>
          </w:tcPr>
          <w:p w:rsidR="00000000" w:rsidRDefault="00AF2D19">
            <w:pPr>
              <w:pStyle w:val="a3"/>
              <w:spacing w:before="0" w:beforeAutospacing="0" w:after="0" w:afterAutospacing="0"/>
              <w:jc w:val="center"/>
              <w:rPr>
                <w:sz w:val="16"/>
                <w:szCs w:val="16"/>
              </w:rPr>
            </w:pPr>
            <w:r>
              <w:rPr>
                <w:sz w:val="16"/>
                <w:szCs w:val="16"/>
              </w:rPr>
              <w:t>202</w:t>
            </w:r>
            <w:r>
              <w:rPr>
                <w:sz w:val="16"/>
                <w:szCs w:val="16"/>
              </w:rPr>
              <w:t>1</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232,50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130,00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221,51</w:t>
            </w:r>
            <w:r>
              <w:rPr>
                <w:sz w:val="16"/>
                <w:szCs w:val="16"/>
              </w:rPr>
              <w:t>3</w:t>
            </w:r>
            <w:r>
              <w:rPr>
                <w:sz w:val="16"/>
                <w:szCs w:val="16"/>
              </w:rPr>
              <w:t xml:space="preserve">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1,034,27</w:t>
            </w:r>
            <w:r>
              <w:rPr>
                <w:sz w:val="16"/>
                <w:szCs w:val="16"/>
              </w:rPr>
              <w:t>8</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w:t>
            </w:r>
            <w:r>
              <w:rPr>
                <w:sz w:val="16"/>
                <w:szCs w:val="16"/>
              </w:rPr>
              <w:t xml:space="preserve"> </w:t>
            </w:r>
          </w:p>
        </w:tc>
        <w:tc>
          <w:tcPr>
            <w:tcW w:w="0" w:type="auto"/>
            <w:tcBorders>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1,618,29</w:t>
            </w:r>
            <w:r>
              <w:rPr>
                <w:sz w:val="16"/>
                <w:szCs w:val="16"/>
              </w:rPr>
              <w:t>1</w:t>
            </w:r>
            <w:r>
              <w:rPr>
                <w:sz w:val="16"/>
                <w:szCs w:val="16"/>
              </w:rPr>
              <w:t xml:space="preserve">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i/>
                <w:iCs/>
                <w:sz w:val="16"/>
                <w:szCs w:val="16"/>
              </w:rPr>
              <w:t>General Counse</w:t>
            </w:r>
            <w:r>
              <w:rPr>
                <w:i/>
                <w:iCs/>
                <w:sz w:val="16"/>
                <w:szCs w:val="16"/>
              </w:rPr>
              <w:t>l</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20"/>
                <w:szCs w:val="20"/>
              </w:rPr>
            </w:pPr>
            <w:r>
              <w:rPr>
                <w:sz w:val="20"/>
                <w:szCs w:val="20"/>
              </w:rPr>
              <w:t>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left w:val="single" w:sz="4" w:space="0" w:color="auto"/>
              <w:bottom w:val="single" w:sz="4" w:space="0" w:color="auto"/>
            </w:tcBorders>
            <w:hideMark/>
          </w:tcPr>
          <w:p w:rsidR="00000000" w:rsidRDefault="00AF2D19">
            <w:pPr>
              <w:pStyle w:val="a3"/>
              <w:spacing w:before="0" w:beforeAutospacing="0" w:after="0" w:afterAutospacing="0"/>
              <w:rPr>
                <w:sz w:val="16"/>
                <w:szCs w:val="16"/>
              </w:rPr>
            </w:pPr>
            <w:r>
              <w:rPr>
                <w:sz w:val="16"/>
                <w:szCs w:val="16"/>
              </w:rPr>
              <w:t>Roni Fran</w:t>
            </w:r>
            <w:r>
              <w:rPr>
                <w:sz w:val="16"/>
                <w:szCs w:val="16"/>
              </w:rPr>
              <w:t>k</w:t>
            </w:r>
          </w:p>
        </w:tc>
        <w:tc>
          <w:tcPr>
            <w:tcW w:w="0" w:type="auto"/>
            <w:hideMark/>
          </w:tcPr>
          <w:p w:rsidR="00000000" w:rsidRDefault="00AF2D19">
            <w:pPr>
              <w:pStyle w:val="a3"/>
              <w:spacing w:before="0" w:beforeAutospacing="0" w:after="0" w:afterAutospacing="0"/>
              <w:jc w:val="center"/>
              <w:rPr>
                <w:sz w:val="16"/>
                <w:szCs w:val="16"/>
              </w:rPr>
            </w:pPr>
            <w:r>
              <w:rPr>
                <w:sz w:val="16"/>
                <w:szCs w:val="16"/>
              </w:rPr>
              <w:t>202</w:t>
            </w:r>
            <w:r>
              <w:rPr>
                <w:sz w:val="16"/>
                <w:szCs w:val="16"/>
              </w:rPr>
              <w:t>1</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228,02</w:t>
            </w:r>
            <w:r>
              <w:rPr>
                <w:sz w:val="16"/>
                <w:szCs w:val="16"/>
              </w:rPr>
              <w:t>7</w:t>
            </w:r>
            <w:r>
              <w:rPr>
                <w:sz w:val="11"/>
                <w:szCs w:val="11"/>
              </w:rPr>
              <w:t>(2</w:t>
            </w:r>
            <w:r>
              <w:rPr>
                <w:sz w:val="11"/>
                <w:szCs w:val="11"/>
              </w:rPr>
              <w:t>)</w:t>
            </w:r>
          </w:p>
        </w:tc>
        <w:tc>
          <w:tcPr>
            <w:tcW w:w="0" w:type="auto"/>
            <w:hideMark/>
          </w:tcPr>
          <w:p w:rsidR="00000000" w:rsidRDefault="00AF2D19">
            <w:pPr>
              <w:pStyle w:val="a3"/>
              <w:spacing w:before="0" w:beforeAutospacing="0" w:after="0" w:afterAutospacing="0"/>
              <w:jc w:val="center"/>
              <w:rPr>
                <w:sz w:val="16"/>
                <w:szCs w:val="16"/>
              </w:rPr>
            </w:pPr>
            <w:r>
              <w:rPr>
                <w:sz w:val="16"/>
                <w:szCs w:val="16"/>
              </w:rPr>
              <w:t>-</w:t>
            </w:r>
            <w:r>
              <w:rPr>
                <w:sz w:val="16"/>
                <w:szCs w:val="16"/>
              </w:rPr>
              <w:t xml:space="preserve"> </w:t>
            </w:r>
          </w:p>
        </w:tc>
        <w:tc>
          <w:tcPr>
            <w:tcW w:w="0" w:type="auto"/>
            <w:hideMark/>
          </w:tcPr>
          <w:p w:rsidR="00000000" w:rsidRDefault="00AF2D19">
            <w:pPr>
              <w:pStyle w:val="a3"/>
              <w:spacing w:before="0" w:beforeAutospacing="0" w:after="0" w:afterAutospacing="0"/>
              <w:jc w:val="center"/>
              <w:rPr>
                <w:sz w:val="16"/>
                <w:szCs w:val="16"/>
              </w:rPr>
            </w:pPr>
            <w:r>
              <w:rPr>
                <w:sz w:val="16"/>
                <w:szCs w:val="16"/>
              </w:rPr>
              <w:t>443,02</w:t>
            </w:r>
            <w:r>
              <w:rPr>
                <w:sz w:val="16"/>
                <w:szCs w:val="16"/>
              </w:rPr>
              <w:t>5</w:t>
            </w:r>
            <w:r>
              <w:rPr>
                <w:sz w:val="16"/>
                <w:szCs w:val="16"/>
              </w:rPr>
              <w:t xml:space="preserve">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4,586,81</w:t>
            </w:r>
            <w:r>
              <w:rPr>
                <w:sz w:val="16"/>
                <w:szCs w:val="16"/>
              </w:rPr>
              <w:t>7</w:t>
            </w:r>
            <w:r>
              <w:rPr>
                <w:sz w:val="16"/>
                <w:szCs w:val="16"/>
              </w:rPr>
              <w:t xml:space="preserve"> </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1,433,31</w:t>
            </w:r>
            <w:r>
              <w:rPr>
                <w:sz w:val="16"/>
                <w:szCs w:val="16"/>
              </w:rPr>
              <w:t>7</w:t>
            </w:r>
          </w:p>
        </w:tc>
        <w:tc>
          <w:tcPr>
            <w:tcW w:w="0" w:type="auto"/>
            <w:tcBorders>
              <w:bottom w:val="single" w:sz="4" w:space="0" w:color="auto"/>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r>
              <w:rPr>
                <w:sz w:val="16"/>
                <w:szCs w:val="16"/>
              </w:rPr>
              <w:t>6,691,18</w:t>
            </w:r>
            <w:r>
              <w:rPr>
                <w:sz w:val="16"/>
                <w:szCs w:val="16"/>
              </w:rPr>
              <w:t>6</w:t>
            </w:r>
            <w:r>
              <w:rPr>
                <w:sz w:val="16"/>
                <w:szCs w:val="16"/>
              </w:rPr>
              <w:t xml:space="preserve"> </w:t>
            </w: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i/>
                <w:iCs/>
                <w:sz w:val="16"/>
                <w:szCs w:val="16"/>
              </w:rPr>
              <w:t>Former Head of Clinical Service</w:t>
            </w:r>
            <w:r>
              <w:rPr>
                <w:i/>
                <w:iCs/>
                <w:sz w:val="16"/>
                <w:szCs w:val="16"/>
              </w:rPr>
              <w:t>s</w:t>
            </w:r>
          </w:p>
        </w:tc>
        <w:tc>
          <w:tcPr>
            <w:tcW w:w="0" w:type="auto"/>
            <w:hideMark/>
          </w:tcPr>
          <w:p w:rsidR="00000000" w:rsidRDefault="00AF2D19">
            <w:pPr>
              <w:pStyle w:val="a3"/>
              <w:spacing w:before="0" w:beforeAutospacing="0" w:after="0" w:afterAutospacing="0"/>
              <w:jc w:val="center"/>
              <w:rPr>
                <w:sz w:val="16"/>
                <w:szCs w:val="16"/>
              </w:rPr>
            </w:pPr>
            <w:r>
              <w:rPr>
                <w:sz w:val="16"/>
                <w:szCs w:val="16"/>
              </w:rPr>
              <w:t>202</w:t>
            </w:r>
            <w:r>
              <w:rPr>
                <w:sz w:val="16"/>
                <w:szCs w:val="16"/>
              </w:rPr>
              <w:t>0</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250,00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325,00</w:t>
            </w:r>
            <w:r>
              <w:rPr>
                <w:sz w:val="16"/>
                <w:szCs w:val="16"/>
              </w:rPr>
              <w:t>0</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r>
              <w:rPr>
                <w:sz w:val="16"/>
                <w:szCs w:val="16"/>
              </w:rPr>
              <w:t>-</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1,178,58</w:t>
            </w:r>
            <w:r>
              <w:rPr>
                <w:sz w:val="16"/>
                <w:szCs w:val="16"/>
              </w:rPr>
              <w:t>6</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11,42</w:t>
            </w:r>
            <w:r>
              <w:rPr>
                <w:sz w:val="16"/>
                <w:szCs w:val="16"/>
              </w:rPr>
              <w:t>5</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1,765,01</w:t>
            </w:r>
            <w:r>
              <w:rPr>
                <w:sz w:val="16"/>
                <w:szCs w:val="16"/>
              </w:rPr>
              <w:t>1</w:t>
            </w:r>
          </w:p>
        </w:tc>
      </w:tr>
    </w:tbl>
    <w:p w:rsidR="00000000" w:rsidRDefault="00AF2D19">
      <w:pPr>
        <w:pStyle w:val="a3"/>
        <w:spacing w:before="60" w:beforeAutospacing="0" w:after="0" w:afterAutospacing="0"/>
        <w:jc w:val="both"/>
        <w:rPr>
          <w:sz w:val="20"/>
          <w:szCs w:val="20"/>
        </w:rPr>
      </w:pPr>
      <w:r>
        <w:rPr>
          <w:sz w:val="16"/>
          <w:szCs w:val="16"/>
        </w:rPr>
        <w:t>(1) Douglas Braunstein received no compensation in respect of his services as our interim Chief Executive Officer during the year ended December 31, 2021; however, in accordance with SEC regulations, the compensation disclosed in the table above reflects c</w:t>
      </w:r>
      <w:r>
        <w:rPr>
          <w:sz w:val="16"/>
          <w:szCs w:val="16"/>
        </w:rPr>
        <w:t>ompensation received for his services as a member of Board, as further described below under</w:t>
      </w:r>
      <w:r>
        <w:rPr>
          <w:sz w:val="16"/>
          <w:szCs w:val="16"/>
        </w:rPr>
        <w:t xml:space="preserve"> </w:t>
      </w:r>
      <w:r>
        <w:rPr>
          <w:i/>
          <w:iCs/>
          <w:sz w:val="16"/>
          <w:szCs w:val="16"/>
        </w:rPr>
        <w:t>“2021 Director Compensation</w:t>
      </w:r>
      <w:r>
        <w:rPr>
          <w:i/>
          <w:iCs/>
          <w:sz w:val="16"/>
          <w:szCs w:val="16"/>
        </w:rPr>
        <w:t>”</w:t>
      </w:r>
      <w:r>
        <w:rPr>
          <w:sz w:val="16"/>
          <w:szCs w:val="16"/>
        </w:rPr>
        <w:t>.</w:t>
      </w:r>
    </w:p>
    <w:p w:rsidR="00000000" w:rsidRDefault="00AF2D19">
      <w:pPr>
        <w:pStyle w:val="a3"/>
        <w:spacing w:before="60" w:beforeAutospacing="0" w:after="0" w:afterAutospacing="0"/>
        <w:jc w:val="both"/>
        <w:rPr>
          <w:sz w:val="20"/>
          <w:szCs w:val="20"/>
        </w:rPr>
      </w:pPr>
      <w:r>
        <w:rPr>
          <w:sz w:val="16"/>
          <w:szCs w:val="16"/>
        </w:rPr>
        <w:t>(2) Oren Frank and Roni Frank terminated their employment with the Company on November 15, 2021. Mark Hirschhorn terminated his emplo</w:t>
      </w:r>
      <w:r>
        <w:rPr>
          <w:sz w:val="16"/>
          <w:szCs w:val="16"/>
        </w:rPr>
        <w:t>yment with the Company on November 22, 2021. Jennifer Fulk commenced employment with the Company on July 26, 2021. Each of their respective salaries was prorated for the portion of the 2021 fiscal year during which they were employed</w:t>
      </w:r>
      <w:r>
        <w:rPr>
          <w:sz w:val="16"/>
          <w:szCs w:val="16"/>
        </w:rPr>
        <w:t>.</w:t>
      </w:r>
    </w:p>
    <w:p w:rsidR="00000000" w:rsidRDefault="00AF2D19">
      <w:pPr>
        <w:pStyle w:val="a3"/>
        <w:spacing w:before="60" w:beforeAutospacing="0" w:after="0" w:afterAutospacing="0"/>
        <w:jc w:val="both"/>
        <w:rPr>
          <w:sz w:val="20"/>
          <w:szCs w:val="20"/>
        </w:rPr>
      </w:pPr>
      <w:r>
        <w:rPr>
          <w:sz w:val="16"/>
          <w:szCs w:val="16"/>
        </w:rPr>
        <w:t>(3) Amounts for fisca</w:t>
      </w:r>
      <w:r>
        <w:rPr>
          <w:sz w:val="16"/>
          <w:szCs w:val="16"/>
        </w:rPr>
        <w:t>l 2021 represent discretionary annual bonus payments made with respect to 2021 performance</w:t>
      </w:r>
      <w:r>
        <w:rPr>
          <w:sz w:val="16"/>
          <w:szCs w:val="16"/>
        </w:rPr>
        <w:t>.</w:t>
      </w:r>
    </w:p>
    <w:p w:rsidR="00000000" w:rsidRDefault="00AF2D19">
      <w:pPr>
        <w:pStyle w:val="a3"/>
        <w:spacing w:before="60" w:beforeAutospacing="0" w:after="0" w:afterAutospacing="0"/>
        <w:jc w:val="both"/>
        <w:rPr>
          <w:sz w:val="20"/>
          <w:szCs w:val="20"/>
        </w:rPr>
      </w:pPr>
      <w:r>
        <w:rPr>
          <w:sz w:val="16"/>
          <w:szCs w:val="16"/>
        </w:rPr>
        <w:t>(4) Amounts reflect the full grant-date fair value of restricted stock units and stock options granted during fiscal 2021 computed in accordance with ASC Topic 718,</w:t>
      </w:r>
      <w:r>
        <w:rPr>
          <w:sz w:val="16"/>
          <w:szCs w:val="16"/>
        </w:rPr>
        <w:t xml:space="preserve"> rather than the amounts paid to or realized by the named individual. In addition, amounts reflect the incremental fair value (determined in accordance with ASC Topic 718) associated with the modification of stock options in connection with the Business Co</w:t>
      </w:r>
      <w:r>
        <w:rPr>
          <w:sz w:val="16"/>
          <w:szCs w:val="16"/>
        </w:rPr>
        <w:t>mbination. We provide information regarding the assumptions used to calculate the value of all restricted stock units and option awards made to our NEOs in Note 13 to the consolidated financial statements included in in this Annual Report for the year ende</w:t>
      </w:r>
      <w:r>
        <w:rPr>
          <w:sz w:val="16"/>
          <w:szCs w:val="16"/>
        </w:rPr>
        <w:t>d December 31, 2021</w:t>
      </w:r>
      <w:r>
        <w:rPr>
          <w:sz w:val="16"/>
          <w:szCs w:val="16"/>
        </w:rPr>
        <w:t>.</w:t>
      </w:r>
    </w:p>
    <w:p w:rsidR="00000000" w:rsidRDefault="00AF2D19">
      <w:pPr>
        <w:pStyle w:val="a3"/>
        <w:spacing w:before="60" w:beforeAutospacing="0" w:after="0" w:afterAutospacing="0"/>
        <w:jc w:val="both"/>
        <w:rPr>
          <w:sz w:val="20"/>
          <w:szCs w:val="20"/>
        </w:rPr>
      </w:pPr>
      <w:r>
        <w:rPr>
          <w:sz w:val="16"/>
          <w:szCs w:val="16"/>
        </w:rPr>
        <w:t>(5) Amounts for fiscal 2021 represent, for all NEOs other than Oren Frank and Roni Frank, matching contributions received under the Company’s 401(k) plan. For Oren Frank, the amount represents (i) $11,600 in matching contributions rece</w:t>
      </w:r>
      <w:r>
        <w:rPr>
          <w:sz w:val="16"/>
          <w:szCs w:val="16"/>
        </w:rPr>
        <w:t>ived under the Company’s 401(k) plan and (ii) $1,569,768 in paid and accrued amounts under his separation agreement, as further described below under “Separation Agreements”. For Roni Frank, the amount represents (i) $11,600 in matching contributions recei</w:t>
      </w:r>
      <w:r>
        <w:rPr>
          <w:sz w:val="16"/>
          <w:szCs w:val="16"/>
        </w:rPr>
        <w:t>ved under the Company’s 401(k) plan and (ii) $1,421,717 in paid and accrued amounts under her separation agreement, as further described below under “Separation Agreements”. The paid and accrued amounts under Mr. and Ms. Frank’s separation agreements are l</w:t>
      </w:r>
      <w:r>
        <w:rPr>
          <w:sz w:val="16"/>
          <w:szCs w:val="16"/>
        </w:rPr>
        <w:t>aid out in further detail in the table below</w:t>
      </w:r>
      <w:r>
        <w:rPr>
          <w:sz w:val="16"/>
          <w:szCs w:val="16"/>
        </w:rPr>
        <w:t>.</w:t>
      </w:r>
    </w:p>
    <w:p w:rsidR="00000000" w:rsidRDefault="00AF2D19">
      <w:pPr>
        <w:pStyle w:val="a3"/>
        <w:spacing w:before="60" w:beforeAutospacing="0" w:after="0" w:afterAutospacing="0"/>
        <w:jc w:val="both"/>
        <w:rPr>
          <w:sz w:val="20"/>
          <w:szCs w:val="20"/>
        </w:rPr>
      </w:pPr>
      <w:r>
        <w:rPr>
          <w:sz w:val="17"/>
          <w:szCs w:val="17"/>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11</w:t>
      </w:r>
      <w:r>
        <w:rPr>
          <w:sz w:val="20"/>
          <w:szCs w:val="20"/>
        </w:rPr>
        <w:t>2</w:t>
      </w:r>
    </w:p>
    <w:p w:rsidR="00000000" w:rsidRDefault="00AF2D19">
      <w:pPr>
        <w:rPr>
          <w:rFonts w:eastAsia="Times New Roman"/>
        </w:rPr>
      </w:pPr>
      <w:r>
        <w:rPr>
          <w:rFonts w:eastAsia="Times New Roman"/>
        </w:rPr>
        <w:pict>
          <v:rect id="_x0000_i114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rPr>
          <w:sz w:val="20"/>
          <w:szCs w:val="20"/>
        </w:rPr>
      </w:pPr>
      <w:r>
        <w:rPr>
          <w:b/>
          <w:bCs/>
          <w:sz w:val="20"/>
          <w:szCs w:val="20"/>
        </w:rPr>
        <w:t>Amounts Paid and Accrued under Separation Agreement</w:t>
      </w:r>
      <w:r>
        <w:rPr>
          <w:b/>
          <w:bCs/>
          <w:sz w:val="20"/>
          <w:szCs w:val="20"/>
        </w:rPr>
        <w:t>s</w:t>
      </w:r>
    </w:p>
    <w:p w:rsidR="00000000" w:rsidRDefault="00AF2D1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1392"/>
        <w:gridCol w:w="993"/>
        <w:gridCol w:w="1167"/>
        <w:gridCol w:w="1167"/>
        <w:gridCol w:w="1268"/>
        <w:gridCol w:w="1072"/>
      </w:tblGrid>
      <w:tr w:rsidR="00000000">
        <w:trPr>
          <w:tblCellSpacing w:w="15" w:type="dxa"/>
        </w:trPr>
        <w:tc>
          <w:tcPr>
            <w:tcW w:w="750" w:type="pct"/>
            <w:vAlign w:val="center"/>
            <w:hideMark/>
          </w:tcPr>
          <w:p w:rsidR="00000000" w:rsidRDefault="00AF2D19">
            <w:pPr>
              <w:rPr>
                <w:sz w:val="20"/>
                <w:szCs w:val="20"/>
              </w:rPr>
            </w:pPr>
          </w:p>
        </w:tc>
        <w:tc>
          <w:tcPr>
            <w:tcW w:w="849" w:type="pct"/>
            <w:vAlign w:val="center"/>
            <w:hideMark/>
          </w:tcPr>
          <w:p w:rsidR="00000000" w:rsidRDefault="00AF2D19">
            <w:pPr>
              <w:rPr>
                <w:rFonts w:eastAsia="Times New Roman"/>
                <w:sz w:val="20"/>
                <w:szCs w:val="20"/>
              </w:rPr>
            </w:pPr>
          </w:p>
        </w:tc>
        <w:tc>
          <w:tcPr>
            <w:tcW w:w="601" w:type="pct"/>
            <w:vAlign w:val="center"/>
            <w:hideMark/>
          </w:tcPr>
          <w:p w:rsidR="00000000" w:rsidRDefault="00AF2D19">
            <w:pPr>
              <w:rPr>
                <w:rFonts w:eastAsia="Times New Roman"/>
                <w:sz w:val="20"/>
                <w:szCs w:val="20"/>
              </w:rPr>
            </w:pPr>
          </w:p>
        </w:tc>
        <w:tc>
          <w:tcPr>
            <w:tcW w:w="699" w:type="pct"/>
            <w:vAlign w:val="center"/>
            <w:hideMark/>
          </w:tcPr>
          <w:p w:rsidR="00000000" w:rsidRDefault="00AF2D19">
            <w:pPr>
              <w:rPr>
                <w:rFonts w:eastAsia="Times New Roman"/>
                <w:sz w:val="20"/>
                <w:szCs w:val="20"/>
              </w:rPr>
            </w:pPr>
          </w:p>
        </w:tc>
        <w:tc>
          <w:tcPr>
            <w:tcW w:w="686" w:type="pct"/>
            <w:vAlign w:val="center"/>
            <w:hideMark/>
          </w:tcPr>
          <w:p w:rsidR="00000000" w:rsidRDefault="00AF2D19">
            <w:pPr>
              <w:rPr>
                <w:rFonts w:eastAsia="Times New Roman"/>
                <w:sz w:val="20"/>
                <w:szCs w:val="20"/>
              </w:rPr>
            </w:pPr>
          </w:p>
        </w:tc>
        <w:tc>
          <w:tcPr>
            <w:tcW w:w="772" w:type="pct"/>
            <w:vAlign w:val="center"/>
            <w:hideMark/>
          </w:tcPr>
          <w:p w:rsidR="00000000" w:rsidRDefault="00AF2D19">
            <w:pPr>
              <w:rPr>
                <w:rFonts w:eastAsia="Times New Roman"/>
                <w:sz w:val="20"/>
                <w:szCs w:val="20"/>
              </w:rPr>
            </w:pPr>
          </w:p>
        </w:tc>
        <w:tc>
          <w:tcPr>
            <w:tcW w:w="641"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b/>
                <w:bCs/>
                <w:sz w:val="16"/>
                <w:szCs w:val="16"/>
              </w:rPr>
              <w:t>Named Executive Office</w:t>
            </w:r>
            <w:r>
              <w:rPr>
                <w:b/>
                <w:bCs/>
                <w:sz w:val="16"/>
                <w:szCs w:val="16"/>
              </w:rPr>
              <w:t>r</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b/>
                <w:bCs/>
                <w:sz w:val="16"/>
                <w:szCs w:val="16"/>
              </w:rPr>
              <w:t>Restrictive Covenant Amount ($</w:t>
            </w:r>
            <w:r>
              <w:rPr>
                <w:b/>
                <w:bCs/>
                <w:sz w:val="16"/>
                <w:szCs w:val="16"/>
              </w:rPr>
              <w:t>)</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b/>
                <w:bCs/>
                <w:sz w:val="16"/>
                <w:szCs w:val="16"/>
              </w:rPr>
              <w:t>Lump Sum Amount ($</w:t>
            </w:r>
            <w:r>
              <w:rPr>
                <w:b/>
                <w:bCs/>
                <w:sz w:val="16"/>
                <w:szCs w:val="16"/>
              </w:rPr>
              <w:t>)</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b/>
                <w:bCs/>
                <w:sz w:val="16"/>
                <w:szCs w:val="16"/>
              </w:rPr>
              <w:t>Base Salary Continuation ($</w:t>
            </w:r>
            <w:r>
              <w:rPr>
                <w:b/>
                <w:bCs/>
                <w:sz w:val="16"/>
                <w:szCs w:val="16"/>
              </w:rPr>
              <w:t>)</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b/>
                <w:bCs/>
                <w:sz w:val="16"/>
                <w:szCs w:val="16"/>
              </w:rPr>
              <w:t>COBRA Continuation ($</w:t>
            </w:r>
            <w:r>
              <w:rPr>
                <w:b/>
                <w:bCs/>
                <w:sz w:val="16"/>
                <w:szCs w:val="16"/>
              </w:rPr>
              <w:t>)</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b/>
                <w:bCs/>
                <w:sz w:val="16"/>
                <w:szCs w:val="16"/>
              </w:rPr>
              <w:t>Equity Acceleration ($</w:t>
            </w:r>
            <w:r>
              <w:rPr>
                <w:b/>
                <w:bCs/>
                <w:sz w:val="16"/>
                <w:szCs w:val="16"/>
              </w:rPr>
              <w:t>)</w:t>
            </w:r>
            <w:r>
              <w:rPr>
                <w:b/>
                <w:bCs/>
                <w:sz w:val="11"/>
                <w:szCs w:val="11"/>
              </w:rPr>
              <w:t>(1</w:t>
            </w:r>
            <w:r>
              <w:rPr>
                <w:b/>
                <w:bCs/>
                <w:sz w:val="11"/>
                <w:szCs w:val="11"/>
              </w:rPr>
              <w:t>)</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b/>
                <w:bCs/>
                <w:sz w:val="16"/>
                <w:szCs w:val="16"/>
              </w:rPr>
              <w:t>Total ($</w:t>
            </w:r>
            <w:r>
              <w:rPr>
                <w:b/>
                <w:bCs/>
                <w:sz w:val="16"/>
                <w:szCs w:val="16"/>
              </w:rPr>
              <w:t>)</w:t>
            </w:r>
          </w:p>
        </w:tc>
      </w:tr>
      <w:tr w:rsidR="00000000">
        <w:trPr>
          <w:trHeight w:val="18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rPr>
                <w:sz w:val="18"/>
                <w:szCs w:val="18"/>
              </w:rPr>
            </w:pPr>
            <w:r>
              <w:rPr>
                <w:sz w:val="18"/>
                <w:szCs w:val="18"/>
              </w:rPr>
              <w:t>Oren Fran</w:t>
            </w:r>
            <w:r>
              <w:rPr>
                <w:sz w:val="18"/>
                <w:szCs w:val="18"/>
              </w:rPr>
              <w:t>k</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125,00</w:t>
            </w:r>
            <w:r>
              <w:rPr>
                <w:sz w:val="18"/>
                <w:szCs w:val="18"/>
              </w:rPr>
              <w:t>0</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750,00</w:t>
            </w:r>
            <w:r>
              <w:rPr>
                <w:sz w:val="18"/>
                <w:szCs w:val="18"/>
              </w:rPr>
              <w:t>0</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350,00</w:t>
            </w:r>
            <w:r>
              <w:rPr>
                <w:sz w:val="18"/>
                <w:szCs w:val="18"/>
              </w:rPr>
              <w:t>0</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73,05</w:t>
            </w:r>
            <w:r>
              <w:rPr>
                <w:sz w:val="18"/>
                <w:szCs w:val="18"/>
              </w:rPr>
              <w:t>1</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271,71</w:t>
            </w:r>
            <w:r>
              <w:rPr>
                <w:sz w:val="18"/>
                <w:szCs w:val="18"/>
              </w:rPr>
              <w:t>7</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1,569,76</w:t>
            </w:r>
            <w:r>
              <w:rPr>
                <w:sz w:val="18"/>
                <w:szCs w:val="18"/>
              </w:rPr>
              <w:t>8</w:t>
            </w:r>
          </w:p>
        </w:tc>
      </w:tr>
      <w:tr w:rsidR="00000000">
        <w:trPr>
          <w:trHeight w:val="18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rPr>
                <w:sz w:val="18"/>
                <w:szCs w:val="18"/>
              </w:rPr>
            </w:pPr>
            <w:r>
              <w:rPr>
                <w:sz w:val="18"/>
                <w:szCs w:val="18"/>
              </w:rPr>
              <w:t>Roni Fran</w:t>
            </w:r>
            <w:r>
              <w:rPr>
                <w:sz w:val="18"/>
                <w:szCs w:val="18"/>
              </w:rPr>
              <w:t>k</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125,00</w:t>
            </w:r>
            <w:r>
              <w:rPr>
                <w:sz w:val="18"/>
                <w:szCs w:val="18"/>
              </w:rPr>
              <w:t>0</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750,00</w:t>
            </w:r>
            <w:r>
              <w:rPr>
                <w:sz w:val="18"/>
                <w:szCs w:val="18"/>
              </w:rPr>
              <w:t>0</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275,00</w:t>
            </w:r>
            <w:r>
              <w:rPr>
                <w:sz w:val="18"/>
                <w:szCs w:val="18"/>
              </w:rPr>
              <w:t>0</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(2</w:t>
            </w:r>
            <w:r>
              <w:rPr>
                <w:sz w:val="18"/>
                <w:szCs w:val="18"/>
              </w:rPr>
              <w:t>)</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271,71</w:t>
            </w:r>
            <w:r>
              <w:rPr>
                <w:sz w:val="18"/>
                <w:szCs w:val="18"/>
              </w:rPr>
              <w:t>7</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1,421,71</w:t>
            </w:r>
            <w:r>
              <w:rPr>
                <w:sz w:val="18"/>
                <w:szCs w:val="18"/>
              </w:rPr>
              <w:t>7</w:t>
            </w:r>
          </w:p>
        </w:tc>
      </w:tr>
    </w:tbl>
    <w:p w:rsidR="00000000" w:rsidRDefault="00AF2D19">
      <w:pPr>
        <w:pStyle w:val="a3"/>
        <w:spacing w:before="60" w:beforeAutospacing="0" w:after="0" w:afterAutospacing="0"/>
        <w:jc w:val="both"/>
        <w:rPr>
          <w:sz w:val="20"/>
          <w:szCs w:val="20"/>
        </w:rPr>
      </w:pPr>
      <w:r>
        <w:rPr>
          <w:sz w:val="17"/>
          <w:szCs w:val="17"/>
        </w:rPr>
        <w:t xml:space="preserve">(1) Amounts represent the incremental fair value (determined in accordance with ASC Topic 718) associated with the acceleration of equity awards under the separation agreements, as further described below under </w:t>
      </w:r>
      <w:r>
        <w:rPr>
          <w:sz w:val="17"/>
          <w:szCs w:val="17"/>
        </w:rPr>
        <w:t>“</w:t>
      </w:r>
      <w:r>
        <w:rPr>
          <w:i/>
          <w:iCs/>
          <w:sz w:val="17"/>
          <w:szCs w:val="17"/>
        </w:rPr>
        <w:t>Separation Agreement</w:t>
      </w:r>
      <w:r>
        <w:rPr>
          <w:i/>
          <w:iCs/>
          <w:sz w:val="17"/>
          <w:szCs w:val="17"/>
        </w:rPr>
        <w:t>s</w:t>
      </w:r>
      <w:r>
        <w:rPr>
          <w:sz w:val="17"/>
          <w:szCs w:val="17"/>
        </w:rPr>
        <w:t>”</w:t>
      </w:r>
      <w:r>
        <w:rPr>
          <w:sz w:val="17"/>
          <w:szCs w:val="17"/>
        </w:rPr>
        <w:t>.</w:t>
      </w:r>
    </w:p>
    <w:p w:rsidR="00000000" w:rsidRDefault="00AF2D19">
      <w:pPr>
        <w:pStyle w:val="a3"/>
        <w:spacing w:before="60" w:beforeAutospacing="0" w:after="0" w:afterAutospacing="0"/>
        <w:jc w:val="both"/>
        <w:rPr>
          <w:sz w:val="20"/>
          <w:szCs w:val="20"/>
        </w:rPr>
      </w:pPr>
      <w:r>
        <w:rPr>
          <w:sz w:val="17"/>
          <w:szCs w:val="17"/>
        </w:rPr>
        <w:t>(2) Ms. F</w:t>
      </w:r>
      <w:r>
        <w:rPr>
          <w:sz w:val="17"/>
          <w:szCs w:val="17"/>
        </w:rPr>
        <w:t>rank did not participate in our group health plans as an employee as of December 31, 2021 and, as a result, did not receive any COBRA continuation payments</w:t>
      </w:r>
      <w:r>
        <w:rPr>
          <w:sz w:val="17"/>
          <w:szCs w:val="17"/>
        </w:rPr>
        <w:t>.</w:t>
      </w:r>
      <w:r>
        <w:rPr>
          <w:sz w:val="17"/>
          <w:szCs w:val="17"/>
        </w:rPr>
        <w:t xml:space="preserve"> </w:t>
      </w:r>
    </w:p>
    <w:p w:rsidR="00000000" w:rsidRDefault="00AF2D19">
      <w:pPr>
        <w:pStyle w:val="a3"/>
        <w:spacing w:before="60" w:beforeAutospacing="0" w:after="0" w:afterAutospacing="0"/>
        <w:jc w:val="both"/>
        <w:rPr>
          <w:sz w:val="20"/>
          <w:szCs w:val="20"/>
        </w:rPr>
      </w:pPr>
      <w:r>
        <w:rPr>
          <w:sz w:val="17"/>
          <w:szCs w:val="17"/>
        </w:rPr>
        <w:t> </w:t>
      </w:r>
    </w:p>
    <w:p w:rsidR="00000000" w:rsidRDefault="00AF2D19">
      <w:pPr>
        <w:pStyle w:val="a3"/>
        <w:spacing w:before="0" w:beforeAutospacing="0" w:after="0" w:afterAutospacing="0"/>
        <w:rPr>
          <w:sz w:val="20"/>
          <w:szCs w:val="20"/>
        </w:rPr>
      </w:pPr>
      <w:r>
        <w:rPr>
          <w:b/>
          <w:bCs/>
          <w:sz w:val="20"/>
          <w:szCs w:val="20"/>
        </w:rPr>
        <w:t>Grants of Plan-Based Awards in Fiscal 202</w:t>
      </w:r>
      <w:r>
        <w:rPr>
          <w:b/>
          <w:bCs/>
          <w:sz w:val="20"/>
          <w:szCs w:val="20"/>
        </w:rPr>
        <w:t>1</w:t>
      </w:r>
    </w:p>
    <w:p w:rsidR="00000000" w:rsidRDefault="00AF2D19">
      <w:pPr>
        <w:pStyle w:val="a3"/>
        <w:spacing w:before="60" w:beforeAutospacing="0" w:after="0" w:afterAutospacing="0"/>
        <w:jc w:val="both"/>
        <w:rPr>
          <w:sz w:val="20"/>
          <w:szCs w:val="20"/>
        </w:rPr>
      </w:pPr>
      <w:r>
        <w:rPr>
          <w:sz w:val="20"/>
          <w:szCs w:val="20"/>
        </w:rPr>
        <w:t>The following table provides supplemental information</w:t>
      </w:r>
      <w:r>
        <w:rPr>
          <w:sz w:val="20"/>
          <w:szCs w:val="20"/>
        </w:rPr>
        <w:t xml:space="preserve"> relating to grants of plan-based awards made during fiscal 2021 to help explain information provided above in our Summary Compensation Table. This table presents information regarding all grants of plan-based awards occurring during fiscal 2021 (all of wh</w:t>
      </w:r>
      <w:r>
        <w:rPr>
          <w:sz w:val="20"/>
          <w:szCs w:val="20"/>
        </w:rPr>
        <w:t>ich were granted under the 2021 Plan)</w:t>
      </w:r>
      <w:r>
        <w:rPr>
          <w:sz w:val="20"/>
          <w:szCs w:val="20"/>
        </w:rPr>
        <w:t>.</w:t>
      </w:r>
    </w:p>
    <w:p w:rsidR="00000000" w:rsidRDefault="00AF2D19">
      <w:pPr>
        <w:pStyle w:val="a3"/>
        <w:spacing w:before="6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80"/>
        <w:gridCol w:w="995"/>
        <w:gridCol w:w="95"/>
        <w:gridCol w:w="1250"/>
        <w:gridCol w:w="95"/>
        <w:gridCol w:w="96"/>
        <w:gridCol w:w="1374"/>
        <w:gridCol w:w="95"/>
        <w:gridCol w:w="96"/>
        <w:gridCol w:w="1094"/>
        <w:gridCol w:w="95"/>
        <w:gridCol w:w="95"/>
        <w:gridCol w:w="1094"/>
        <w:gridCol w:w="95"/>
        <w:gridCol w:w="257"/>
      </w:tblGrid>
      <w:tr w:rsidR="00000000">
        <w:trPr>
          <w:tblCellSpacing w:w="15" w:type="dxa"/>
        </w:trPr>
        <w:tc>
          <w:tcPr>
            <w:tcW w:w="938" w:type="pct"/>
            <w:vAlign w:val="center"/>
            <w:hideMark/>
          </w:tcPr>
          <w:p w:rsidR="00000000" w:rsidRDefault="00AF2D19">
            <w:pPr>
              <w:rPr>
                <w:sz w:val="20"/>
                <w:szCs w:val="20"/>
              </w:rPr>
            </w:pPr>
          </w:p>
        </w:tc>
        <w:tc>
          <w:tcPr>
            <w:tcW w:w="639"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80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880"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70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70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158" w:type="pct"/>
            <w:vAlign w:val="center"/>
            <w:hideMark/>
          </w:tcPr>
          <w:p w:rsidR="00000000" w:rsidRDefault="00AF2D19">
            <w:pPr>
              <w:rPr>
                <w:rFonts w:eastAsia="Times New Roman"/>
                <w:sz w:val="20"/>
                <w:szCs w:val="20"/>
              </w:rPr>
            </w:pP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b/>
                <w:bCs/>
                <w:sz w:val="14"/>
                <w:szCs w:val="14"/>
              </w:rPr>
              <w:t>Nam</w:t>
            </w:r>
            <w:r>
              <w:rPr>
                <w:b/>
                <w:bCs/>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b/>
                <w:bCs/>
                <w:sz w:val="14"/>
                <w:szCs w:val="14"/>
              </w:rPr>
              <w:t>Grant Dat</w:t>
            </w:r>
            <w:r>
              <w:rPr>
                <w:b/>
                <w:bCs/>
                <w:sz w:val="14"/>
                <w:szCs w:val="14"/>
              </w:rPr>
              <w:t>e</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All Other Stock Awards: Number of Shares of Stock or Units (#</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All Other Option Awards: Number of Securities Underlying Options (#</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Exercise or Base Price of Option Awards ($/Sh</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Grant Date Fair Value of Stock and Option Awards ($</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Oren Fran</w:t>
            </w:r>
            <w:r>
              <w:rPr>
                <w:sz w:val="14"/>
                <w:szCs w:val="14"/>
              </w:rPr>
              <w:t>k</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1/15/201</w:t>
            </w:r>
            <w:r>
              <w:rPr>
                <w:sz w:val="14"/>
                <w:szCs w:val="14"/>
              </w:rPr>
              <w:t>6</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74,32</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0.2</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627,36</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9/1/201</w:t>
            </w:r>
            <w:r>
              <w:rPr>
                <w:sz w:val="14"/>
                <w:szCs w:val="14"/>
              </w:rPr>
              <w:t>6</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67,63</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0.3</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574,16</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10/17/201</w:t>
            </w:r>
            <w:r>
              <w:rPr>
                <w:sz w:val="14"/>
                <w:szCs w:val="14"/>
              </w:rPr>
              <w:t>7</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98,65</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0.5</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831,85</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8/5/201</w:t>
            </w:r>
            <w:r>
              <w:rPr>
                <w:sz w:val="14"/>
                <w:szCs w:val="14"/>
              </w:rPr>
              <w:t>9</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76,49</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636,69</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8/18/202</w:t>
            </w:r>
            <w:r>
              <w:rPr>
                <w:sz w:val="14"/>
                <w:szCs w:val="14"/>
              </w:rPr>
              <w:t>0</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26,82</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223,19</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7/15/202</w:t>
            </w:r>
            <w:r>
              <w:rPr>
                <w:sz w:val="14"/>
                <w:szCs w:val="14"/>
              </w:rPr>
              <w:t>1</w:t>
            </w:r>
            <w:r>
              <w:rPr>
                <w:sz w:val="9"/>
                <w:szCs w:val="9"/>
              </w:rPr>
              <w:t>(1</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1,732,50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5,927,42</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10/18/202</w:t>
            </w:r>
            <w:r>
              <w:rPr>
                <w:sz w:val="14"/>
                <w:szCs w:val="14"/>
              </w:rPr>
              <w:t>1</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433,12</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1,550,58</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Jennifer Ful</w:t>
            </w:r>
            <w:r>
              <w:rPr>
                <w:sz w:val="14"/>
                <w:szCs w:val="14"/>
              </w:rPr>
              <w:t>k</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7/15/202</w:t>
            </w:r>
            <w:r>
              <w:rPr>
                <w:sz w:val="14"/>
                <w:szCs w:val="14"/>
              </w:rPr>
              <w:t>1</w:t>
            </w:r>
            <w:r>
              <w:rPr>
                <w:sz w:val="9"/>
                <w:szCs w:val="9"/>
              </w:rPr>
              <w:t>(1</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492,60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1,690,57</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10/18/202</w:t>
            </w:r>
            <w:r>
              <w:rPr>
                <w:sz w:val="14"/>
                <w:szCs w:val="14"/>
              </w:rPr>
              <w:t>1</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123,75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443,02</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Mark Hirschhor</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2/11/202</w:t>
            </w:r>
            <w:r>
              <w:rPr>
                <w:sz w:val="14"/>
                <w:szCs w:val="14"/>
              </w:rPr>
              <w:t>0</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76,50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636,78</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2/11/202</w:t>
            </w:r>
            <w:r>
              <w:rPr>
                <w:sz w:val="14"/>
                <w:szCs w:val="14"/>
              </w:rPr>
              <w:t>0</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204,66</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1,703,59</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7/15/202</w:t>
            </w:r>
            <w:r>
              <w:rPr>
                <w:sz w:val="14"/>
                <w:szCs w:val="14"/>
              </w:rPr>
              <w:t>1</w:t>
            </w:r>
            <w:r>
              <w:rPr>
                <w:sz w:val="9"/>
                <w:szCs w:val="9"/>
              </w:rPr>
              <w:t>(1</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990,00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3,387,10</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10/18/202</w:t>
            </w:r>
            <w:r>
              <w:rPr>
                <w:sz w:val="14"/>
                <w:szCs w:val="14"/>
              </w:rPr>
              <w:t>1</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247,50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886,05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Samara H. Braunstei</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1/14/202</w:t>
            </w:r>
            <w:r>
              <w:rPr>
                <w:sz w:val="14"/>
                <w:szCs w:val="14"/>
              </w:rPr>
              <w:t>1</w:t>
            </w:r>
            <w:r>
              <w:rPr>
                <w:sz w:val="9"/>
                <w:szCs w:val="9"/>
              </w:rPr>
              <w:t>(5</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518,70</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7.2</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3,639,46</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(8</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7/15/202</w:t>
            </w:r>
            <w:r>
              <w:rPr>
                <w:sz w:val="14"/>
                <w:szCs w:val="14"/>
              </w:rPr>
              <w:t>1</w:t>
            </w:r>
            <w:r>
              <w:rPr>
                <w:sz w:val="9"/>
                <w:szCs w:val="9"/>
              </w:rPr>
              <w:t>(1</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495,00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1,693,55</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10/18/202</w:t>
            </w:r>
            <w:r>
              <w:rPr>
                <w:sz w:val="14"/>
                <w:szCs w:val="14"/>
              </w:rPr>
              <w:t>1</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123,75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443,02</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Gil Margoli</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12/8/201</w:t>
            </w:r>
            <w:r>
              <w:rPr>
                <w:sz w:val="14"/>
                <w:szCs w:val="14"/>
              </w:rPr>
              <w:t>4</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77,70</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0.1</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508,36</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9/1/201</w:t>
            </w:r>
            <w:r>
              <w:rPr>
                <w:sz w:val="14"/>
                <w:szCs w:val="14"/>
              </w:rPr>
              <w:t>6</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29,93</w:t>
            </w:r>
            <w:r>
              <w:rPr>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0.3</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254,13</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10/17/201</w:t>
            </w:r>
            <w:r>
              <w:rPr>
                <w:sz w:val="14"/>
                <w:szCs w:val="14"/>
              </w:rPr>
              <w:t>7</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61,94</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0.5</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522,32</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8/5/201</w:t>
            </w:r>
            <w:r>
              <w:rPr>
                <w:sz w:val="14"/>
                <w:szCs w:val="14"/>
              </w:rPr>
              <w:t>9</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38,24</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318,34</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8/18/202</w:t>
            </w:r>
            <w:r>
              <w:rPr>
                <w:sz w:val="14"/>
                <w:szCs w:val="14"/>
              </w:rPr>
              <w:t>0</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13,41</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111,59</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7/15/202</w:t>
            </w:r>
            <w:r>
              <w:rPr>
                <w:sz w:val="14"/>
                <w:szCs w:val="14"/>
              </w:rPr>
              <w:t>1</w:t>
            </w:r>
            <w:r>
              <w:rPr>
                <w:sz w:val="9"/>
                <w:szCs w:val="9"/>
              </w:rPr>
              <w:t>(1</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495,00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1,693,55</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10/18/202</w:t>
            </w:r>
            <w:r>
              <w:rPr>
                <w:sz w:val="14"/>
                <w:szCs w:val="14"/>
              </w:rPr>
              <w:t>1</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123,75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443,02</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John C. Reill</w:t>
            </w:r>
            <w:r>
              <w:rPr>
                <w:sz w:val="14"/>
                <w:szCs w:val="14"/>
              </w:rPr>
              <w:t>y</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3/1/201</w:t>
            </w:r>
            <w:r>
              <w:rPr>
                <w:sz w:val="14"/>
                <w:szCs w:val="14"/>
              </w:rPr>
              <w:t>7</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8,01</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0.3</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68,04</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8/5/201</w:t>
            </w:r>
            <w:r>
              <w:rPr>
                <w:sz w:val="14"/>
                <w:szCs w:val="14"/>
              </w:rPr>
              <w:t>9</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7,64</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63,66</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8/18/202</w:t>
            </w:r>
            <w:r>
              <w:rPr>
                <w:sz w:val="14"/>
                <w:szCs w:val="14"/>
              </w:rPr>
              <w:t>0</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6,70</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55,79</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7/15/202</w:t>
            </w:r>
            <w:r>
              <w:rPr>
                <w:sz w:val="14"/>
                <w:szCs w:val="14"/>
              </w:rPr>
              <w:t>1</w:t>
            </w:r>
            <w:r>
              <w:rPr>
                <w:sz w:val="9"/>
                <w:szCs w:val="9"/>
              </w:rPr>
              <w:t>(1</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247,50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846,77</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10/18/202</w:t>
            </w:r>
            <w:r>
              <w:rPr>
                <w:sz w:val="14"/>
                <w:szCs w:val="14"/>
              </w:rPr>
              <w:t>1</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61,87</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221,51</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Roni Fran</w:t>
            </w:r>
            <w:r>
              <w:rPr>
                <w:sz w:val="14"/>
                <w:szCs w:val="14"/>
              </w:rPr>
              <w:t>k</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1/15/201</w:t>
            </w:r>
            <w:r>
              <w:rPr>
                <w:sz w:val="14"/>
                <w:szCs w:val="14"/>
              </w:rPr>
              <w:t>6</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74,32</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0.2</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627,36</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9/1/201</w:t>
            </w:r>
            <w:r>
              <w:rPr>
                <w:sz w:val="14"/>
                <w:szCs w:val="14"/>
              </w:rPr>
              <w:t>6</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67,63</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0.3</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574,16</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10/17/201</w:t>
            </w:r>
            <w:r>
              <w:rPr>
                <w:sz w:val="14"/>
                <w:szCs w:val="14"/>
              </w:rPr>
              <w:t>7</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98,65</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0.5</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831,85</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8/5/201</w:t>
            </w:r>
            <w:r>
              <w:rPr>
                <w:sz w:val="14"/>
                <w:szCs w:val="14"/>
              </w:rPr>
              <w:t>9</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76,49</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636,69</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8/18/202</w:t>
            </w:r>
            <w:r>
              <w:rPr>
                <w:sz w:val="14"/>
                <w:szCs w:val="14"/>
              </w:rPr>
              <w:t>0</w:t>
            </w:r>
            <w:r>
              <w:rPr>
                <w:sz w:val="9"/>
                <w:szCs w:val="9"/>
              </w:rPr>
              <w:t>(9</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26,82</w:t>
            </w:r>
            <w:r>
              <w:rPr>
                <w:sz w:val="14"/>
                <w:szCs w:val="14"/>
              </w:rPr>
              <w:t>7</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223,19</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(7</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7/15/202</w:t>
            </w:r>
            <w:r>
              <w:rPr>
                <w:sz w:val="14"/>
                <w:szCs w:val="14"/>
              </w:rPr>
              <w:t>1</w:t>
            </w:r>
            <w:r>
              <w:rPr>
                <w:sz w:val="9"/>
                <w:szCs w:val="9"/>
              </w:rPr>
              <w:t>(1</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495,00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1,693,55</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10/18/202</w:t>
            </w:r>
            <w:r>
              <w:rPr>
                <w:sz w:val="14"/>
                <w:szCs w:val="14"/>
              </w:rPr>
              <w:t>1</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123,75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443,02</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9"/>
                <w:szCs w:val="9"/>
              </w:rPr>
              <w:t> (6</w:t>
            </w:r>
            <w:r>
              <w:rPr>
                <w:sz w:val="9"/>
                <w:szCs w:val="9"/>
              </w:rPr>
              <w:t>)</w:t>
            </w:r>
          </w:p>
        </w:tc>
      </w:tr>
    </w:tbl>
    <w:p w:rsidR="00000000" w:rsidRDefault="00AF2D19">
      <w:pPr>
        <w:pStyle w:val="a3"/>
        <w:spacing w:before="120" w:beforeAutospacing="0" w:after="0" w:afterAutospacing="0"/>
        <w:jc w:val="both"/>
        <w:rPr>
          <w:sz w:val="20"/>
          <w:szCs w:val="20"/>
        </w:rPr>
      </w:pPr>
      <w:r>
        <w:rPr>
          <w:sz w:val="16"/>
          <w:szCs w:val="16"/>
        </w:rPr>
        <w:t>(1) These stock options, which were granted under the 2021 Plan, vest and become exercisable in sixteen equal installments on each of the first sixteen quarterly anniversaries of July 1, 2021, subject to the NEO’s continued employment through each such ves</w:t>
      </w:r>
      <w:r>
        <w:rPr>
          <w:sz w:val="16"/>
          <w:szCs w:val="16"/>
        </w:rPr>
        <w:t>ting date</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(2) These RSU awards, which were granted under the 2021 Plan, vest in sixteen equal installments on each of the first sixteen quarterly anniversaries of September 1, 2021, subject to the NEO’s continued employment through each such vesting date</w:t>
      </w:r>
      <w:r>
        <w:rPr>
          <w:sz w:val="16"/>
          <w:szCs w:val="16"/>
        </w:rPr>
        <w:t>.</w:t>
      </w:r>
    </w:p>
    <w:p w:rsidR="00000000" w:rsidRDefault="00AF2D19">
      <w:pPr>
        <w:pStyle w:val="a3"/>
        <w:spacing w:before="60" w:beforeAutospacing="0" w:after="0" w:afterAutospacing="0"/>
        <w:jc w:val="both"/>
        <w:rPr>
          <w:sz w:val="20"/>
          <w:szCs w:val="20"/>
        </w:rPr>
      </w:pPr>
      <w:r>
        <w:rPr>
          <w:sz w:val="16"/>
          <w:szCs w:val="16"/>
        </w:rPr>
        <w:t>(3) This stock option, which was granted under the 2021 Plan, vests and becomes exercisable 25% on the one-year anniversary of July 26, 2021 and 75% in twelve equal installments on each of the first twelve quarterly anniversaries of July 26, 2021 thereafte</w:t>
      </w:r>
      <w:r>
        <w:rPr>
          <w:sz w:val="16"/>
          <w:szCs w:val="16"/>
        </w:rPr>
        <w:t>r, subject to the NEO’s continued employment through each such vesting date</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(4) This RSU award, which was granted under the 2021 Plan, vests 25% on the one-year anniversary of September 1, 2021 and 75% in twelve equal installments on each of the first tw</w:t>
      </w:r>
      <w:r>
        <w:rPr>
          <w:sz w:val="16"/>
          <w:szCs w:val="16"/>
        </w:rPr>
        <w:t>elve quarterly anniversaries of September 1, 2021 thereafter, subject to the NEO’s continued employment through each such vesting date</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(5) This stock option, which was granted under the 2014 Plan, vest over a four-year period with respect to 1/48th of th</w:t>
      </w:r>
      <w:r>
        <w:rPr>
          <w:sz w:val="16"/>
          <w:szCs w:val="16"/>
        </w:rPr>
        <w:t>e shares underlying the option on each monthly anniversary of December 4, 2020 thereafter, subject to the NEO’s continued employment through each such vesting date</w:t>
      </w:r>
      <w:r>
        <w:rPr>
          <w:sz w:val="16"/>
          <w:szCs w:val="16"/>
        </w:rPr>
        <w:t>.</w:t>
      </w:r>
    </w:p>
    <w:p w:rsidR="00000000" w:rsidRDefault="00AF2D19">
      <w:pPr>
        <w:pStyle w:val="a3"/>
        <w:spacing w:before="60" w:beforeAutospacing="0" w:after="0" w:afterAutospacing="0"/>
        <w:jc w:val="both"/>
        <w:rPr>
          <w:sz w:val="20"/>
          <w:szCs w:val="20"/>
        </w:rPr>
      </w:pPr>
      <w:r>
        <w:rPr>
          <w:sz w:val="16"/>
          <w:szCs w:val="16"/>
        </w:rPr>
        <w:t xml:space="preserve">(6) Amounts reflect the grant-date fair value in accordance with ASC Topic 718. We provide </w:t>
      </w:r>
      <w:r>
        <w:rPr>
          <w:sz w:val="16"/>
          <w:szCs w:val="16"/>
        </w:rPr>
        <w:t>information regarding the assumptions used to calculate these values in Note 13 to the consolidated financial statements included in this Annual Report</w:t>
      </w:r>
      <w:r>
        <w:rPr>
          <w:sz w:val="16"/>
          <w:szCs w:val="16"/>
        </w:rPr>
        <w:t>.</w:t>
      </w:r>
    </w:p>
    <w:p w:rsidR="00000000" w:rsidRDefault="00AF2D19">
      <w:pPr>
        <w:pStyle w:val="a3"/>
        <w:spacing w:before="0" w:beforeAutospacing="0" w:after="0" w:afterAutospacing="0"/>
        <w:jc w:val="center"/>
        <w:rPr>
          <w:sz w:val="20"/>
          <w:szCs w:val="20"/>
        </w:rPr>
      </w:pPr>
      <w:r>
        <w:rPr>
          <w:sz w:val="20"/>
          <w:szCs w:val="20"/>
        </w:rPr>
        <w:t>11</w:t>
      </w:r>
      <w:r>
        <w:rPr>
          <w:sz w:val="20"/>
          <w:szCs w:val="20"/>
        </w:rPr>
        <w:t>3</w:t>
      </w:r>
    </w:p>
    <w:p w:rsidR="00000000" w:rsidRDefault="00AF2D19">
      <w:pPr>
        <w:rPr>
          <w:rFonts w:eastAsia="Times New Roman"/>
        </w:rPr>
      </w:pPr>
      <w:r>
        <w:rPr>
          <w:rFonts w:eastAsia="Times New Roman"/>
        </w:rPr>
        <w:pict>
          <v:rect id="_x0000_i1141"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60" w:beforeAutospacing="0" w:after="0" w:afterAutospacing="0"/>
        <w:jc w:val="both"/>
        <w:rPr>
          <w:sz w:val="20"/>
          <w:szCs w:val="20"/>
        </w:rPr>
      </w:pPr>
      <w:r>
        <w:rPr>
          <w:sz w:val="16"/>
          <w:szCs w:val="16"/>
        </w:rPr>
        <w:t>(7) Amounts r</w:t>
      </w:r>
      <w:r>
        <w:rPr>
          <w:sz w:val="16"/>
          <w:szCs w:val="16"/>
        </w:rPr>
        <w:t>eflect the incremental fair value (determined in accordance with ASC Topic 718) associated with the modification of stock options in connection with the Business Combination</w:t>
      </w:r>
      <w:r>
        <w:rPr>
          <w:sz w:val="16"/>
          <w:szCs w:val="16"/>
        </w:rPr>
        <w:t>.</w:t>
      </w:r>
    </w:p>
    <w:p w:rsidR="00000000" w:rsidRDefault="00AF2D19">
      <w:pPr>
        <w:pStyle w:val="a3"/>
        <w:spacing w:before="60" w:beforeAutospacing="0" w:after="0" w:afterAutospacing="0"/>
        <w:jc w:val="both"/>
        <w:rPr>
          <w:sz w:val="20"/>
          <w:szCs w:val="20"/>
        </w:rPr>
      </w:pPr>
      <w:r>
        <w:rPr>
          <w:sz w:val="16"/>
          <w:szCs w:val="16"/>
        </w:rPr>
        <w:t xml:space="preserve">(8) Amount reflects (i) $3,198,956 in the original grant date fair value of this </w:t>
      </w:r>
      <w:r>
        <w:rPr>
          <w:sz w:val="16"/>
          <w:szCs w:val="16"/>
        </w:rPr>
        <w:t>stock option and (ii) $440,512 in incremental fair value (determined in accordance with ASC Topic 718) associated with the modification of the stock option in connection with the Business Combination</w:t>
      </w:r>
      <w:r>
        <w:rPr>
          <w:sz w:val="16"/>
          <w:szCs w:val="16"/>
        </w:rPr>
        <w:t>.</w:t>
      </w:r>
    </w:p>
    <w:p w:rsidR="00000000" w:rsidRDefault="00AF2D19">
      <w:pPr>
        <w:pStyle w:val="a3"/>
        <w:spacing w:before="60" w:beforeAutospacing="0" w:after="0" w:afterAutospacing="0"/>
        <w:jc w:val="both"/>
        <w:rPr>
          <w:sz w:val="20"/>
          <w:szCs w:val="20"/>
        </w:rPr>
      </w:pPr>
      <w:r>
        <w:rPr>
          <w:sz w:val="16"/>
          <w:szCs w:val="16"/>
        </w:rPr>
        <w:t>(9) These stock options, each of which were granted pri</w:t>
      </w:r>
      <w:r>
        <w:rPr>
          <w:sz w:val="16"/>
          <w:szCs w:val="16"/>
        </w:rPr>
        <w:t>or to 2021 under the 2014 Plan, were each modified in connection with the Business Combination</w:t>
      </w:r>
      <w:r>
        <w:rPr>
          <w:sz w:val="16"/>
          <w:szCs w:val="16"/>
        </w:rPr>
        <w:t>.</w:t>
      </w:r>
    </w:p>
    <w:p w:rsidR="00000000" w:rsidRDefault="00AF2D19">
      <w:pPr>
        <w:pStyle w:val="a3"/>
        <w:spacing w:before="60" w:beforeAutospacing="0" w:after="0" w:afterAutospacing="0"/>
        <w:jc w:val="both"/>
        <w:rPr>
          <w:sz w:val="20"/>
          <w:szCs w:val="20"/>
        </w:rPr>
      </w:pPr>
      <w:r>
        <w:rPr>
          <w:sz w:val="17"/>
          <w:szCs w:val="17"/>
        </w:rPr>
        <w:t> </w:t>
      </w:r>
    </w:p>
    <w:p w:rsidR="00000000" w:rsidRDefault="00AF2D19">
      <w:pPr>
        <w:pStyle w:val="a3"/>
        <w:spacing w:before="0" w:beforeAutospacing="0" w:after="0" w:afterAutospacing="0"/>
        <w:rPr>
          <w:sz w:val="20"/>
          <w:szCs w:val="20"/>
        </w:rPr>
      </w:pPr>
      <w:r>
        <w:rPr>
          <w:b/>
          <w:bCs/>
          <w:i/>
          <w:iCs/>
          <w:sz w:val="20"/>
          <w:szCs w:val="20"/>
        </w:rPr>
        <w:t>NARRATIVE TO SUMMARY COMPENSATION TABLE AND GRANTS OF PLAN-BASED AWARDS TABL</w:t>
      </w:r>
      <w:r>
        <w:rPr>
          <w:b/>
          <w:bCs/>
          <w:i/>
          <w:iCs/>
          <w:sz w:val="20"/>
          <w:szCs w:val="20"/>
        </w:rPr>
        <w:t>E</w:t>
      </w:r>
    </w:p>
    <w:p w:rsidR="00000000" w:rsidRDefault="00AF2D19">
      <w:pPr>
        <w:pStyle w:val="a3"/>
        <w:spacing w:before="120" w:beforeAutospacing="0" w:after="0" w:afterAutospacing="0"/>
        <w:rPr>
          <w:sz w:val="20"/>
          <w:szCs w:val="20"/>
        </w:rPr>
      </w:pPr>
      <w:r>
        <w:rPr>
          <w:b/>
          <w:bCs/>
          <w:sz w:val="20"/>
          <w:szCs w:val="20"/>
        </w:rPr>
        <w:t>Summary of Executive Compensation Arrangement</w:t>
      </w:r>
      <w:r>
        <w:rPr>
          <w:b/>
          <w:bCs/>
          <w:sz w:val="20"/>
          <w:szCs w:val="20"/>
        </w:rPr>
        <w:t>s</w:t>
      </w:r>
    </w:p>
    <w:p w:rsidR="00000000" w:rsidRDefault="00AF2D19">
      <w:pPr>
        <w:pStyle w:val="a3"/>
        <w:spacing w:before="120" w:beforeAutospacing="0" w:after="0" w:afterAutospacing="0"/>
        <w:rPr>
          <w:sz w:val="20"/>
          <w:szCs w:val="20"/>
        </w:rPr>
      </w:pPr>
      <w:r>
        <w:rPr>
          <w:b/>
          <w:bCs/>
          <w:i/>
          <w:iCs/>
          <w:sz w:val="20"/>
          <w:szCs w:val="20"/>
        </w:rPr>
        <w:t>Named Executive Officer Employmen</w:t>
      </w:r>
      <w:r>
        <w:rPr>
          <w:b/>
          <w:bCs/>
          <w:i/>
          <w:iCs/>
          <w:sz w:val="20"/>
          <w:szCs w:val="20"/>
        </w:rPr>
        <w:t>t Agreement</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 xml:space="preserve">We have entered into employment offer letters (collectively, the </w:t>
      </w:r>
      <w:r>
        <w:rPr>
          <w:sz w:val="20"/>
          <w:szCs w:val="20"/>
        </w:rPr>
        <w:t>“</w:t>
      </w:r>
      <w:r>
        <w:rPr>
          <w:sz w:val="20"/>
          <w:szCs w:val="20"/>
          <w:u w:val="single"/>
        </w:rPr>
        <w:t>Employment Agreement</w:t>
      </w:r>
      <w:r>
        <w:rPr>
          <w:sz w:val="20"/>
          <w:szCs w:val="20"/>
          <w:u w:val="single"/>
        </w:rPr>
        <w:t>s</w:t>
      </w:r>
      <w:r>
        <w:rPr>
          <w:sz w:val="20"/>
          <w:szCs w:val="20"/>
        </w:rPr>
        <w:t>”) with each of our NEOs other than Douglas L. Braunstein (whose service as a member of our Board is further described below unde</w:t>
      </w:r>
      <w:r>
        <w:rPr>
          <w:sz w:val="20"/>
          <w:szCs w:val="20"/>
        </w:rPr>
        <w:t>r</w:t>
      </w:r>
      <w:r>
        <w:rPr>
          <w:i/>
          <w:iCs/>
          <w:sz w:val="20"/>
          <w:szCs w:val="20"/>
        </w:rPr>
        <w:t xml:space="preserve"> “2021 Director Compensati</w:t>
      </w:r>
      <w:r>
        <w:rPr>
          <w:i/>
          <w:iCs/>
          <w:sz w:val="20"/>
          <w:szCs w:val="20"/>
        </w:rPr>
        <w:t>on</w:t>
      </w:r>
      <w:r>
        <w:rPr>
          <w:i/>
          <w:iCs/>
          <w:sz w:val="20"/>
          <w:szCs w:val="20"/>
        </w:rPr>
        <w:t>”</w:t>
      </w:r>
      <w:r>
        <w:rPr>
          <w:sz w:val="20"/>
          <w:szCs w:val="20"/>
        </w:rPr>
        <w:t>). The material terms of the Employment Agreements are described below</w:t>
      </w:r>
      <w:r>
        <w:rPr>
          <w:sz w:val="20"/>
          <w:szCs w:val="20"/>
        </w:rPr>
        <w:t>.</w:t>
      </w:r>
    </w:p>
    <w:p w:rsidR="00000000" w:rsidRDefault="00AF2D19">
      <w:pPr>
        <w:pStyle w:val="a3"/>
        <w:spacing w:before="120" w:beforeAutospacing="0" w:after="0" w:afterAutospacing="0"/>
        <w:jc w:val="both"/>
        <w:rPr>
          <w:sz w:val="20"/>
          <w:szCs w:val="20"/>
        </w:rPr>
      </w:pPr>
      <w:r>
        <w:rPr>
          <w:sz w:val="20"/>
          <w:szCs w:val="20"/>
        </w:rPr>
        <w:t>The Employment Agreements provide for at-will employment without a specified term, provide for participation in the health and welfare benefit plans and programs maintained by us fo</w:t>
      </w:r>
      <w:r>
        <w:rPr>
          <w:sz w:val="20"/>
          <w:szCs w:val="20"/>
        </w:rPr>
        <w:t>r the benefit of our employees, and provide for annual base salaries and annual target bonus percentages as provided in the table below (some of which have been increased)</w:t>
      </w:r>
      <w:r>
        <w:rPr>
          <w:sz w:val="20"/>
          <w:szCs w:val="20"/>
        </w:rPr>
        <w:t>.</w:t>
      </w:r>
    </w:p>
    <w:p w:rsidR="00000000" w:rsidRDefault="00AF2D19">
      <w:pPr>
        <w:pStyle w:val="a3"/>
        <w:spacing w:before="12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11"/>
        <w:gridCol w:w="1705"/>
        <w:gridCol w:w="3290"/>
      </w:tblGrid>
      <w:tr w:rsidR="00000000">
        <w:trPr>
          <w:tblCellSpacing w:w="15" w:type="dxa"/>
        </w:trPr>
        <w:tc>
          <w:tcPr>
            <w:tcW w:w="1994" w:type="pct"/>
            <w:vAlign w:val="center"/>
            <w:hideMark/>
          </w:tcPr>
          <w:p w:rsidR="00000000" w:rsidRDefault="00AF2D19">
            <w:pPr>
              <w:rPr>
                <w:sz w:val="20"/>
                <w:szCs w:val="20"/>
              </w:rPr>
            </w:pPr>
          </w:p>
        </w:tc>
        <w:tc>
          <w:tcPr>
            <w:tcW w:w="1023" w:type="pct"/>
            <w:vAlign w:val="center"/>
            <w:hideMark/>
          </w:tcPr>
          <w:p w:rsidR="00000000" w:rsidRDefault="00AF2D19">
            <w:pPr>
              <w:rPr>
                <w:rFonts w:eastAsia="Times New Roman"/>
                <w:sz w:val="20"/>
                <w:szCs w:val="20"/>
              </w:rPr>
            </w:pPr>
          </w:p>
        </w:tc>
        <w:tc>
          <w:tcPr>
            <w:tcW w:w="1982" w:type="pct"/>
            <w:vAlign w:val="center"/>
            <w:hideMark/>
          </w:tcPr>
          <w:p w:rsidR="00000000" w:rsidRDefault="00AF2D19">
            <w:pPr>
              <w:rPr>
                <w:rFonts w:eastAsia="Times New Roman"/>
                <w:sz w:val="20"/>
                <w:szCs w:val="20"/>
              </w:rPr>
            </w:pPr>
          </w:p>
        </w:tc>
      </w:tr>
      <w:tr w:rsidR="00000000">
        <w:trPr>
          <w:trHeight w:val="180"/>
          <w:tblCellSpacing w:w="15" w:type="dxa"/>
        </w:trPr>
        <w:tc>
          <w:tcPr>
            <w:tcW w:w="0" w:type="auto"/>
            <w:tcBorders>
              <w:top w:val="single" w:sz="4" w:space="0" w:color="auto"/>
              <w:left w:val="single" w:sz="4" w:space="0" w:color="auto"/>
              <w:bottom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b/>
                <w:bCs/>
                <w:sz w:val="18"/>
                <w:szCs w:val="18"/>
              </w:rPr>
              <w:t>Named Executive Office</w:t>
            </w:r>
            <w:r>
              <w:rPr>
                <w:b/>
                <w:bCs/>
                <w:sz w:val="18"/>
                <w:szCs w:val="18"/>
              </w:rPr>
              <w:t>r</w:t>
            </w:r>
          </w:p>
        </w:tc>
        <w:tc>
          <w:tcPr>
            <w:tcW w:w="0" w:type="auto"/>
            <w:tcBorders>
              <w:top w:val="single" w:sz="4" w:space="0" w:color="auto"/>
              <w:bottom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b/>
                <w:bCs/>
                <w:sz w:val="18"/>
                <w:szCs w:val="18"/>
              </w:rPr>
              <w:t>Base Salar</w:t>
            </w:r>
            <w:r>
              <w:rPr>
                <w:b/>
                <w:bCs/>
                <w:sz w:val="18"/>
                <w:szCs w:val="18"/>
              </w:rPr>
              <w:t>y</w:t>
            </w:r>
          </w:p>
        </w:tc>
        <w:tc>
          <w:tcPr>
            <w:tcW w:w="0" w:type="auto"/>
            <w:tcBorders>
              <w:top w:val="single" w:sz="4" w:space="0" w:color="auto"/>
              <w:bottom w:val="single" w:sz="4" w:space="0" w:color="auto"/>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b/>
                <w:bCs/>
                <w:sz w:val="18"/>
                <w:szCs w:val="18"/>
              </w:rPr>
              <w:t>Target Bonus Percentag</w:t>
            </w:r>
            <w:r>
              <w:rPr>
                <w:b/>
                <w:bCs/>
                <w:sz w:val="18"/>
                <w:szCs w:val="18"/>
              </w:rPr>
              <w:t>e</w:t>
            </w:r>
          </w:p>
        </w:tc>
      </w:tr>
      <w:tr w:rsidR="00000000">
        <w:trPr>
          <w:trHeight w:val="20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20"/>
                <w:szCs w:val="20"/>
              </w:rPr>
            </w:pPr>
            <w:r>
              <w:rPr>
                <w:sz w:val="20"/>
                <w:szCs w:val="20"/>
              </w:rPr>
              <w:t>Oren Fran</w:t>
            </w:r>
            <w:r>
              <w:rPr>
                <w:sz w:val="20"/>
                <w:szCs w:val="20"/>
              </w:rPr>
              <w:t>k</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$350,00</w:t>
            </w:r>
            <w:r>
              <w:rPr>
                <w:sz w:val="20"/>
                <w:szCs w:val="20"/>
              </w:rPr>
              <w:t>0</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100</w:t>
            </w:r>
            <w:r>
              <w:rPr>
                <w:sz w:val="20"/>
                <w:szCs w:val="20"/>
              </w:rPr>
              <w:t>%</w:t>
            </w:r>
          </w:p>
        </w:tc>
      </w:tr>
      <w:tr w:rsidR="00000000">
        <w:trPr>
          <w:trHeight w:val="20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20"/>
                <w:szCs w:val="20"/>
              </w:rPr>
            </w:pPr>
            <w:r>
              <w:rPr>
                <w:sz w:val="20"/>
                <w:szCs w:val="20"/>
              </w:rPr>
              <w:t>Mark Hirschhor</w:t>
            </w:r>
            <w:r>
              <w:rPr>
                <w:sz w:val="20"/>
                <w:szCs w:val="20"/>
              </w:rPr>
              <w:t>n</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$340,00</w:t>
            </w:r>
            <w:r>
              <w:rPr>
                <w:sz w:val="20"/>
                <w:szCs w:val="20"/>
              </w:rPr>
              <w:t>0</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100</w:t>
            </w:r>
            <w:r>
              <w:rPr>
                <w:sz w:val="20"/>
                <w:szCs w:val="20"/>
              </w:rPr>
              <w:t>%</w:t>
            </w:r>
          </w:p>
        </w:tc>
      </w:tr>
      <w:tr w:rsidR="00000000">
        <w:trPr>
          <w:trHeight w:val="20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20"/>
                <w:szCs w:val="20"/>
              </w:rPr>
            </w:pPr>
            <w:r>
              <w:rPr>
                <w:sz w:val="20"/>
                <w:szCs w:val="20"/>
              </w:rPr>
              <w:t>Jennifer Ful</w:t>
            </w:r>
            <w:r>
              <w:rPr>
                <w:sz w:val="20"/>
                <w:szCs w:val="20"/>
              </w:rPr>
              <w:t>k</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$400,00</w:t>
            </w:r>
            <w:r>
              <w:rPr>
                <w:sz w:val="20"/>
                <w:szCs w:val="20"/>
              </w:rPr>
              <w:t>0</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100</w:t>
            </w:r>
            <w:r>
              <w:rPr>
                <w:sz w:val="20"/>
                <w:szCs w:val="20"/>
              </w:rPr>
              <w:t>%</w:t>
            </w:r>
          </w:p>
        </w:tc>
      </w:tr>
      <w:tr w:rsidR="00000000">
        <w:trPr>
          <w:trHeight w:val="20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20"/>
                <w:szCs w:val="20"/>
              </w:rPr>
            </w:pPr>
            <w:r>
              <w:rPr>
                <w:sz w:val="20"/>
                <w:szCs w:val="20"/>
              </w:rPr>
              <w:t>Samara H. Braunstei</w:t>
            </w:r>
            <w:r>
              <w:rPr>
                <w:sz w:val="20"/>
                <w:szCs w:val="20"/>
              </w:rPr>
              <w:t>n</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$330,00</w:t>
            </w:r>
            <w:r>
              <w:rPr>
                <w:sz w:val="20"/>
                <w:szCs w:val="20"/>
              </w:rPr>
              <w:t>0</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50</w:t>
            </w:r>
            <w:r>
              <w:rPr>
                <w:sz w:val="20"/>
                <w:szCs w:val="20"/>
              </w:rPr>
              <w:t>%</w:t>
            </w:r>
          </w:p>
        </w:tc>
      </w:tr>
      <w:tr w:rsidR="00000000">
        <w:trPr>
          <w:trHeight w:val="20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20"/>
                <w:szCs w:val="20"/>
              </w:rPr>
            </w:pPr>
            <w:r>
              <w:rPr>
                <w:sz w:val="20"/>
                <w:szCs w:val="20"/>
              </w:rPr>
              <w:t>Gil Margoli</w:t>
            </w:r>
            <w:r>
              <w:rPr>
                <w:sz w:val="20"/>
                <w:szCs w:val="20"/>
              </w:rPr>
              <w:t>n</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$330,00</w:t>
            </w:r>
            <w:r>
              <w:rPr>
                <w:sz w:val="20"/>
                <w:szCs w:val="20"/>
              </w:rPr>
              <w:t>0</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50</w:t>
            </w:r>
            <w:r>
              <w:rPr>
                <w:sz w:val="20"/>
                <w:szCs w:val="20"/>
              </w:rPr>
              <w:t>%</w:t>
            </w:r>
          </w:p>
        </w:tc>
      </w:tr>
      <w:tr w:rsidR="00000000">
        <w:trPr>
          <w:trHeight w:val="20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20"/>
                <w:szCs w:val="20"/>
              </w:rPr>
            </w:pPr>
            <w:r>
              <w:rPr>
                <w:sz w:val="20"/>
                <w:szCs w:val="20"/>
              </w:rPr>
              <w:t>John C. Reill</w:t>
            </w:r>
            <w:r>
              <w:rPr>
                <w:sz w:val="20"/>
                <w:szCs w:val="20"/>
              </w:rPr>
              <w:t>y</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$260,00</w:t>
            </w:r>
            <w:r>
              <w:rPr>
                <w:sz w:val="20"/>
                <w:szCs w:val="20"/>
              </w:rPr>
              <w:t>0</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30</w:t>
            </w:r>
            <w:r>
              <w:rPr>
                <w:sz w:val="20"/>
                <w:szCs w:val="20"/>
              </w:rPr>
              <w:t>%</w:t>
            </w:r>
          </w:p>
        </w:tc>
      </w:tr>
      <w:tr w:rsidR="00000000">
        <w:trPr>
          <w:trHeight w:val="200"/>
          <w:tblCellSpacing w:w="15" w:type="dxa"/>
        </w:trPr>
        <w:tc>
          <w:tcPr>
            <w:tcW w:w="0" w:type="auto"/>
            <w:tcBorders>
              <w:left w:val="single" w:sz="4" w:space="0" w:color="auto"/>
              <w:bottom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20"/>
                <w:szCs w:val="20"/>
              </w:rPr>
            </w:pPr>
            <w:r>
              <w:rPr>
                <w:sz w:val="20"/>
                <w:szCs w:val="20"/>
              </w:rPr>
              <w:t>Roni Fran</w:t>
            </w:r>
            <w:r>
              <w:rPr>
                <w:sz w:val="20"/>
                <w:szCs w:val="20"/>
              </w:rPr>
              <w:t>k</w:t>
            </w:r>
          </w:p>
        </w:tc>
        <w:tc>
          <w:tcPr>
            <w:tcW w:w="0" w:type="auto"/>
            <w:tcBorders>
              <w:bottom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$275,00</w:t>
            </w:r>
            <w:r>
              <w:rPr>
                <w:sz w:val="20"/>
                <w:szCs w:val="20"/>
              </w:rPr>
              <w:t>0</w:t>
            </w:r>
          </w:p>
        </w:tc>
        <w:tc>
          <w:tcPr>
            <w:tcW w:w="0" w:type="auto"/>
            <w:tcBorders>
              <w:bottom w:val="single" w:sz="4" w:space="0" w:color="auto"/>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20"/>
                <w:szCs w:val="20"/>
              </w:rPr>
            </w:pPr>
            <w:r>
              <w:rPr>
                <w:sz w:val="20"/>
                <w:szCs w:val="20"/>
              </w:rPr>
              <w:t>50</w:t>
            </w:r>
            <w:r>
              <w:rPr>
                <w:sz w:val="20"/>
                <w:szCs w:val="20"/>
              </w:rPr>
              <w:t>%</w:t>
            </w:r>
          </w:p>
        </w:tc>
      </w:tr>
    </w:tbl>
    <w:p w:rsidR="00000000" w:rsidRDefault="00AF2D19">
      <w:pPr>
        <w:pStyle w:val="a3"/>
        <w:spacing w:before="240" w:beforeAutospacing="0" w:after="0" w:afterAutospacing="0"/>
        <w:jc w:val="both"/>
        <w:rPr>
          <w:sz w:val="20"/>
          <w:szCs w:val="20"/>
        </w:rPr>
      </w:pPr>
      <w:r>
        <w:rPr>
          <w:sz w:val="20"/>
          <w:szCs w:val="20"/>
        </w:rPr>
        <w:t>In addition, the Employment Agreements provide for option and RSU grants under the 2021 Plan in the amounts and subject to the vesting conditions described above under</w:t>
      </w:r>
      <w:r>
        <w:rPr>
          <w:sz w:val="20"/>
          <w:szCs w:val="20"/>
        </w:rPr>
        <w:t xml:space="preserve"> </w:t>
      </w:r>
      <w:r>
        <w:rPr>
          <w:i/>
          <w:iCs/>
          <w:sz w:val="20"/>
          <w:szCs w:val="20"/>
        </w:rPr>
        <w:t>“Grants of Plan Based Awards in Fiscal 2021</w:t>
      </w:r>
      <w:r>
        <w:rPr>
          <w:i/>
          <w:iCs/>
          <w:sz w:val="20"/>
          <w:szCs w:val="20"/>
        </w:rPr>
        <w:t>”</w:t>
      </w:r>
      <w:r>
        <w:rPr>
          <w:sz w:val="20"/>
          <w:szCs w:val="20"/>
        </w:rPr>
        <w:t xml:space="preserve"> and contain customary confidentiality and a</w:t>
      </w:r>
      <w:r>
        <w:rPr>
          <w:sz w:val="20"/>
          <w:szCs w:val="20"/>
        </w:rPr>
        <w:t>ssignment of invention provisions, as well as standard non-compete and non-solicit restrictions effective during employment and for 12 months thereafter</w:t>
      </w:r>
      <w:r>
        <w:rPr>
          <w:sz w:val="20"/>
          <w:szCs w:val="20"/>
        </w:rPr>
        <w:t>.</w:t>
      </w:r>
    </w:p>
    <w:p w:rsidR="00000000" w:rsidRDefault="00AF2D19">
      <w:pPr>
        <w:pStyle w:val="a3"/>
        <w:spacing w:before="120" w:beforeAutospacing="0" w:after="0" w:afterAutospacing="0"/>
        <w:jc w:val="both"/>
        <w:rPr>
          <w:sz w:val="20"/>
          <w:szCs w:val="20"/>
        </w:rPr>
      </w:pPr>
      <w:r>
        <w:rPr>
          <w:sz w:val="20"/>
          <w:szCs w:val="20"/>
        </w:rPr>
        <w:t>Jennifer Fulk’s Employment Agreement also provides for a $200,000 signing bonus, payable upon the comp</w:t>
      </w:r>
      <w:r>
        <w:rPr>
          <w:sz w:val="20"/>
          <w:szCs w:val="20"/>
        </w:rPr>
        <w:t>letion of her first thirty days of employment with the Company, and, beginning in 2022, for an annual equity-based award as determined by the Board from time-to-time</w:t>
      </w:r>
      <w:r>
        <w:rPr>
          <w:sz w:val="20"/>
          <w:szCs w:val="20"/>
        </w:rPr>
        <w:t>.</w:t>
      </w:r>
    </w:p>
    <w:p w:rsidR="00000000" w:rsidRDefault="00AF2D19">
      <w:pPr>
        <w:pStyle w:val="a3"/>
        <w:spacing w:before="120" w:beforeAutospacing="0" w:after="0" w:afterAutospacing="0"/>
        <w:rPr>
          <w:sz w:val="20"/>
          <w:szCs w:val="20"/>
        </w:rPr>
      </w:pPr>
      <w:r>
        <w:rPr>
          <w:b/>
          <w:bCs/>
          <w:i/>
          <w:iCs/>
          <w:sz w:val="20"/>
          <w:szCs w:val="20"/>
        </w:rPr>
        <w:t>Retention Agreement</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We entered into retention agreements with Messrs. Margolin and Reill</w:t>
      </w:r>
      <w:r>
        <w:rPr>
          <w:sz w:val="20"/>
          <w:szCs w:val="20"/>
        </w:rPr>
        <w:t xml:space="preserve">y and Ms. Fulk and Braunstein on December 6, 2021 (the </w:t>
      </w:r>
      <w:r>
        <w:rPr>
          <w:sz w:val="20"/>
          <w:szCs w:val="20"/>
        </w:rPr>
        <w:t>“</w:t>
      </w:r>
      <w:r>
        <w:rPr>
          <w:i/>
          <w:iCs/>
          <w:sz w:val="20"/>
          <w:szCs w:val="20"/>
        </w:rPr>
        <w:t>Retention Agreement</w:t>
      </w:r>
      <w:r>
        <w:rPr>
          <w:i/>
          <w:iCs/>
          <w:sz w:val="20"/>
          <w:szCs w:val="20"/>
        </w:rPr>
        <w:t>s</w:t>
      </w:r>
      <w:r>
        <w:rPr>
          <w:sz w:val="20"/>
          <w:szCs w:val="20"/>
        </w:rPr>
        <w:t>”), which provide for retention bonus payments of $400,000, $200,000, $400,000, and $165,000, respectively, to be paid 50% on the first payroll date following the last day of the s</w:t>
      </w:r>
      <w:r>
        <w:rPr>
          <w:sz w:val="20"/>
          <w:szCs w:val="20"/>
        </w:rPr>
        <w:t>econd quarter of the fiscal year ending December 31, 2022, subject to each NEO’s continued employment through the date of payment, and 50% on the first payroll date following the last day of the third quarter of the fiscal year ending December 31, 2022, su</w:t>
      </w:r>
      <w:r>
        <w:rPr>
          <w:sz w:val="20"/>
          <w:szCs w:val="20"/>
        </w:rPr>
        <w:t>bject to each NEO’s continued employment through December 31, 2022 (with the Company retaining the right to seek repayment of the second installment in the event any NEO resigns or is terminated for cause on or before December 31, 2022)</w:t>
      </w:r>
      <w:r>
        <w:rPr>
          <w:sz w:val="20"/>
          <w:szCs w:val="20"/>
        </w:rPr>
        <w:t>.</w:t>
      </w:r>
    </w:p>
    <w:p w:rsidR="00000000" w:rsidRDefault="00AF2D19">
      <w:pPr>
        <w:pStyle w:val="a3"/>
        <w:spacing w:before="120" w:beforeAutospacing="0" w:after="0" w:afterAutospacing="0"/>
        <w:rPr>
          <w:sz w:val="20"/>
          <w:szCs w:val="20"/>
        </w:rPr>
      </w:pPr>
      <w:r>
        <w:rPr>
          <w:b/>
          <w:bCs/>
          <w:i/>
          <w:iCs/>
          <w:sz w:val="20"/>
          <w:szCs w:val="20"/>
        </w:rPr>
        <w:t>Separation Agreeme</w:t>
      </w:r>
      <w:r>
        <w:rPr>
          <w:b/>
          <w:bCs/>
          <w:i/>
          <w:iCs/>
          <w:sz w:val="20"/>
          <w:szCs w:val="20"/>
        </w:rPr>
        <w:t>nt</w:t>
      </w:r>
      <w:r>
        <w:rPr>
          <w:b/>
          <w:bCs/>
          <w:i/>
          <w:iCs/>
          <w:sz w:val="20"/>
          <w:szCs w:val="20"/>
        </w:rPr>
        <w:t>s</w:t>
      </w:r>
    </w:p>
    <w:p w:rsidR="00000000" w:rsidRDefault="00AF2D19">
      <w:pPr>
        <w:pStyle w:val="a3"/>
        <w:spacing w:before="120" w:beforeAutospacing="0" w:after="0" w:afterAutospacing="0"/>
        <w:jc w:val="both"/>
        <w:rPr>
          <w:sz w:val="20"/>
          <w:szCs w:val="20"/>
        </w:rPr>
      </w:pPr>
      <w:r>
        <w:rPr>
          <w:sz w:val="20"/>
          <w:szCs w:val="20"/>
        </w:rPr>
        <w:t xml:space="preserve">On November 14, 2021, we entered into Separation &amp; Transition Agreements and General Releases of All Claims with Oren Frank and Roni Frank (the </w:t>
      </w:r>
      <w:r>
        <w:rPr>
          <w:sz w:val="20"/>
          <w:szCs w:val="20"/>
        </w:rPr>
        <w:t>“</w:t>
      </w:r>
      <w:r>
        <w:rPr>
          <w:i/>
          <w:iCs/>
          <w:sz w:val="20"/>
          <w:szCs w:val="20"/>
        </w:rPr>
        <w:t>Separation Agreement</w:t>
      </w:r>
      <w:r>
        <w:rPr>
          <w:i/>
          <w:iCs/>
          <w:sz w:val="20"/>
          <w:szCs w:val="20"/>
        </w:rPr>
        <w:t>s</w:t>
      </w:r>
      <w:r>
        <w:rPr>
          <w:sz w:val="20"/>
          <w:szCs w:val="20"/>
        </w:rPr>
        <w:t>”</w:t>
      </w:r>
      <w:r>
        <w:rPr>
          <w:sz w:val="20"/>
          <w:szCs w:val="20"/>
        </w:rPr>
        <w:t>) in connection with their termination of employment with the Company. The Separation Agreements provide for the separation payments as provided in the table below</w:t>
      </w:r>
      <w:r>
        <w:rPr>
          <w:sz w:val="20"/>
          <w:szCs w:val="20"/>
        </w:rPr>
        <w:t>.</w:t>
      </w:r>
    </w:p>
    <w:p w:rsidR="00000000" w:rsidRDefault="00AF2D19">
      <w:pPr>
        <w:pStyle w:val="a3"/>
        <w:spacing w:before="12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11</w:t>
      </w:r>
      <w:r>
        <w:rPr>
          <w:sz w:val="20"/>
          <w:szCs w:val="20"/>
        </w:rPr>
        <w:t>4</w:t>
      </w:r>
    </w:p>
    <w:p w:rsidR="00000000" w:rsidRDefault="00AF2D19">
      <w:pPr>
        <w:rPr>
          <w:rFonts w:eastAsia="Times New Roman"/>
        </w:rPr>
      </w:pPr>
      <w:r>
        <w:rPr>
          <w:rFonts w:eastAsia="Times New Roman"/>
        </w:rPr>
        <w:pict>
          <v:rect id="_x0000_i114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tbl>
      <w:tblPr>
        <w:tblW w:w="4550" w:type="pct"/>
        <w:tblCellSpacing w:w="15" w:type="dxa"/>
        <w:tblCellMar>
          <w:top w:w="15" w:type="dxa"/>
          <w:left w:w="15" w:type="dxa"/>
          <w:bottom w:w="15" w:type="dxa"/>
          <w:right w:w="15" w:type="dxa"/>
        </w:tblCellMar>
        <w:tblLook w:val="04A0" w:firstRow="1" w:lastRow="0" w:firstColumn="1" w:lastColumn="0" w:noHBand="0" w:noVBand="1"/>
      </w:tblPr>
      <w:tblGrid>
        <w:gridCol w:w="1995"/>
        <w:gridCol w:w="2088"/>
        <w:gridCol w:w="1694"/>
        <w:gridCol w:w="1781"/>
      </w:tblGrid>
      <w:tr w:rsidR="00000000">
        <w:trPr>
          <w:tblCellSpacing w:w="15" w:type="dxa"/>
        </w:trPr>
        <w:tc>
          <w:tcPr>
            <w:tcW w:w="1315" w:type="pct"/>
            <w:vAlign w:val="center"/>
            <w:hideMark/>
          </w:tcPr>
          <w:p w:rsidR="00000000" w:rsidRDefault="00AF2D19">
            <w:pPr>
              <w:rPr>
                <w:sz w:val="20"/>
                <w:szCs w:val="20"/>
              </w:rPr>
            </w:pPr>
          </w:p>
        </w:tc>
        <w:tc>
          <w:tcPr>
            <w:tcW w:w="1388" w:type="pct"/>
            <w:vAlign w:val="center"/>
            <w:hideMark/>
          </w:tcPr>
          <w:p w:rsidR="00000000" w:rsidRDefault="00AF2D19">
            <w:pPr>
              <w:rPr>
                <w:rFonts w:eastAsia="Times New Roman"/>
                <w:sz w:val="20"/>
                <w:szCs w:val="20"/>
              </w:rPr>
            </w:pPr>
          </w:p>
        </w:tc>
        <w:tc>
          <w:tcPr>
            <w:tcW w:w="1123" w:type="pct"/>
            <w:vAlign w:val="center"/>
            <w:hideMark/>
          </w:tcPr>
          <w:p w:rsidR="00000000" w:rsidRDefault="00AF2D19">
            <w:pPr>
              <w:rPr>
                <w:rFonts w:eastAsia="Times New Roman"/>
                <w:sz w:val="20"/>
                <w:szCs w:val="20"/>
              </w:rPr>
            </w:pPr>
          </w:p>
        </w:tc>
        <w:tc>
          <w:tcPr>
            <w:tcW w:w="1172"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7"/>
                <w:szCs w:val="17"/>
              </w:rPr>
            </w:pPr>
            <w:r>
              <w:rPr>
                <w:b/>
                <w:bCs/>
                <w:sz w:val="17"/>
                <w:szCs w:val="17"/>
              </w:rPr>
              <w:t>Payment Typ</w:t>
            </w:r>
            <w:r>
              <w:rPr>
                <w:b/>
                <w:bCs/>
                <w:sz w:val="17"/>
                <w:szCs w:val="17"/>
              </w:rPr>
              <w:t>e</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7"/>
                <w:szCs w:val="17"/>
              </w:rPr>
            </w:pPr>
            <w:r>
              <w:rPr>
                <w:b/>
                <w:bCs/>
                <w:sz w:val="17"/>
                <w:szCs w:val="17"/>
              </w:rPr>
              <w:t>Payment Schedul</w:t>
            </w:r>
            <w:r>
              <w:rPr>
                <w:b/>
                <w:bCs/>
                <w:sz w:val="17"/>
                <w:szCs w:val="17"/>
              </w:rPr>
              <w:t>e</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7"/>
                <w:szCs w:val="17"/>
              </w:rPr>
            </w:pPr>
            <w:r>
              <w:rPr>
                <w:b/>
                <w:bCs/>
                <w:sz w:val="17"/>
                <w:szCs w:val="17"/>
              </w:rPr>
              <w:t>Oren Frank Benefi</w:t>
            </w:r>
            <w:r>
              <w:rPr>
                <w:b/>
                <w:bCs/>
                <w:sz w:val="17"/>
                <w:szCs w:val="17"/>
              </w:rPr>
              <w:t>t</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7"/>
                <w:szCs w:val="17"/>
              </w:rPr>
            </w:pPr>
            <w:r>
              <w:rPr>
                <w:b/>
                <w:bCs/>
                <w:sz w:val="17"/>
                <w:szCs w:val="17"/>
              </w:rPr>
              <w:t>Roni Frank Benefi</w:t>
            </w:r>
            <w:r>
              <w:rPr>
                <w:b/>
                <w:bCs/>
                <w:sz w:val="17"/>
                <w:szCs w:val="17"/>
              </w:rPr>
              <w:t>t</w:t>
            </w:r>
          </w:p>
        </w:tc>
      </w:tr>
      <w:tr w:rsidR="00000000">
        <w:trPr>
          <w:trHeight w:val="18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Payment for Compliance with Restrictive Covenant</w:t>
            </w:r>
            <w:r>
              <w:rPr>
                <w:sz w:val="18"/>
                <w:szCs w:val="18"/>
              </w:rPr>
              <w:t>s</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First payroll following 6 month anniversary of Separation Date (November 15, 2021</w:t>
            </w:r>
            <w:r>
              <w:rPr>
                <w:sz w:val="18"/>
                <w:szCs w:val="18"/>
              </w:rPr>
              <w:t>)</w:t>
            </w:r>
          </w:p>
        </w:tc>
        <w:tc>
          <w:tcPr>
            <w:tcW w:w="0" w:type="auto"/>
            <w:gridSpan w:val="2"/>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$125,00</w:t>
            </w:r>
            <w:r>
              <w:rPr>
                <w:sz w:val="18"/>
                <w:szCs w:val="18"/>
              </w:rPr>
              <w:t>0</w:t>
            </w:r>
          </w:p>
        </w:tc>
      </w:tr>
      <w:tr w:rsidR="00000000">
        <w:trPr>
          <w:trHeight w:val="18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Base Salary Continuatio</w:t>
            </w:r>
            <w:r>
              <w:rPr>
                <w:sz w:val="18"/>
                <w:szCs w:val="18"/>
              </w:rPr>
              <w:t>n</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Regularly scheduled payroll dates following the Effective Date (November 21, 2021</w:t>
            </w:r>
            <w:r>
              <w:rPr>
                <w:sz w:val="18"/>
                <w:szCs w:val="18"/>
              </w:rPr>
              <w:t>)</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12 months at an annual rate of $350,00</w:t>
            </w:r>
            <w:r>
              <w:rPr>
                <w:sz w:val="18"/>
                <w:szCs w:val="18"/>
              </w:rPr>
              <w:t>0</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6 months at an</w:t>
            </w:r>
            <w:r>
              <w:rPr>
                <w:sz w:val="18"/>
                <w:szCs w:val="18"/>
              </w:rPr>
              <w:t xml:space="preserve"> annual rate of $275,00</w:t>
            </w:r>
            <w:r>
              <w:rPr>
                <w:sz w:val="18"/>
                <w:szCs w:val="18"/>
              </w:rPr>
              <w:t>0</w:t>
            </w:r>
          </w:p>
        </w:tc>
      </w:tr>
      <w:tr w:rsidR="00000000">
        <w:trPr>
          <w:trHeight w:val="18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COBRA Premium Reimbursemen</w:t>
            </w:r>
            <w:r>
              <w:rPr>
                <w:sz w:val="18"/>
                <w:szCs w:val="18"/>
              </w:rPr>
              <w:t>t</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Equal monthly installments, as applicabl</w:t>
            </w:r>
            <w:r>
              <w:rPr>
                <w:sz w:val="18"/>
                <w:szCs w:val="18"/>
              </w:rPr>
              <w:t>e</w:t>
            </w:r>
          </w:p>
        </w:tc>
        <w:tc>
          <w:tcPr>
            <w:tcW w:w="0" w:type="auto"/>
            <w:gridSpan w:val="2"/>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24 months (or until covered under a subsequent employer’s plan</w:t>
            </w:r>
            <w:r>
              <w:rPr>
                <w:sz w:val="18"/>
                <w:szCs w:val="18"/>
              </w:rPr>
              <w:t>)</w:t>
            </w:r>
          </w:p>
        </w:tc>
      </w:tr>
      <w:tr w:rsidR="00000000">
        <w:trPr>
          <w:trHeight w:val="18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Lump Sum Cash Paymen</w:t>
            </w:r>
            <w:r>
              <w:rPr>
                <w:sz w:val="18"/>
                <w:szCs w:val="18"/>
              </w:rPr>
              <w:t>t</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First payroll following the Effective Dat</w:t>
            </w:r>
            <w:r>
              <w:rPr>
                <w:sz w:val="18"/>
                <w:szCs w:val="18"/>
              </w:rPr>
              <w:t>e</w:t>
            </w:r>
          </w:p>
        </w:tc>
        <w:tc>
          <w:tcPr>
            <w:tcW w:w="0" w:type="auto"/>
            <w:gridSpan w:val="2"/>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$750,00</w:t>
            </w:r>
            <w:r>
              <w:rPr>
                <w:sz w:val="18"/>
                <w:szCs w:val="18"/>
              </w:rPr>
              <w:t>0</w:t>
            </w:r>
          </w:p>
        </w:tc>
      </w:tr>
      <w:tr w:rsidR="00000000">
        <w:trPr>
          <w:trHeight w:val="18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 xml:space="preserve">All stock options </w:t>
            </w:r>
            <w:r>
              <w:rPr>
                <w:sz w:val="18"/>
                <w:szCs w:val="18"/>
              </w:rPr>
              <w:t>granted under the 2014 Pla</w:t>
            </w:r>
            <w:r>
              <w:rPr>
                <w:sz w:val="18"/>
                <w:szCs w:val="18"/>
              </w:rPr>
              <w:t>n</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As of the Effective Dat</w:t>
            </w:r>
            <w:r>
              <w:rPr>
                <w:sz w:val="18"/>
                <w:szCs w:val="18"/>
              </w:rPr>
              <w:t>e</w:t>
            </w:r>
          </w:p>
        </w:tc>
        <w:tc>
          <w:tcPr>
            <w:tcW w:w="0" w:type="auto"/>
            <w:gridSpan w:val="2"/>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Vesting fully accelerated; exercisable until June 1, 202</w:t>
            </w:r>
            <w:r>
              <w:rPr>
                <w:sz w:val="18"/>
                <w:szCs w:val="18"/>
              </w:rPr>
              <w:t>4</w:t>
            </w:r>
          </w:p>
        </w:tc>
      </w:tr>
      <w:tr w:rsidR="00000000">
        <w:trPr>
          <w:trHeight w:val="18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RSUs granted under the 2021 Pla</w:t>
            </w:r>
            <w:r>
              <w:rPr>
                <w:sz w:val="18"/>
                <w:szCs w:val="18"/>
              </w:rPr>
              <w:t>n</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As of the Effective Dat</w:t>
            </w:r>
            <w:r>
              <w:rPr>
                <w:sz w:val="18"/>
                <w:szCs w:val="18"/>
              </w:rPr>
              <w:t>e</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270,700 fully vested; remaining 162,425 forfeited for no consideratio</w:t>
            </w:r>
            <w:r>
              <w:rPr>
                <w:sz w:val="18"/>
                <w:szCs w:val="18"/>
              </w:rPr>
              <w:t>n</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77,344 fully vested; remaining 46,406 forfeited for no consideratio</w:t>
            </w:r>
            <w:r>
              <w:rPr>
                <w:sz w:val="18"/>
                <w:szCs w:val="18"/>
              </w:rPr>
              <w:t>n</w:t>
            </w:r>
          </w:p>
        </w:tc>
      </w:tr>
      <w:tr w:rsidR="00000000">
        <w:trPr>
          <w:trHeight w:val="180"/>
          <w:tblCellSpacing w:w="15" w:type="dxa"/>
        </w:trPr>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All stock options granted under the 2021 Pla</w:t>
            </w:r>
            <w:r>
              <w:rPr>
                <w:sz w:val="18"/>
                <w:szCs w:val="18"/>
              </w:rPr>
              <w:t>n</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As of the Effective Dat</w:t>
            </w:r>
            <w:r>
              <w:rPr>
                <w:sz w:val="18"/>
                <w:szCs w:val="18"/>
              </w:rPr>
              <w:t>e</w:t>
            </w:r>
          </w:p>
        </w:tc>
        <w:tc>
          <w:tcPr>
            <w:tcW w:w="0" w:type="auto"/>
            <w:gridSpan w:val="2"/>
            <w:tcMar>
              <w:top w:w="15" w:type="dxa"/>
              <w:left w:w="115" w:type="dxa"/>
              <w:bottom w:w="15" w:type="dxa"/>
              <w:right w:w="115" w:type="dxa"/>
            </w:tcMar>
            <w:hideMark/>
          </w:tcPr>
          <w:p w:rsidR="00000000" w:rsidRDefault="00AF2D19">
            <w:pPr>
              <w:pStyle w:val="a3"/>
              <w:spacing w:before="0" w:beforeAutospacing="0" w:after="0" w:afterAutospacing="0"/>
              <w:jc w:val="center"/>
              <w:rPr>
                <w:sz w:val="18"/>
                <w:szCs w:val="18"/>
              </w:rPr>
            </w:pPr>
            <w:r>
              <w:rPr>
                <w:sz w:val="18"/>
                <w:szCs w:val="18"/>
              </w:rPr>
              <w:t>Forfeited for no consideratio</w:t>
            </w:r>
            <w:r>
              <w:rPr>
                <w:sz w:val="18"/>
                <w:szCs w:val="18"/>
              </w:rPr>
              <w:t>n</w:t>
            </w:r>
          </w:p>
        </w:tc>
      </w:tr>
    </w:tbl>
    <w:p w:rsidR="00000000" w:rsidRDefault="00AF2D19">
      <w:pPr>
        <w:pStyle w:val="a3"/>
        <w:spacing w:before="240" w:beforeAutospacing="0" w:after="120" w:afterAutospacing="0"/>
        <w:jc w:val="both"/>
        <w:rPr>
          <w:sz w:val="20"/>
          <w:szCs w:val="20"/>
        </w:rPr>
      </w:pPr>
      <w:r>
        <w:rPr>
          <w:sz w:val="20"/>
          <w:szCs w:val="20"/>
        </w:rPr>
        <w:t>In add</w:t>
      </w:r>
      <w:r>
        <w:rPr>
          <w:sz w:val="20"/>
          <w:szCs w:val="20"/>
        </w:rPr>
        <w:t xml:space="preserve">ition, the Separation Agreements contain a standard release of all claims in favor of the Company and contain customary confidentiality, assignment of invention, and return of property provisions, a perpetual mutual non-disparagement provision, as well as </w:t>
      </w:r>
      <w:r>
        <w:rPr>
          <w:sz w:val="20"/>
          <w:szCs w:val="20"/>
        </w:rPr>
        <w:t>standard non-compete and non-solicit restrictions effective for 12 months following the Separation Date</w:t>
      </w:r>
      <w:r>
        <w:rPr>
          <w:sz w:val="20"/>
          <w:szCs w:val="20"/>
        </w:rPr>
        <w:t>.</w:t>
      </w:r>
    </w:p>
    <w:p w:rsidR="00000000" w:rsidRDefault="00AF2D19">
      <w:pPr>
        <w:pStyle w:val="a3"/>
        <w:spacing w:before="120" w:beforeAutospacing="0" w:after="0" w:afterAutospacing="0"/>
        <w:jc w:val="both"/>
        <w:rPr>
          <w:sz w:val="20"/>
          <w:szCs w:val="20"/>
        </w:rPr>
      </w:pPr>
      <w:r>
        <w:rPr>
          <w:sz w:val="20"/>
          <w:szCs w:val="20"/>
        </w:rPr>
        <w:t>The base salary continuation payments and COBRA premium reimbursements represent severance benefits provided for under the Company’s Executive Severance Plan (except that, rather than receiving 12 and 6 months of COBRA reimbursement payments, respectively,</w:t>
      </w:r>
      <w:r>
        <w:rPr>
          <w:sz w:val="20"/>
          <w:szCs w:val="20"/>
        </w:rPr>
        <w:t xml:space="preserve"> Mr. and Ms. Frank are each entitled to receive 24 months of COBRA reimbursement payments; however because Ms. Frank did not participate in our group health plans as an employee as of December 31, 2021, she will not receive any COBRA reimbursement payments</w:t>
      </w:r>
      <w:r>
        <w:rPr>
          <w:sz w:val="20"/>
          <w:szCs w:val="20"/>
        </w:rPr>
        <w:t>). In addition, the Company paid $750,000 to each of Mr. and Ms. Frank as an additional separation payment in recognition of their contributions to the Company as founders and as additional consideration for their continued compliance with their restrictiv</w:t>
      </w:r>
      <w:r>
        <w:rPr>
          <w:sz w:val="20"/>
          <w:szCs w:val="20"/>
        </w:rPr>
        <w:t>e covenants. Mr. and Ms. Frank will provide strategic advisory services to the Board for a period of six months in order to assist in the orderly transition of their respective duties, and the $125,000 payment will be made in respect of such services and s</w:t>
      </w:r>
      <w:r>
        <w:rPr>
          <w:sz w:val="20"/>
          <w:szCs w:val="20"/>
        </w:rPr>
        <w:t>ubject to their continued compliance with their restrictive covenants</w:t>
      </w:r>
      <w:r>
        <w:rPr>
          <w:sz w:val="20"/>
          <w:szCs w:val="20"/>
        </w:rPr>
        <w:t>.</w:t>
      </w:r>
      <w:r>
        <w:rPr>
          <w:sz w:val="20"/>
          <w:szCs w:val="20"/>
        </w:rPr>
        <w:t xml:space="preserve"> </w:t>
      </w:r>
    </w:p>
    <w:p w:rsidR="00000000" w:rsidRDefault="00AF2D19">
      <w:pPr>
        <w:pStyle w:val="a3"/>
        <w:spacing w:before="120" w:beforeAutospacing="0" w:after="0" w:afterAutospacing="0"/>
        <w:jc w:val="both"/>
        <w:rPr>
          <w:sz w:val="20"/>
          <w:szCs w:val="20"/>
        </w:rPr>
      </w:pPr>
      <w:r>
        <w:rPr>
          <w:sz w:val="20"/>
          <w:szCs w:val="20"/>
        </w:rPr>
        <w:t>We did not enter into any separation agreement in connection with the termination of Mark Hirschhorn’s employment on November 22, 2021 and he did not receive any payments and/or benefi</w:t>
      </w:r>
      <w:r>
        <w:rPr>
          <w:sz w:val="20"/>
          <w:szCs w:val="20"/>
        </w:rPr>
        <w:t>ts upon his departure</w:t>
      </w:r>
      <w:r>
        <w:rPr>
          <w:sz w:val="20"/>
          <w:szCs w:val="20"/>
        </w:rPr>
        <w:t>.</w:t>
      </w:r>
    </w:p>
    <w:p w:rsidR="00000000" w:rsidRDefault="00AF2D19">
      <w:pPr>
        <w:pStyle w:val="a3"/>
        <w:spacing w:before="120" w:beforeAutospacing="0" w:after="0" w:afterAutospacing="0"/>
        <w:jc w:val="both"/>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11</w:t>
      </w:r>
      <w:r>
        <w:rPr>
          <w:sz w:val="20"/>
          <w:szCs w:val="20"/>
        </w:rPr>
        <w:t>5</w:t>
      </w:r>
    </w:p>
    <w:p w:rsidR="00000000" w:rsidRDefault="00AF2D19">
      <w:pPr>
        <w:rPr>
          <w:rFonts w:eastAsia="Times New Roman"/>
        </w:rPr>
      </w:pPr>
      <w:r>
        <w:rPr>
          <w:rFonts w:eastAsia="Times New Roman"/>
        </w:rPr>
        <w:pict>
          <v:rect id="_x0000_i1143"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rPr>
          <w:sz w:val="20"/>
          <w:szCs w:val="20"/>
        </w:rPr>
      </w:pPr>
      <w:r>
        <w:rPr>
          <w:b/>
          <w:bCs/>
          <w:sz w:val="20"/>
          <w:szCs w:val="20"/>
        </w:rPr>
        <w:t>Outstanding Equity Awards at Fiscal Year-End Tabl</w:t>
      </w:r>
      <w:r>
        <w:rPr>
          <w:b/>
          <w:bCs/>
          <w:sz w:val="20"/>
          <w:szCs w:val="20"/>
        </w:rPr>
        <w:t>e</w:t>
      </w:r>
    </w:p>
    <w:p w:rsidR="00000000" w:rsidRDefault="00AF2D19">
      <w:pPr>
        <w:pStyle w:val="a3"/>
        <w:spacing w:before="120" w:beforeAutospacing="0" w:after="0" w:afterAutospacing="0"/>
        <w:jc w:val="both"/>
        <w:rPr>
          <w:sz w:val="20"/>
          <w:szCs w:val="20"/>
        </w:rPr>
      </w:pPr>
      <w:r>
        <w:rPr>
          <w:sz w:val="20"/>
          <w:szCs w:val="20"/>
        </w:rPr>
        <w:t>The following table summarizes the number of shares of common stock underlying outstanding equity incentive plan awards for each NEO as of December 31, 2021</w:t>
      </w:r>
      <w:r>
        <w:rPr>
          <w:sz w:val="20"/>
          <w:szCs w:val="20"/>
        </w:rPr>
        <w:t>.</w:t>
      </w:r>
    </w:p>
    <w:p w:rsidR="00000000" w:rsidRDefault="00AF2D19">
      <w:pPr>
        <w:pStyle w:val="a3"/>
        <w:spacing w:before="12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1"/>
        <w:gridCol w:w="988"/>
        <w:gridCol w:w="1088"/>
        <w:gridCol w:w="1088"/>
        <w:gridCol w:w="822"/>
        <w:gridCol w:w="983"/>
        <w:gridCol w:w="1063"/>
        <w:gridCol w:w="1033"/>
      </w:tblGrid>
      <w:tr w:rsidR="00000000">
        <w:trPr>
          <w:tblCellSpacing w:w="15" w:type="dxa"/>
        </w:trPr>
        <w:tc>
          <w:tcPr>
            <w:tcW w:w="745" w:type="pct"/>
            <w:vAlign w:val="center"/>
            <w:hideMark/>
          </w:tcPr>
          <w:p w:rsidR="00000000" w:rsidRDefault="00AF2D19">
            <w:pPr>
              <w:rPr>
                <w:sz w:val="20"/>
                <w:szCs w:val="20"/>
              </w:rPr>
            </w:pPr>
          </w:p>
        </w:tc>
        <w:tc>
          <w:tcPr>
            <w:tcW w:w="593" w:type="pct"/>
            <w:vAlign w:val="center"/>
            <w:hideMark/>
          </w:tcPr>
          <w:p w:rsidR="00000000" w:rsidRDefault="00AF2D19">
            <w:pPr>
              <w:rPr>
                <w:rFonts w:eastAsia="Times New Roman"/>
                <w:sz w:val="20"/>
                <w:szCs w:val="20"/>
              </w:rPr>
            </w:pPr>
          </w:p>
        </w:tc>
        <w:tc>
          <w:tcPr>
            <w:tcW w:w="658" w:type="pct"/>
            <w:vAlign w:val="center"/>
            <w:hideMark/>
          </w:tcPr>
          <w:p w:rsidR="00000000" w:rsidRDefault="00AF2D19">
            <w:pPr>
              <w:rPr>
                <w:rFonts w:eastAsia="Times New Roman"/>
                <w:sz w:val="20"/>
                <w:szCs w:val="20"/>
              </w:rPr>
            </w:pPr>
          </w:p>
        </w:tc>
        <w:tc>
          <w:tcPr>
            <w:tcW w:w="658" w:type="pct"/>
            <w:vAlign w:val="center"/>
            <w:hideMark/>
          </w:tcPr>
          <w:p w:rsidR="00000000" w:rsidRDefault="00AF2D19">
            <w:pPr>
              <w:rPr>
                <w:rFonts w:eastAsia="Times New Roman"/>
                <w:sz w:val="20"/>
                <w:szCs w:val="20"/>
              </w:rPr>
            </w:pPr>
          </w:p>
        </w:tc>
        <w:tc>
          <w:tcPr>
            <w:tcW w:w="493" w:type="pct"/>
            <w:vAlign w:val="center"/>
            <w:hideMark/>
          </w:tcPr>
          <w:p w:rsidR="00000000" w:rsidRDefault="00AF2D19">
            <w:pPr>
              <w:rPr>
                <w:rFonts w:eastAsia="Times New Roman"/>
                <w:sz w:val="20"/>
                <w:szCs w:val="20"/>
              </w:rPr>
            </w:pPr>
          </w:p>
        </w:tc>
        <w:tc>
          <w:tcPr>
            <w:tcW w:w="593" w:type="pct"/>
            <w:vAlign w:val="center"/>
            <w:hideMark/>
          </w:tcPr>
          <w:p w:rsidR="00000000" w:rsidRDefault="00AF2D19">
            <w:pPr>
              <w:rPr>
                <w:rFonts w:eastAsia="Times New Roman"/>
                <w:sz w:val="20"/>
                <w:szCs w:val="20"/>
              </w:rPr>
            </w:pPr>
          </w:p>
        </w:tc>
        <w:tc>
          <w:tcPr>
            <w:tcW w:w="643" w:type="pct"/>
            <w:vAlign w:val="center"/>
            <w:hideMark/>
          </w:tcPr>
          <w:p w:rsidR="00000000" w:rsidRDefault="00AF2D19">
            <w:pPr>
              <w:rPr>
                <w:rFonts w:eastAsia="Times New Roman"/>
                <w:sz w:val="20"/>
                <w:szCs w:val="20"/>
              </w:rPr>
            </w:pPr>
          </w:p>
        </w:tc>
        <w:tc>
          <w:tcPr>
            <w:tcW w:w="615" w:type="pct"/>
            <w:vAlign w:val="center"/>
            <w:hideMark/>
          </w:tcPr>
          <w:p w:rsidR="00000000" w:rsidRDefault="00AF2D19">
            <w:pPr>
              <w:rPr>
                <w:rFonts w:eastAsia="Times New Roman"/>
                <w:sz w:val="20"/>
                <w:szCs w:val="20"/>
              </w:rPr>
            </w:pPr>
          </w:p>
        </w:tc>
      </w:tr>
      <w:tr w:rsidR="00000000">
        <w:trPr>
          <w:trHeight w:val="547"/>
          <w:tblCellSpacing w:w="15" w:type="dxa"/>
        </w:trPr>
        <w:tc>
          <w:tcPr>
            <w:tcW w:w="0" w:type="auto"/>
            <w:vMerge w:val="restart"/>
            <w:tcMar>
              <w:top w:w="15" w:type="dxa"/>
              <w:left w:w="43" w:type="dxa"/>
              <w:bottom w:w="15" w:type="dxa"/>
              <w:right w:w="43" w:type="dxa"/>
            </w:tcMar>
            <w:hideMark/>
          </w:tcPr>
          <w:p w:rsidR="00000000" w:rsidRDefault="00AF2D19">
            <w:pPr>
              <w:pStyle w:val="a3"/>
              <w:spacing w:before="0" w:beforeAutospacing="0" w:after="0" w:afterAutospacing="0"/>
              <w:jc w:val="center"/>
              <w:rPr>
                <w:sz w:val="13"/>
                <w:szCs w:val="13"/>
              </w:rPr>
            </w:pPr>
            <w:r>
              <w:rPr>
                <w:b/>
                <w:bCs/>
                <w:sz w:val="13"/>
                <w:szCs w:val="13"/>
              </w:rPr>
              <w:t>Nam</w:t>
            </w:r>
            <w:r>
              <w:rPr>
                <w:b/>
                <w:bCs/>
                <w:sz w:val="13"/>
                <w:szCs w:val="13"/>
              </w:rPr>
              <w:t>e</w:t>
            </w:r>
          </w:p>
        </w:tc>
        <w:tc>
          <w:tcPr>
            <w:tcW w:w="0" w:type="auto"/>
            <w:vMerge w:val="restart"/>
            <w:tcMar>
              <w:top w:w="15" w:type="dxa"/>
              <w:left w:w="43" w:type="dxa"/>
              <w:bottom w:w="15" w:type="dxa"/>
              <w:right w:w="43" w:type="dxa"/>
            </w:tcMar>
            <w:hideMark/>
          </w:tcPr>
          <w:p w:rsidR="00000000" w:rsidRDefault="00AF2D19">
            <w:pPr>
              <w:pStyle w:val="a3"/>
              <w:spacing w:before="0" w:beforeAutospacing="0" w:after="0" w:afterAutospacing="0"/>
              <w:jc w:val="center"/>
              <w:rPr>
                <w:sz w:val="13"/>
                <w:szCs w:val="13"/>
              </w:rPr>
            </w:pPr>
            <w:r>
              <w:rPr>
                <w:b/>
                <w:bCs/>
                <w:sz w:val="13"/>
                <w:szCs w:val="13"/>
              </w:rPr>
              <w:t>Grant Dat</w:t>
            </w:r>
            <w:r>
              <w:rPr>
                <w:b/>
                <w:bCs/>
                <w:sz w:val="13"/>
                <w:szCs w:val="13"/>
              </w:rPr>
              <w:t>e</w:t>
            </w:r>
          </w:p>
        </w:tc>
        <w:tc>
          <w:tcPr>
            <w:tcW w:w="0" w:type="auto"/>
            <w:gridSpan w:val="4"/>
            <w:tcMar>
              <w:top w:w="15" w:type="dxa"/>
              <w:left w:w="43" w:type="dxa"/>
              <w:bottom w:w="15" w:type="dxa"/>
              <w:right w:w="43" w:type="dxa"/>
            </w:tcMar>
            <w:hideMark/>
          </w:tcPr>
          <w:p w:rsidR="00000000" w:rsidRDefault="00AF2D19">
            <w:pPr>
              <w:pStyle w:val="a3"/>
              <w:spacing w:before="0" w:beforeAutospacing="0" w:after="0" w:afterAutospacing="0"/>
              <w:jc w:val="center"/>
              <w:rPr>
                <w:sz w:val="13"/>
                <w:szCs w:val="13"/>
              </w:rPr>
            </w:pPr>
            <w:r>
              <w:rPr>
                <w:b/>
                <w:bCs/>
                <w:sz w:val="13"/>
                <w:szCs w:val="13"/>
              </w:rPr>
              <w:t>Option Award</w:t>
            </w:r>
            <w:r>
              <w:rPr>
                <w:b/>
                <w:bCs/>
                <w:sz w:val="13"/>
                <w:szCs w:val="13"/>
              </w:rPr>
              <w:t>s</w:t>
            </w:r>
          </w:p>
        </w:tc>
        <w:tc>
          <w:tcPr>
            <w:tcW w:w="0" w:type="auto"/>
            <w:gridSpan w:val="2"/>
            <w:tcMar>
              <w:top w:w="15" w:type="dxa"/>
              <w:left w:w="43" w:type="dxa"/>
              <w:bottom w:w="15" w:type="dxa"/>
              <w:right w:w="43" w:type="dxa"/>
            </w:tcMar>
            <w:hideMark/>
          </w:tcPr>
          <w:p w:rsidR="00000000" w:rsidRDefault="00AF2D19">
            <w:pPr>
              <w:pStyle w:val="a3"/>
              <w:spacing w:before="0" w:beforeAutospacing="0" w:after="0" w:afterAutospacing="0"/>
              <w:jc w:val="center"/>
              <w:rPr>
                <w:sz w:val="13"/>
                <w:szCs w:val="13"/>
              </w:rPr>
            </w:pPr>
            <w:r>
              <w:rPr>
                <w:b/>
                <w:bCs/>
                <w:sz w:val="13"/>
                <w:szCs w:val="13"/>
              </w:rPr>
              <w:t>Stock Award</w:t>
            </w:r>
            <w:r>
              <w:rPr>
                <w:b/>
                <w:bCs/>
                <w:sz w:val="13"/>
                <w:szCs w:val="13"/>
              </w:rPr>
              <w:t>s</w:t>
            </w:r>
          </w:p>
        </w:tc>
      </w:tr>
      <w:tr w:rsidR="00000000">
        <w:trPr>
          <w:trHeight w:val="120"/>
          <w:tblCellSpacing w:w="15" w:type="dxa"/>
        </w:trPr>
        <w:tc>
          <w:tcPr>
            <w:tcW w:w="0" w:type="auto"/>
            <w:vMerge/>
            <w:vAlign w:val="center"/>
            <w:hideMark/>
          </w:tcPr>
          <w:p w:rsidR="00000000" w:rsidRDefault="00AF2D19">
            <w:pPr>
              <w:rPr>
                <w:sz w:val="13"/>
                <w:szCs w:val="13"/>
              </w:rPr>
            </w:pPr>
          </w:p>
        </w:tc>
        <w:tc>
          <w:tcPr>
            <w:tcW w:w="0" w:type="auto"/>
            <w:vMerge/>
            <w:vAlign w:val="center"/>
            <w:hideMark/>
          </w:tcPr>
          <w:p w:rsidR="00000000" w:rsidRDefault="00AF2D19">
            <w:pPr>
              <w:rPr>
                <w:sz w:val="13"/>
                <w:szCs w:val="13"/>
              </w:rPr>
            </w:pP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3"/>
                <w:szCs w:val="13"/>
              </w:rPr>
            </w:pPr>
            <w:r>
              <w:rPr>
                <w:b/>
                <w:bCs/>
                <w:sz w:val="13"/>
                <w:szCs w:val="13"/>
              </w:rPr>
              <w:t>Number of Securities Underlying Unexercised Options (#) Exercisabl</w:t>
            </w:r>
            <w:r>
              <w:rPr>
                <w:b/>
                <w:bCs/>
                <w:sz w:val="13"/>
                <w:szCs w:val="13"/>
              </w:rPr>
              <w:t>e</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3"/>
                <w:szCs w:val="13"/>
              </w:rPr>
            </w:pPr>
            <w:r>
              <w:rPr>
                <w:b/>
                <w:bCs/>
                <w:sz w:val="13"/>
                <w:szCs w:val="13"/>
              </w:rPr>
              <w:t>Number of Securities Underlying Unexercised Options (#) Unexercisabl</w:t>
            </w:r>
            <w:r>
              <w:rPr>
                <w:b/>
                <w:bCs/>
                <w:sz w:val="13"/>
                <w:szCs w:val="13"/>
              </w:rPr>
              <w:t>e</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3"/>
                <w:szCs w:val="13"/>
              </w:rPr>
            </w:pPr>
            <w:r>
              <w:rPr>
                <w:b/>
                <w:bCs/>
                <w:sz w:val="13"/>
                <w:szCs w:val="13"/>
              </w:rPr>
              <w:t>Option Exercise Price ($</w:t>
            </w:r>
            <w:r>
              <w:rPr>
                <w:b/>
                <w:bCs/>
                <w:sz w:val="13"/>
                <w:szCs w:val="13"/>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3"/>
                <w:szCs w:val="13"/>
              </w:rPr>
            </w:pPr>
            <w:r>
              <w:rPr>
                <w:b/>
                <w:bCs/>
                <w:sz w:val="13"/>
                <w:szCs w:val="13"/>
              </w:rPr>
              <w:t>Option Expiration Dat</w:t>
            </w:r>
            <w:r>
              <w:rPr>
                <w:b/>
                <w:bCs/>
                <w:sz w:val="13"/>
                <w:szCs w:val="13"/>
              </w:rPr>
              <w:t>e</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3"/>
                <w:szCs w:val="13"/>
              </w:rPr>
            </w:pPr>
            <w:r>
              <w:rPr>
                <w:b/>
                <w:bCs/>
                <w:sz w:val="13"/>
                <w:szCs w:val="13"/>
              </w:rPr>
              <w:t>Number of Shares or Units of Stock That Have Not Vested (#</w:t>
            </w:r>
            <w:r>
              <w:rPr>
                <w:b/>
                <w:bCs/>
                <w:sz w:val="13"/>
                <w:szCs w:val="13"/>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3"/>
                <w:szCs w:val="13"/>
              </w:rPr>
            </w:pPr>
            <w:r>
              <w:rPr>
                <w:b/>
                <w:bCs/>
                <w:sz w:val="13"/>
                <w:szCs w:val="13"/>
              </w:rPr>
              <w:t>Market Va</w:t>
            </w:r>
            <w:r>
              <w:rPr>
                <w:b/>
                <w:bCs/>
                <w:sz w:val="13"/>
                <w:szCs w:val="13"/>
              </w:rPr>
              <w:t>lue of Shares or Units of Stock That Have Not Vested ($)(1</w:t>
            </w:r>
            <w:r>
              <w:rPr>
                <w:b/>
                <w:bCs/>
                <w:sz w:val="13"/>
                <w:szCs w:val="13"/>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Douglas L. Braunstei</w:t>
            </w:r>
            <w:r>
              <w:rPr>
                <w:sz w:val="14"/>
                <w:szCs w:val="14"/>
              </w:rPr>
              <w:t>n</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6/22/2021(4</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63,40</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8.5</w:t>
            </w:r>
            <w:r>
              <w:rPr>
                <w:sz w:val="14"/>
                <w:szCs w:val="14"/>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6/21/203</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10/18/2021(11</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15,38</w:t>
            </w:r>
            <w:r>
              <w:rPr>
                <w:sz w:val="14"/>
                <w:szCs w:val="14"/>
              </w:rPr>
              <w:t>5</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30,30</w:t>
            </w:r>
            <w:r>
              <w:rPr>
                <w:sz w:val="14"/>
                <w:szCs w:val="14"/>
              </w:rPr>
              <w:t>8</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Oren Fran</w:t>
            </w:r>
            <w:r>
              <w:rPr>
                <w:sz w:val="14"/>
                <w:szCs w:val="14"/>
              </w:rPr>
              <w:t>k</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1/15/2016(2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628,39</w:t>
            </w:r>
            <w:r>
              <w:rPr>
                <w:sz w:val="14"/>
                <w:szCs w:val="14"/>
              </w:rPr>
              <w:t>9</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0.2</w:t>
            </w:r>
            <w:r>
              <w:rPr>
                <w:sz w:val="14"/>
                <w:szCs w:val="14"/>
              </w:rPr>
              <w:t>3</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6/1/202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9/1/2016(2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571,81</w:t>
            </w:r>
            <w:r>
              <w:rPr>
                <w:sz w:val="14"/>
                <w:szCs w:val="14"/>
              </w:rPr>
              <w:t>0</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0.3</w:t>
            </w:r>
            <w:r>
              <w:rPr>
                <w:sz w:val="14"/>
                <w:szCs w:val="14"/>
              </w:rPr>
              <w:t>9</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6/1/202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10/17/2017(2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834,14</w:t>
            </w:r>
            <w:r>
              <w:rPr>
                <w:sz w:val="14"/>
                <w:szCs w:val="14"/>
              </w:rPr>
              <w:t>4</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0.5</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6/1/202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8/5/2019(3</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646,80</w:t>
            </w:r>
            <w:r>
              <w:rPr>
                <w:sz w:val="14"/>
                <w:szCs w:val="14"/>
              </w:rPr>
              <w:t>2</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6/1/202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8/18/2020(3</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226,82</w:t>
            </w:r>
            <w:r>
              <w:rPr>
                <w:sz w:val="14"/>
                <w:szCs w:val="14"/>
              </w:rPr>
              <w:t>7</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6/1/202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Jennifer Ful</w:t>
            </w:r>
            <w:r>
              <w:rPr>
                <w:sz w:val="14"/>
                <w:szCs w:val="14"/>
              </w:rPr>
              <w:t>k</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7/15/2021(7</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492,60</w:t>
            </w:r>
            <w:r>
              <w:rPr>
                <w:sz w:val="14"/>
                <w:szCs w:val="14"/>
              </w:rPr>
              <w:t>0</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7/14/203</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10/18/2021(8</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123,75</w:t>
            </w:r>
            <w:r>
              <w:rPr>
                <w:sz w:val="14"/>
                <w:szCs w:val="14"/>
              </w:rPr>
              <w:t>0</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243,78</w:t>
            </w:r>
            <w:r>
              <w:rPr>
                <w:sz w:val="14"/>
                <w:szCs w:val="14"/>
              </w:rPr>
              <w:t>8</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Mark Hirschhor</w:t>
            </w:r>
            <w:r>
              <w:rPr>
                <w:sz w:val="14"/>
                <w:szCs w:val="14"/>
              </w:rPr>
              <w:t>n</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2/11/2020(5</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646,80</w:t>
            </w:r>
            <w:r>
              <w:rPr>
                <w:sz w:val="14"/>
                <w:szCs w:val="14"/>
              </w:rPr>
              <w:t>0</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2/10/203</w:t>
            </w:r>
            <w:r>
              <w:rPr>
                <w:sz w:val="14"/>
                <w:szCs w:val="14"/>
              </w:rPr>
              <w:t>0</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2/11/2020(5</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275,10</w:t>
            </w:r>
            <w:r>
              <w:rPr>
                <w:sz w:val="14"/>
                <w:szCs w:val="14"/>
              </w:rPr>
              <w:t>2</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2/10/203</w:t>
            </w:r>
            <w:r>
              <w:rPr>
                <w:sz w:val="14"/>
                <w:szCs w:val="14"/>
              </w:rPr>
              <w:t>0</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7/15/2021(6</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61,87</w:t>
            </w:r>
            <w:r>
              <w:rPr>
                <w:sz w:val="14"/>
                <w:szCs w:val="14"/>
              </w:rPr>
              <w:t>5</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7/14/203</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Samara H. Braunstei</w:t>
            </w:r>
            <w:r>
              <w:rPr>
                <w:sz w:val="14"/>
                <w:szCs w:val="14"/>
              </w:rPr>
              <w:t>n</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1/14/2021(9</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119,52</w:t>
            </w:r>
            <w:r>
              <w:rPr>
                <w:sz w:val="14"/>
                <w:szCs w:val="14"/>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389,02</w:t>
            </w:r>
            <w:r>
              <w:rPr>
                <w:sz w:val="14"/>
                <w:szCs w:val="14"/>
              </w:rPr>
              <w:t>9</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7.2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1/13/203</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7/15/2021(10</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30,93</w:t>
            </w:r>
            <w:r>
              <w:rPr>
                <w:sz w:val="14"/>
                <w:szCs w:val="14"/>
              </w:rPr>
              <w:t>7</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464,06</w:t>
            </w:r>
            <w:r>
              <w:rPr>
                <w:sz w:val="14"/>
                <w:szCs w:val="14"/>
              </w:rPr>
              <w:t>3</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7/14/203</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10/18/2021(11</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116,01</w:t>
            </w:r>
            <w:r>
              <w:rPr>
                <w:sz w:val="14"/>
                <w:szCs w:val="14"/>
              </w:rPr>
              <w:t>6</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228,55</w:t>
            </w:r>
            <w:r>
              <w:rPr>
                <w:sz w:val="14"/>
                <w:szCs w:val="14"/>
              </w:rPr>
              <w:t>2</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Gil Margoli</w:t>
            </w:r>
            <w:r>
              <w:rPr>
                <w:sz w:val="14"/>
                <w:szCs w:val="14"/>
              </w:rPr>
              <w:t>n</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12/8/2014(2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656,99</w:t>
            </w:r>
            <w:r>
              <w:rPr>
                <w:sz w:val="14"/>
                <w:szCs w:val="14"/>
              </w:rPr>
              <w:t>0</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0.1</w:t>
            </w:r>
            <w:r>
              <w:rPr>
                <w:sz w:val="14"/>
                <w:szCs w:val="14"/>
              </w:rPr>
              <w:t>0</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12/7/202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9/1/2016(2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253,09</w:t>
            </w:r>
            <w:r>
              <w:rPr>
                <w:sz w:val="14"/>
                <w:szCs w:val="14"/>
              </w:rPr>
              <w:t>4</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0.3</w:t>
            </w:r>
            <w:r>
              <w:rPr>
                <w:sz w:val="14"/>
                <w:szCs w:val="14"/>
              </w:rPr>
              <w:t>9</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8/31/202</w:t>
            </w:r>
            <w:r>
              <w:rPr>
                <w:sz w:val="14"/>
                <w:szCs w:val="14"/>
              </w:rPr>
              <w:t>6</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10/17/2017(2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523,77</w:t>
            </w:r>
            <w:r>
              <w:rPr>
                <w:sz w:val="14"/>
                <w:szCs w:val="14"/>
              </w:rPr>
              <w:t>5</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0.5</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10/16/202</w:t>
            </w:r>
            <w:r>
              <w:rPr>
                <w:sz w:val="14"/>
                <w:szCs w:val="14"/>
              </w:rPr>
              <w:t>7</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8/5/2019(12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181,91</w:t>
            </w:r>
            <w:r>
              <w:rPr>
                <w:sz w:val="14"/>
                <w:szCs w:val="14"/>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141,48</w:t>
            </w:r>
            <w:r>
              <w:rPr>
                <w:sz w:val="14"/>
                <w:szCs w:val="14"/>
              </w:rPr>
              <w:t>8</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8/4/202</w:t>
            </w:r>
            <w:r>
              <w:rPr>
                <w:sz w:val="14"/>
                <w:szCs w:val="14"/>
              </w:rPr>
              <w:t>9</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8/18/2020(12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37,80</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75,60</w:t>
            </w:r>
            <w:r>
              <w:rPr>
                <w:sz w:val="14"/>
                <w:szCs w:val="14"/>
              </w:rPr>
              <w:t>9</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8/17/203</w:t>
            </w:r>
            <w:r>
              <w:rPr>
                <w:sz w:val="14"/>
                <w:szCs w:val="14"/>
              </w:rPr>
              <w:t>0</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7/15/2021(10</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30,93</w:t>
            </w:r>
            <w:r>
              <w:rPr>
                <w:sz w:val="14"/>
                <w:szCs w:val="14"/>
              </w:rPr>
              <w:t>7</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464,06</w:t>
            </w:r>
            <w:r>
              <w:rPr>
                <w:sz w:val="14"/>
                <w:szCs w:val="14"/>
              </w:rPr>
              <w:t>3</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7/14/203</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10/18/2021(11</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116,01</w:t>
            </w:r>
            <w:r>
              <w:rPr>
                <w:sz w:val="14"/>
                <w:szCs w:val="14"/>
              </w:rPr>
              <w:t>6</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228,55</w:t>
            </w:r>
            <w:r>
              <w:rPr>
                <w:sz w:val="14"/>
                <w:szCs w:val="14"/>
              </w:rPr>
              <w:t>2</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John C. Reill</w:t>
            </w:r>
            <w:r>
              <w:rPr>
                <w:sz w:val="14"/>
                <w:szCs w:val="14"/>
              </w:rPr>
              <w:t>y</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8/5/2019(13</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36,38</w:t>
            </w:r>
            <w:r>
              <w:rPr>
                <w:sz w:val="14"/>
                <w:szCs w:val="14"/>
              </w:rPr>
              <w:t>0</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28,29</w:t>
            </w:r>
            <w:r>
              <w:rPr>
                <w:sz w:val="14"/>
                <w:szCs w:val="14"/>
              </w:rPr>
              <w:t>9</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8/4/202</w:t>
            </w:r>
            <w:r>
              <w:rPr>
                <w:sz w:val="14"/>
                <w:szCs w:val="14"/>
              </w:rPr>
              <w:t>9</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8/18/2020(12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18,90</w:t>
            </w:r>
            <w:r>
              <w:rPr>
                <w:sz w:val="14"/>
                <w:szCs w:val="14"/>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37,80</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8/17/203</w:t>
            </w:r>
            <w:r>
              <w:rPr>
                <w:sz w:val="14"/>
                <w:szCs w:val="14"/>
              </w:rPr>
              <w:t>0</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7/15/2021(10</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15,46</w:t>
            </w:r>
            <w:r>
              <w:rPr>
                <w:sz w:val="14"/>
                <w:szCs w:val="14"/>
              </w:rPr>
              <w:t>8</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232,03</w:t>
            </w:r>
            <w:r>
              <w:rPr>
                <w:sz w:val="14"/>
                <w:szCs w:val="14"/>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5.8</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7/14/203</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10/18/2021(11</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58,00</w:t>
            </w:r>
            <w:r>
              <w:rPr>
                <w:sz w:val="14"/>
                <w:szCs w:val="14"/>
              </w:rPr>
              <w:t>8</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114,27</w:t>
            </w:r>
            <w:r>
              <w:rPr>
                <w:sz w:val="14"/>
                <w:szCs w:val="14"/>
              </w:rPr>
              <w:t>6</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Roni Fran</w:t>
            </w:r>
            <w:r>
              <w:rPr>
                <w:sz w:val="14"/>
                <w:szCs w:val="14"/>
              </w:rPr>
              <w:t>k</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1/15/2016(2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628,39</w:t>
            </w:r>
            <w:r>
              <w:rPr>
                <w:sz w:val="14"/>
                <w:szCs w:val="14"/>
              </w:rPr>
              <w:t>9</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0.2</w:t>
            </w:r>
            <w:r>
              <w:rPr>
                <w:sz w:val="14"/>
                <w:szCs w:val="14"/>
              </w:rPr>
              <w:t>3</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6/1/202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9/1/2016(2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571,81</w:t>
            </w:r>
            <w:r>
              <w:rPr>
                <w:sz w:val="14"/>
                <w:szCs w:val="14"/>
              </w:rPr>
              <w:t>0</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0.3</w:t>
            </w:r>
            <w:r>
              <w:rPr>
                <w:sz w:val="14"/>
                <w:szCs w:val="14"/>
              </w:rPr>
              <w:t>9</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6/1/202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10/17/2017(2</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834,14</w:t>
            </w:r>
            <w:r>
              <w:rPr>
                <w:sz w:val="14"/>
                <w:szCs w:val="14"/>
              </w:rPr>
              <w:t>4</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0.5</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6/1/202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8/5/2019(3</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646,80</w:t>
            </w:r>
            <w:r>
              <w:rPr>
                <w:sz w:val="14"/>
                <w:szCs w:val="14"/>
              </w:rPr>
              <w:t>2</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1</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6/1/202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r w:rsidR="00000000">
        <w:trPr>
          <w:trHeight w:val="14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4"/>
                <w:szCs w:val="14"/>
              </w:rPr>
            </w:pPr>
            <w:r>
              <w:rPr>
                <w:sz w:val="14"/>
                <w:szCs w:val="14"/>
              </w:rPr>
              <w:t>8/18/2020(3</w:t>
            </w: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 226,82</w:t>
            </w:r>
            <w:r>
              <w:rPr>
                <w:sz w:val="14"/>
                <w:szCs w:val="14"/>
              </w:rPr>
              <w:t>7</w:t>
            </w:r>
            <w:r>
              <w:rPr>
                <w:sz w:val="14"/>
                <w:szCs w:val="14"/>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1.2</w:t>
            </w:r>
            <w:r>
              <w:rPr>
                <w:sz w:val="14"/>
                <w:szCs w:val="14"/>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6/1/202</w:t>
            </w:r>
            <w:r>
              <w:rPr>
                <w:sz w:val="14"/>
                <w:szCs w:val="14"/>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4"/>
                <w:szCs w:val="14"/>
              </w:rPr>
            </w:pPr>
            <w:r>
              <w:rPr>
                <w:sz w:val="14"/>
                <w:szCs w:val="14"/>
              </w:rPr>
              <w:t>-</w:t>
            </w:r>
          </w:p>
        </w:tc>
      </w:tr>
    </w:tbl>
    <w:p w:rsidR="00000000" w:rsidRDefault="00AF2D19">
      <w:pPr>
        <w:pStyle w:val="a3"/>
        <w:spacing w:before="60" w:beforeAutospacing="0" w:after="0" w:afterAutospacing="0"/>
        <w:rPr>
          <w:sz w:val="20"/>
          <w:szCs w:val="20"/>
        </w:rPr>
      </w:pPr>
      <w:r>
        <w:rPr>
          <w:sz w:val="16"/>
          <w:szCs w:val="16"/>
        </w:rPr>
        <w:t>(1) Amounts are calculated based on multiplying the number of shares shown in the table by the per share closing price of our common stock on December 31, 2021, which was $1.97</w:t>
      </w:r>
      <w:r>
        <w:rPr>
          <w:sz w:val="16"/>
          <w:szCs w:val="16"/>
        </w:rPr>
        <w:t>.</w:t>
      </w:r>
    </w:p>
    <w:p w:rsidR="00000000" w:rsidRDefault="00AF2D19">
      <w:pPr>
        <w:pStyle w:val="a3"/>
        <w:spacing w:before="60" w:beforeAutospacing="0" w:after="0" w:afterAutospacing="0"/>
        <w:jc w:val="both"/>
        <w:rPr>
          <w:sz w:val="20"/>
          <w:szCs w:val="20"/>
        </w:rPr>
      </w:pPr>
      <w:r>
        <w:rPr>
          <w:sz w:val="16"/>
          <w:szCs w:val="16"/>
        </w:rPr>
        <w:t>(2) These stock options, which were granted under the 2014 Plan, were fully ve</w:t>
      </w:r>
      <w:r>
        <w:rPr>
          <w:sz w:val="16"/>
          <w:szCs w:val="16"/>
        </w:rPr>
        <w:t>sted and exercisable as of December 31, 2021</w:t>
      </w:r>
      <w:r>
        <w:rPr>
          <w:sz w:val="16"/>
          <w:szCs w:val="16"/>
        </w:rPr>
        <w:t>.</w:t>
      </w:r>
    </w:p>
    <w:p w:rsidR="00000000" w:rsidRDefault="00AF2D19">
      <w:pPr>
        <w:pStyle w:val="a3"/>
        <w:spacing w:before="60" w:beforeAutospacing="0" w:after="0" w:afterAutospacing="0"/>
        <w:jc w:val="both"/>
        <w:rPr>
          <w:sz w:val="20"/>
          <w:szCs w:val="20"/>
        </w:rPr>
      </w:pPr>
      <w:r>
        <w:rPr>
          <w:sz w:val="16"/>
          <w:szCs w:val="16"/>
        </w:rPr>
        <w:t>(3) These stock options, which were granted under the 2014 Plan, became fully vested and exercisable on November 21, 2021, in connection with the termination of employment of Oren Frank and Roni Frank, as appli</w:t>
      </w:r>
      <w:r>
        <w:rPr>
          <w:sz w:val="16"/>
          <w:szCs w:val="16"/>
        </w:rPr>
        <w:t>cable</w:t>
      </w:r>
      <w:r>
        <w:rPr>
          <w:sz w:val="16"/>
          <w:szCs w:val="16"/>
        </w:rPr>
        <w:t>.</w:t>
      </w:r>
    </w:p>
    <w:p w:rsidR="00000000" w:rsidRDefault="00AF2D19">
      <w:pPr>
        <w:pStyle w:val="a3"/>
        <w:spacing w:before="60" w:beforeAutospacing="0" w:after="0" w:afterAutospacing="0"/>
        <w:jc w:val="both"/>
        <w:rPr>
          <w:sz w:val="20"/>
          <w:szCs w:val="20"/>
        </w:rPr>
      </w:pPr>
      <w:r>
        <w:rPr>
          <w:sz w:val="16"/>
          <w:szCs w:val="16"/>
        </w:rPr>
        <w:t>(4) This stock option, which was granted under the 2014 Plan, vests and becomes exercisable 25% annually over a four year period of June 22, 2021</w:t>
      </w:r>
      <w:r>
        <w:rPr>
          <w:sz w:val="16"/>
          <w:szCs w:val="16"/>
        </w:rPr>
        <w:t>.</w:t>
      </w:r>
    </w:p>
    <w:p w:rsidR="00000000" w:rsidRDefault="00AF2D19">
      <w:pPr>
        <w:pStyle w:val="a3"/>
        <w:spacing w:before="60" w:beforeAutospacing="0" w:after="0" w:afterAutospacing="0"/>
        <w:jc w:val="both"/>
        <w:rPr>
          <w:sz w:val="20"/>
          <w:szCs w:val="20"/>
        </w:rPr>
      </w:pPr>
      <w:r>
        <w:rPr>
          <w:sz w:val="16"/>
          <w:szCs w:val="16"/>
        </w:rPr>
        <w:t>(5) These stock options, which were granted under the 2014 Plan, ceased vesting on November 22, 2021 i</w:t>
      </w:r>
      <w:r>
        <w:rPr>
          <w:sz w:val="16"/>
          <w:szCs w:val="16"/>
        </w:rPr>
        <w:t>n connection with Mark Hirschhorn’s termination of employment</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(6) This stock option, which was granted under the 2021 Plan, ceased vesting on November 22, 2021 in connection with Mark Hirschhorn’s termination of employment</w:t>
      </w:r>
      <w:r>
        <w:rPr>
          <w:sz w:val="16"/>
          <w:szCs w:val="16"/>
        </w:rPr>
        <w:t>.</w:t>
      </w:r>
    </w:p>
    <w:p w:rsidR="00000000" w:rsidRDefault="00AF2D19">
      <w:pPr>
        <w:pStyle w:val="a3"/>
        <w:spacing w:before="60" w:beforeAutospacing="0" w:after="0" w:afterAutospacing="0"/>
        <w:jc w:val="both"/>
        <w:rPr>
          <w:sz w:val="20"/>
          <w:szCs w:val="20"/>
        </w:rPr>
      </w:pPr>
      <w:r>
        <w:rPr>
          <w:sz w:val="16"/>
          <w:szCs w:val="16"/>
        </w:rPr>
        <w:t>(7) This stock option, which w</w:t>
      </w:r>
      <w:r>
        <w:rPr>
          <w:sz w:val="16"/>
          <w:szCs w:val="16"/>
        </w:rPr>
        <w:t>as granted under the 2021 Plan, vests and becomes exercisable 25% on the one-year anniversary of July 26, 2021 and 75% in twelve equal installments on each of the first twelve quarterly anniversaries of July 26, 2021 thereafter, subject to the NEO’s contin</w:t>
      </w:r>
      <w:r>
        <w:rPr>
          <w:sz w:val="16"/>
          <w:szCs w:val="16"/>
        </w:rPr>
        <w:t>ued employment through each such vesting date</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(8) This RSU award, which was granted under the 2021 Plan, vests 25% on the one-year anniversary of September 1, 2021 and 75% in twelve equal installments on each of the first twelve quarterly anniversaries o</w:t>
      </w:r>
      <w:r>
        <w:rPr>
          <w:sz w:val="16"/>
          <w:szCs w:val="16"/>
        </w:rPr>
        <w:t>f September 1, 2021 thereafter, subject to the NEO’s continued employment through each such vesting date</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(9) This stock option, which was granted under the 2014 Plan, vests and becomes exercisable over a four-year period with respect to 1/48th of the sha</w:t>
      </w:r>
      <w:r>
        <w:rPr>
          <w:sz w:val="16"/>
          <w:szCs w:val="16"/>
        </w:rPr>
        <w:t>res underlying the option on each monthly anniversary of December 4, 2020 thereafter, subject to the NEO’s continued employment through each such vesting date</w:t>
      </w:r>
      <w:r>
        <w:rPr>
          <w:sz w:val="16"/>
          <w:szCs w:val="16"/>
        </w:rPr>
        <w:t>.</w:t>
      </w:r>
    </w:p>
    <w:p w:rsidR="00000000" w:rsidRDefault="00AF2D19">
      <w:pPr>
        <w:pStyle w:val="a3"/>
        <w:spacing w:before="60" w:beforeAutospacing="0" w:after="0" w:afterAutospacing="0"/>
        <w:jc w:val="both"/>
        <w:rPr>
          <w:sz w:val="20"/>
          <w:szCs w:val="20"/>
        </w:rPr>
      </w:pPr>
      <w:r>
        <w:rPr>
          <w:sz w:val="16"/>
          <w:szCs w:val="16"/>
        </w:rPr>
        <w:t>(10) These stock options, which were granted under the 2021 Plan, vest in sixteen equal installm</w:t>
      </w:r>
      <w:r>
        <w:rPr>
          <w:sz w:val="16"/>
          <w:szCs w:val="16"/>
        </w:rPr>
        <w:t>ents on each of the first sixteen quarterly anniversaries of July 1, 2021, subject to the NEO’s continued employment through each such vesting date</w:t>
      </w:r>
      <w:r>
        <w:rPr>
          <w:sz w:val="16"/>
          <w:szCs w:val="16"/>
        </w:rPr>
        <w:t>.</w:t>
      </w:r>
    </w:p>
    <w:p w:rsidR="00000000" w:rsidRDefault="00AF2D19">
      <w:pPr>
        <w:pStyle w:val="a3"/>
        <w:spacing w:before="0" w:beforeAutospacing="0" w:after="0" w:afterAutospacing="0"/>
        <w:jc w:val="center"/>
        <w:rPr>
          <w:sz w:val="20"/>
          <w:szCs w:val="20"/>
        </w:rPr>
      </w:pPr>
      <w:r>
        <w:rPr>
          <w:sz w:val="20"/>
          <w:szCs w:val="20"/>
        </w:rPr>
        <w:t>11</w:t>
      </w:r>
      <w:r>
        <w:rPr>
          <w:sz w:val="20"/>
          <w:szCs w:val="20"/>
        </w:rPr>
        <w:t>6</w:t>
      </w:r>
    </w:p>
    <w:p w:rsidR="00000000" w:rsidRDefault="00AF2D19">
      <w:pPr>
        <w:rPr>
          <w:rFonts w:eastAsia="Times New Roman"/>
        </w:rPr>
      </w:pPr>
      <w:r>
        <w:rPr>
          <w:rFonts w:eastAsia="Times New Roman"/>
        </w:rPr>
        <w:pict>
          <v:rect id="_x0000_i1144"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60" w:beforeAutospacing="0" w:after="0" w:afterAutospacing="0"/>
        <w:jc w:val="both"/>
        <w:rPr>
          <w:sz w:val="20"/>
          <w:szCs w:val="20"/>
        </w:rPr>
      </w:pPr>
      <w:r>
        <w:rPr>
          <w:sz w:val="16"/>
          <w:szCs w:val="16"/>
        </w:rPr>
        <w:t>(11) These RSU awards, which were granted under the 2021 Plan, vest in sixteen equal installments on each of the first sixteen quarterly anniversaries of September 1, 2021</w:t>
      </w:r>
      <w:r>
        <w:rPr>
          <w:sz w:val="16"/>
          <w:szCs w:val="16"/>
        </w:rPr>
        <w:t>, subject to the NEO’s continued employment through each such vesting date</w:t>
      </w:r>
      <w:r>
        <w:rPr>
          <w:sz w:val="16"/>
          <w:szCs w:val="16"/>
        </w:rPr>
        <w:t>.</w:t>
      </w:r>
    </w:p>
    <w:p w:rsidR="00000000" w:rsidRDefault="00AF2D19">
      <w:pPr>
        <w:pStyle w:val="a3"/>
        <w:spacing w:before="60" w:beforeAutospacing="0" w:after="0" w:afterAutospacing="0"/>
        <w:jc w:val="both"/>
        <w:rPr>
          <w:sz w:val="20"/>
          <w:szCs w:val="20"/>
        </w:rPr>
      </w:pPr>
      <w:r>
        <w:rPr>
          <w:sz w:val="16"/>
          <w:szCs w:val="16"/>
        </w:rPr>
        <w:t xml:space="preserve">(12) These stock options, which were granted under the 2014 Plan, vest and become exercisable over a four-year period with respect to 1/48th of the shares underlying the option on </w:t>
      </w:r>
      <w:r>
        <w:rPr>
          <w:sz w:val="16"/>
          <w:szCs w:val="16"/>
        </w:rPr>
        <w:t>each monthly anniversary of September 1, 2019 for awards granted on August 5, 2019 or August 18, 2020 for awards granted on August 18, 2020, subject to the executive’s continued service</w:t>
      </w:r>
      <w:r>
        <w:rPr>
          <w:sz w:val="16"/>
          <w:szCs w:val="16"/>
        </w:rPr>
        <w:t>.</w:t>
      </w:r>
    </w:p>
    <w:p w:rsidR="00000000" w:rsidRDefault="00AF2D19">
      <w:pPr>
        <w:pStyle w:val="a3"/>
        <w:spacing w:before="60" w:beforeAutospacing="0" w:after="0" w:afterAutospacing="0"/>
        <w:jc w:val="both"/>
        <w:rPr>
          <w:sz w:val="20"/>
          <w:szCs w:val="20"/>
        </w:rPr>
      </w:pPr>
      <w:r>
        <w:rPr>
          <w:sz w:val="16"/>
          <w:szCs w:val="16"/>
        </w:rPr>
        <w:t>(13) This RSU award, which was granted under the 2021 Plan, vests 25%</w:t>
      </w:r>
      <w:r>
        <w:rPr>
          <w:sz w:val="16"/>
          <w:szCs w:val="16"/>
        </w:rPr>
        <w:t xml:space="preserve"> on the one-year anniversary of September 1, 2019 and 75% in thirty-six equal installments on each of the first thirty-six monthly anniversaries of September 1, 2019 thereafter, subject to the NEO’s continued employment through each such vesting date</w:t>
      </w:r>
      <w:r>
        <w:rPr>
          <w:sz w:val="16"/>
          <w:szCs w:val="16"/>
        </w:rPr>
        <w:t>.</w:t>
      </w:r>
    </w:p>
    <w:p w:rsidR="00000000" w:rsidRDefault="00AF2D19">
      <w:pPr>
        <w:pStyle w:val="a3"/>
        <w:spacing w:before="240" w:beforeAutospacing="0" w:after="240" w:afterAutospacing="0"/>
        <w:rPr>
          <w:sz w:val="20"/>
          <w:szCs w:val="20"/>
        </w:rPr>
      </w:pPr>
      <w:r>
        <w:rPr>
          <w:b/>
          <w:bCs/>
          <w:sz w:val="20"/>
          <w:szCs w:val="20"/>
        </w:rPr>
        <w:t>Opti</w:t>
      </w:r>
      <w:r>
        <w:rPr>
          <w:b/>
          <w:bCs/>
          <w:sz w:val="20"/>
          <w:szCs w:val="20"/>
        </w:rPr>
        <w:t>on Exercises and Stock Vested in Fiscal 202</w:t>
      </w:r>
      <w:r>
        <w:rPr>
          <w:b/>
          <w:bCs/>
          <w:sz w:val="20"/>
          <w:szCs w:val="20"/>
        </w:rPr>
        <w:t>1</w:t>
      </w:r>
    </w:p>
    <w:tbl>
      <w:tblPr>
        <w:tblW w:w="4650" w:type="pct"/>
        <w:tblCellSpacing w:w="15" w:type="dxa"/>
        <w:tblCellMar>
          <w:top w:w="15" w:type="dxa"/>
          <w:left w:w="15" w:type="dxa"/>
          <w:bottom w:w="15" w:type="dxa"/>
          <w:right w:w="15" w:type="dxa"/>
        </w:tblCellMar>
        <w:tblLook w:val="04A0" w:firstRow="1" w:lastRow="0" w:firstColumn="1" w:lastColumn="0" w:noHBand="0" w:noVBand="1"/>
      </w:tblPr>
      <w:tblGrid>
        <w:gridCol w:w="1602"/>
        <w:gridCol w:w="1391"/>
        <w:gridCol w:w="1331"/>
        <w:gridCol w:w="1788"/>
        <w:gridCol w:w="1613"/>
      </w:tblGrid>
      <w:tr w:rsidR="00000000">
        <w:trPr>
          <w:tblCellSpacing w:w="15" w:type="dxa"/>
        </w:trPr>
        <w:tc>
          <w:tcPr>
            <w:tcW w:w="1031" w:type="pct"/>
            <w:vAlign w:val="center"/>
            <w:hideMark/>
          </w:tcPr>
          <w:p w:rsidR="00000000" w:rsidRDefault="00AF2D19">
            <w:pPr>
              <w:rPr>
                <w:sz w:val="20"/>
                <w:szCs w:val="20"/>
              </w:rPr>
            </w:pPr>
          </w:p>
        </w:tc>
        <w:tc>
          <w:tcPr>
            <w:tcW w:w="901" w:type="pct"/>
            <w:vAlign w:val="center"/>
            <w:hideMark/>
          </w:tcPr>
          <w:p w:rsidR="00000000" w:rsidRDefault="00AF2D19">
            <w:pPr>
              <w:rPr>
                <w:rFonts w:eastAsia="Times New Roman"/>
                <w:sz w:val="20"/>
                <w:szCs w:val="20"/>
              </w:rPr>
            </w:pPr>
          </w:p>
        </w:tc>
        <w:tc>
          <w:tcPr>
            <w:tcW w:w="862" w:type="pct"/>
            <w:vAlign w:val="center"/>
            <w:hideMark/>
          </w:tcPr>
          <w:p w:rsidR="00000000" w:rsidRDefault="00AF2D19">
            <w:pPr>
              <w:rPr>
                <w:rFonts w:eastAsia="Times New Roman"/>
                <w:sz w:val="20"/>
                <w:szCs w:val="20"/>
              </w:rPr>
            </w:pPr>
          </w:p>
        </w:tc>
        <w:tc>
          <w:tcPr>
            <w:tcW w:w="1165" w:type="pct"/>
            <w:vAlign w:val="center"/>
            <w:hideMark/>
          </w:tcPr>
          <w:p w:rsidR="00000000" w:rsidRDefault="00AF2D19">
            <w:pPr>
              <w:rPr>
                <w:rFonts w:eastAsia="Times New Roman"/>
                <w:sz w:val="20"/>
                <w:szCs w:val="20"/>
              </w:rPr>
            </w:pPr>
          </w:p>
        </w:tc>
        <w:tc>
          <w:tcPr>
            <w:tcW w:w="1039" w:type="pct"/>
            <w:vAlign w:val="center"/>
            <w:hideMark/>
          </w:tcPr>
          <w:p w:rsidR="00000000" w:rsidRDefault="00AF2D19">
            <w:pPr>
              <w:rPr>
                <w:rFonts w:eastAsia="Times New Roman"/>
                <w:sz w:val="20"/>
                <w:szCs w:val="20"/>
              </w:rPr>
            </w:pPr>
          </w:p>
        </w:tc>
      </w:tr>
      <w:tr w:rsidR="00000000">
        <w:trPr>
          <w:trHeight w:val="538"/>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gridSpan w:val="2"/>
            <w:tcMar>
              <w:top w:w="15" w:type="dxa"/>
              <w:left w:w="43" w:type="dxa"/>
              <w:bottom w:w="15" w:type="dxa"/>
              <w:right w:w="43" w:type="dxa"/>
            </w:tcMar>
            <w:hideMark/>
          </w:tcPr>
          <w:p w:rsidR="00000000" w:rsidRDefault="00AF2D19">
            <w:pPr>
              <w:pStyle w:val="a3"/>
              <w:spacing w:before="0" w:beforeAutospacing="0" w:after="0" w:afterAutospacing="0"/>
              <w:jc w:val="center"/>
              <w:rPr>
                <w:sz w:val="16"/>
                <w:szCs w:val="16"/>
              </w:rPr>
            </w:pPr>
            <w:r>
              <w:rPr>
                <w:b/>
                <w:bCs/>
                <w:sz w:val="16"/>
                <w:szCs w:val="16"/>
              </w:rPr>
              <w:t>Option Award</w:t>
            </w:r>
            <w:r>
              <w:rPr>
                <w:b/>
                <w:bCs/>
                <w:sz w:val="16"/>
                <w:szCs w:val="16"/>
              </w:rPr>
              <w:t>s</w:t>
            </w:r>
          </w:p>
        </w:tc>
        <w:tc>
          <w:tcPr>
            <w:tcW w:w="0" w:type="auto"/>
            <w:gridSpan w:val="2"/>
            <w:tcMar>
              <w:top w:w="15" w:type="dxa"/>
              <w:left w:w="43" w:type="dxa"/>
              <w:bottom w:w="15" w:type="dxa"/>
              <w:right w:w="43" w:type="dxa"/>
            </w:tcMar>
            <w:hideMark/>
          </w:tcPr>
          <w:p w:rsidR="00000000" w:rsidRDefault="00AF2D19">
            <w:pPr>
              <w:pStyle w:val="a3"/>
              <w:spacing w:before="0" w:beforeAutospacing="0" w:after="0" w:afterAutospacing="0"/>
              <w:jc w:val="center"/>
              <w:rPr>
                <w:sz w:val="16"/>
                <w:szCs w:val="16"/>
              </w:rPr>
            </w:pPr>
            <w:r>
              <w:rPr>
                <w:b/>
                <w:bCs/>
                <w:sz w:val="16"/>
                <w:szCs w:val="16"/>
              </w:rPr>
              <w:t>Stock Award</w:t>
            </w:r>
            <w:r>
              <w:rPr>
                <w:b/>
                <w:bCs/>
                <w:sz w:val="16"/>
                <w:szCs w:val="16"/>
              </w:rPr>
              <w:t>s</w:t>
            </w:r>
          </w:p>
        </w:tc>
      </w:tr>
      <w:tr w:rsidR="00000000">
        <w:trPr>
          <w:trHeight w:val="16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6"/>
                <w:szCs w:val="16"/>
              </w:rPr>
            </w:pPr>
            <w:r>
              <w:rPr>
                <w:b/>
                <w:bCs/>
                <w:sz w:val="16"/>
                <w:szCs w:val="16"/>
              </w:rPr>
              <w:t>Number of Shares Acquired on Exercise (#</w:t>
            </w:r>
            <w:r>
              <w:rPr>
                <w:b/>
                <w:bCs/>
                <w:sz w:val="16"/>
                <w:szCs w:val="16"/>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6"/>
                <w:szCs w:val="16"/>
              </w:rPr>
            </w:pPr>
            <w:r>
              <w:rPr>
                <w:b/>
                <w:bCs/>
                <w:sz w:val="16"/>
                <w:szCs w:val="16"/>
              </w:rPr>
              <w:t>Value Realized on Exercise ($</w:t>
            </w:r>
            <w:r>
              <w:rPr>
                <w:b/>
                <w:bCs/>
                <w:sz w:val="16"/>
                <w:szCs w:val="16"/>
              </w:rPr>
              <w:t>)</w:t>
            </w:r>
            <w:r>
              <w:rPr>
                <w:b/>
                <w:bCs/>
                <w:sz w:val="11"/>
                <w:szCs w:val="11"/>
              </w:rPr>
              <w:t>(1</w:t>
            </w:r>
            <w:r>
              <w:rPr>
                <w:b/>
                <w:bCs/>
                <w:sz w:val="11"/>
                <w:szCs w:val="11"/>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6"/>
                <w:szCs w:val="16"/>
              </w:rPr>
            </w:pPr>
            <w:r>
              <w:rPr>
                <w:b/>
                <w:bCs/>
                <w:sz w:val="16"/>
                <w:szCs w:val="16"/>
              </w:rPr>
              <w:t>Number of Shares Acquired on Vesting (#</w:t>
            </w:r>
            <w:r>
              <w:rPr>
                <w:b/>
                <w:bCs/>
                <w:sz w:val="16"/>
                <w:szCs w:val="16"/>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center"/>
              <w:rPr>
                <w:sz w:val="16"/>
                <w:szCs w:val="16"/>
              </w:rPr>
            </w:pPr>
            <w:r>
              <w:rPr>
                <w:b/>
                <w:bCs/>
                <w:sz w:val="16"/>
                <w:szCs w:val="16"/>
              </w:rPr>
              <w:t>Value Realized on Vesting ($</w:t>
            </w:r>
            <w:r>
              <w:rPr>
                <w:b/>
                <w:bCs/>
                <w:sz w:val="16"/>
                <w:szCs w:val="16"/>
              </w:rPr>
              <w:t>)</w:t>
            </w:r>
            <w:r>
              <w:rPr>
                <w:b/>
                <w:bCs/>
                <w:sz w:val="11"/>
                <w:szCs w:val="11"/>
              </w:rPr>
              <w:t>(2</w:t>
            </w:r>
            <w:r>
              <w:rPr>
                <w:b/>
                <w:bCs/>
                <w:sz w:val="11"/>
                <w:szCs w:val="11"/>
              </w:rPr>
              <w:t>)</w:t>
            </w:r>
            <w:r>
              <w:rPr>
                <w:b/>
                <w:bCs/>
                <w:sz w:val="16"/>
                <w:szCs w:val="16"/>
              </w:rPr>
              <w:t xml:space="preserve"> </w:t>
            </w:r>
          </w:p>
        </w:tc>
      </w:tr>
      <w:tr w:rsidR="00000000">
        <w:trPr>
          <w:trHeight w:val="36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8"/>
                <w:szCs w:val="18"/>
              </w:rPr>
            </w:pPr>
            <w:r>
              <w:rPr>
                <w:sz w:val="18"/>
                <w:szCs w:val="18"/>
              </w:rPr>
              <w:t>Douglas L. Braunstei</w:t>
            </w:r>
            <w:r>
              <w:rPr>
                <w:sz w:val="18"/>
                <w:szCs w:val="18"/>
              </w:rPr>
              <w:t>n</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w:t>
            </w:r>
          </w:p>
        </w:tc>
      </w:tr>
      <w:tr w:rsidR="00000000">
        <w:trPr>
          <w:trHeight w:val="36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8"/>
                <w:szCs w:val="18"/>
              </w:rPr>
            </w:pPr>
            <w:r>
              <w:rPr>
                <w:sz w:val="18"/>
                <w:szCs w:val="18"/>
              </w:rPr>
              <w:t>Oren Fran</w:t>
            </w:r>
            <w:r>
              <w:rPr>
                <w:sz w:val="18"/>
                <w:szCs w:val="18"/>
              </w:rPr>
              <w:t>k</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453,12</w:t>
            </w:r>
            <w:r>
              <w:rPr>
                <w:sz w:val="18"/>
                <w:szCs w:val="18"/>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3,756,39</w:t>
            </w:r>
            <w:r>
              <w:rPr>
                <w:sz w:val="18"/>
                <w:szCs w:val="18"/>
              </w:rPr>
              <w:t>8</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270,70</w:t>
            </w:r>
            <w:r>
              <w:rPr>
                <w:sz w:val="18"/>
                <w:szCs w:val="18"/>
              </w:rPr>
              <w:t>0</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576,59</w:t>
            </w:r>
            <w:r>
              <w:rPr>
                <w:sz w:val="18"/>
                <w:szCs w:val="18"/>
              </w:rPr>
              <w:t>1</w:t>
            </w:r>
          </w:p>
        </w:tc>
      </w:tr>
      <w:tr w:rsidR="00000000">
        <w:trPr>
          <w:trHeight w:val="36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8"/>
                <w:szCs w:val="18"/>
              </w:rPr>
            </w:pPr>
            <w:r>
              <w:rPr>
                <w:sz w:val="18"/>
                <w:szCs w:val="18"/>
              </w:rPr>
              <w:t>Jennifer Ful</w:t>
            </w:r>
            <w:r>
              <w:rPr>
                <w:sz w:val="18"/>
                <w:szCs w:val="18"/>
              </w:rPr>
              <w:t>k</w:t>
            </w:r>
            <w:r>
              <w:rPr>
                <w:sz w:val="18"/>
                <w:szCs w:val="18"/>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w:t>
            </w:r>
          </w:p>
        </w:tc>
      </w:tr>
      <w:tr w:rsidR="00000000">
        <w:trPr>
          <w:trHeight w:val="36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8"/>
                <w:szCs w:val="18"/>
              </w:rPr>
            </w:pPr>
            <w:r>
              <w:rPr>
                <w:sz w:val="18"/>
                <w:szCs w:val="18"/>
              </w:rPr>
              <w:t>Mark Hirschhor</w:t>
            </w:r>
            <w:r>
              <w:rPr>
                <w:sz w:val="18"/>
                <w:szCs w:val="18"/>
              </w:rPr>
              <w:t>n</w:t>
            </w:r>
            <w:r>
              <w:rPr>
                <w:sz w:val="18"/>
                <w:szCs w:val="18"/>
              </w:rPr>
              <w:t xml:space="preserve"> </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856,80</w:t>
            </w:r>
            <w:r>
              <w:rPr>
                <w:sz w:val="18"/>
                <w:szCs w:val="18"/>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5,435,31</w:t>
            </w:r>
            <w:r>
              <w:rPr>
                <w:sz w:val="18"/>
                <w:szCs w:val="18"/>
              </w:rPr>
              <w:t>6</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w:t>
            </w:r>
          </w:p>
        </w:tc>
      </w:tr>
      <w:tr w:rsidR="00000000">
        <w:trPr>
          <w:trHeight w:val="36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8"/>
                <w:szCs w:val="18"/>
              </w:rPr>
            </w:pPr>
            <w:r>
              <w:rPr>
                <w:sz w:val="18"/>
                <w:szCs w:val="18"/>
              </w:rPr>
              <w:t>Samara H. Braunstei</w:t>
            </w:r>
            <w:r>
              <w:rPr>
                <w:sz w:val="18"/>
                <w:szCs w:val="18"/>
              </w:rPr>
              <w:t>n</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10,15</w:t>
            </w:r>
            <w:r>
              <w:rPr>
                <w:sz w:val="18"/>
                <w:szCs w:val="18"/>
              </w:rPr>
              <w:t>3</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12,99</w:t>
            </w:r>
            <w:r>
              <w:rPr>
                <w:sz w:val="18"/>
                <w:szCs w:val="18"/>
              </w:rPr>
              <w:t>6</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7,73</w:t>
            </w:r>
            <w:r>
              <w:rPr>
                <w:sz w:val="18"/>
                <w:szCs w:val="18"/>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16,47</w:t>
            </w:r>
            <w:r>
              <w:rPr>
                <w:sz w:val="18"/>
                <w:szCs w:val="18"/>
              </w:rPr>
              <w:t>3</w:t>
            </w:r>
          </w:p>
        </w:tc>
      </w:tr>
      <w:tr w:rsidR="00000000">
        <w:trPr>
          <w:trHeight w:val="36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8"/>
                <w:szCs w:val="18"/>
              </w:rPr>
            </w:pPr>
            <w:r>
              <w:rPr>
                <w:sz w:val="18"/>
                <w:szCs w:val="18"/>
              </w:rPr>
              <w:t>Gil Margoli</w:t>
            </w:r>
            <w:r>
              <w:rPr>
                <w:sz w:val="18"/>
                <w:szCs w:val="18"/>
              </w:rPr>
              <w:t>n</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306,90</w:t>
            </w:r>
            <w:r>
              <w:rPr>
                <w:sz w:val="18"/>
                <w:szCs w:val="18"/>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2,584,13</w:t>
            </w:r>
            <w:r>
              <w:rPr>
                <w:sz w:val="18"/>
                <w:szCs w:val="18"/>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7,73</w:t>
            </w:r>
            <w:r>
              <w:rPr>
                <w:sz w:val="18"/>
                <w:szCs w:val="18"/>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16,47</w:t>
            </w:r>
            <w:r>
              <w:rPr>
                <w:sz w:val="18"/>
                <w:szCs w:val="18"/>
              </w:rPr>
              <w:t>3</w:t>
            </w:r>
          </w:p>
        </w:tc>
      </w:tr>
      <w:tr w:rsidR="00000000">
        <w:trPr>
          <w:trHeight w:val="36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8"/>
                <w:szCs w:val="18"/>
              </w:rPr>
            </w:pPr>
            <w:r>
              <w:rPr>
                <w:sz w:val="18"/>
                <w:szCs w:val="18"/>
              </w:rPr>
              <w:t>John C. Reill</w:t>
            </w:r>
            <w:r>
              <w:rPr>
                <w:sz w:val="18"/>
                <w:szCs w:val="18"/>
              </w:rPr>
              <w:t>y</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92,79</w:t>
            </w:r>
            <w:r>
              <w:rPr>
                <w:sz w:val="18"/>
                <w:szCs w:val="18"/>
              </w:rPr>
              <w:t>2</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314,42</w:t>
            </w:r>
            <w:r>
              <w:rPr>
                <w:sz w:val="18"/>
                <w:szCs w:val="18"/>
              </w:rPr>
              <w:t>9</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3,86</w:t>
            </w:r>
            <w:r>
              <w:rPr>
                <w:sz w:val="18"/>
                <w:szCs w:val="18"/>
              </w:rPr>
              <w:t>7</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8,23</w:t>
            </w:r>
            <w:r>
              <w:rPr>
                <w:sz w:val="18"/>
                <w:szCs w:val="18"/>
              </w:rPr>
              <w:t>7</w:t>
            </w:r>
          </w:p>
        </w:tc>
      </w:tr>
      <w:tr w:rsidR="00000000">
        <w:trPr>
          <w:trHeight w:val="360"/>
          <w:tblCellSpacing w:w="15" w:type="dxa"/>
        </w:trPr>
        <w:tc>
          <w:tcPr>
            <w:tcW w:w="0" w:type="auto"/>
            <w:tcMar>
              <w:top w:w="15" w:type="dxa"/>
              <w:left w:w="43" w:type="dxa"/>
              <w:bottom w:w="15" w:type="dxa"/>
              <w:right w:w="43" w:type="dxa"/>
            </w:tcMar>
            <w:hideMark/>
          </w:tcPr>
          <w:p w:rsidR="00000000" w:rsidRDefault="00AF2D19">
            <w:pPr>
              <w:pStyle w:val="a3"/>
              <w:spacing w:before="0" w:beforeAutospacing="0" w:after="0" w:afterAutospacing="0"/>
              <w:rPr>
                <w:sz w:val="18"/>
                <w:szCs w:val="18"/>
              </w:rPr>
            </w:pPr>
            <w:r>
              <w:rPr>
                <w:sz w:val="18"/>
                <w:szCs w:val="18"/>
              </w:rPr>
              <w:t>Roni Fran</w:t>
            </w:r>
            <w:r>
              <w:rPr>
                <w:sz w:val="18"/>
                <w:szCs w:val="18"/>
              </w:rPr>
              <w:t>k</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453,12</w:t>
            </w:r>
            <w:r>
              <w:rPr>
                <w:sz w:val="18"/>
                <w:szCs w:val="18"/>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3,756,39</w:t>
            </w:r>
            <w:r>
              <w:rPr>
                <w:sz w:val="18"/>
                <w:szCs w:val="18"/>
              </w:rPr>
              <w:t>8</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77,34</w:t>
            </w:r>
            <w:r>
              <w:rPr>
                <w:sz w:val="18"/>
                <w:szCs w:val="18"/>
              </w:rPr>
              <w:t>4</w:t>
            </w:r>
          </w:p>
        </w:tc>
        <w:tc>
          <w:tcPr>
            <w:tcW w:w="0" w:type="auto"/>
            <w:tcMar>
              <w:top w:w="15" w:type="dxa"/>
              <w:left w:w="43" w:type="dxa"/>
              <w:bottom w:w="15" w:type="dxa"/>
              <w:right w:w="43" w:type="dxa"/>
            </w:tcMar>
            <w:hideMark/>
          </w:tcPr>
          <w:p w:rsidR="00000000" w:rsidRDefault="00AF2D19">
            <w:pPr>
              <w:pStyle w:val="a3"/>
              <w:spacing w:before="0" w:beforeAutospacing="0" w:after="0" w:afterAutospacing="0"/>
              <w:jc w:val="right"/>
              <w:rPr>
                <w:sz w:val="18"/>
                <w:szCs w:val="18"/>
              </w:rPr>
            </w:pPr>
            <w:r>
              <w:rPr>
                <w:sz w:val="18"/>
                <w:szCs w:val="18"/>
              </w:rPr>
              <w:t>164,74</w:t>
            </w:r>
            <w:r>
              <w:rPr>
                <w:sz w:val="18"/>
                <w:szCs w:val="18"/>
              </w:rPr>
              <w:t>3</w:t>
            </w:r>
          </w:p>
        </w:tc>
      </w:tr>
    </w:tbl>
    <w:p w:rsidR="00000000" w:rsidRDefault="00AF2D19">
      <w:pPr>
        <w:pStyle w:val="a3"/>
        <w:spacing w:before="60" w:beforeAutospacing="0" w:after="0" w:afterAutospacing="0"/>
        <w:ind w:left="476"/>
        <w:jc w:val="both"/>
        <w:rPr>
          <w:sz w:val="20"/>
          <w:szCs w:val="20"/>
        </w:rPr>
      </w:pPr>
      <w:r>
        <w:rPr>
          <w:sz w:val="17"/>
          <w:szCs w:val="17"/>
        </w:rPr>
        <w:t>(1) Amounts are calculated by multiplying the number of shares as to which the option was exercised by the market price of the share</w:t>
      </w:r>
      <w:r>
        <w:rPr>
          <w:sz w:val="17"/>
          <w:szCs w:val="17"/>
        </w:rPr>
        <w:t>s</w:t>
      </w:r>
      <w:r>
        <w:rPr>
          <w:sz w:val="17"/>
          <w:szCs w:val="17"/>
        </w:rPr>
        <w:t xml:space="preserve"> </w:t>
      </w:r>
    </w:p>
    <w:p w:rsidR="00000000" w:rsidRDefault="00AF2D19">
      <w:pPr>
        <w:pStyle w:val="a3"/>
        <w:spacing w:before="0" w:beforeAutospacing="0" w:after="0" w:afterAutospacing="0"/>
        <w:ind w:left="476"/>
        <w:jc w:val="both"/>
        <w:rPr>
          <w:sz w:val="20"/>
          <w:szCs w:val="20"/>
        </w:rPr>
      </w:pPr>
      <w:r>
        <w:rPr>
          <w:sz w:val="17"/>
          <w:szCs w:val="17"/>
        </w:rPr>
        <w:t>on the exercise date, net of the exercise price</w:t>
      </w:r>
      <w:r>
        <w:rPr>
          <w:sz w:val="17"/>
          <w:szCs w:val="17"/>
        </w:rPr>
        <w:t>.</w:t>
      </w:r>
      <w:r>
        <w:rPr>
          <w:sz w:val="17"/>
          <w:szCs w:val="17"/>
        </w:rPr>
        <w:t xml:space="preserve"> </w:t>
      </w:r>
    </w:p>
    <w:p w:rsidR="00000000" w:rsidRDefault="00AF2D19">
      <w:pPr>
        <w:pStyle w:val="a3"/>
        <w:spacing w:before="60" w:beforeAutospacing="0" w:after="0" w:afterAutospacing="0"/>
        <w:ind w:left="476"/>
        <w:jc w:val="both"/>
        <w:rPr>
          <w:sz w:val="20"/>
          <w:szCs w:val="20"/>
        </w:rPr>
      </w:pPr>
      <w:r>
        <w:rPr>
          <w:sz w:val="17"/>
          <w:szCs w:val="17"/>
        </w:rPr>
        <w:t>(2) Amounts are calculated by multiplying the number of shares vested by our closing stock price on the vesting date</w:t>
      </w:r>
      <w:r>
        <w:rPr>
          <w:sz w:val="17"/>
          <w:szCs w:val="17"/>
        </w:rPr>
        <w:t>.</w:t>
      </w:r>
    </w:p>
    <w:p w:rsidR="00000000" w:rsidRDefault="00AF2D19">
      <w:pPr>
        <w:pStyle w:val="a3"/>
        <w:spacing w:before="240" w:beforeAutospacing="0" w:after="0" w:afterAutospacing="0"/>
        <w:rPr>
          <w:sz w:val="20"/>
          <w:szCs w:val="20"/>
        </w:rPr>
      </w:pPr>
      <w:r>
        <w:rPr>
          <w:b/>
          <w:bCs/>
          <w:sz w:val="20"/>
          <w:szCs w:val="20"/>
        </w:rPr>
        <w:t>Potential Payments Upon Termination or Change in Contro</w:t>
      </w:r>
      <w:r>
        <w:rPr>
          <w:b/>
          <w:bCs/>
          <w:sz w:val="20"/>
          <w:szCs w:val="20"/>
        </w:rPr>
        <w:t>l</w:t>
      </w:r>
    </w:p>
    <w:p w:rsidR="00000000" w:rsidRDefault="00AF2D19">
      <w:pPr>
        <w:pStyle w:val="a3"/>
        <w:spacing w:before="120" w:beforeAutospacing="0" w:after="0" w:afterAutospacing="0"/>
        <w:rPr>
          <w:sz w:val="20"/>
          <w:szCs w:val="20"/>
        </w:rPr>
      </w:pPr>
      <w:r>
        <w:rPr>
          <w:b/>
          <w:bCs/>
          <w:i/>
          <w:iCs/>
          <w:sz w:val="20"/>
          <w:szCs w:val="20"/>
        </w:rPr>
        <w:t>Executive Severance Pla</w:t>
      </w:r>
      <w:r>
        <w:rPr>
          <w:b/>
          <w:bCs/>
          <w:i/>
          <w:iCs/>
          <w:sz w:val="20"/>
          <w:szCs w:val="20"/>
        </w:rPr>
        <w:t>n</w:t>
      </w:r>
    </w:p>
    <w:p w:rsidR="00000000" w:rsidRDefault="00AF2D19">
      <w:pPr>
        <w:pStyle w:val="a3"/>
        <w:spacing w:before="120" w:beforeAutospacing="0" w:after="0" w:afterAutospacing="0"/>
        <w:jc w:val="both"/>
        <w:rPr>
          <w:sz w:val="20"/>
          <w:szCs w:val="20"/>
        </w:rPr>
      </w:pPr>
      <w:r>
        <w:rPr>
          <w:sz w:val="20"/>
          <w:szCs w:val="20"/>
        </w:rPr>
        <w:t>All of our NEOs other than Mr. Braunstein are (or, in th</w:t>
      </w:r>
      <w:r>
        <w:rPr>
          <w:sz w:val="20"/>
          <w:szCs w:val="20"/>
        </w:rPr>
        <w:t>e case of, Messrs. Frank and Hirschhorn and Ms. Frank, were, prior to their terminations) participants in the Executive Severance Plan, which provides for payments and benefits upon a participant’s termination without cause or resignation with good reason.</w:t>
      </w:r>
      <w:r>
        <w:rPr>
          <w:sz w:val="20"/>
          <w:szCs w:val="20"/>
        </w:rPr>
        <w:t xml:space="preserve"> The Executive Severance Plan is administered by our Compensation Committee</w:t>
      </w:r>
      <w:r>
        <w:rPr>
          <w:sz w:val="20"/>
          <w:szCs w:val="20"/>
        </w:rPr>
        <w:t>.</w:t>
      </w:r>
      <w:r>
        <w:rPr>
          <w:sz w:val="20"/>
          <w:szCs w:val="20"/>
        </w:rPr>
        <w:t xml:space="preserve"> </w:t>
      </w:r>
    </w:p>
    <w:p w:rsidR="00000000" w:rsidRDefault="00AF2D19">
      <w:pPr>
        <w:pStyle w:val="a3"/>
        <w:spacing w:before="120" w:beforeAutospacing="0" w:after="120" w:afterAutospacing="0"/>
        <w:jc w:val="both"/>
        <w:rPr>
          <w:sz w:val="20"/>
          <w:szCs w:val="20"/>
        </w:rPr>
      </w:pPr>
      <w:r>
        <w:rPr>
          <w:sz w:val="20"/>
          <w:szCs w:val="20"/>
        </w:rPr>
        <w:t>Participants in the Executive Severance Plan are designated as either Tier 1 or Tier 2 participants at the time they are selected to participate, but the Chief Executive Officer,</w:t>
      </w:r>
      <w:r>
        <w:rPr>
          <w:sz w:val="20"/>
          <w:szCs w:val="20"/>
        </w:rPr>
        <w:t xml:space="preserve"> Chief Operating Officer, and Chief Financial Officer always will be Tier 1 participants</w:t>
      </w:r>
      <w:r>
        <w:rPr>
          <w:sz w:val="20"/>
          <w:szCs w:val="20"/>
        </w:rPr>
        <w:t>.</w:t>
      </w:r>
      <w:r>
        <w:rPr>
          <w:sz w:val="20"/>
          <w:szCs w:val="20"/>
        </w:rPr>
        <w:t xml:space="preserve"> </w:t>
      </w:r>
    </w:p>
    <w:p w:rsidR="00000000" w:rsidRDefault="00AF2D19">
      <w:pPr>
        <w:pStyle w:val="a3"/>
        <w:spacing w:before="120" w:beforeAutospacing="0" w:after="120" w:afterAutospacing="0"/>
        <w:jc w:val="both"/>
        <w:rPr>
          <w:sz w:val="20"/>
          <w:szCs w:val="20"/>
        </w:rPr>
      </w:pPr>
      <w:r>
        <w:rPr>
          <w:sz w:val="20"/>
          <w:szCs w:val="20"/>
        </w:rPr>
        <w:t>Pursuant to the terms of the Executive Severance Plan, in the event a participant is terminated without “cause” or resigns for “good reason” (each, as defined in the</w:t>
      </w:r>
      <w:r>
        <w:rPr>
          <w:sz w:val="20"/>
          <w:szCs w:val="20"/>
        </w:rPr>
        <w:t xml:space="preserve"> Executive Severance Plan), in each case, other than on or within the period beginning three months prior to a change in control and ending 12 months following a change in control, the participant will be eligible to receive: (i) salary continuation for 12</w:t>
      </w:r>
      <w:r>
        <w:rPr>
          <w:sz w:val="20"/>
          <w:szCs w:val="20"/>
        </w:rPr>
        <w:t xml:space="preserve"> months, in the case of Tier 1 participants, or 6 months, in the case of Tier 2 participants; and (ii) payment or reimbursement of COBRA premiums for up to 12 months, in the case of Tier 1 participants, or 6 months, in the case of Tier 2 participants</w:t>
      </w:r>
      <w:r>
        <w:rPr>
          <w:sz w:val="20"/>
          <w:szCs w:val="20"/>
        </w:rPr>
        <w:t>.</w:t>
      </w:r>
    </w:p>
    <w:p w:rsidR="00000000" w:rsidRDefault="00AF2D19">
      <w:pPr>
        <w:pStyle w:val="a3"/>
        <w:spacing w:before="0" w:beforeAutospacing="0" w:after="0" w:afterAutospacing="0"/>
        <w:jc w:val="both"/>
        <w:rPr>
          <w:sz w:val="20"/>
          <w:szCs w:val="20"/>
        </w:rPr>
      </w:pPr>
      <w:r>
        <w:rPr>
          <w:sz w:val="20"/>
          <w:szCs w:val="20"/>
        </w:rPr>
        <w:t>In a</w:t>
      </w:r>
      <w:r>
        <w:rPr>
          <w:sz w:val="20"/>
          <w:szCs w:val="20"/>
        </w:rPr>
        <w:t>ddition, in the event a participant in the Executive Severance Plan is terminated without cause or resigns for good reason, in each case, on or within the period beginning 3 months prior to a change in control and ending 12 months following a change in con</w:t>
      </w:r>
      <w:r>
        <w:rPr>
          <w:sz w:val="20"/>
          <w:szCs w:val="20"/>
        </w:rPr>
        <w:t>trol, the participant will be eligible to receive: (i) salary continuation for 24 months plus 200% of the participant’s target bonus amount, in the case of a Tier 1 participant, or salary continuation for 12 months plus 100% of the participant’s target bon</w:t>
      </w:r>
      <w:r>
        <w:rPr>
          <w:sz w:val="20"/>
          <w:szCs w:val="20"/>
        </w:rPr>
        <w:t>us amount, in the case of a Tier 2 participant; (ii) a lump sum cash payment equal to the participant’s pro-rata target bonus amount</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11</w:t>
      </w:r>
      <w:r>
        <w:rPr>
          <w:sz w:val="20"/>
          <w:szCs w:val="20"/>
        </w:rPr>
        <w:t>7</w:t>
      </w:r>
    </w:p>
    <w:p w:rsidR="00000000" w:rsidRDefault="00AF2D19">
      <w:pPr>
        <w:rPr>
          <w:rFonts w:eastAsia="Times New Roman"/>
        </w:rPr>
      </w:pPr>
      <w:r>
        <w:rPr>
          <w:rFonts w:eastAsia="Times New Roman"/>
        </w:rPr>
        <w:pict>
          <v:rect id="_x0000_i114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both"/>
        <w:rPr>
          <w:sz w:val="20"/>
          <w:szCs w:val="20"/>
        </w:rPr>
      </w:pPr>
      <w:r>
        <w:rPr>
          <w:sz w:val="20"/>
          <w:szCs w:val="20"/>
        </w:rPr>
        <w:t xml:space="preserve">(iii) payment or reimbursement </w:t>
      </w:r>
      <w:r>
        <w:rPr>
          <w:sz w:val="20"/>
          <w:szCs w:val="20"/>
        </w:rPr>
        <w:t>of COBRA premiums for up to 18 months, in the case of a Tier 1 participant, or 12 months, in the case of a Tier 2 participant; and (iii) full accelerated vesting of all equity awards</w:t>
      </w:r>
      <w:r>
        <w:rPr>
          <w:sz w:val="20"/>
          <w:szCs w:val="20"/>
        </w:rPr>
        <w:t>.</w:t>
      </w:r>
      <w:r>
        <w:rPr>
          <w:sz w:val="20"/>
          <w:szCs w:val="20"/>
        </w:rPr>
        <w:t xml:space="preserve"> </w:t>
      </w:r>
    </w:p>
    <w:p w:rsidR="00000000" w:rsidRDefault="00AF2D19">
      <w:pPr>
        <w:pStyle w:val="a3"/>
        <w:spacing w:before="120" w:beforeAutospacing="0" w:after="120" w:afterAutospacing="0"/>
        <w:jc w:val="both"/>
        <w:rPr>
          <w:sz w:val="20"/>
          <w:szCs w:val="20"/>
        </w:rPr>
      </w:pPr>
      <w:r>
        <w:rPr>
          <w:sz w:val="20"/>
          <w:szCs w:val="20"/>
        </w:rPr>
        <w:t xml:space="preserve">All severance payments and benefits under the Executive Severance Plan </w:t>
      </w:r>
      <w:r>
        <w:rPr>
          <w:sz w:val="20"/>
          <w:szCs w:val="20"/>
        </w:rPr>
        <w:t>are subject to the participant’s execution of a release of claims against us and continued compliance with certain restrictive covenants. The Executive Severance Plan also includes a Section 280G “best pay” provision, which provides that if any amount rece</w:t>
      </w:r>
      <w:r>
        <w:rPr>
          <w:sz w:val="20"/>
          <w:szCs w:val="20"/>
        </w:rPr>
        <w:t>ived by a participant pursuant to the Executive Severance Plan that would be subject to the excise tax imposed by Section 4999 of the Code, the participant would receive the full amount of the payments and benefits or an amount reduced so that no portion w</w:t>
      </w:r>
      <w:r>
        <w:rPr>
          <w:sz w:val="20"/>
          <w:szCs w:val="20"/>
        </w:rPr>
        <w:t>ould be subject to the excise tax, whichever would result in the largest payment to the participant on an after-tax basis</w:t>
      </w:r>
      <w:r>
        <w:rPr>
          <w:sz w:val="20"/>
          <w:szCs w:val="20"/>
        </w:rPr>
        <w:t>.</w:t>
      </w:r>
    </w:p>
    <w:p w:rsidR="00000000" w:rsidRDefault="00AF2D19">
      <w:pPr>
        <w:pStyle w:val="a3"/>
        <w:spacing w:before="0" w:beforeAutospacing="0" w:after="0" w:afterAutospacing="0"/>
        <w:rPr>
          <w:sz w:val="20"/>
          <w:szCs w:val="20"/>
        </w:rPr>
      </w:pPr>
      <w:r>
        <w:rPr>
          <w:b/>
          <w:bCs/>
          <w:i/>
          <w:iCs/>
          <w:sz w:val="20"/>
          <w:szCs w:val="20"/>
        </w:rPr>
        <w:t>Equity Plan</w:t>
      </w:r>
      <w:r>
        <w:rPr>
          <w:b/>
          <w:bCs/>
          <w:i/>
          <w:iCs/>
          <w:sz w:val="20"/>
          <w:szCs w:val="20"/>
        </w:rPr>
        <w:t>s</w:t>
      </w:r>
    </w:p>
    <w:p w:rsidR="00000000" w:rsidRDefault="00AF2D19">
      <w:pPr>
        <w:pStyle w:val="a3"/>
        <w:spacing w:before="120" w:beforeAutospacing="0" w:after="120" w:afterAutospacing="0"/>
        <w:jc w:val="both"/>
        <w:rPr>
          <w:sz w:val="20"/>
          <w:szCs w:val="20"/>
        </w:rPr>
      </w:pPr>
      <w:r>
        <w:rPr>
          <w:sz w:val="20"/>
          <w:szCs w:val="20"/>
        </w:rPr>
        <w:t>Certain stock options granted under the 2014 Plan in August 2019 to Mr. Margolin and Mr. Reilly and in August 2020 to Mr</w:t>
      </w:r>
      <w:r>
        <w:rPr>
          <w:sz w:val="20"/>
          <w:szCs w:val="20"/>
        </w:rPr>
        <w:t>. Margolin originally provided for 25% of the option to vest and become exercisable upon the executive’s termination without cause, or if the Company completed a deemed liquidation event or an initial public offering of its common stock. These options also</w:t>
      </w:r>
      <w:r>
        <w:rPr>
          <w:sz w:val="20"/>
          <w:szCs w:val="20"/>
        </w:rPr>
        <w:t xml:space="preserve"> originally provided that they would vest and become exercisable in full upon the executive’s termination without cause within 12 months following (i) a deemed liquidation event or (ii) an initial public offering of the Company’s common stock. In connectio</w:t>
      </w:r>
      <w:r>
        <w:rPr>
          <w:sz w:val="20"/>
          <w:szCs w:val="20"/>
        </w:rPr>
        <w:t>n with the Business Combination, the Company entered into a waiver agreement with each of the named executive officers under which each named executive officer waived his right to the 25% accelerated vesting upon a deemed liquidation event</w:t>
      </w:r>
      <w:r>
        <w:rPr>
          <w:sz w:val="20"/>
          <w:szCs w:val="20"/>
        </w:rPr>
        <w:t>.</w:t>
      </w:r>
      <w:r>
        <w:rPr>
          <w:sz w:val="20"/>
          <w:szCs w:val="20"/>
        </w:rPr>
        <w:t xml:space="preserve"> </w:t>
      </w:r>
    </w:p>
    <w:p w:rsidR="00000000" w:rsidRDefault="00AF2D19">
      <w:pPr>
        <w:pStyle w:val="a3"/>
        <w:spacing w:before="120" w:beforeAutospacing="0" w:after="120" w:afterAutospacing="0"/>
        <w:jc w:val="both"/>
        <w:rPr>
          <w:sz w:val="20"/>
          <w:szCs w:val="20"/>
        </w:rPr>
      </w:pPr>
      <w:r>
        <w:rPr>
          <w:sz w:val="20"/>
          <w:szCs w:val="20"/>
        </w:rPr>
        <w:t>Under 2021 Pla</w:t>
      </w:r>
      <w:r>
        <w:rPr>
          <w:sz w:val="20"/>
          <w:szCs w:val="20"/>
        </w:rPr>
        <w:t>n, in the event of a change in control where any outstanding awards under the 2021 Plan are not substituted or assumed, such awards will become fully vested, exercisable, and/or payable in connection with the change in control</w:t>
      </w:r>
      <w:r>
        <w:rPr>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11</w:t>
      </w:r>
      <w:r>
        <w:rPr>
          <w:sz w:val="20"/>
          <w:szCs w:val="20"/>
        </w:rPr>
        <w:t>8</w:t>
      </w:r>
    </w:p>
    <w:p w:rsidR="00000000" w:rsidRDefault="00AF2D19">
      <w:pPr>
        <w:rPr>
          <w:rFonts w:eastAsia="Times New Roman"/>
        </w:rPr>
      </w:pPr>
      <w:r>
        <w:rPr>
          <w:rFonts w:eastAsia="Times New Roman"/>
        </w:rPr>
        <w:pict>
          <v:rect id="_x0000_i1146"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rPr>
          <w:sz w:val="20"/>
          <w:szCs w:val="20"/>
        </w:rPr>
      </w:pPr>
      <w:r>
        <w:rPr>
          <w:b/>
          <w:bCs/>
          <w:i/>
          <w:iCs/>
          <w:sz w:val="20"/>
          <w:szCs w:val="20"/>
        </w:rPr>
        <w:t>Estimated Potential Payment</w:t>
      </w:r>
      <w:r>
        <w:rPr>
          <w:b/>
          <w:bCs/>
          <w:i/>
          <w:iCs/>
          <w:sz w:val="20"/>
          <w:szCs w:val="20"/>
        </w:rPr>
        <w:t>s</w:t>
      </w:r>
    </w:p>
    <w:p w:rsidR="00000000" w:rsidRDefault="00AF2D19">
      <w:pPr>
        <w:pStyle w:val="a3"/>
        <w:spacing w:before="120" w:beforeAutospacing="0" w:after="120" w:afterAutospacing="0"/>
        <w:jc w:val="both"/>
        <w:rPr>
          <w:sz w:val="20"/>
          <w:szCs w:val="20"/>
        </w:rPr>
      </w:pPr>
      <w:r>
        <w:rPr>
          <w:sz w:val="20"/>
          <w:szCs w:val="20"/>
        </w:rPr>
        <w:t>The following table summarizes the payments that would be made to our NEOs upon the occurrence of certain qualifying terminations of employmen</w:t>
      </w:r>
      <w:r>
        <w:rPr>
          <w:sz w:val="20"/>
          <w:szCs w:val="20"/>
        </w:rPr>
        <w:t>t or a change in control, in any case, occurring on December 31, 2021 (or, in the cases of Messrs. Frank and Hirschhorn and Ms. Frank</w:t>
      </w:r>
      <w:r>
        <w:rPr>
          <w:sz w:val="20"/>
          <w:szCs w:val="20"/>
        </w:rPr>
        <w:t>,</w:t>
      </w:r>
      <w:r>
        <w:rPr>
          <w:sz w:val="20"/>
          <w:szCs w:val="20"/>
        </w:rPr>
        <w:t xml:space="preserve"> the actual amounts owed in connection with their terminations during 2021, which in the case of Mr. and Ms. Frank, were d</w:t>
      </w:r>
      <w:r>
        <w:rPr>
          <w:sz w:val="20"/>
          <w:szCs w:val="20"/>
        </w:rPr>
        <w:t>etermined pursuant to the terms of the Separation Agreements</w:t>
      </w:r>
      <w:r>
        <w:rPr>
          <w:sz w:val="20"/>
          <w:szCs w:val="20"/>
        </w:rPr>
        <w:t>)</w:t>
      </w:r>
      <w:r>
        <w:rPr>
          <w:sz w:val="20"/>
          <w:szCs w:val="20"/>
        </w:rPr>
        <w:t>. Amounts shown do not include (i) accrued but unpaid base salary through the date of termination or (ii) other benefits earned or accrued by the NEO during his or her employment that are availab</w:t>
      </w:r>
      <w:r>
        <w:rPr>
          <w:sz w:val="20"/>
          <w:szCs w:val="20"/>
        </w:rPr>
        <w:t>le to all salaried employees, such as accrued vacation</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74"/>
        <w:gridCol w:w="1694"/>
        <w:gridCol w:w="96"/>
        <w:gridCol w:w="1431"/>
        <w:gridCol w:w="95"/>
        <w:gridCol w:w="96"/>
        <w:gridCol w:w="1500"/>
        <w:gridCol w:w="95"/>
        <w:gridCol w:w="96"/>
        <w:gridCol w:w="1419"/>
        <w:gridCol w:w="110"/>
      </w:tblGrid>
      <w:tr w:rsidR="00000000">
        <w:trPr>
          <w:tblCellSpacing w:w="15" w:type="dxa"/>
        </w:trPr>
        <w:tc>
          <w:tcPr>
            <w:tcW w:w="1048" w:type="pct"/>
            <w:vAlign w:val="center"/>
            <w:hideMark/>
          </w:tcPr>
          <w:p w:rsidR="00000000" w:rsidRDefault="00AF2D19">
            <w:pPr>
              <w:rPr>
                <w:sz w:val="20"/>
                <w:szCs w:val="20"/>
              </w:rPr>
            </w:pPr>
          </w:p>
        </w:tc>
        <w:tc>
          <w:tcPr>
            <w:tcW w:w="1070"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904"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947"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896"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b/>
                <w:bCs/>
                <w:sz w:val="14"/>
                <w:szCs w:val="14"/>
              </w:rPr>
              <w:t>Nam</w:t>
            </w:r>
            <w:r>
              <w:rPr>
                <w:b/>
                <w:bCs/>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b/>
                <w:bCs/>
                <w:sz w:val="14"/>
                <w:szCs w:val="14"/>
              </w:rPr>
              <w:t>Benefi</w:t>
            </w:r>
            <w:r>
              <w:rPr>
                <w:b/>
                <w:bCs/>
                <w:sz w:val="14"/>
                <w:szCs w:val="14"/>
              </w:rPr>
              <w:t>t</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Termination Without Cause or for Good Reason / Cause (no Change in Control) ($</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Change in Control (no Termination) ($</w:t>
            </w:r>
            <w:r>
              <w:rPr>
                <w:b/>
                <w:bCs/>
                <w:sz w:val="14"/>
                <w:szCs w:val="14"/>
              </w:rPr>
              <w:t>)</w:t>
            </w:r>
            <w:r>
              <w:rPr>
                <w:b/>
                <w:bCs/>
                <w:sz w:val="9"/>
                <w:szCs w:val="9"/>
              </w:rPr>
              <w:t>(1</w:t>
            </w:r>
            <w:r>
              <w:rPr>
                <w:b/>
                <w:bCs/>
                <w:sz w:val="9"/>
                <w:szCs w:val="9"/>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Termination Without Cause or for Good Reason / Cause in Connection with a Change in Control ($</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Douglas L. Braunstei</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Cas</w:t>
            </w:r>
            <w:r>
              <w:rPr>
                <w:sz w:val="14"/>
                <w:szCs w:val="14"/>
              </w:rPr>
              <w:t>h</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Equity Acceleratio</w:t>
            </w:r>
            <w:r>
              <w:rPr>
                <w:sz w:val="14"/>
                <w:szCs w:val="14"/>
              </w:rPr>
              <w:t>n</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30,30</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Continued Healthcar</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b/>
                <w:bCs/>
                <w:sz w:val="14"/>
                <w:szCs w:val="14"/>
              </w:rPr>
              <w:t>Tota</w:t>
            </w:r>
            <w:r>
              <w:rPr>
                <w:b/>
                <w:bCs/>
                <w:sz w:val="14"/>
                <w:szCs w:val="14"/>
              </w:rPr>
              <w:t>l</w:t>
            </w:r>
            <w:r>
              <w:rPr>
                <w:b/>
                <w:bCs/>
                <w:sz w:val="9"/>
                <w:szCs w:val="9"/>
              </w:rPr>
              <w:t>(3</w:t>
            </w:r>
            <w:r>
              <w:rPr>
                <w:b/>
                <w:bCs/>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30,30</w:t>
            </w:r>
            <w:r>
              <w:rPr>
                <w:b/>
                <w:bCs/>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Oren Fran</w:t>
            </w:r>
            <w:r>
              <w:rPr>
                <w:sz w:val="14"/>
                <w:szCs w:val="14"/>
              </w:rPr>
              <w:t>k</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Cas</w:t>
            </w:r>
            <w:r>
              <w:rPr>
                <w:sz w:val="14"/>
                <w:szCs w:val="14"/>
              </w:rPr>
              <w:t>h</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1,225,00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Equity Acceleratio</w:t>
            </w:r>
            <w:r>
              <w:rPr>
                <w:sz w:val="14"/>
                <w:szCs w:val="14"/>
              </w:rPr>
              <w:t>n</w:t>
            </w:r>
            <w:r>
              <w:rPr>
                <w:sz w:val="9"/>
                <w:szCs w:val="9"/>
              </w:rPr>
              <w:t>(4</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917,67</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Continued Healthcar</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73,05</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b/>
                <w:bCs/>
                <w:sz w:val="14"/>
                <w:szCs w:val="14"/>
              </w:rPr>
              <w:t>Tota</w:t>
            </w:r>
            <w:r>
              <w:rPr>
                <w:b/>
                <w:bCs/>
                <w:sz w:val="14"/>
                <w:szCs w:val="14"/>
              </w:rPr>
              <w:t>l</w:t>
            </w:r>
            <w:r>
              <w:rPr>
                <w:b/>
                <w:bCs/>
                <w:sz w:val="9"/>
                <w:szCs w:val="9"/>
              </w:rPr>
              <w:t>(3</w:t>
            </w:r>
            <w:r>
              <w:rPr>
                <w:b/>
                <w:bCs/>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2,215,72</w:t>
            </w:r>
            <w:r>
              <w:rPr>
                <w:b/>
                <w:bCs/>
                <w:sz w:val="14"/>
                <w:szCs w:val="14"/>
              </w:rPr>
              <w:t>4</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Jennifer Ful</w:t>
            </w:r>
            <w:r>
              <w:rPr>
                <w:sz w:val="14"/>
                <w:szCs w:val="14"/>
              </w:rPr>
              <w:t>k</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Cas</w:t>
            </w:r>
            <w:r>
              <w:rPr>
                <w:sz w:val="14"/>
                <w:szCs w:val="14"/>
              </w:rPr>
              <w:t>h</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200,00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1,200,00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Equity Acceleratio</w:t>
            </w:r>
            <w:r>
              <w:rPr>
                <w:sz w:val="14"/>
                <w:szCs w:val="14"/>
              </w:rPr>
              <w:t>n</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243,78</w:t>
            </w:r>
            <w:r>
              <w:rPr>
                <w:sz w:val="14"/>
                <w:szCs w:val="14"/>
              </w:rPr>
              <w:t>8</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Continued Healthcar</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23,50</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47,00</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b/>
                <w:bCs/>
                <w:sz w:val="14"/>
                <w:szCs w:val="14"/>
              </w:rPr>
              <w:t>Tota</w:t>
            </w:r>
            <w:r>
              <w:rPr>
                <w:b/>
                <w:bCs/>
                <w:sz w:val="14"/>
                <w:szCs w:val="14"/>
              </w:rPr>
              <w:t>l</w:t>
            </w:r>
            <w:r>
              <w:rPr>
                <w:b/>
                <w:bCs/>
                <w:sz w:val="9"/>
                <w:szCs w:val="9"/>
              </w:rPr>
              <w:t>(3</w:t>
            </w:r>
            <w:r>
              <w:rPr>
                <w:b/>
                <w:bCs/>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223,50</w:t>
            </w:r>
            <w:r>
              <w:rPr>
                <w:b/>
                <w:bCs/>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1,490,79</w:t>
            </w:r>
            <w:r>
              <w:rPr>
                <w:b/>
                <w:bCs/>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Mark Hirschhor</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Cas</w:t>
            </w:r>
            <w:r>
              <w:rPr>
                <w:sz w:val="14"/>
                <w:szCs w:val="14"/>
              </w:rPr>
              <w:t>h</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Equity Acceleratio</w:t>
            </w:r>
            <w:r>
              <w:rPr>
                <w:sz w:val="14"/>
                <w:szCs w:val="14"/>
              </w:rPr>
              <w:t>n</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Continued Healthcar</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b/>
                <w:bCs/>
                <w:sz w:val="14"/>
                <w:szCs w:val="14"/>
              </w:rPr>
              <w:t>Tota</w:t>
            </w:r>
            <w:r>
              <w:rPr>
                <w:b/>
                <w:bCs/>
                <w:sz w:val="14"/>
                <w:szCs w:val="14"/>
              </w:rPr>
              <w:t>l</w:t>
            </w:r>
            <w:r>
              <w:rPr>
                <w:b/>
                <w:bCs/>
                <w:sz w:val="9"/>
                <w:szCs w:val="9"/>
              </w:rPr>
              <w:t>(3</w:t>
            </w:r>
            <w:r>
              <w:rPr>
                <w:b/>
                <w:bCs/>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Samara H. Braunstei</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Cas</w:t>
            </w:r>
            <w:r>
              <w:rPr>
                <w:sz w:val="14"/>
                <w:szCs w:val="14"/>
              </w:rPr>
              <w:t>h</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165,00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660,00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Equity Acceleratio</w:t>
            </w:r>
            <w:r>
              <w:rPr>
                <w:sz w:val="14"/>
                <w:szCs w:val="14"/>
              </w:rPr>
              <w:t>n</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228,55</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Continued Healthcar</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5</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10</w:t>
            </w:r>
            <w:r>
              <w:rPr>
                <w:sz w:val="14"/>
                <w:szCs w:val="14"/>
              </w:rPr>
              <w:t>3</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b/>
                <w:bCs/>
                <w:sz w:val="14"/>
                <w:szCs w:val="14"/>
              </w:rPr>
              <w:t>Tota</w:t>
            </w:r>
            <w:r>
              <w:rPr>
                <w:b/>
                <w:bCs/>
                <w:sz w:val="14"/>
                <w:szCs w:val="14"/>
              </w:rPr>
              <w:t>l</w:t>
            </w:r>
            <w:r>
              <w:rPr>
                <w:b/>
                <w:bCs/>
                <w:sz w:val="9"/>
                <w:szCs w:val="9"/>
              </w:rPr>
              <w:t>(3</w:t>
            </w:r>
            <w:r>
              <w:rPr>
                <w:b/>
                <w:bCs/>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165,05</w:t>
            </w:r>
            <w:r>
              <w:rPr>
                <w:b/>
                <w:bCs/>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888,65</w:t>
            </w:r>
            <w:r>
              <w:rPr>
                <w:b/>
                <w:bCs/>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Gil Margoli</w:t>
            </w:r>
            <w:r>
              <w:rPr>
                <w:sz w:val="14"/>
                <w:szCs w:val="14"/>
              </w:rPr>
              <w:t>n</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Cas</w:t>
            </w:r>
            <w:r>
              <w:rPr>
                <w:sz w:val="14"/>
                <w:szCs w:val="14"/>
              </w:rPr>
              <w:t>h</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165,00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660,00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Equity Acceleratio</w:t>
            </w:r>
            <w:r>
              <w:rPr>
                <w:sz w:val="14"/>
                <w:szCs w:val="14"/>
              </w:rPr>
              <w:t>n</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228,55</w:t>
            </w:r>
            <w:r>
              <w:rPr>
                <w:sz w:val="14"/>
                <w:szCs w:val="14"/>
              </w:rPr>
              <w:t>2</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Continued Healthcar</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13,44</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26,88</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b/>
                <w:bCs/>
                <w:sz w:val="14"/>
                <w:szCs w:val="14"/>
              </w:rPr>
              <w:t>Tota</w:t>
            </w:r>
            <w:r>
              <w:rPr>
                <w:b/>
                <w:bCs/>
                <w:sz w:val="14"/>
                <w:szCs w:val="14"/>
              </w:rPr>
              <w:t>l</w:t>
            </w:r>
            <w:r>
              <w:rPr>
                <w:b/>
                <w:bCs/>
                <w:sz w:val="9"/>
                <w:szCs w:val="9"/>
              </w:rPr>
              <w:t>(3</w:t>
            </w:r>
            <w:r>
              <w:rPr>
                <w:b/>
                <w:bCs/>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178,44</w:t>
            </w:r>
            <w:r>
              <w:rPr>
                <w:b/>
                <w:bCs/>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915,44</w:t>
            </w:r>
            <w:r>
              <w:rPr>
                <w:b/>
                <w:bCs/>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John C. Reill</w:t>
            </w:r>
            <w:r>
              <w:rPr>
                <w:sz w:val="14"/>
                <w:szCs w:val="14"/>
              </w:rPr>
              <w:t>y</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Cas</w:t>
            </w:r>
            <w:r>
              <w:rPr>
                <w:sz w:val="14"/>
                <w:szCs w:val="14"/>
              </w:rPr>
              <w:t>h</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130,00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416,00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Equity Acceleratio</w:t>
            </w:r>
            <w:r>
              <w:rPr>
                <w:sz w:val="14"/>
                <w:szCs w:val="14"/>
              </w:rPr>
              <w:t>n</w:t>
            </w:r>
            <w:r>
              <w:rPr>
                <w:sz w:val="9"/>
                <w:szCs w:val="9"/>
              </w:rPr>
              <w:t>(2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114,27</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Continued Healthcar</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b/>
                <w:bCs/>
                <w:sz w:val="14"/>
                <w:szCs w:val="14"/>
              </w:rPr>
              <w:t>Tota</w:t>
            </w:r>
            <w:r>
              <w:rPr>
                <w:b/>
                <w:bCs/>
                <w:sz w:val="14"/>
                <w:szCs w:val="14"/>
              </w:rPr>
              <w:t>l</w:t>
            </w:r>
            <w:r>
              <w:rPr>
                <w:b/>
                <w:bCs/>
                <w:sz w:val="9"/>
                <w:szCs w:val="9"/>
              </w:rPr>
              <w:t>(3</w:t>
            </w:r>
            <w:r>
              <w:rPr>
                <w:b/>
                <w:bCs/>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130,00</w:t>
            </w:r>
            <w:r>
              <w:rPr>
                <w:b/>
                <w:bCs/>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530,27</w:t>
            </w:r>
            <w:r>
              <w:rPr>
                <w:b/>
                <w:bCs/>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Roni Fran</w:t>
            </w:r>
            <w:r>
              <w:rPr>
                <w:sz w:val="14"/>
                <w:szCs w:val="14"/>
              </w:rPr>
              <w:t>k</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Cas</w:t>
            </w:r>
            <w:r>
              <w:rPr>
                <w:sz w:val="14"/>
                <w:szCs w:val="14"/>
              </w:rPr>
              <w:t>h</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1,150,00</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Equity Acceleratio</w:t>
            </w:r>
            <w:r>
              <w:rPr>
                <w:sz w:val="14"/>
                <w:szCs w:val="14"/>
              </w:rPr>
              <w:t>n</w:t>
            </w:r>
            <w:r>
              <w:rPr>
                <w:sz w:val="9"/>
                <w:szCs w:val="9"/>
              </w:rPr>
              <w:t>(4</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262,19</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Continued Healthcar</w:t>
            </w:r>
            <w:r>
              <w:rPr>
                <w:sz w:val="14"/>
                <w:szCs w:val="14"/>
              </w:rPr>
              <w:t>e</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b/>
                <w:bCs/>
                <w:sz w:val="14"/>
                <w:szCs w:val="14"/>
              </w:rPr>
              <w:t>Tota</w:t>
            </w:r>
            <w:r>
              <w:rPr>
                <w:b/>
                <w:bCs/>
                <w:sz w:val="14"/>
                <w:szCs w:val="14"/>
              </w:rPr>
              <w:t>l</w:t>
            </w:r>
            <w:r>
              <w:rPr>
                <w:b/>
                <w:bCs/>
                <w:sz w:val="9"/>
                <w:szCs w:val="9"/>
              </w:rPr>
              <w:t>(3</w:t>
            </w:r>
            <w:r>
              <w:rPr>
                <w:b/>
                <w:bCs/>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1,412,19</w:t>
            </w:r>
            <w:r>
              <w:rPr>
                <w:b/>
                <w:bCs/>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120" w:beforeAutospacing="0" w:after="0" w:afterAutospacing="0"/>
        <w:jc w:val="both"/>
        <w:rPr>
          <w:sz w:val="20"/>
          <w:szCs w:val="20"/>
        </w:rPr>
      </w:pPr>
      <w:r>
        <w:rPr>
          <w:sz w:val="16"/>
          <w:szCs w:val="16"/>
        </w:rPr>
        <w:t>(1) Assumes awards are assumed or substituted in connection with the change in control</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(2) With respect to options, the value of equity acceleration was calculated by (i) multiplying the number of accelerated shares of common stock underlying the options</w:t>
      </w:r>
      <w:r>
        <w:rPr>
          <w:sz w:val="16"/>
          <w:szCs w:val="16"/>
        </w:rPr>
        <w:t xml:space="preserve"> by $1.97, the closing trading price of our common stock on December 31, 2021 and (ii) subtracting the exercise price for the options. With respect to RSUs, the value of equity acceleration was calculated by multiplying the number of accelerated RSUs by $1</w:t>
      </w:r>
      <w:r>
        <w:rPr>
          <w:sz w:val="16"/>
          <w:szCs w:val="16"/>
        </w:rPr>
        <w:t>.97, the closing trading price of our common stock on December 31, 2021</w:t>
      </w:r>
      <w:r>
        <w:rPr>
          <w:sz w:val="16"/>
          <w:szCs w:val="16"/>
        </w:rPr>
        <w:t>.</w:t>
      </w:r>
    </w:p>
    <w:p w:rsidR="00000000" w:rsidRDefault="00AF2D19">
      <w:pPr>
        <w:pStyle w:val="a3"/>
        <w:spacing w:before="60" w:beforeAutospacing="0" w:after="0" w:afterAutospacing="0"/>
        <w:jc w:val="both"/>
        <w:rPr>
          <w:sz w:val="20"/>
          <w:szCs w:val="20"/>
        </w:rPr>
      </w:pPr>
      <w:r>
        <w:rPr>
          <w:sz w:val="16"/>
          <w:szCs w:val="16"/>
        </w:rPr>
        <w:t>(3) Amounts shown are the maximum potential payment the NEO would have received as of December 31, 2021 (or, in the case of Messrs. Frank and Hirschhorn and Ms. Frank, the amounts act</w:t>
      </w:r>
      <w:r>
        <w:rPr>
          <w:sz w:val="16"/>
          <w:szCs w:val="16"/>
        </w:rPr>
        <w:t>ually received in connection with their terminations of employment). Amounts of any reduction pursuant to the 280G best pay provision, if any, would be calculated upon actual termination of employment</w:t>
      </w:r>
      <w:r>
        <w:rPr>
          <w:sz w:val="16"/>
          <w:szCs w:val="16"/>
        </w:rPr>
        <w:t>.</w:t>
      </w:r>
    </w:p>
    <w:p w:rsidR="00000000" w:rsidRDefault="00AF2D19">
      <w:pPr>
        <w:pStyle w:val="a3"/>
        <w:spacing w:before="60" w:beforeAutospacing="0" w:after="0" w:afterAutospacing="0"/>
        <w:jc w:val="both"/>
        <w:rPr>
          <w:sz w:val="20"/>
          <w:szCs w:val="20"/>
        </w:rPr>
      </w:pPr>
      <w:r>
        <w:rPr>
          <w:sz w:val="16"/>
          <w:szCs w:val="16"/>
        </w:rPr>
        <w:t>(4) With respect to RSUs, the value of equity acceleration was calculated by multiplying the number of accelerated RSUs by $3.39, the closing trading price of our common stock on November 15, 2021, the date of termination of Mr. and Ms. Frank’s employment</w:t>
      </w:r>
      <w:r>
        <w:rPr>
          <w:sz w:val="16"/>
          <w:szCs w:val="16"/>
        </w:rPr>
        <w:t>.</w:t>
      </w:r>
    </w:p>
    <w:p w:rsidR="00000000" w:rsidRDefault="00AF2D19">
      <w:pPr>
        <w:pStyle w:val="a3"/>
        <w:spacing w:before="60" w:beforeAutospacing="0" w:after="0" w:afterAutospacing="0"/>
        <w:jc w:val="both"/>
        <w:rPr>
          <w:sz w:val="20"/>
          <w:szCs w:val="20"/>
        </w:rPr>
      </w:pPr>
      <w:r>
        <w:rPr>
          <w:sz w:val="16"/>
          <w:szCs w:val="16"/>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11</w:t>
      </w:r>
      <w:r>
        <w:rPr>
          <w:sz w:val="20"/>
          <w:szCs w:val="20"/>
        </w:rPr>
        <w:t>9</w:t>
      </w:r>
    </w:p>
    <w:p w:rsidR="00000000" w:rsidRDefault="00AF2D19">
      <w:pPr>
        <w:rPr>
          <w:rFonts w:eastAsia="Times New Roman"/>
        </w:rPr>
      </w:pPr>
      <w:r>
        <w:rPr>
          <w:rFonts w:eastAsia="Times New Roman"/>
        </w:rPr>
        <w:pict>
          <v:rect id="_x0000_i1147"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caps/>
          <w:sz w:val="20"/>
          <w:szCs w:val="20"/>
        </w:rPr>
        <w:t>2021 Director Compensatio</w:t>
      </w:r>
      <w:r>
        <w:rPr>
          <w:b/>
          <w:bCs/>
          <w:caps/>
          <w:sz w:val="20"/>
          <w:szCs w:val="20"/>
        </w:rPr>
        <w:t>n</w:t>
      </w:r>
    </w:p>
    <w:p w:rsidR="00000000" w:rsidRDefault="00AF2D19">
      <w:pPr>
        <w:pStyle w:val="a3"/>
        <w:spacing w:before="0" w:beforeAutospacing="0" w:after="0" w:afterAutospacing="0"/>
        <w:jc w:val="center"/>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1655"/>
        <w:gridCol w:w="1237"/>
        <w:gridCol w:w="915"/>
        <w:gridCol w:w="996"/>
        <w:gridCol w:w="1011"/>
      </w:tblGrid>
      <w:tr w:rsidR="00000000">
        <w:trPr>
          <w:tblCellSpacing w:w="15" w:type="dxa"/>
        </w:trPr>
        <w:tc>
          <w:tcPr>
            <w:tcW w:w="1428" w:type="pct"/>
            <w:vAlign w:val="center"/>
            <w:hideMark/>
          </w:tcPr>
          <w:p w:rsidR="00000000" w:rsidRDefault="00AF2D19">
            <w:pPr>
              <w:rPr>
                <w:sz w:val="20"/>
                <w:szCs w:val="20"/>
              </w:rPr>
            </w:pPr>
          </w:p>
        </w:tc>
        <w:tc>
          <w:tcPr>
            <w:tcW w:w="1071" w:type="pct"/>
            <w:vAlign w:val="center"/>
            <w:hideMark/>
          </w:tcPr>
          <w:p w:rsidR="00000000" w:rsidRDefault="00AF2D19">
            <w:pPr>
              <w:rPr>
                <w:rFonts w:eastAsia="Times New Roman"/>
                <w:sz w:val="20"/>
                <w:szCs w:val="20"/>
              </w:rPr>
            </w:pPr>
          </w:p>
        </w:tc>
        <w:tc>
          <w:tcPr>
            <w:tcW w:w="785" w:type="pct"/>
            <w:vAlign w:val="center"/>
            <w:hideMark/>
          </w:tcPr>
          <w:p w:rsidR="00000000" w:rsidRDefault="00AF2D19">
            <w:pPr>
              <w:rPr>
                <w:rFonts w:eastAsia="Times New Roman"/>
                <w:sz w:val="20"/>
                <w:szCs w:val="20"/>
              </w:rPr>
            </w:pPr>
          </w:p>
        </w:tc>
        <w:tc>
          <w:tcPr>
            <w:tcW w:w="857" w:type="pct"/>
            <w:vAlign w:val="center"/>
            <w:hideMark/>
          </w:tcPr>
          <w:p w:rsidR="00000000" w:rsidRDefault="00AF2D19">
            <w:pPr>
              <w:rPr>
                <w:rFonts w:eastAsia="Times New Roman"/>
                <w:sz w:val="20"/>
                <w:szCs w:val="20"/>
              </w:rPr>
            </w:pPr>
          </w:p>
        </w:tc>
        <w:tc>
          <w:tcPr>
            <w:tcW w:w="857"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tcBorders>
              <w:top w:val="single" w:sz="4" w:space="0" w:color="auto"/>
              <w:left w:val="single" w:sz="4" w:space="0" w:color="auto"/>
              <w:bottom w:val="single" w:sz="4" w:space="0" w:color="auto"/>
            </w:tcBorders>
            <w:hideMark/>
          </w:tcPr>
          <w:p w:rsidR="00000000" w:rsidRDefault="00AF2D19">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tcBorders>
              <w:top w:val="single" w:sz="4" w:space="0" w:color="auto"/>
              <w:bottom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b/>
                <w:bCs/>
                <w:sz w:val="16"/>
                <w:szCs w:val="16"/>
              </w:rPr>
              <w:t>Fees Earned or Paid in Cash ($</w:t>
            </w:r>
            <w:r>
              <w:rPr>
                <w:b/>
                <w:bCs/>
                <w:sz w:val="16"/>
                <w:szCs w:val="16"/>
              </w:rPr>
              <w:t>)</w:t>
            </w:r>
          </w:p>
        </w:tc>
        <w:tc>
          <w:tcPr>
            <w:tcW w:w="0" w:type="auto"/>
            <w:tcBorders>
              <w:top w:val="single" w:sz="4" w:space="0" w:color="auto"/>
              <w:bottom w:val="single" w:sz="4" w:space="0" w:color="auto"/>
            </w:tcBorders>
            <w:hideMark/>
          </w:tcPr>
          <w:p w:rsidR="00000000" w:rsidRDefault="00AF2D19">
            <w:pPr>
              <w:pStyle w:val="a3"/>
              <w:spacing w:before="0" w:beforeAutospacing="0" w:after="0" w:afterAutospacing="0"/>
              <w:jc w:val="center"/>
              <w:rPr>
                <w:sz w:val="16"/>
                <w:szCs w:val="16"/>
              </w:rPr>
            </w:pPr>
            <w:r>
              <w:rPr>
                <w:b/>
                <w:bCs/>
                <w:sz w:val="16"/>
                <w:szCs w:val="16"/>
              </w:rPr>
              <w:t>Stock Awards ($</w:t>
            </w:r>
            <w:r>
              <w:rPr>
                <w:b/>
                <w:bCs/>
                <w:sz w:val="16"/>
                <w:szCs w:val="16"/>
              </w:rPr>
              <w:t>)</w:t>
            </w:r>
            <w:r>
              <w:rPr>
                <w:b/>
                <w:bCs/>
                <w:sz w:val="11"/>
                <w:szCs w:val="11"/>
              </w:rPr>
              <w:t> (1</w:t>
            </w:r>
            <w:r>
              <w:rPr>
                <w:b/>
                <w:bCs/>
                <w:sz w:val="11"/>
                <w:szCs w:val="11"/>
              </w:rPr>
              <w:t>)</w:t>
            </w:r>
          </w:p>
        </w:tc>
        <w:tc>
          <w:tcPr>
            <w:tcW w:w="0" w:type="auto"/>
            <w:tcBorders>
              <w:top w:val="single" w:sz="4" w:space="0" w:color="auto"/>
              <w:bottom w:val="single" w:sz="4" w:space="0" w:color="auto"/>
            </w:tcBorders>
            <w:hideMark/>
          </w:tcPr>
          <w:p w:rsidR="00000000" w:rsidRDefault="00AF2D19">
            <w:pPr>
              <w:pStyle w:val="a3"/>
              <w:spacing w:before="0" w:beforeAutospacing="0" w:after="0" w:afterAutospacing="0"/>
              <w:jc w:val="center"/>
              <w:rPr>
                <w:sz w:val="16"/>
                <w:szCs w:val="16"/>
              </w:rPr>
            </w:pPr>
            <w:r>
              <w:rPr>
                <w:b/>
                <w:bCs/>
                <w:sz w:val="16"/>
                <w:szCs w:val="16"/>
              </w:rPr>
              <w:t>Option Awards ($</w:t>
            </w:r>
            <w:r>
              <w:rPr>
                <w:b/>
                <w:bCs/>
                <w:sz w:val="16"/>
                <w:szCs w:val="16"/>
              </w:rPr>
              <w:t>)</w:t>
            </w:r>
            <w:r>
              <w:rPr>
                <w:b/>
                <w:bCs/>
                <w:sz w:val="11"/>
                <w:szCs w:val="11"/>
              </w:rPr>
              <w:t> (1</w:t>
            </w:r>
            <w:r>
              <w:rPr>
                <w:b/>
                <w:bCs/>
                <w:sz w:val="11"/>
                <w:szCs w:val="11"/>
              </w:rPr>
              <w:t>)</w:t>
            </w:r>
          </w:p>
        </w:tc>
        <w:tc>
          <w:tcPr>
            <w:tcW w:w="0" w:type="auto"/>
            <w:tcBorders>
              <w:top w:val="single" w:sz="4" w:space="0" w:color="auto"/>
              <w:bottom w:val="single" w:sz="4" w:space="0" w:color="auto"/>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b/>
                <w:bCs/>
                <w:sz w:val="16"/>
                <w:szCs w:val="16"/>
              </w:rPr>
              <w:t>Total ($</w:t>
            </w:r>
            <w:r>
              <w:rPr>
                <w:b/>
                <w:bCs/>
                <w:sz w:val="16"/>
                <w:szCs w:val="16"/>
              </w:rPr>
              <w:t>)</w:t>
            </w:r>
          </w:p>
        </w:tc>
      </w:tr>
      <w:tr w:rsidR="00000000">
        <w:trPr>
          <w:trHeight w:val="160"/>
          <w:tblCellSpacing w:w="15" w:type="dxa"/>
        </w:trPr>
        <w:tc>
          <w:tcPr>
            <w:tcW w:w="0" w:type="auto"/>
            <w:tcBorders>
              <w:left w:val="single" w:sz="4" w:space="0" w:color="auto"/>
            </w:tcBorders>
            <w:hideMark/>
          </w:tcPr>
          <w:p w:rsidR="00000000" w:rsidRDefault="00AF2D19">
            <w:pPr>
              <w:pStyle w:val="a3"/>
              <w:spacing w:before="0" w:beforeAutospacing="0" w:after="0" w:afterAutospacing="0"/>
              <w:rPr>
                <w:sz w:val="16"/>
                <w:szCs w:val="16"/>
              </w:rPr>
            </w:pPr>
            <w:r>
              <w:rPr>
                <w:sz w:val="16"/>
                <w:szCs w:val="16"/>
              </w:rPr>
              <w:t>Douglas L. Braunstei</w:t>
            </w:r>
            <w:r>
              <w:rPr>
                <w:sz w:val="16"/>
                <w:szCs w:val="16"/>
              </w:rPr>
              <w:t>n</w:t>
            </w:r>
            <w:r>
              <w:rPr>
                <w:sz w:val="11"/>
                <w:szCs w:val="11"/>
              </w:rPr>
              <w:t> (2</w:t>
            </w:r>
            <w:r>
              <w:rPr>
                <w:sz w:val="11"/>
                <w:szCs w:val="11"/>
              </w:rPr>
              <w:t>)</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Borders>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left w:val="single" w:sz="4" w:space="0" w:color="auto"/>
            </w:tcBorders>
            <w:hideMark/>
          </w:tcPr>
          <w:p w:rsidR="00000000" w:rsidRDefault="00AF2D19">
            <w:pPr>
              <w:pStyle w:val="a3"/>
              <w:spacing w:before="0" w:beforeAutospacing="0" w:after="0" w:afterAutospacing="0"/>
              <w:rPr>
                <w:sz w:val="16"/>
                <w:szCs w:val="16"/>
              </w:rPr>
            </w:pPr>
            <w:r>
              <w:rPr>
                <w:sz w:val="16"/>
                <w:szCs w:val="16"/>
              </w:rPr>
              <w:t>Jeffrey M. Crow</w:t>
            </w:r>
            <w:r>
              <w:rPr>
                <w:sz w:val="16"/>
                <w:szCs w:val="16"/>
              </w:rPr>
              <w:t>e</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21,00</w:t>
            </w:r>
            <w:r>
              <w:rPr>
                <w:sz w:val="16"/>
                <w:szCs w:val="16"/>
              </w:rPr>
              <w:t>0</w:t>
            </w:r>
            <w:r>
              <w:rPr>
                <w:sz w:val="16"/>
                <w:szCs w:val="16"/>
              </w:rPr>
              <w:t xml:space="preserve"> </w:t>
            </w:r>
          </w:p>
        </w:tc>
        <w:tc>
          <w:tcPr>
            <w:tcW w:w="0" w:type="auto"/>
            <w:hideMark/>
          </w:tcPr>
          <w:p w:rsidR="00000000" w:rsidRDefault="00AF2D19">
            <w:pPr>
              <w:pStyle w:val="a3"/>
              <w:spacing w:before="0" w:beforeAutospacing="0" w:after="0" w:afterAutospacing="0"/>
              <w:jc w:val="center"/>
              <w:rPr>
                <w:sz w:val="16"/>
                <w:szCs w:val="16"/>
              </w:rPr>
            </w:pPr>
            <w:r>
              <w:rPr>
                <w:sz w:val="16"/>
                <w:szCs w:val="16"/>
              </w:rPr>
              <w:t> 55,07</w:t>
            </w:r>
            <w:r>
              <w:rPr>
                <w:sz w:val="16"/>
                <w:szCs w:val="16"/>
              </w:rPr>
              <w:t>8</w:t>
            </w:r>
          </w:p>
        </w:tc>
        <w:tc>
          <w:tcPr>
            <w:tcW w:w="0" w:type="auto"/>
            <w:hideMark/>
          </w:tcPr>
          <w:p w:rsidR="00000000" w:rsidRDefault="00AF2D19">
            <w:pPr>
              <w:pStyle w:val="a3"/>
              <w:spacing w:before="0" w:beforeAutospacing="0" w:after="0" w:afterAutospacing="0"/>
              <w:jc w:val="center"/>
              <w:rPr>
                <w:sz w:val="16"/>
                <w:szCs w:val="16"/>
              </w:rPr>
            </w:pPr>
            <w:r>
              <w:rPr>
                <w:sz w:val="16"/>
                <w:szCs w:val="16"/>
              </w:rPr>
              <w:t> 109,11</w:t>
            </w:r>
            <w:r>
              <w:rPr>
                <w:sz w:val="16"/>
                <w:szCs w:val="16"/>
              </w:rPr>
              <w:t>4</w:t>
            </w:r>
          </w:p>
        </w:tc>
        <w:tc>
          <w:tcPr>
            <w:tcW w:w="0" w:type="auto"/>
            <w:tcBorders>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185,19</w:t>
            </w:r>
            <w:r>
              <w:rPr>
                <w:sz w:val="16"/>
                <w:szCs w:val="16"/>
              </w:rPr>
              <w:t>2</w:t>
            </w:r>
            <w:r>
              <w:rPr>
                <w:sz w:val="16"/>
                <w:szCs w:val="16"/>
              </w:rPr>
              <w:t xml:space="preserve"> </w:t>
            </w:r>
          </w:p>
        </w:tc>
      </w:tr>
      <w:tr w:rsidR="00000000">
        <w:trPr>
          <w:trHeight w:val="160"/>
          <w:tblCellSpacing w:w="15" w:type="dxa"/>
        </w:trPr>
        <w:tc>
          <w:tcPr>
            <w:tcW w:w="0" w:type="auto"/>
            <w:tcBorders>
              <w:left w:val="single" w:sz="4" w:space="0" w:color="auto"/>
            </w:tcBorders>
            <w:hideMark/>
          </w:tcPr>
          <w:p w:rsidR="00000000" w:rsidRDefault="00AF2D19">
            <w:pPr>
              <w:pStyle w:val="a3"/>
              <w:spacing w:before="0" w:beforeAutospacing="0" w:after="0" w:afterAutospacing="0"/>
              <w:rPr>
                <w:sz w:val="16"/>
                <w:szCs w:val="16"/>
              </w:rPr>
            </w:pPr>
            <w:r>
              <w:rPr>
                <w:sz w:val="16"/>
                <w:szCs w:val="16"/>
              </w:rPr>
              <w:t>Erez Shacha</w:t>
            </w:r>
            <w:r>
              <w:rPr>
                <w:sz w:val="16"/>
                <w:szCs w:val="16"/>
              </w:rPr>
              <w:t>r</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26,00</w:t>
            </w:r>
            <w:r>
              <w:rPr>
                <w:sz w:val="16"/>
                <w:szCs w:val="16"/>
              </w:rPr>
              <w:t>0</w:t>
            </w:r>
            <w:r>
              <w:rPr>
                <w:sz w:val="16"/>
                <w:szCs w:val="16"/>
              </w:rPr>
              <w:t xml:space="preserve"> </w:t>
            </w:r>
          </w:p>
        </w:tc>
        <w:tc>
          <w:tcPr>
            <w:tcW w:w="0" w:type="auto"/>
            <w:hideMark/>
          </w:tcPr>
          <w:p w:rsidR="00000000" w:rsidRDefault="00AF2D19">
            <w:pPr>
              <w:pStyle w:val="a3"/>
              <w:spacing w:before="0" w:beforeAutospacing="0" w:after="0" w:afterAutospacing="0"/>
              <w:jc w:val="center"/>
              <w:rPr>
                <w:sz w:val="16"/>
                <w:szCs w:val="16"/>
              </w:rPr>
            </w:pPr>
            <w:r>
              <w:rPr>
                <w:sz w:val="16"/>
                <w:szCs w:val="16"/>
              </w:rPr>
              <w:t> 55,07</w:t>
            </w:r>
            <w:r>
              <w:rPr>
                <w:sz w:val="16"/>
                <w:szCs w:val="16"/>
              </w:rPr>
              <w:t>8</w:t>
            </w:r>
          </w:p>
        </w:tc>
        <w:tc>
          <w:tcPr>
            <w:tcW w:w="0" w:type="auto"/>
            <w:hideMark/>
          </w:tcPr>
          <w:p w:rsidR="00000000" w:rsidRDefault="00AF2D19">
            <w:pPr>
              <w:pStyle w:val="a3"/>
              <w:spacing w:before="0" w:beforeAutospacing="0" w:after="0" w:afterAutospacing="0"/>
              <w:jc w:val="center"/>
              <w:rPr>
                <w:sz w:val="16"/>
                <w:szCs w:val="16"/>
              </w:rPr>
            </w:pPr>
            <w:r>
              <w:rPr>
                <w:sz w:val="16"/>
                <w:szCs w:val="16"/>
              </w:rPr>
              <w:t> 109,11</w:t>
            </w:r>
            <w:r>
              <w:rPr>
                <w:sz w:val="16"/>
                <w:szCs w:val="16"/>
              </w:rPr>
              <w:t>4</w:t>
            </w:r>
          </w:p>
        </w:tc>
        <w:tc>
          <w:tcPr>
            <w:tcW w:w="0" w:type="auto"/>
            <w:tcBorders>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190,19</w:t>
            </w:r>
            <w:r>
              <w:rPr>
                <w:sz w:val="16"/>
                <w:szCs w:val="16"/>
              </w:rPr>
              <w:t>2</w:t>
            </w:r>
            <w:r>
              <w:rPr>
                <w:sz w:val="16"/>
                <w:szCs w:val="16"/>
              </w:rPr>
              <w:t xml:space="preserve"> </w:t>
            </w:r>
          </w:p>
        </w:tc>
      </w:tr>
      <w:tr w:rsidR="00000000">
        <w:trPr>
          <w:trHeight w:val="160"/>
          <w:tblCellSpacing w:w="15" w:type="dxa"/>
        </w:trPr>
        <w:tc>
          <w:tcPr>
            <w:tcW w:w="0" w:type="auto"/>
            <w:tcBorders>
              <w:left w:val="single" w:sz="4" w:space="0" w:color="auto"/>
            </w:tcBorders>
            <w:hideMark/>
          </w:tcPr>
          <w:p w:rsidR="00000000" w:rsidRDefault="00AF2D19">
            <w:pPr>
              <w:pStyle w:val="a3"/>
              <w:spacing w:before="0" w:beforeAutospacing="0" w:after="0" w:afterAutospacing="0"/>
              <w:rPr>
                <w:sz w:val="16"/>
                <w:szCs w:val="16"/>
              </w:rPr>
            </w:pPr>
            <w:r>
              <w:rPr>
                <w:sz w:val="16"/>
                <w:szCs w:val="16"/>
              </w:rPr>
              <w:t>Curtis Warfiel</w:t>
            </w:r>
            <w:r>
              <w:rPr>
                <w:sz w:val="16"/>
                <w:szCs w:val="16"/>
              </w:rPr>
              <w:t>d</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31,50</w:t>
            </w:r>
            <w:r>
              <w:rPr>
                <w:sz w:val="16"/>
                <w:szCs w:val="16"/>
              </w:rPr>
              <w:t>0</w:t>
            </w:r>
            <w:r>
              <w:rPr>
                <w:sz w:val="16"/>
                <w:szCs w:val="16"/>
              </w:rPr>
              <w:t xml:space="preserve"> </w:t>
            </w:r>
          </w:p>
        </w:tc>
        <w:tc>
          <w:tcPr>
            <w:tcW w:w="0" w:type="auto"/>
            <w:hideMark/>
          </w:tcPr>
          <w:p w:rsidR="00000000" w:rsidRDefault="00AF2D19">
            <w:pPr>
              <w:pStyle w:val="a3"/>
              <w:spacing w:before="0" w:beforeAutospacing="0" w:after="0" w:afterAutospacing="0"/>
              <w:jc w:val="center"/>
              <w:rPr>
                <w:sz w:val="16"/>
                <w:szCs w:val="16"/>
              </w:rPr>
            </w:pPr>
            <w:r>
              <w:rPr>
                <w:sz w:val="16"/>
                <w:szCs w:val="16"/>
              </w:rPr>
              <w:t>  55,07</w:t>
            </w:r>
            <w:r>
              <w:rPr>
                <w:sz w:val="16"/>
                <w:szCs w:val="16"/>
              </w:rPr>
              <w:t>8</w:t>
            </w:r>
            <w:r>
              <w:rPr>
                <w:sz w:val="16"/>
                <w:szCs w:val="16"/>
              </w:rPr>
              <w:t xml:space="preserve"> </w:t>
            </w:r>
          </w:p>
        </w:tc>
        <w:tc>
          <w:tcPr>
            <w:tcW w:w="0" w:type="auto"/>
            <w:hideMark/>
          </w:tcPr>
          <w:p w:rsidR="00000000" w:rsidRDefault="00AF2D19">
            <w:pPr>
              <w:pStyle w:val="a3"/>
              <w:spacing w:before="0" w:beforeAutospacing="0" w:after="0" w:afterAutospacing="0"/>
              <w:jc w:val="center"/>
              <w:rPr>
                <w:sz w:val="16"/>
                <w:szCs w:val="16"/>
              </w:rPr>
            </w:pPr>
            <w:r>
              <w:rPr>
                <w:sz w:val="16"/>
                <w:szCs w:val="16"/>
              </w:rPr>
              <w:t> 322,55</w:t>
            </w:r>
            <w:r>
              <w:rPr>
                <w:sz w:val="16"/>
                <w:szCs w:val="16"/>
              </w:rPr>
              <w:t>0</w:t>
            </w:r>
          </w:p>
        </w:tc>
        <w:tc>
          <w:tcPr>
            <w:tcW w:w="0" w:type="auto"/>
            <w:tcBorders>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409,12</w:t>
            </w:r>
            <w:r>
              <w:rPr>
                <w:sz w:val="16"/>
                <w:szCs w:val="16"/>
              </w:rPr>
              <w:t>8</w:t>
            </w:r>
          </w:p>
        </w:tc>
      </w:tr>
      <w:tr w:rsidR="00000000">
        <w:trPr>
          <w:trHeight w:val="160"/>
          <w:tblCellSpacing w:w="15" w:type="dxa"/>
        </w:trPr>
        <w:tc>
          <w:tcPr>
            <w:tcW w:w="0" w:type="auto"/>
            <w:tcBorders>
              <w:left w:val="single" w:sz="4" w:space="0" w:color="auto"/>
            </w:tcBorders>
            <w:hideMark/>
          </w:tcPr>
          <w:p w:rsidR="00000000" w:rsidRDefault="00AF2D19">
            <w:pPr>
              <w:pStyle w:val="a3"/>
              <w:spacing w:before="0" w:beforeAutospacing="0" w:after="0" w:afterAutospacing="0"/>
              <w:rPr>
                <w:sz w:val="16"/>
                <w:szCs w:val="16"/>
              </w:rPr>
            </w:pPr>
            <w:r>
              <w:rPr>
                <w:sz w:val="16"/>
                <w:szCs w:val="16"/>
              </w:rPr>
              <w:t>Jacqueline Yeane</w:t>
            </w:r>
            <w:r>
              <w:rPr>
                <w:sz w:val="16"/>
                <w:szCs w:val="16"/>
              </w:rPr>
              <w:t>y</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21,00</w:t>
            </w:r>
            <w:r>
              <w:rPr>
                <w:sz w:val="16"/>
                <w:szCs w:val="16"/>
              </w:rPr>
              <w:t>0</w:t>
            </w:r>
            <w:r>
              <w:rPr>
                <w:sz w:val="16"/>
                <w:szCs w:val="16"/>
              </w:rPr>
              <w:t xml:space="preserve"> </w:t>
            </w:r>
          </w:p>
        </w:tc>
        <w:tc>
          <w:tcPr>
            <w:tcW w:w="0" w:type="auto"/>
            <w:hideMark/>
          </w:tcPr>
          <w:p w:rsidR="00000000" w:rsidRDefault="00AF2D19">
            <w:pPr>
              <w:pStyle w:val="a3"/>
              <w:spacing w:before="0" w:beforeAutospacing="0" w:after="0" w:afterAutospacing="0"/>
              <w:jc w:val="center"/>
              <w:rPr>
                <w:sz w:val="16"/>
                <w:szCs w:val="16"/>
              </w:rPr>
            </w:pPr>
            <w:r>
              <w:rPr>
                <w:sz w:val="16"/>
                <w:szCs w:val="16"/>
              </w:rPr>
              <w:t>  55,07</w:t>
            </w:r>
            <w:r>
              <w:rPr>
                <w:sz w:val="16"/>
                <w:szCs w:val="16"/>
              </w:rPr>
              <w:t>8</w:t>
            </w:r>
            <w:r>
              <w:rPr>
                <w:sz w:val="16"/>
                <w:szCs w:val="16"/>
              </w:rPr>
              <w:t xml:space="preserve"> </w:t>
            </w:r>
          </w:p>
        </w:tc>
        <w:tc>
          <w:tcPr>
            <w:tcW w:w="0" w:type="auto"/>
            <w:hideMark/>
          </w:tcPr>
          <w:p w:rsidR="00000000" w:rsidRDefault="00AF2D19">
            <w:pPr>
              <w:pStyle w:val="a3"/>
              <w:spacing w:before="0" w:beforeAutospacing="0" w:after="0" w:afterAutospacing="0"/>
              <w:jc w:val="center"/>
              <w:rPr>
                <w:sz w:val="16"/>
                <w:szCs w:val="16"/>
              </w:rPr>
            </w:pPr>
            <w:r>
              <w:rPr>
                <w:sz w:val="16"/>
                <w:szCs w:val="16"/>
              </w:rPr>
              <w:t> 322,55</w:t>
            </w:r>
            <w:r>
              <w:rPr>
                <w:sz w:val="16"/>
                <w:szCs w:val="16"/>
              </w:rPr>
              <w:t>0</w:t>
            </w:r>
          </w:p>
        </w:tc>
        <w:tc>
          <w:tcPr>
            <w:tcW w:w="0" w:type="auto"/>
            <w:tcBorders>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398,62</w:t>
            </w:r>
            <w:r>
              <w:rPr>
                <w:sz w:val="16"/>
                <w:szCs w:val="16"/>
              </w:rPr>
              <w:t>8</w:t>
            </w:r>
          </w:p>
        </w:tc>
      </w:tr>
      <w:tr w:rsidR="00000000">
        <w:trPr>
          <w:trHeight w:val="160"/>
          <w:tblCellSpacing w:w="15" w:type="dxa"/>
        </w:trPr>
        <w:tc>
          <w:tcPr>
            <w:tcW w:w="0" w:type="auto"/>
            <w:tcBorders>
              <w:left w:val="single" w:sz="4" w:space="0" w:color="auto"/>
            </w:tcBorders>
            <w:hideMark/>
          </w:tcPr>
          <w:p w:rsidR="00000000" w:rsidRDefault="00AF2D19">
            <w:pPr>
              <w:pStyle w:val="a3"/>
              <w:spacing w:before="0" w:beforeAutospacing="0" w:after="0" w:afterAutospacing="0"/>
              <w:rPr>
                <w:sz w:val="16"/>
                <w:szCs w:val="16"/>
              </w:rPr>
            </w:pPr>
            <w:r>
              <w:rPr>
                <w:sz w:val="16"/>
                <w:szCs w:val="16"/>
              </w:rPr>
              <w:t>Charles Ber</w:t>
            </w:r>
            <w:r>
              <w:rPr>
                <w:sz w:val="16"/>
                <w:szCs w:val="16"/>
              </w:rPr>
              <w:t>g</w:t>
            </w:r>
          </w:p>
        </w:tc>
        <w:tc>
          <w:tcPr>
            <w:tcW w:w="0" w:type="auto"/>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21,00</w:t>
            </w:r>
            <w:r>
              <w:rPr>
                <w:sz w:val="16"/>
                <w:szCs w:val="16"/>
              </w:rPr>
              <w:t>0</w:t>
            </w:r>
            <w:r>
              <w:rPr>
                <w:sz w:val="16"/>
                <w:szCs w:val="16"/>
              </w:rPr>
              <w:t xml:space="preserve"> </w:t>
            </w:r>
          </w:p>
        </w:tc>
        <w:tc>
          <w:tcPr>
            <w:tcW w:w="0" w:type="auto"/>
            <w:hideMark/>
          </w:tcPr>
          <w:p w:rsidR="00000000" w:rsidRDefault="00AF2D19">
            <w:pPr>
              <w:pStyle w:val="a3"/>
              <w:spacing w:before="0" w:beforeAutospacing="0" w:after="0" w:afterAutospacing="0"/>
              <w:jc w:val="center"/>
              <w:rPr>
                <w:sz w:val="16"/>
                <w:szCs w:val="16"/>
              </w:rPr>
            </w:pPr>
            <w:r>
              <w:rPr>
                <w:sz w:val="16"/>
                <w:szCs w:val="16"/>
              </w:rPr>
              <w:t> 55,07</w:t>
            </w:r>
            <w:r>
              <w:rPr>
                <w:sz w:val="16"/>
                <w:szCs w:val="16"/>
              </w:rPr>
              <w:t>8</w:t>
            </w:r>
          </w:p>
        </w:tc>
        <w:tc>
          <w:tcPr>
            <w:tcW w:w="0" w:type="auto"/>
            <w:hideMark/>
          </w:tcPr>
          <w:p w:rsidR="00000000" w:rsidRDefault="00AF2D19">
            <w:pPr>
              <w:pStyle w:val="a3"/>
              <w:spacing w:before="0" w:beforeAutospacing="0" w:after="0" w:afterAutospacing="0"/>
              <w:jc w:val="center"/>
              <w:rPr>
                <w:sz w:val="16"/>
                <w:szCs w:val="16"/>
              </w:rPr>
            </w:pPr>
            <w:r>
              <w:rPr>
                <w:sz w:val="16"/>
                <w:szCs w:val="16"/>
              </w:rPr>
              <w:t> 322,55</w:t>
            </w:r>
            <w:r>
              <w:rPr>
                <w:sz w:val="16"/>
                <w:szCs w:val="16"/>
              </w:rPr>
              <w:t>0</w:t>
            </w:r>
          </w:p>
        </w:tc>
        <w:tc>
          <w:tcPr>
            <w:tcW w:w="0" w:type="auto"/>
            <w:tcBorders>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398,62</w:t>
            </w:r>
            <w:r>
              <w:rPr>
                <w:sz w:val="16"/>
                <w:szCs w:val="16"/>
              </w:rPr>
              <w:t>8</w:t>
            </w:r>
          </w:p>
        </w:tc>
      </w:tr>
      <w:tr w:rsidR="00000000">
        <w:trPr>
          <w:trHeight w:val="160"/>
          <w:tblCellSpacing w:w="15" w:type="dxa"/>
        </w:trPr>
        <w:tc>
          <w:tcPr>
            <w:tcW w:w="0" w:type="auto"/>
            <w:tcBorders>
              <w:left w:val="single" w:sz="4" w:space="0" w:color="auto"/>
              <w:bottom w:val="single" w:sz="4" w:space="0" w:color="auto"/>
            </w:tcBorders>
            <w:hideMark/>
          </w:tcPr>
          <w:p w:rsidR="00000000" w:rsidRDefault="00AF2D19">
            <w:pPr>
              <w:pStyle w:val="a3"/>
              <w:spacing w:before="0" w:beforeAutospacing="0" w:after="0" w:afterAutospacing="0"/>
              <w:rPr>
                <w:sz w:val="16"/>
                <w:szCs w:val="16"/>
              </w:rPr>
            </w:pPr>
            <w:r>
              <w:rPr>
                <w:sz w:val="16"/>
                <w:szCs w:val="16"/>
              </w:rPr>
              <w:t>Madhu Pawa</w:t>
            </w:r>
            <w:r>
              <w:rPr>
                <w:sz w:val="16"/>
                <w:szCs w:val="16"/>
              </w:rPr>
              <w:t>r</w:t>
            </w:r>
          </w:p>
        </w:tc>
        <w:tc>
          <w:tcPr>
            <w:tcW w:w="0" w:type="auto"/>
            <w:tcBorders>
              <w:bottom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21,00</w:t>
            </w:r>
            <w:r>
              <w:rPr>
                <w:sz w:val="16"/>
                <w:szCs w:val="16"/>
              </w:rPr>
              <w:t>0</w:t>
            </w:r>
            <w:r>
              <w:rPr>
                <w:sz w:val="16"/>
                <w:szCs w:val="16"/>
              </w:rPr>
              <w:t xml:space="preserve"> </w:t>
            </w:r>
          </w:p>
        </w:tc>
        <w:tc>
          <w:tcPr>
            <w:tcW w:w="0" w:type="auto"/>
            <w:tcBorders>
              <w:bottom w:val="single" w:sz="4" w:space="0" w:color="auto"/>
            </w:tcBorders>
            <w:hideMark/>
          </w:tcPr>
          <w:p w:rsidR="00000000" w:rsidRDefault="00AF2D19">
            <w:pPr>
              <w:pStyle w:val="a3"/>
              <w:spacing w:before="0" w:beforeAutospacing="0" w:after="0" w:afterAutospacing="0"/>
              <w:jc w:val="center"/>
              <w:rPr>
                <w:sz w:val="16"/>
                <w:szCs w:val="16"/>
              </w:rPr>
            </w:pPr>
            <w:r>
              <w:rPr>
                <w:sz w:val="16"/>
                <w:szCs w:val="16"/>
              </w:rPr>
              <w:t>  55,07</w:t>
            </w:r>
            <w:r>
              <w:rPr>
                <w:sz w:val="16"/>
                <w:szCs w:val="16"/>
              </w:rPr>
              <w:t>8</w:t>
            </w:r>
            <w:r>
              <w:rPr>
                <w:sz w:val="16"/>
                <w:szCs w:val="16"/>
              </w:rPr>
              <w:t xml:space="preserve"> </w:t>
            </w:r>
          </w:p>
        </w:tc>
        <w:tc>
          <w:tcPr>
            <w:tcW w:w="0" w:type="auto"/>
            <w:tcBorders>
              <w:bottom w:val="single" w:sz="4" w:space="0" w:color="auto"/>
            </w:tcBorders>
            <w:hideMark/>
          </w:tcPr>
          <w:p w:rsidR="00000000" w:rsidRDefault="00AF2D19">
            <w:pPr>
              <w:pStyle w:val="a3"/>
              <w:spacing w:before="0" w:beforeAutospacing="0" w:after="0" w:afterAutospacing="0"/>
              <w:jc w:val="center"/>
              <w:rPr>
                <w:sz w:val="16"/>
                <w:szCs w:val="16"/>
              </w:rPr>
            </w:pPr>
            <w:r>
              <w:rPr>
                <w:sz w:val="16"/>
                <w:szCs w:val="16"/>
              </w:rPr>
              <w:t>  322,55</w:t>
            </w:r>
            <w:r>
              <w:rPr>
                <w:sz w:val="16"/>
                <w:szCs w:val="16"/>
              </w:rPr>
              <w:t>0</w:t>
            </w:r>
            <w:r>
              <w:rPr>
                <w:sz w:val="16"/>
                <w:szCs w:val="16"/>
              </w:rPr>
              <w:t xml:space="preserve"> </w:t>
            </w:r>
          </w:p>
        </w:tc>
        <w:tc>
          <w:tcPr>
            <w:tcW w:w="0" w:type="auto"/>
            <w:tcBorders>
              <w:bottom w:val="single" w:sz="4" w:space="0" w:color="auto"/>
              <w:right w:val="single" w:sz="4" w:space="0" w:color="auto"/>
            </w:tcBorders>
            <w:tcMar>
              <w:top w:w="15" w:type="dxa"/>
              <w:left w:w="144" w:type="dxa"/>
              <w:bottom w:w="15" w:type="dxa"/>
              <w:right w:w="15" w:type="dxa"/>
            </w:tcMar>
            <w:hideMark/>
          </w:tcPr>
          <w:p w:rsidR="00000000" w:rsidRDefault="00AF2D19">
            <w:pPr>
              <w:pStyle w:val="a3"/>
              <w:spacing w:before="0" w:beforeAutospacing="0" w:after="0" w:afterAutospacing="0"/>
              <w:jc w:val="center"/>
              <w:rPr>
                <w:sz w:val="16"/>
                <w:szCs w:val="16"/>
              </w:rPr>
            </w:pPr>
            <w:r>
              <w:rPr>
                <w:sz w:val="16"/>
                <w:szCs w:val="16"/>
              </w:rPr>
              <w:t> 398,62</w:t>
            </w:r>
            <w:r>
              <w:rPr>
                <w:sz w:val="16"/>
                <w:szCs w:val="16"/>
              </w:rPr>
              <w:t>8</w:t>
            </w:r>
            <w:r>
              <w:rPr>
                <w:sz w:val="16"/>
                <w:szCs w:val="16"/>
              </w:rPr>
              <w:t xml:space="preserve"> </w:t>
            </w:r>
          </w:p>
        </w:tc>
      </w:tr>
    </w:tbl>
    <w:p w:rsidR="00000000" w:rsidRDefault="00AF2D19">
      <w:pPr>
        <w:pStyle w:val="a3"/>
        <w:spacing w:before="120" w:beforeAutospacing="0" w:after="0" w:afterAutospacing="0"/>
        <w:jc w:val="both"/>
        <w:rPr>
          <w:sz w:val="20"/>
          <w:szCs w:val="20"/>
        </w:rPr>
      </w:pPr>
      <w:r>
        <w:rPr>
          <w:sz w:val="16"/>
          <w:szCs w:val="16"/>
        </w:rPr>
        <w:t>(1) Amounts reflect the full grant-date fair value of RSUs and stock options granted during 2021 computed in accordance with ASC Topic 718, rather than the</w:t>
      </w:r>
      <w:r>
        <w:rPr>
          <w:sz w:val="16"/>
          <w:szCs w:val="16"/>
        </w:rPr>
        <w:t xml:space="preserve"> amounts paid to or realized by the named individual. We provide information regarding the assumptions used to calculate the value of all RSUs and option awards made to our directors in Note 13 to the consolidated financial statements included in this Annu</w:t>
      </w:r>
      <w:r>
        <w:rPr>
          <w:sz w:val="16"/>
          <w:szCs w:val="16"/>
        </w:rPr>
        <w:t>al Report</w:t>
      </w:r>
      <w:r>
        <w:rPr>
          <w:sz w:val="16"/>
          <w:szCs w:val="16"/>
        </w:rPr>
        <w:t>.</w:t>
      </w:r>
    </w:p>
    <w:p w:rsidR="00000000" w:rsidRDefault="00AF2D19">
      <w:pPr>
        <w:pStyle w:val="a3"/>
        <w:spacing w:before="60" w:beforeAutospacing="0" w:after="0" w:afterAutospacing="0"/>
        <w:jc w:val="both"/>
        <w:rPr>
          <w:sz w:val="20"/>
          <w:szCs w:val="20"/>
        </w:rPr>
      </w:pPr>
      <w:r>
        <w:rPr>
          <w:sz w:val="16"/>
          <w:szCs w:val="16"/>
        </w:rPr>
        <w:t>(2) Mr. Braunstein served as our interim Chief Executive Officer for part of 2021; as such, his compensation earned as a director is disclosed in the Summary Compensation Table, above</w:t>
      </w:r>
      <w:r>
        <w:rPr>
          <w:sz w:val="16"/>
          <w:szCs w:val="16"/>
        </w:rPr>
        <w:t>.</w:t>
      </w:r>
    </w:p>
    <w:p w:rsidR="00000000" w:rsidRDefault="00AF2D19">
      <w:pPr>
        <w:pStyle w:val="a3"/>
        <w:spacing w:before="240" w:beforeAutospacing="0" w:after="120" w:afterAutospacing="0"/>
        <w:jc w:val="both"/>
        <w:rPr>
          <w:sz w:val="20"/>
          <w:szCs w:val="20"/>
        </w:rPr>
      </w:pPr>
      <w:r>
        <w:rPr>
          <w:sz w:val="20"/>
          <w:szCs w:val="20"/>
        </w:rPr>
        <w:t>The table below shows the aggregate numbers of option awards (exercisable and unexercisable) and unvested stock awards held as of December 31, 2021 by each non-employee director</w:t>
      </w:r>
      <w:r>
        <w:rPr>
          <w:sz w:val="20"/>
          <w:szCs w:val="20"/>
        </w:rPr>
        <w:t>.</w:t>
      </w:r>
    </w:p>
    <w:tbl>
      <w:tblPr>
        <w:tblW w:w="3600" w:type="pct"/>
        <w:tblCellSpacing w:w="15" w:type="dxa"/>
        <w:tblCellMar>
          <w:top w:w="15" w:type="dxa"/>
          <w:left w:w="15" w:type="dxa"/>
          <w:bottom w:w="15" w:type="dxa"/>
          <w:right w:w="15" w:type="dxa"/>
        </w:tblCellMar>
        <w:tblLook w:val="04A0" w:firstRow="1" w:lastRow="0" w:firstColumn="1" w:lastColumn="0" w:noHBand="0" w:noVBand="1"/>
      </w:tblPr>
      <w:tblGrid>
        <w:gridCol w:w="2161"/>
        <w:gridCol w:w="1659"/>
        <w:gridCol w:w="2160"/>
      </w:tblGrid>
      <w:tr w:rsidR="00000000">
        <w:trPr>
          <w:tblCellSpacing w:w="15" w:type="dxa"/>
        </w:trPr>
        <w:tc>
          <w:tcPr>
            <w:tcW w:w="1805" w:type="pct"/>
            <w:vAlign w:val="center"/>
            <w:hideMark/>
          </w:tcPr>
          <w:p w:rsidR="00000000" w:rsidRDefault="00AF2D19">
            <w:pPr>
              <w:rPr>
                <w:sz w:val="20"/>
                <w:szCs w:val="20"/>
              </w:rPr>
            </w:pPr>
          </w:p>
        </w:tc>
        <w:tc>
          <w:tcPr>
            <w:tcW w:w="1389" w:type="pct"/>
            <w:vAlign w:val="center"/>
            <w:hideMark/>
          </w:tcPr>
          <w:p w:rsidR="00000000" w:rsidRDefault="00AF2D19">
            <w:pPr>
              <w:rPr>
                <w:rFonts w:eastAsia="Times New Roman"/>
                <w:sz w:val="20"/>
                <w:szCs w:val="20"/>
              </w:rPr>
            </w:pPr>
          </w:p>
        </w:tc>
        <w:tc>
          <w:tcPr>
            <w:tcW w:w="1805"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tcBorders>
              <w:top w:val="single" w:sz="4" w:space="0" w:color="auto"/>
              <w:left w:val="single" w:sz="4" w:space="0" w:color="auto"/>
              <w:bottom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tcBorders>
              <w:top w:val="single" w:sz="4" w:space="0" w:color="auto"/>
              <w:bottom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b/>
                <w:bCs/>
                <w:sz w:val="16"/>
                <w:szCs w:val="16"/>
              </w:rPr>
              <w:t>Option Awards Outstanding at 2021 Fiscal Year En</w:t>
            </w:r>
            <w:r>
              <w:rPr>
                <w:b/>
                <w:bCs/>
                <w:sz w:val="16"/>
                <w:szCs w:val="16"/>
              </w:rPr>
              <w:t>d</w:t>
            </w:r>
          </w:p>
        </w:tc>
        <w:tc>
          <w:tcPr>
            <w:tcW w:w="0" w:type="auto"/>
            <w:tcBorders>
              <w:top w:val="single" w:sz="4" w:space="0" w:color="auto"/>
              <w:bottom w:val="single" w:sz="4" w:space="0" w:color="auto"/>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b/>
                <w:bCs/>
                <w:sz w:val="16"/>
                <w:szCs w:val="16"/>
              </w:rPr>
              <w:t>Unvested Stock Awa</w:t>
            </w:r>
            <w:r>
              <w:rPr>
                <w:b/>
                <w:bCs/>
                <w:sz w:val="16"/>
                <w:szCs w:val="16"/>
              </w:rPr>
              <w:t>rds Outstanding at 2021 Fiscal Year En</w:t>
            </w:r>
            <w:r>
              <w:rPr>
                <w:b/>
                <w:bCs/>
                <w:sz w:val="16"/>
                <w:szCs w:val="16"/>
              </w:rPr>
              <w:t>d</w:t>
            </w:r>
          </w:p>
        </w:tc>
      </w:tr>
      <w:tr w:rsidR="00000000">
        <w:trPr>
          <w:trHeight w:val="16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16"/>
                <w:szCs w:val="16"/>
              </w:rPr>
            </w:pPr>
            <w:r>
              <w:rPr>
                <w:sz w:val="16"/>
                <w:szCs w:val="16"/>
              </w:rPr>
              <w:t>Douglas L. Braunstei</w:t>
            </w:r>
            <w:r>
              <w:rPr>
                <w:sz w:val="16"/>
                <w:szCs w:val="16"/>
              </w:rPr>
              <w:t>n</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63,40</w:t>
            </w:r>
            <w:r>
              <w:rPr>
                <w:sz w:val="16"/>
                <w:szCs w:val="16"/>
              </w:rPr>
              <w:t>2</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15,38</w:t>
            </w:r>
            <w:r>
              <w:rPr>
                <w:sz w:val="16"/>
                <w:szCs w:val="16"/>
              </w:rPr>
              <w:t>4</w:t>
            </w:r>
          </w:p>
        </w:tc>
      </w:tr>
      <w:tr w:rsidR="00000000">
        <w:trPr>
          <w:trHeight w:val="16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16"/>
                <w:szCs w:val="16"/>
              </w:rPr>
            </w:pPr>
            <w:r>
              <w:rPr>
                <w:sz w:val="16"/>
                <w:szCs w:val="16"/>
              </w:rPr>
              <w:t>Jeffrey M. Crow</w:t>
            </w:r>
            <w:r>
              <w:rPr>
                <w:sz w:val="16"/>
                <w:szCs w:val="16"/>
              </w:rPr>
              <w:t>e</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63,40</w:t>
            </w:r>
            <w:r>
              <w:rPr>
                <w:sz w:val="16"/>
                <w:szCs w:val="16"/>
              </w:rPr>
              <w:t>2</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15,38</w:t>
            </w:r>
            <w:r>
              <w:rPr>
                <w:sz w:val="16"/>
                <w:szCs w:val="16"/>
              </w:rPr>
              <w:t>4</w:t>
            </w:r>
          </w:p>
        </w:tc>
      </w:tr>
      <w:tr w:rsidR="00000000">
        <w:trPr>
          <w:trHeight w:val="16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16"/>
                <w:szCs w:val="16"/>
              </w:rPr>
            </w:pPr>
            <w:r>
              <w:rPr>
                <w:sz w:val="16"/>
                <w:szCs w:val="16"/>
              </w:rPr>
              <w:t>Erez Shacha</w:t>
            </w:r>
            <w:r>
              <w:rPr>
                <w:sz w:val="16"/>
                <w:szCs w:val="16"/>
              </w:rPr>
              <w:t>r</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63,40</w:t>
            </w:r>
            <w:r>
              <w:rPr>
                <w:sz w:val="16"/>
                <w:szCs w:val="16"/>
              </w:rPr>
              <w:t>2</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15,38</w:t>
            </w:r>
            <w:r>
              <w:rPr>
                <w:sz w:val="16"/>
                <w:szCs w:val="16"/>
              </w:rPr>
              <w:t>4</w:t>
            </w:r>
          </w:p>
        </w:tc>
      </w:tr>
      <w:tr w:rsidR="00000000">
        <w:trPr>
          <w:trHeight w:val="16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16"/>
                <w:szCs w:val="16"/>
              </w:rPr>
            </w:pPr>
            <w:r>
              <w:rPr>
                <w:sz w:val="16"/>
                <w:szCs w:val="16"/>
              </w:rPr>
              <w:t>Curtis Warfiel</w:t>
            </w:r>
            <w:r>
              <w:rPr>
                <w:sz w:val="16"/>
                <w:szCs w:val="16"/>
              </w:rPr>
              <w:t>d</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63,40</w:t>
            </w:r>
            <w:r>
              <w:rPr>
                <w:sz w:val="16"/>
                <w:szCs w:val="16"/>
              </w:rPr>
              <w:t>2</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15,38</w:t>
            </w:r>
            <w:r>
              <w:rPr>
                <w:sz w:val="16"/>
                <w:szCs w:val="16"/>
              </w:rPr>
              <w:t>4</w:t>
            </w:r>
          </w:p>
        </w:tc>
      </w:tr>
      <w:tr w:rsidR="00000000">
        <w:trPr>
          <w:trHeight w:val="16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16"/>
                <w:szCs w:val="16"/>
              </w:rPr>
            </w:pPr>
            <w:r>
              <w:rPr>
                <w:sz w:val="16"/>
                <w:szCs w:val="16"/>
              </w:rPr>
              <w:t>Jacqueline Yeane</w:t>
            </w:r>
            <w:r>
              <w:rPr>
                <w:sz w:val="16"/>
                <w:szCs w:val="16"/>
              </w:rPr>
              <w:t>y</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63,40</w:t>
            </w:r>
            <w:r>
              <w:rPr>
                <w:sz w:val="16"/>
                <w:szCs w:val="16"/>
              </w:rPr>
              <w:t>2</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15,38</w:t>
            </w:r>
            <w:r>
              <w:rPr>
                <w:sz w:val="16"/>
                <w:szCs w:val="16"/>
              </w:rPr>
              <w:t>4</w:t>
            </w:r>
          </w:p>
        </w:tc>
      </w:tr>
      <w:tr w:rsidR="00000000">
        <w:trPr>
          <w:trHeight w:val="160"/>
          <w:tblCellSpacing w:w="15" w:type="dxa"/>
        </w:trPr>
        <w:tc>
          <w:tcPr>
            <w:tcW w:w="0" w:type="auto"/>
            <w:tcBorders>
              <w:lef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16"/>
                <w:szCs w:val="16"/>
              </w:rPr>
            </w:pPr>
            <w:r>
              <w:rPr>
                <w:sz w:val="16"/>
                <w:szCs w:val="16"/>
              </w:rPr>
              <w:t>Charles Ber</w:t>
            </w:r>
            <w:r>
              <w:rPr>
                <w:sz w:val="16"/>
                <w:szCs w:val="16"/>
              </w:rPr>
              <w:t>g</w:t>
            </w:r>
          </w:p>
        </w:tc>
        <w:tc>
          <w:tcPr>
            <w:tcW w:w="0" w:type="auto"/>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63,40</w:t>
            </w:r>
            <w:r>
              <w:rPr>
                <w:sz w:val="16"/>
                <w:szCs w:val="16"/>
              </w:rPr>
              <w:t>2</w:t>
            </w:r>
          </w:p>
        </w:tc>
        <w:tc>
          <w:tcPr>
            <w:tcW w:w="0" w:type="auto"/>
            <w:tcBorders>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15,38</w:t>
            </w:r>
            <w:r>
              <w:rPr>
                <w:sz w:val="16"/>
                <w:szCs w:val="16"/>
              </w:rPr>
              <w:t>4</w:t>
            </w:r>
          </w:p>
        </w:tc>
      </w:tr>
      <w:tr w:rsidR="00000000">
        <w:trPr>
          <w:trHeight w:val="160"/>
          <w:tblCellSpacing w:w="15" w:type="dxa"/>
        </w:trPr>
        <w:tc>
          <w:tcPr>
            <w:tcW w:w="0" w:type="auto"/>
            <w:tcBorders>
              <w:left w:val="single" w:sz="4" w:space="0" w:color="auto"/>
              <w:bottom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rPr>
                <w:sz w:val="16"/>
                <w:szCs w:val="16"/>
              </w:rPr>
            </w:pPr>
            <w:r>
              <w:rPr>
                <w:sz w:val="16"/>
                <w:szCs w:val="16"/>
              </w:rPr>
              <w:t>Madhu Pawa</w:t>
            </w:r>
            <w:r>
              <w:rPr>
                <w:sz w:val="16"/>
                <w:szCs w:val="16"/>
              </w:rPr>
              <w:t>r</w:t>
            </w:r>
          </w:p>
        </w:tc>
        <w:tc>
          <w:tcPr>
            <w:tcW w:w="0" w:type="auto"/>
            <w:tcBorders>
              <w:bottom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63,40</w:t>
            </w:r>
            <w:r>
              <w:rPr>
                <w:sz w:val="16"/>
                <w:szCs w:val="16"/>
              </w:rPr>
              <w:t>2</w:t>
            </w:r>
          </w:p>
        </w:tc>
        <w:tc>
          <w:tcPr>
            <w:tcW w:w="0" w:type="auto"/>
            <w:tcBorders>
              <w:bottom w:val="single" w:sz="4" w:space="0" w:color="auto"/>
              <w:right w:val="single" w:sz="4" w:space="0" w:color="auto"/>
            </w:tcBorders>
            <w:tcMar>
              <w:top w:w="15" w:type="dxa"/>
              <w:left w:w="115" w:type="dxa"/>
              <w:bottom w:w="15" w:type="dxa"/>
              <w:right w:w="115" w:type="dxa"/>
            </w:tcMar>
            <w:hideMark/>
          </w:tcPr>
          <w:p w:rsidR="00000000" w:rsidRDefault="00AF2D19">
            <w:pPr>
              <w:pStyle w:val="a3"/>
              <w:spacing w:before="0" w:beforeAutospacing="0" w:after="0" w:afterAutospacing="0"/>
              <w:jc w:val="center"/>
              <w:rPr>
                <w:sz w:val="16"/>
                <w:szCs w:val="16"/>
              </w:rPr>
            </w:pPr>
            <w:r>
              <w:rPr>
                <w:sz w:val="16"/>
                <w:szCs w:val="16"/>
              </w:rPr>
              <w:t>15,38</w:t>
            </w:r>
            <w:r>
              <w:rPr>
                <w:sz w:val="16"/>
                <w:szCs w:val="16"/>
              </w:rPr>
              <w:t>4</w:t>
            </w:r>
          </w:p>
        </w:tc>
      </w:tr>
    </w:tbl>
    <w:p w:rsidR="00000000" w:rsidRDefault="00AF2D19">
      <w:pPr>
        <w:pStyle w:val="a3"/>
        <w:spacing w:before="240" w:beforeAutospacing="0" w:after="120" w:afterAutospacing="0"/>
        <w:jc w:val="both"/>
        <w:rPr>
          <w:sz w:val="20"/>
          <w:szCs w:val="20"/>
        </w:rPr>
      </w:pPr>
      <w:r>
        <w:rPr>
          <w:sz w:val="20"/>
          <w:szCs w:val="20"/>
        </w:rPr>
        <w:t>In connection with the closing of the Business Combination, we adopted a Director Compensation Program, which provides for annual retainer fees and long-term equity awards for certain of our non-employee directors (each, an “Eligible Director”). Th</w:t>
      </w:r>
      <w:r>
        <w:rPr>
          <w:sz w:val="20"/>
          <w:szCs w:val="20"/>
        </w:rPr>
        <w:t>e material terms of the Director Compensation Program are summarized below</w:t>
      </w:r>
      <w:r>
        <w:rPr>
          <w:sz w:val="20"/>
          <w:szCs w:val="20"/>
        </w:rPr>
        <w:t>.</w:t>
      </w:r>
    </w:p>
    <w:p w:rsidR="00000000" w:rsidRDefault="00AF2D19">
      <w:pPr>
        <w:pStyle w:val="a3"/>
        <w:spacing w:before="0" w:beforeAutospacing="0" w:after="0" w:afterAutospacing="0"/>
        <w:rPr>
          <w:sz w:val="20"/>
          <w:szCs w:val="20"/>
        </w:rPr>
      </w:pPr>
      <w:r>
        <w:rPr>
          <w:i/>
          <w:iCs/>
          <w:sz w:val="20"/>
          <w:szCs w:val="20"/>
        </w:rPr>
        <w:t>Cash Compensatio</w:t>
      </w:r>
      <w:r>
        <w:rPr>
          <w:i/>
          <w:iCs/>
          <w:sz w:val="20"/>
          <w:szCs w:val="20"/>
        </w:rPr>
        <w:t>n</w:t>
      </w:r>
    </w:p>
    <w:p w:rsidR="00000000" w:rsidRDefault="00AF2D19">
      <w:pPr>
        <w:divId w:val="1582443674"/>
        <w:rPr>
          <w:rFonts w:eastAsia="Times New Roman"/>
        </w:rPr>
      </w:pPr>
      <w:r>
        <w:rPr>
          <w:rFonts w:eastAsia="Times New Roman"/>
          <w:sz w:val="20"/>
          <w:szCs w:val="20"/>
        </w:rPr>
        <w:t>•</w:t>
      </w:r>
    </w:p>
    <w:p w:rsidR="00000000" w:rsidRDefault="00AF2D19">
      <w:pPr>
        <w:divId w:val="425351794"/>
        <w:rPr>
          <w:rFonts w:eastAsia="Times New Roman"/>
        </w:rPr>
      </w:pPr>
      <w:r>
        <w:rPr>
          <w:rFonts w:eastAsia="Times New Roman"/>
          <w:sz w:val="20"/>
          <w:szCs w:val="20"/>
        </w:rPr>
        <w:t>Annual Retainer: $40,00</w:t>
      </w:r>
      <w:r>
        <w:rPr>
          <w:rFonts w:eastAsia="Times New Roman"/>
          <w:sz w:val="20"/>
          <w:szCs w:val="20"/>
        </w:rPr>
        <w:t>0</w:t>
      </w:r>
    </w:p>
    <w:p w:rsidR="00000000" w:rsidRDefault="00AF2D19">
      <w:pPr>
        <w:divId w:val="1149861647"/>
        <w:rPr>
          <w:rFonts w:eastAsia="Times New Roman"/>
        </w:rPr>
      </w:pPr>
      <w:r>
        <w:rPr>
          <w:rFonts w:eastAsia="Times New Roman"/>
          <w:sz w:val="20"/>
          <w:szCs w:val="20"/>
        </w:rPr>
        <w:t>•</w:t>
      </w:r>
    </w:p>
    <w:p w:rsidR="00000000" w:rsidRDefault="00AF2D19">
      <w:pPr>
        <w:divId w:val="399525374"/>
        <w:rPr>
          <w:rFonts w:eastAsia="Times New Roman"/>
        </w:rPr>
      </w:pPr>
      <w:r>
        <w:rPr>
          <w:rFonts w:eastAsia="Times New Roman"/>
          <w:sz w:val="20"/>
          <w:szCs w:val="20"/>
        </w:rPr>
        <w:t>Annual Committee Chair Retainer</w:t>
      </w:r>
      <w:r>
        <w:rPr>
          <w:rFonts w:eastAsia="Times New Roman"/>
          <w:sz w:val="20"/>
          <w:szCs w:val="20"/>
        </w:rPr>
        <w:t>:</w:t>
      </w:r>
    </w:p>
    <w:p w:rsidR="00000000" w:rsidRDefault="00AF2D19">
      <w:pPr>
        <w:divId w:val="290284602"/>
        <w:rPr>
          <w:rFonts w:eastAsia="Times New Roman"/>
        </w:rPr>
      </w:pPr>
      <w:r>
        <w:rPr>
          <w:rFonts w:eastAsia="Times New Roman"/>
          <w:sz w:val="20"/>
          <w:szCs w:val="20"/>
        </w:rPr>
        <w:t>o</w:t>
      </w:r>
    </w:p>
    <w:p w:rsidR="00000000" w:rsidRDefault="00AF2D19">
      <w:pPr>
        <w:divId w:val="206064038"/>
        <w:rPr>
          <w:rFonts w:eastAsia="Times New Roman"/>
        </w:rPr>
      </w:pPr>
      <w:r>
        <w:rPr>
          <w:rFonts w:eastAsia="Times New Roman"/>
          <w:sz w:val="20"/>
          <w:szCs w:val="20"/>
        </w:rPr>
        <w:t>Audit: $20,00</w:t>
      </w:r>
      <w:r>
        <w:rPr>
          <w:rFonts w:eastAsia="Times New Roman"/>
          <w:sz w:val="20"/>
          <w:szCs w:val="20"/>
        </w:rPr>
        <w:t>0</w:t>
      </w:r>
    </w:p>
    <w:p w:rsidR="00000000" w:rsidRDefault="00AF2D19">
      <w:pPr>
        <w:divId w:val="2003199391"/>
        <w:rPr>
          <w:rFonts w:eastAsia="Times New Roman"/>
        </w:rPr>
      </w:pPr>
      <w:r>
        <w:rPr>
          <w:rFonts w:eastAsia="Times New Roman"/>
          <w:sz w:val="20"/>
          <w:szCs w:val="20"/>
        </w:rPr>
        <w:t>o</w:t>
      </w:r>
    </w:p>
    <w:p w:rsidR="00000000" w:rsidRDefault="00AF2D19">
      <w:pPr>
        <w:divId w:val="893584401"/>
        <w:rPr>
          <w:rFonts w:eastAsia="Times New Roman"/>
        </w:rPr>
      </w:pPr>
      <w:r>
        <w:rPr>
          <w:rFonts w:eastAsia="Times New Roman"/>
          <w:sz w:val="20"/>
          <w:szCs w:val="20"/>
        </w:rPr>
        <w:t>Compensation: $10,00</w:t>
      </w:r>
      <w:r>
        <w:rPr>
          <w:rFonts w:eastAsia="Times New Roman"/>
          <w:sz w:val="20"/>
          <w:szCs w:val="20"/>
        </w:rPr>
        <w:t>0</w:t>
      </w:r>
    </w:p>
    <w:p w:rsidR="00000000" w:rsidRDefault="00AF2D19">
      <w:pPr>
        <w:pStyle w:val="a3"/>
        <w:spacing w:before="0" w:beforeAutospacing="0" w:after="0" w:afterAutospacing="0"/>
        <w:ind w:left="476"/>
        <w:rPr>
          <w:sz w:val="20"/>
          <w:szCs w:val="20"/>
        </w:rPr>
      </w:pPr>
      <w:r>
        <w:rPr>
          <w:sz w:val="20"/>
          <w:szCs w:val="20"/>
        </w:rPr>
        <w:t> </w:t>
      </w:r>
    </w:p>
    <w:p w:rsidR="00000000" w:rsidRDefault="00AF2D19">
      <w:pPr>
        <w:pStyle w:val="a3"/>
        <w:spacing w:before="0" w:beforeAutospacing="0" w:after="0" w:afterAutospacing="0"/>
        <w:rPr>
          <w:sz w:val="20"/>
          <w:szCs w:val="20"/>
        </w:rPr>
      </w:pPr>
      <w:r>
        <w:rPr>
          <w:sz w:val="20"/>
          <w:szCs w:val="20"/>
        </w:rPr>
        <w:t>Annual cash retainers will be paid in quarterly installments in arrears and will be pro-rated for any partial calendar quarter of service</w:t>
      </w:r>
      <w:r>
        <w:rPr>
          <w:sz w:val="20"/>
          <w:szCs w:val="20"/>
        </w:rPr>
        <w:t>.</w:t>
      </w:r>
    </w:p>
    <w:p w:rsidR="00000000" w:rsidRDefault="00AF2D19">
      <w:pPr>
        <w:pStyle w:val="a3"/>
        <w:spacing w:before="120" w:beforeAutospacing="0" w:after="0" w:afterAutospacing="0"/>
        <w:rPr>
          <w:sz w:val="20"/>
          <w:szCs w:val="20"/>
        </w:rPr>
      </w:pPr>
      <w:r>
        <w:rPr>
          <w:i/>
          <w:iCs/>
          <w:sz w:val="20"/>
          <w:szCs w:val="20"/>
        </w:rPr>
        <w:t>Equity Compensatio</w:t>
      </w:r>
      <w:r>
        <w:rPr>
          <w:i/>
          <w:iCs/>
          <w:sz w:val="20"/>
          <w:szCs w:val="20"/>
        </w:rPr>
        <w:t>n</w:t>
      </w:r>
    </w:p>
    <w:p w:rsidR="00000000" w:rsidRDefault="00AF2D19">
      <w:pPr>
        <w:jc w:val="both"/>
        <w:divId w:val="369183960"/>
        <w:rPr>
          <w:rFonts w:eastAsia="Times New Roman"/>
        </w:rPr>
      </w:pPr>
      <w:r>
        <w:rPr>
          <w:rFonts w:eastAsia="Times New Roman"/>
          <w:sz w:val="20"/>
          <w:szCs w:val="20"/>
        </w:rPr>
        <w:t>•</w:t>
      </w:r>
    </w:p>
    <w:p w:rsidR="00000000" w:rsidRDefault="00AF2D19">
      <w:pPr>
        <w:jc w:val="both"/>
        <w:divId w:val="465706550"/>
        <w:rPr>
          <w:rFonts w:eastAsia="Times New Roman"/>
        </w:rPr>
      </w:pPr>
      <w:r>
        <w:rPr>
          <w:rFonts w:eastAsia="Times New Roman"/>
          <w:sz w:val="20"/>
          <w:szCs w:val="20"/>
        </w:rPr>
        <w:t xml:space="preserve">Existing Director Grant: Each Eligible Director who was serving on the Board as of the closing </w:t>
      </w:r>
      <w:r>
        <w:rPr>
          <w:rFonts w:eastAsia="Times New Roman"/>
          <w:sz w:val="20"/>
          <w:szCs w:val="20"/>
        </w:rPr>
        <w:t xml:space="preserve">of the Business Combination received (i) on the closing date of the Business Combination, a stock option award with a value of approximately $320,000 and (ii) upon the effectiveness of the Form S-8 with respect to the Company’s common stock issuable under </w:t>
      </w:r>
      <w:r>
        <w:rPr>
          <w:rFonts w:eastAsia="Times New Roman"/>
          <w:sz w:val="20"/>
          <w:szCs w:val="20"/>
        </w:rPr>
        <w:t xml:space="preserve">the 2021 Plan, an RSU award with a value of approximately $80,000, in each case subject to the Eligible Director’s continued service through the applicable grant date (each, an </w:t>
      </w:r>
      <w:r>
        <w:rPr>
          <w:rFonts w:eastAsia="Times New Roman"/>
          <w:sz w:val="20"/>
          <w:szCs w:val="20"/>
        </w:rPr>
        <w:t>“</w:t>
      </w:r>
      <w:r>
        <w:rPr>
          <w:rFonts w:eastAsia="Times New Roman"/>
          <w:sz w:val="20"/>
          <w:szCs w:val="20"/>
          <w:u w:val="single"/>
        </w:rPr>
        <w:t>Existing Director Gran</w:t>
      </w:r>
      <w:r>
        <w:rPr>
          <w:rFonts w:eastAsia="Times New Roman"/>
          <w:sz w:val="20"/>
          <w:szCs w:val="20"/>
          <w:u w:val="single"/>
        </w:rPr>
        <w:t>t</w:t>
      </w:r>
      <w:r>
        <w:rPr>
          <w:rFonts w:eastAsia="Times New Roman"/>
          <w:sz w:val="20"/>
          <w:szCs w:val="20"/>
        </w:rPr>
        <w:t>”). Each Existing Director Grant vests as to 25% of the</w:t>
      </w:r>
      <w:r>
        <w:rPr>
          <w:rFonts w:eastAsia="Times New Roman"/>
          <w:sz w:val="20"/>
          <w:szCs w:val="20"/>
        </w:rPr>
        <w:t xml:space="preserve"> shares subject to the applicable award on each of the first four anniversaries of the grant date of the applicable award, subject to the Eligible Director’s continued service through the applicable vesting date</w:t>
      </w:r>
      <w:r>
        <w:rPr>
          <w:rFonts w:eastAsia="Times New Roman"/>
          <w:sz w:val="20"/>
          <w:szCs w:val="20"/>
        </w:rPr>
        <w:t>.</w:t>
      </w:r>
    </w:p>
    <w:p w:rsidR="00000000" w:rsidRDefault="00AF2D19">
      <w:pPr>
        <w:jc w:val="both"/>
        <w:divId w:val="268900681"/>
        <w:rPr>
          <w:rFonts w:eastAsia="Times New Roman"/>
        </w:rPr>
      </w:pPr>
      <w:r>
        <w:rPr>
          <w:rFonts w:eastAsia="Times New Roman"/>
          <w:sz w:val="20"/>
          <w:szCs w:val="20"/>
        </w:rPr>
        <w:t>•</w:t>
      </w:r>
    </w:p>
    <w:p w:rsidR="00000000" w:rsidRDefault="00AF2D19">
      <w:pPr>
        <w:jc w:val="both"/>
        <w:divId w:val="449477094"/>
        <w:rPr>
          <w:rFonts w:eastAsia="Times New Roman"/>
        </w:rPr>
      </w:pPr>
      <w:r>
        <w:rPr>
          <w:rFonts w:eastAsia="Times New Roman"/>
          <w:sz w:val="20"/>
          <w:szCs w:val="20"/>
        </w:rPr>
        <w:t>Annual Grant: An Eligible Director who is</w:t>
      </w:r>
      <w:r>
        <w:rPr>
          <w:rFonts w:eastAsia="Times New Roman"/>
          <w:sz w:val="20"/>
          <w:szCs w:val="20"/>
        </w:rPr>
        <w:t xml:space="preserve"> serving on the Board as of the date of the annual meeting of the Company’s stockholders each calendar year beginning with calendar year 2022 will be granted, on such annual meeting date, a RSU award with a value of approximately $160,000 (each, an </w:t>
      </w:r>
      <w:r>
        <w:rPr>
          <w:rFonts w:eastAsia="Times New Roman"/>
          <w:sz w:val="20"/>
          <w:szCs w:val="20"/>
        </w:rPr>
        <w:t>“</w:t>
      </w:r>
      <w:r>
        <w:rPr>
          <w:rFonts w:eastAsia="Times New Roman"/>
          <w:sz w:val="20"/>
          <w:szCs w:val="20"/>
          <w:u w:val="single"/>
        </w:rPr>
        <w:t>Annual</w:t>
      </w:r>
      <w:r>
        <w:rPr>
          <w:rFonts w:eastAsia="Times New Roman"/>
          <w:sz w:val="20"/>
          <w:szCs w:val="20"/>
          <w:u w:val="single"/>
        </w:rPr>
        <w:t xml:space="preserve"> Gran</w:t>
      </w:r>
      <w:r>
        <w:rPr>
          <w:rFonts w:eastAsia="Times New Roman"/>
          <w:sz w:val="20"/>
          <w:szCs w:val="20"/>
          <w:u w:val="single"/>
        </w:rPr>
        <w:t>t</w:t>
      </w:r>
      <w:r>
        <w:rPr>
          <w:rFonts w:eastAsia="Times New Roman"/>
          <w:sz w:val="20"/>
          <w:szCs w:val="20"/>
        </w:rPr>
        <w:t>”). Each Annual Grant will vest in full on the earlier to occur of (A) the first anniversary of the applicable grant date and (B) the date of the next annual meeting following the grant date, subject to such Eligible Director’s continued service thro</w:t>
      </w:r>
      <w:r>
        <w:rPr>
          <w:rFonts w:eastAsia="Times New Roman"/>
          <w:sz w:val="20"/>
          <w:szCs w:val="20"/>
        </w:rPr>
        <w:t>ugh the applicable vesting date</w:t>
      </w:r>
      <w:r>
        <w:rPr>
          <w:rFonts w:eastAsia="Times New Roman"/>
          <w:sz w:val="20"/>
          <w:szCs w:val="20"/>
        </w:rPr>
        <w:t>.</w:t>
      </w:r>
    </w:p>
    <w:p w:rsidR="00000000" w:rsidRDefault="00AF2D19">
      <w:pPr>
        <w:pStyle w:val="a3"/>
        <w:spacing w:before="0" w:beforeAutospacing="0" w:after="0" w:afterAutospacing="0"/>
        <w:jc w:val="center"/>
        <w:rPr>
          <w:sz w:val="20"/>
          <w:szCs w:val="20"/>
        </w:rPr>
      </w:pPr>
      <w:r>
        <w:rPr>
          <w:sz w:val="20"/>
          <w:szCs w:val="20"/>
        </w:rPr>
        <w:t>12</w:t>
      </w:r>
      <w:r>
        <w:rPr>
          <w:sz w:val="20"/>
          <w:szCs w:val="20"/>
        </w:rPr>
        <w:t>0</w:t>
      </w:r>
    </w:p>
    <w:p w:rsidR="00000000" w:rsidRDefault="00AF2D19">
      <w:pPr>
        <w:rPr>
          <w:rFonts w:eastAsia="Times New Roman"/>
        </w:rPr>
      </w:pPr>
      <w:r>
        <w:rPr>
          <w:rFonts w:eastAsia="Times New Roman"/>
        </w:rPr>
        <w:pict>
          <v:rect id="_x0000_i1148"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jc w:val="both"/>
        <w:divId w:val="1449426459"/>
        <w:rPr>
          <w:rFonts w:eastAsia="Times New Roman"/>
        </w:rPr>
      </w:pPr>
      <w:r>
        <w:rPr>
          <w:rFonts w:eastAsia="Times New Roman"/>
          <w:sz w:val="20"/>
          <w:szCs w:val="20"/>
        </w:rPr>
        <w:t>•</w:t>
      </w:r>
    </w:p>
    <w:p w:rsidR="00000000" w:rsidRDefault="00AF2D19">
      <w:pPr>
        <w:jc w:val="both"/>
        <w:divId w:val="129061779"/>
        <w:rPr>
          <w:rFonts w:eastAsia="Times New Roman"/>
        </w:rPr>
      </w:pPr>
      <w:r>
        <w:rPr>
          <w:rFonts w:eastAsia="Times New Roman"/>
          <w:sz w:val="20"/>
          <w:szCs w:val="20"/>
        </w:rPr>
        <w:t xml:space="preserve">Initial Grant: Each Eligible Director who is initially elected or appointed to serve on our Board at any time after the closing of </w:t>
      </w:r>
      <w:r>
        <w:rPr>
          <w:rFonts w:eastAsia="Times New Roman"/>
          <w:sz w:val="20"/>
          <w:szCs w:val="20"/>
        </w:rPr>
        <w:t xml:space="preserve">the Business Combination will automatically be granted on such election or appointment date (i) a stock option award with a value of approximately $320,000 and (ii) a RSU award with a value of approximately $80,000 (each, an </w:t>
      </w:r>
      <w:r>
        <w:rPr>
          <w:rFonts w:eastAsia="Times New Roman"/>
          <w:sz w:val="20"/>
          <w:szCs w:val="20"/>
        </w:rPr>
        <w:t>“</w:t>
      </w:r>
      <w:r>
        <w:rPr>
          <w:rFonts w:eastAsia="Times New Roman"/>
          <w:sz w:val="20"/>
          <w:szCs w:val="20"/>
          <w:u w:val="single"/>
        </w:rPr>
        <w:t>Initial Gran</w:t>
      </w:r>
      <w:r>
        <w:rPr>
          <w:rFonts w:eastAsia="Times New Roman"/>
          <w:sz w:val="20"/>
          <w:szCs w:val="20"/>
          <w:u w:val="single"/>
        </w:rPr>
        <w:t>t</w:t>
      </w:r>
      <w:r>
        <w:rPr>
          <w:rFonts w:eastAsia="Times New Roman"/>
          <w:sz w:val="20"/>
          <w:szCs w:val="20"/>
        </w:rPr>
        <w:t xml:space="preserve">”). Each Initial </w:t>
      </w:r>
      <w:r>
        <w:rPr>
          <w:rFonts w:eastAsia="Times New Roman"/>
          <w:sz w:val="20"/>
          <w:szCs w:val="20"/>
        </w:rPr>
        <w:t>Grant will vest as to 25% of the shares subject to the applicable award on each of the first four anniversaries of the grant date of the applicable award, subject to the Eligible Director’s continued service through the applicable vesting date</w:t>
      </w:r>
      <w:r>
        <w:rPr>
          <w:rFonts w:eastAsia="Times New Roman"/>
          <w:sz w:val="20"/>
          <w:szCs w:val="20"/>
        </w:rPr>
        <w:t>.</w:t>
      </w:r>
    </w:p>
    <w:p w:rsidR="00000000" w:rsidRDefault="00AF2D19">
      <w:pPr>
        <w:pStyle w:val="a3"/>
        <w:spacing w:before="240" w:beforeAutospacing="0" w:after="120" w:afterAutospacing="0"/>
        <w:jc w:val="both"/>
        <w:rPr>
          <w:sz w:val="20"/>
          <w:szCs w:val="20"/>
        </w:rPr>
      </w:pPr>
      <w:r>
        <w:rPr>
          <w:sz w:val="20"/>
          <w:szCs w:val="20"/>
        </w:rPr>
        <w:t>In addition</w:t>
      </w:r>
      <w:r>
        <w:rPr>
          <w:sz w:val="20"/>
          <w:szCs w:val="20"/>
        </w:rPr>
        <w:t xml:space="preserve">, each Existing Director Grant, Annual Grant and Initial Grant will vest in full upon a change in control of our company (as defined in the 2021 Plan) if the Eligible Director will not become, as of immediately following the change in control, a member of </w:t>
      </w:r>
      <w:r>
        <w:rPr>
          <w:sz w:val="20"/>
          <w:szCs w:val="20"/>
        </w:rPr>
        <w:t>the Board of the surviving entity or the ultimate parent of the surviving entity</w:t>
      </w:r>
      <w:r>
        <w:rPr>
          <w:sz w:val="20"/>
          <w:szCs w:val="20"/>
        </w:rPr>
        <w:t>.</w:t>
      </w:r>
    </w:p>
    <w:p w:rsidR="00000000" w:rsidRDefault="00AF2D19">
      <w:pPr>
        <w:pStyle w:val="a3"/>
        <w:spacing w:before="120" w:beforeAutospacing="0" w:after="120" w:afterAutospacing="0"/>
        <w:jc w:val="both"/>
        <w:rPr>
          <w:sz w:val="20"/>
          <w:szCs w:val="20"/>
        </w:rPr>
      </w:pPr>
      <w:r>
        <w:rPr>
          <w:sz w:val="20"/>
          <w:szCs w:val="20"/>
        </w:rPr>
        <w:t>Compensation under our Director Compensation Program will be subject to the annual limits on non-employee director compensation set forth in the 2021 Plan</w:t>
      </w:r>
      <w:r>
        <w:rPr>
          <w:sz w:val="20"/>
          <w:szCs w:val="20"/>
        </w:rPr>
        <w:t>.</w:t>
      </w:r>
    </w:p>
    <w:p w:rsidR="00000000" w:rsidRDefault="00AF2D19">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12. SECURITY OWNERSHIP OF CERTAIN BENEFICIAL OWNERS AND MANAGEMENT AND RELATED STOCKHOLDER MATT</w:t>
      </w:r>
      <w:r>
        <w:rPr>
          <w:b/>
          <w:bCs/>
          <w:sz w:val="20"/>
          <w:szCs w:val="20"/>
        </w:rPr>
        <w:t>ER</w:t>
      </w:r>
      <w:r>
        <w:rPr>
          <w:b/>
          <w:bCs/>
          <w:sz w:val="20"/>
          <w:szCs w:val="20"/>
        </w:rPr>
        <w:t>S</w:t>
      </w:r>
    </w:p>
    <w:p w:rsidR="00000000" w:rsidRDefault="00AF2D19">
      <w:pPr>
        <w:pStyle w:val="a3"/>
        <w:spacing w:before="240" w:beforeAutospacing="0" w:after="0" w:afterAutospacing="0"/>
        <w:rPr>
          <w:sz w:val="20"/>
          <w:szCs w:val="20"/>
        </w:rPr>
      </w:pPr>
      <w:r>
        <w:rPr>
          <w:sz w:val="20"/>
          <w:szCs w:val="20"/>
        </w:rPr>
        <w:t>The following table sets forth certain information with respect to holdings of our common stock by</w:t>
      </w:r>
      <w:r>
        <w:rPr>
          <w:sz w:val="20"/>
          <w:szCs w:val="20"/>
        </w:rPr>
        <w:t>:</w:t>
      </w:r>
    </w:p>
    <w:p w:rsidR="00000000" w:rsidRDefault="00AF2D19">
      <w:pPr>
        <w:divId w:val="1700858197"/>
        <w:rPr>
          <w:rFonts w:eastAsia="Times New Roman"/>
        </w:rPr>
      </w:pPr>
      <w:r>
        <w:rPr>
          <w:rFonts w:eastAsia="Times New Roman"/>
          <w:sz w:val="20"/>
          <w:szCs w:val="20"/>
        </w:rPr>
        <w:t>•</w:t>
      </w:r>
    </w:p>
    <w:p w:rsidR="00000000" w:rsidRDefault="00AF2D19">
      <w:pPr>
        <w:divId w:val="102966394"/>
        <w:rPr>
          <w:rFonts w:eastAsia="Times New Roman"/>
        </w:rPr>
      </w:pPr>
      <w:r>
        <w:rPr>
          <w:rFonts w:eastAsia="Times New Roman"/>
          <w:sz w:val="20"/>
          <w:szCs w:val="20"/>
        </w:rPr>
        <w:t>stockholders who beneficially owned more than 5% of the outstanding shares of our common stock;</w:t>
      </w:r>
      <w:r>
        <w:rPr>
          <w:rFonts w:eastAsia="Times New Roman"/>
          <w:sz w:val="20"/>
          <w:szCs w:val="20"/>
        </w:rPr>
        <w:t xml:space="preserve"> </w:t>
      </w:r>
    </w:p>
    <w:p w:rsidR="00000000" w:rsidRDefault="00AF2D19">
      <w:pPr>
        <w:divId w:val="2029797530"/>
        <w:rPr>
          <w:rFonts w:eastAsia="Times New Roman"/>
        </w:rPr>
      </w:pPr>
      <w:r>
        <w:rPr>
          <w:rFonts w:eastAsia="Times New Roman"/>
          <w:sz w:val="20"/>
          <w:szCs w:val="20"/>
        </w:rPr>
        <w:t>•</w:t>
      </w:r>
    </w:p>
    <w:p w:rsidR="00000000" w:rsidRDefault="00AF2D19">
      <w:pPr>
        <w:divId w:val="376508547"/>
        <w:rPr>
          <w:rFonts w:eastAsia="Times New Roman"/>
        </w:rPr>
      </w:pPr>
      <w:r>
        <w:rPr>
          <w:rFonts w:eastAsia="Times New Roman"/>
          <w:sz w:val="20"/>
          <w:szCs w:val="20"/>
        </w:rPr>
        <w:t>each of our named executive officers and directors;</w:t>
      </w:r>
      <w:r>
        <w:rPr>
          <w:rFonts w:eastAsia="Times New Roman"/>
          <w:sz w:val="20"/>
          <w:szCs w:val="20"/>
        </w:rPr>
        <w:t xml:space="preserve"> and</w:t>
      </w:r>
      <w:r>
        <w:rPr>
          <w:rFonts w:eastAsia="Times New Roman"/>
          <w:sz w:val="20"/>
          <w:szCs w:val="20"/>
        </w:rPr>
        <w:t xml:space="preserve"> </w:t>
      </w:r>
    </w:p>
    <w:p w:rsidR="00000000" w:rsidRDefault="00AF2D19">
      <w:pPr>
        <w:divId w:val="2003973526"/>
        <w:rPr>
          <w:rFonts w:eastAsia="Times New Roman"/>
        </w:rPr>
      </w:pPr>
      <w:r>
        <w:rPr>
          <w:rFonts w:eastAsia="Times New Roman"/>
          <w:sz w:val="20"/>
          <w:szCs w:val="20"/>
        </w:rPr>
        <w:t>•</w:t>
      </w:r>
    </w:p>
    <w:p w:rsidR="00000000" w:rsidRDefault="00AF2D19">
      <w:pPr>
        <w:divId w:val="1615557503"/>
        <w:rPr>
          <w:rFonts w:eastAsia="Times New Roman"/>
        </w:rPr>
      </w:pPr>
      <w:r>
        <w:rPr>
          <w:rFonts w:eastAsia="Times New Roman"/>
          <w:sz w:val="20"/>
          <w:szCs w:val="20"/>
        </w:rPr>
        <w:t>all directors and executive officers as a group</w:t>
      </w:r>
      <w:r>
        <w:rPr>
          <w:rFonts w:eastAsia="Times New Roman"/>
          <w:sz w:val="20"/>
          <w:szCs w:val="20"/>
        </w:rPr>
        <w:t>.</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both"/>
        <w:rPr>
          <w:sz w:val="20"/>
          <w:szCs w:val="20"/>
        </w:rPr>
      </w:pPr>
      <w:r>
        <w:rPr>
          <w:sz w:val="20"/>
          <w:szCs w:val="20"/>
        </w:rPr>
        <w:t>The number of shares beneficially owned by each stockholder is determined under rules issued by the SEC and includes voting or investment power with respect to securities. These rules generally pro</w:t>
      </w:r>
      <w:r>
        <w:rPr>
          <w:sz w:val="20"/>
          <w:szCs w:val="20"/>
        </w:rPr>
        <w:t>vide that a person is the beneficial owner of securities if such person has or shares the power to vote or direct the voting thereof, or to dispose or direct the disposition thereof or has the right to acquire such powers within 60 days</w:t>
      </w:r>
      <w:r>
        <w:rPr>
          <w:sz w:val="20"/>
          <w:szCs w:val="20"/>
        </w:rPr>
        <w:t>.</w:t>
      </w:r>
      <w:r>
        <w:rPr>
          <w:sz w:val="20"/>
          <w:szCs w:val="20"/>
        </w:rPr>
        <w:t xml:space="preserve"> </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both"/>
        <w:rPr>
          <w:sz w:val="20"/>
          <w:szCs w:val="20"/>
        </w:rPr>
      </w:pPr>
      <w:r>
        <w:rPr>
          <w:sz w:val="20"/>
          <w:szCs w:val="20"/>
        </w:rPr>
        <w:t>Unless otherwis</w:t>
      </w:r>
      <w:r>
        <w:rPr>
          <w:sz w:val="20"/>
          <w:szCs w:val="20"/>
        </w:rPr>
        <w:t>e noted, the business address of each of those listed in the table below is 2578 Broadway #607, New York, NY 10025. We have based our calculation of the percentage of beneficial ownership on 153,916,476 shares of our common stock outstanding as of February</w:t>
      </w:r>
      <w:r>
        <w:rPr>
          <w:sz w:val="20"/>
          <w:szCs w:val="20"/>
        </w:rPr>
        <w:t xml:space="preserve"> 15, 2022</w:t>
      </w:r>
      <w:r>
        <w:rPr>
          <w:sz w:val="20"/>
          <w:szCs w:val="20"/>
        </w:rPr>
        <w:t>.</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both"/>
        <w:rPr>
          <w:sz w:val="20"/>
          <w:szCs w:val="20"/>
        </w:rPr>
      </w:pPr>
      <w:r>
        <w:rPr>
          <w:sz w:val="20"/>
          <w:szCs w:val="20"/>
        </w:rPr>
        <w:t>Unless otherwise indicated, we believe, based on information provided to us, that each of the stockholders listed below has sole voting and investment power with respect to the shares beneficially owned by the stockholder unless noted otherwis</w:t>
      </w:r>
      <w:r>
        <w:rPr>
          <w:sz w:val="20"/>
          <w:szCs w:val="20"/>
        </w:rPr>
        <w:t>e, subject to community property laws where applicable</w:t>
      </w:r>
      <w:r>
        <w:rPr>
          <w:sz w:val="20"/>
          <w:szCs w:val="20"/>
        </w:rPr>
        <w:t>.</w:t>
      </w:r>
    </w:p>
    <w:p w:rsidR="00000000" w:rsidRDefault="00AF2D19">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8"/>
        <w:gridCol w:w="97"/>
        <w:gridCol w:w="95"/>
        <w:gridCol w:w="1743"/>
        <w:gridCol w:w="95"/>
        <w:gridCol w:w="98"/>
        <w:gridCol w:w="96"/>
        <w:gridCol w:w="1152"/>
        <w:gridCol w:w="192"/>
      </w:tblGrid>
      <w:tr w:rsidR="00000000">
        <w:trPr>
          <w:tblCellSpacing w:w="15" w:type="dxa"/>
        </w:trPr>
        <w:tc>
          <w:tcPr>
            <w:tcW w:w="2944" w:type="pct"/>
            <w:vAlign w:val="center"/>
            <w:hideMark/>
          </w:tcPr>
          <w:p w:rsidR="00000000" w:rsidRDefault="00AF2D19">
            <w:pPr>
              <w:rPr>
                <w:sz w:val="20"/>
                <w:szCs w:val="20"/>
              </w:rPr>
            </w:pPr>
          </w:p>
        </w:tc>
        <w:tc>
          <w:tcPr>
            <w:tcW w:w="57"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1084"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57"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714" w:type="pct"/>
            <w:vAlign w:val="center"/>
            <w:hideMark/>
          </w:tcPr>
          <w:p w:rsidR="00000000" w:rsidRDefault="00AF2D19">
            <w:pPr>
              <w:rPr>
                <w:rFonts w:eastAsia="Times New Roman"/>
                <w:sz w:val="20"/>
                <w:szCs w:val="20"/>
              </w:rPr>
            </w:pPr>
          </w:p>
        </w:tc>
        <w:tc>
          <w:tcPr>
            <w:tcW w:w="74" w:type="pct"/>
            <w:vAlign w:val="center"/>
            <w:hideMark/>
          </w:tcPr>
          <w:p w:rsidR="00000000" w:rsidRDefault="00AF2D19">
            <w:pPr>
              <w:rPr>
                <w:rFonts w:eastAsia="Times New Roman"/>
                <w:sz w:val="20"/>
                <w:szCs w:val="20"/>
              </w:rPr>
            </w:pP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b/>
                <w:bCs/>
                <w:sz w:val="14"/>
                <w:szCs w:val="14"/>
              </w:rPr>
              <w:t>Name and Address of Beneficial Owne</w:t>
            </w:r>
            <w:r>
              <w:rPr>
                <w:b/>
                <w:bCs/>
                <w:sz w:val="14"/>
                <w:szCs w:val="14"/>
              </w:rPr>
              <w:t>r</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Number of Share</w:t>
            </w:r>
            <w:r>
              <w:rPr>
                <w:b/>
                <w:bCs/>
                <w:sz w:val="14"/>
                <w:szCs w:val="14"/>
              </w:rPr>
              <w:t>s</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 of Ownershi</w:t>
            </w:r>
            <w:r>
              <w:rPr>
                <w:b/>
                <w:bCs/>
                <w:sz w:val="14"/>
                <w:szCs w:val="14"/>
              </w:rPr>
              <w:t>p</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i/>
                <w:iCs/>
                <w:sz w:val="14"/>
                <w:szCs w:val="14"/>
              </w:rPr>
              <w:t>5% Holder</w:t>
            </w:r>
            <w:r>
              <w:rPr>
                <w:i/>
                <w:iCs/>
                <w:sz w:val="14"/>
                <w:szCs w:val="14"/>
              </w:rPr>
              <w:t>s</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HEC Master Fund L</w:t>
            </w:r>
            <w:r>
              <w:rPr>
                <w:sz w:val="14"/>
                <w:szCs w:val="14"/>
              </w:rPr>
              <w:t>P</w:t>
            </w:r>
            <w:r>
              <w:rPr>
                <w:sz w:val="9"/>
                <w:szCs w:val="9"/>
              </w:rPr>
              <w:t>(1</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23,525,04</w:t>
            </w:r>
            <w:r>
              <w:rPr>
                <w:sz w:val="14"/>
                <w:szCs w:val="14"/>
              </w:rPr>
              <w:t>6</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11.</w:t>
            </w:r>
            <w:r>
              <w:rPr>
                <w:sz w:val="14"/>
                <w:szCs w:val="14"/>
              </w:rPr>
              <w:t>7</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w:t>
            </w:r>
            <w:r>
              <w:rPr>
                <w:sz w:val="14"/>
                <w:szCs w:val="14"/>
              </w:rPr>
              <w:t>Norwest Venture Partners XIII, L</w:t>
            </w:r>
            <w:r>
              <w:rPr>
                <w:sz w:val="14"/>
                <w:szCs w:val="14"/>
              </w:rPr>
              <w:t>P</w:t>
            </w:r>
            <w:r>
              <w:rPr>
                <w:sz w:val="9"/>
                <w:szCs w:val="9"/>
              </w:rPr>
              <w:t>(2</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14,702,97</w:t>
            </w:r>
            <w:r>
              <w:rPr>
                <w:sz w:val="14"/>
                <w:szCs w:val="14"/>
              </w:rPr>
              <w:t>2</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9.</w:t>
            </w:r>
            <w:r>
              <w:rPr>
                <w:sz w:val="14"/>
                <w:szCs w:val="14"/>
              </w:rPr>
              <w:t>6</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Entities affiliated with Spark Capita</w:t>
            </w:r>
            <w:r>
              <w:rPr>
                <w:sz w:val="14"/>
                <w:szCs w:val="14"/>
              </w:rPr>
              <w:t>l</w:t>
            </w:r>
            <w:r>
              <w:rPr>
                <w:sz w:val="9"/>
                <w:szCs w:val="9"/>
              </w:rPr>
              <w:t>(3</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12,473,43</w:t>
            </w:r>
            <w:r>
              <w:rPr>
                <w:sz w:val="14"/>
                <w:szCs w:val="14"/>
              </w:rPr>
              <w:t>7</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8.</w:t>
            </w:r>
            <w:r>
              <w:rPr>
                <w:sz w:val="14"/>
                <w:szCs w:val="14"/>
              </w:rPr>
              <w:t>1</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Qumra Capital II, L.P</w:t>
            </w:r>
            <w:r>
              <w:rPr>
                <w:sz w:val="14"/>
                <w:szCs w:val="14"/>
              </w:rPr>
              <w:t>.</w:t>
            </w:r>
            <w:r>
              <w:rPr>
                <w:sz w:val="9"/>
                <w:szCs w:val="9"/>
              </w:rPr>
              <w:t>(4</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8,573,43</w:t>
            </w:r>
            <w:r>
              <w:rPr>
                <w:sz w:val="14"/>
                <w:szCs w:val="14"/>
              </w:rPr>
              <w:t>7</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5.</w:t>
            </w:r>
            <w:r>
              <w:rPr>
                <w:sz w:val="14"/>
                <w:szCs w:val="14"/>
              </w:rPr>
              <w:t>6</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w:t>
            </w:r>
            <w:r>
              <w:rPr>
                <w:sz w:val="14"/>
                <w:szCs w:val="14"/>
              </w:rPr>
              <w:t>Revolution Growth III, L</w:t>
            </w:r>
            <w:r>
              <w:rPr>
                <w:sz w:val="14"/>
                <w:szCs w:val="14"/>
              </w:rPr>
              <w:t>P</w:t>
            </w:r>
            <w:r>
              <w:rPr>
                <w:sz w:val="9"/>
                <w:szCs w:val="9"/>
              </w:rPr>
              <w:t>(5</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8,691,08</w:t>
            </w:r>
            <w:r>
              <w:rPr>
                <w:sz w:val="14"/>
                <w:szCs w:val="14"/>
              </w:rPr>
              <w:t>2</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5.</w:t>
            </w:r>
            <w:r>
              <w:rPr>
                <w:sz w:val="14"/>
                <w:szCs w:val="14"/>
              </w:rPr>
              <w:t>6</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Firstime Ventures G.P. Ltd</w:t>
            </w:r>
            <w:r>
              <w:rPr>
                <w:sz w:val="14"/>
                <w:szCs w:val="14"/>
              </w:rPr>
              <w:t>.</w:t>
            </w:r>
            <w:r>
              <w:rPr>
                <w:sz w:val="9"/>
                <w:szCs w:val="9"/>
              </w:rPr>
              <w:t>(6</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7,745,70</w:t>
            </w:r>
            <w:r>
              <w:rPr>
                <w:sz w:val="14"/>
                <w:szCs w:val="14"/>
              </w:rPr>
              <w:t>8</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5.</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i/>
                <w:iCs/>
                <w:sz w:val="14"/>
                <w:szCs w:val="14"/>
              </w:rPr>
              <w:t>Directors and Named Executive Officer</w:t>
            </w:r>
            <w:r>
              <w:rPr>
                <w:i/>
                <w:iCs/>
                <w:sz w:val="14"/>
                <w:szCs w:val="14"/>
              </w:rPr>
              <w:t>s</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Oren Fran</w:t>
            </w:r>
            <w:r>
              <w:rPr>
                <w:sz w:val="14"/>
                <w:szCs w:val="14"/>
              </w:rPr>
              <w:t>k</w:t>
            </w:r>
            <w:r>
              <w:rPr>
                <w:sz w:val="9"/>
                <w:szCs w:val="9"/>
              </w:rPr>
              <w:t>(7</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5,482,53</w:t>
            </w:r>
            <w:r>
              <w:rPr>
                <w:sz w:val="14"/>
                <w:szCs w:val="14"/>
              </w:rPr>
              <w:t>2</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3.</w:t>
            </w:r>
            <w:r>
              <w:rPr>
                <w:sz w:val="14"/>
                <w:szCs w:val="14"/>
              </w:rPr>
              <w:t>5</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w:t>
            </w:r>
            <w:r>
              <w:rPr>
                <w:sz w:val="14"/>
                <w:szCs w:val="14"/>
              </w:rPr>
              <w:t>Jennifer Ful</w:t>
            </w:r>
            <w:r>
              <w:rPr>
                <w:sz w:val="14"/>
                <w:szCs w:val="14"/>
              </w:rPr>
              <w:t>k</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Mark Hirschhor</w:t>
            </w:r>
            <w:r>
              <w:rPr>
                <w:sz w:val="14"/>
                <w:szCs w:val="14"/>
              </w:rPr>
              <w:t>n</w:t>
            </w:r>
            <w:r>
              <w:rPr>
                <w:sz w:val="9"/>
                <w:szCs w:val="9"/>
              </w:rPr>
              <w:t>(8</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1,840,57</w:t>
            </w:r>
            <w:r>
              <w:rPr>
                <w:sz w:val="14"/>
                <w:szCs w:val="14"/>
              </w:rPr>
              <w:t>9</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w:t>
            </w:r>
            <w:r>
              <w:rPr>
                <w:sz w:val="14"/>
                <w:szCs w:val="14"/>
              </w:rPr>
              <w:t>2</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Roni Fran</w:t>
            </w:r>
            <w:r>
              <w:rPr>
                <w:sz w:val="14"/>
                <w:szCs w:val="14"/>
              </w:rPr>
              <w:t>k</w:t>
            </w:r>
            <w:r>
              <w:rPr>
                <w:sz w:val="9"/>
                <w:szCs w:val="9"/>
              </w:rPr>
              <w:t>(9</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5,211,83</w:t>
            </w:r>
            <w:r>
              <w:rPr>
                <w:sz w:val="14"/>
                <w:szCs w:val="14"/>
              </w:rPr>
              <w:t>2</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3.</w:t>
            </w:r>
            <w:r>
              <w:rPr>
                <w:sz w:val="14"/>
                <w:szCs w:val="14"/>
              </w:rPr>
              <w:t>3</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Samara H. Braunstei</w:t>
            </w:r>
            <w:r>
              <w:rPr>
                <w:sz w:val="14"/>
                <w:szCs w:val="14"/>
              </w:rPr>
              <w:t>n</w:t>
            </w:r>
            <w:r>
              <w:rPr>
                <w:sz w:val="9"/>
                <w:szCs w:val="9"/>
              </w:rPr>
              <w:t>(10</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4,825,62</w:t>
            </w:r>
            <w:r>
              <w:rPr>
                <w:sz w:val="14"/>
                <w:szCs w:val="14"/>
              </w:rPr>
              <w:t>7</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3.</w:t>
            </w:r>
            <w:r>
              <w:rPr>
                <w:sz w:val="14"/>
                <w:szCs w:val="14"/>
              </w:rPr>
              <w:t>1</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Gil Margoli</w:t>
            </w:r>
            <w:r>
              <w:rPr>
                <w:sz w:val="14"/>
                <w:szCs w:val="14"/>
              </w:rPr>
              <w:t>n</w:t>
            </w:r>
            <w:r>
              <w:rPr>
                <w:sz w:val="9"/>
                <w:szCs w:val="9"/>
              </w:rPr>
              <w:t>(11</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2,771,67</w:t>
            </w:r>
            <w:r>
              <w:rPr>
                <w:sz w:val="14"/>
                <w:szCs w:val="14"/>
              </w:rPr>
              <w:t>0</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w:t>
            </w:r>
            <w:r>
              <w:rPr>
                <w:sz w:val="14"/>
                <w:szCs w:val="14"/>
              </w:rPr>
              <w:t>8</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w:t>
            </w:r>
            <w:r>
              <w:rPr>
                <w:sz w:val="14"/>
                <w:szCs w:val="14"/>
              </w:rPr>
              <w:t>John C. Reill</w:t>
            </w:r>
            <w:r>
              <w:rPr>
                <w:sz w:val="14"/>
                <w:szCs w:val="14"/>
              </w:rPr>
              <w:t>y</w:t>
            </w:r>
            <w:r>
              <w:rPr>
                <w:sz w:val="9"/>
                <w:szCs w:val="9"/>
              </w:rPr>
              <w:t>(12</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468,82</w:t>
            </w:r>
            <w:r>
              <w:rPr>
                <w:sz w:val="14"/>
                <w:szCs w:val="14"/>
              </w:rPr>
              <w:t>7</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Douglas L. Braunstei</w:t>
            </w:r>
            <w:r>
              <w:rPr>
                <w:sz w:val="14"/>
                <w:szCs w:val="14"/>
              </w:rPr>
              <w:t>n</w:t>
            </w:r>
            <w:r>
              <w:rPr>
                <w:sz w:val="9"/>
                <w:szCs w:val="9"/>
              </w:rPr>
              <w:t>(13</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23,525,04</w:t>
            </w:r>
            <w:r>
              <w:rPr>
                <w:sz w:val="14"/>
                <w:szCs w:val="14"/>
              </w:rPr>
              <w:t>6</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14.</w:t>
            </w:r>
            <w:r>
              <w:rPr>
                <w:sz w:val="14"/>
                <w:szCs w:val="14"/>
              </w:rPr>
              <w:t>4</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Jeffrey M. Crow</w:t>
            </w:r>
            <w:r>
              <w:rPr>
                <w:sz w:val="14"/>
                <w:szCs w:val="14"/>
              </w:rPr>
              <w:t>e</w:t>
            </w:r>
            <w:r>
              <w:rPr>
                <w:sz w:val="9"/>
                <w:szCs w:val="9"/>
              </w:rPr>
              <w:t>(2) (14</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14,702,97</w:t>
            </w:r>
            <w:r>
              <w:rPr>
                <w:sz w:val="14"/>
                <w:szCs w:val="14"/>
              </w:rPr>
              <w:t>2</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9.</w:t>
            </w:r>
            <w:r>
              <w:rPr>
                <w:sz w:val="14"/>
                <w:szCs w:val="14"/>
              </w:rPr>
              <w:t>6</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Erez Shacha</w:t>
            </w:r>
            <w:r>
              <w:rPr>
                <w:sz w:val="14"/>
                <w:szCs w:val="14"/>
              </w:rPr>
              <w:t>r</w:t>
            </w:r>
            <w:r>
              <w:rPr>
                <w:sz w:val="9"/>
                <w:szCs w:val="9"/>
              </w:rPr>
              <w:t>(4) (15</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8,573,43</w:t>
            </w:r>
            <w:r>
              <w:rPr>
                <w:sz w:val="14"/>
                <w:szCs w:val="14"/>
              </w:rPr>
              <w:t>7</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5.</w:t>
            </w:r>
            <w:r>
              <w:rPr>
                <w:sz w:val="14"/>
                <w:szCs w:val="14"/>
              </w:rPr>
              <w:t>6</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w:t>
            </w:r>
            <w:r>
              <w:rPr>
                <w:sz w:val="14"/>
                <w:szCs w:val="14"/>
              </w:rPr>
              <w:t>Curtis Warfiel</w:t>
            </w:r>
            <w:r>
              <w:rPr>
                <w:sz w:val="14"/>
                <w:szCs w:val="14"/>
              </w:rPr>
              <w:t>d</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Jacqueline Yeane</w:t>
            </w:r>
            <w:r>
              <w:rPr>
                <w:sz w:val="14"/>
                <w:szCs w:val="14"/>
              </w:rPr>
              <w:t>y</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Charles Ber</w:t>
            </w:r>
            <w:r>
              <w:rPr>
                <w:sz w:val="14"/>
                <w:szCs w:val="14"/>
              </w:rPr>
              <w:t>g</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        Madhu Pawa</w:t>
            </w:r>
            <w:r>
              <w:rPr>
                <w:sz w:val="14"/>
                <w:szCs w:val="14"/>
              </w:rPr>
              <w:t>r</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gridSpan w:val="2"/>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All current directors and executive officers as a group (12 individuals</w:t>
            </w:r>
            <w:r>
              <w:rPr>
                <w:sz w:val="14"/>
                <w:szCs w:val="14"/>
              </w:rPr>
              <w:t>)</w:t>
            </w:r>
            <w:r>
              <w:rPr>
                <w:sz w:val="9"/>
                <w:szCs w:val="9"/>
              </w:rPr>
              <w:t>(16</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50,324,38</w:t>
            </w:r>
            <w:r>
              <w:rPr>
                <w:sz w:val="14"/>
                <w:szCs w:val="14"/>
              </w:rPr>
              <w:t>3</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 </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hideMark/>
          </w:tcPr>
          <w:p w:rsidR="00000000" w:rsidRDefault="00AF2D19">
            <w:pPr>
              <w:pStyle w:val="a3"/>
              <w:spacing w:before="0" w:beforeAutospacing="0" w:after="0" w:afterAutospacing="0"/>
              <w:jc w:val="right"/>
              <w:rPr>
                <w:sz w:val="14"/>
                <w:szCs w:val="14"/>
              </w:rPr>
            </w:pPr>
            <w:r>
              <w:rPr>
                <w:sz w:val="14"/>
                <w:szCs w:val="14"/>
              </w:rPr>
              <w:t>30.</w:t>
            </w:r>
            <w:r>
              <w:rPr>
                <w:sz w:val="14"/>
                <w:szCs w:val="14"/>
              </w:rPr>
              <w:t>1</w:t>
            </w:r>
          </w:p>
        </w:tc>
        <w:tc>
          <w:tcPr>
            <w:tcW w:w="0" w:type="auto"/>
            <w:hideMark/>
          </w:tcPr>
          <w:p w:rsidR="00000000" w:rsidRDefault="00AF2D19">
            <w:pPr>
              <w:pStyle w:val="a3"/>
              <w:spacing w:before="0" w:beforeAutospacing="0" w:after="0" w:afterAutospacing="0"/>
              <w:rPr>
                <w:sz w:val="14"/>
                <w:szCs w:val="14"/>
              </w:rPr>
            </w:pPr>
            <w:r>
              <w:rPr>
                <w:sz w:val="14"/>
                <w:szCs w:val="14"/>
              </w:rPr>
              <w:t>%</w:t>
            </w:r>
          </w:p>
        </w:tc>
      </w:tr>
    </w:tbl>
    <w:p w:rsidR="00000000" w:rsidRDefault="00AF2D19">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7954"/>
      </w:tblGrid>
      <w:tr w:rsidR="00000000">
        <w:trPr>
          <w:tblCellSpacing w:w="15" w:type="dxa"/>
        </w:trPr>
        <w:tc>
          <w:tcPr>
            <w:tcW w:w="187" w:type="pct"/>
            <w:vAlign w:val="center"/>
            <w:hideMark/>
          </w:tcPr>
          <w:p w:rsidR="00000000" w:rsidRDefault="00AF2D19">
            <w:pPr>
              <w:rPr>
                <w:sz w:val="20"/>
                <w:szCs w:val="20"/>
              </w:rPr>
            </w:pPr>
          </w:p>
        </w:tc>
        <w:tc>
          <w:tcPr>
            <w:tcW w:w="4812"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hideMark/>
          </w:tcPr>
          <w:p w:rsidR="00000000" w:rsidRDefault="00AF2D19">
            <w:pPr>
              <w:pStyle w:val="a3"/>
              <w:spacing w:before="0" w:beforeAutospacing="0" w:after="0" w:afterAutospacing="0"/>
              <w:rPr>
                <w:sz w:val="16"/>
                <w:szCs w:val="16"/>
              </w:rPr>
            </w:pPr>
            <w:r>
              <w:rPr>
                <w:sz w:val="16"/>
                <w:szCs w:val="16"/>
              </w:rPr>
              <w:t>*</w:t>
            </w:r>
          </w:p>
        </w:tc>
        <w:tc>
          <w:tcPr>
            <w:tcW w:w="0" w:type="auto"/>
            <w:hideMark/>
          </w:tcPr>
          <w:p w:rsidR="00000000" w:rsidRDefault="00AF2D19">
            <w:pPr>
              <w:pStyle w:val="a3"/>
              <w:spacing w:before="0" w:beforeAutospacing="0" w:after="0" w:afterAutospacing="0"/>
              <w:rPr>
                <w:sz w:val="16"/>
                <w:szCs w:val="16"/>
              </w:rPr>
            </w:pPr>
            <w:r>
              <w:rPr>
                <w:sz w:val="16"/>
                <w:szCs w:val="16"/>
              </w:rPr>
              <w:t>Less than one percen</w:t>
            </w:r>
            <w:r>
              <w:rPr>
                <w:sz w:val="16"/>
                <w:szCs w:val="16"/>
              </w:rPr>
              <w:t>t</w:t>
            </w:r>
            <w:r>
              <w:rPr>
                <w:sz w:val="16"/>
                <w:szCs w:val="16"/>
              </w:rPr>
              <w:t xml:space="preserve"> </w:t>
            </w:r>
          </w:p>
        </w:tc>
      </w:tr>
    </w:tbl>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12</w:t>
      </w:r>
      <w:r>
        <w:rPr>
          <w:sz w:val="20"/>
          <w:szCs w:val="20"/>
        </w:rPr>
        <w:t>1</w:t>
      </w:r>
    </w:p>
    <w:p w:rsidR="00000000" w:rsidRDefault="00AF2D19">
      <w:pPr>
        <w:rPr>
          <w:rFonts w:eastAsia="Times New Roman"/>
        </w:rPr>
      </w:pPr>
      <w:r>
        <w:rPr>
          <w:rFonts w:eastAsia="Times New Roman"/>
        </w:rPr>
        <w:pict>
          <v:rect id="_x0000_i1149"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both"/>
        <w:rPr>
          <w:sz w:val="20"/>
          <w:szCs w:val="20"/>
        </w:rPr>
      </w:pPr>
      <w:r>
        <w:rPr>
          <w:sz w:val="16"/>
          <w:szCs w:val="16"/>
        </w:rPr>
        <w:t>(1) Based on information reported on a Schedule 13D/A filed on November 17, 2021, a Form 4 filed on November 24, 2021 and information known to the Company, consists of (i)</w:t>
      </w:r>
      <w:r>
        <w:rPr>
          <w:sz w:val="16"/>
          <w:szCs w:val="16"/>
        </w:rPr>
        <w:t xml:space="preserve"> 11,340,600 shares of common stock and 7,640,000 shares of common stock issuable upon the exercise of warrants held by HEC Master Fund LP, (ii) 2,274,446 shares of common stock owned jointly among Douglas Braunstein and his spouse, including through a trus</w:t>
      </w:r>
      <w:r>
        <w:rPr>
          <w:sz w:val="16"/>
          <w:szCs w:val="16"/>
        </w:rPr>
        <w:t>t and (iii) 2,270,000 shares of common stock beneficially owned jointly among Mr. Braunstein and his spouse through the ownership of warrants exercisable within 60 days of the date of February 15, 2022. Douglas Braunstein is the Managing Member of HEC Mana</w:t>
      </w:r>
      <w:r>
        <w:rPr>
          <w:sz w:val="16"/>
          <w:szCs w:val="16"/>
        </w:rPr>
        <w:t>gement GP LLC ("MGT GP"). MGT GP is the Managing Member of HEC Performance GP LLC and the Managing Partner of Hudson Executive Capital LP, which is the Investment Manager of the HEC Master Fund LP. Hudson Executive Capital LP and Mr. Braunstein disclaims b</w:t>
      </w:r>
      <w:r>
        <w:rPr>
          <w:sz w:val="16"/>
          <w:szCs w:val="16"/>
        </w:rPr>
        <w:t>eneficial ownership of the securities owned by HEC Master Fund LP except to the extent of his pecuniary interest therein. The address of HEC Master Fund LP is c/o Walkers Corporate Limited, 190 Elgin Avenue George Town, Grand Cayman KY1-9001</w:t>
      </w:r>
      <w:r>
        <w:rPr>
          <w:sz w:val="16"/>
          <w:szCs w:val="16"/>
        </w:rPr>
        <w:t>.</w:t>
      </w:r>
    </w:p>
    <w:p w:rsidR="00000000" w:rsidRDefault="00AF2D19">
      <w:pPr>
        <w:pStyle w:val="a3"/>
        <w:spacing w:before="60" w:beforeAutospacing="0" w:after="0" w:afterAutospacing="0"/>
        <w:jc w:val="both"/>
        <w:rPr>
          <w:sz w:val="20"/>
          <w:szCs w:val="20"/>
        </w:rPr>
      </w:pPr>
      <w:r>
        <w:rPr>
          <w:sz w:val="16"/>
          <w:szCs w:val="16"/>
        </w:rPr>
        <w:t xml:space="preserve">(2) Based on </w:t>
      </w:r>
      <w:r>
        <w:rPr>
          <w:sz w:val="16"/>
          <w:szCs w:val="16"/>
        </w:rPr>
        <w:t>information reported on a Schedule 13G filed on February 14, 2022, consists of shares of common stock held by Norwest Venture Partners XIII, LP (“NVP XIII”). Genesis VC Partners XIII, LLC is the general partner of NVP XIII and may be deemed to have sole vo</w:t>
      </w:r>
      <w:r>
        <w:rPr>
          <w:sz w:val="16"/>
          <w:szCs w:val="16"/>
        </w:rPr>
        <w:t>ting and dispositive power over the shares held by NVP XIII. NVP Associates, LLC, the managing member of Genesis VC Partners XIII, LLC and each of Promod Haque, Jeffrey Crowe and Jon Kossow, as Co-Chief Executive Officers of NVP Associates, LLC and members</w:t>
      </w:r>
      <w:r>
        <w:rPr>
          <w:sz w:val="16"/>
          <w:szCs w:val="16"/>
        </w:rPr>
        <w:t xml:space="preserve"> of the general partner, may be deemed to share voting and dispositive power over the shares held by NVP XIII. Such persons and entities disclaim beneficial ownership of the shares held by NVP XIII, except to the extent of any proportionate pecuniary inter</w:t>
      </w:r>
      <w:r>
        <w:rPr>
          <w:sz w:val="16"/>
          <w:szCs w:val="16"/>
        </w:rPr>
        <w:t>est therein. Mr. Crowe serves as a member of our board of directors. The address for these entities is 525 University Avenue, #800, Palo Alto, CA 94301</w:t>
      </w:r>
      <w:r>
        <w:rPr>
          <w:sz w:val="16"/>
          <w:szCs w:val="16"/>
        </w:rPr>
        <w:t>.</w:t>
      </w:r>
    </w:p>
    <w:p w:rsidR="00000000" w:rsidRDefault="00AF2D19">
      <w:pPr>
        <w:pStyle w:val="a3"/>
        <w:spacing w:before="60" w:beforeAutospacing="0" w:after="0" w:afterAutospacing="0"/>
        <w:jc w:val="both"/>
        <w:rPr>
          <w:sz w:val="20"/>
          <w:szCs w:val="20"/>
        </w:rPr>
      </w:pPr>
      <w:r>
        <w:rPr>
          <w:sz w:val="16"/>
          <w:szCs w:val="16"/>
        </w:rPr>
        <w:t>(3) Based on information reported on a Schedule 13D filed on July 2, 2021, consists of shares of common</w:t>
      </w:r>
      <w:r>
        <w:rPr>
          <w:sz w:val="16"/>
          <w:szCs w:val="16"/>
        </w:rPr>
        <w:t xml:space="preserve"> stock held by Spark Capital IV, L.P. ("Spark IV"), Spark Capital Founders’ Fund IV, L.P. ("Spark FF IV" and together with Spark IV, the "Spark Funds"), Spark Management Partners IV, LLC ("Spark IV GP") (collectively, the “Spark Entities”). Spark IV GP is </w:t>
      </w:r>
      <w:r>
        <w:rPr>
          <w:sz w:val="16"/>
          <w:szCs w:val="16"/>
        </w:rPr>
        <w:t>the general partner of each of the Spark Entities and may be deemed to have voting, investment and dispositive power with respect to these securities. Each of Santo Politi, Bijan Sabet, Paul Conway and Alex Finkelstein is a managing member of the general p</w:t>
      </w:r>
      <w:r>
        <w:rPr>
          <w:sz w:val="16"/>
          <w:szCs w:val="16"/>
        </w:rPr>
        <w:t>artner of these funds, which makes all voting and investment decisions for these funds through the vote of such managing members. The address of these entities is 200 Clarendon St., Floor 59, Boston, MA 02116</w:t>
      </w:r>
      <w:r>
        <w:rPr>
          <w:sz w:val="16"/>
          <w:szCs w:val="16"/>
        </w:rPr>
        <w:t>.</w:t>
      </w:r>
    </w:p>
    <w:p w:rsidR="00000000" w:rsidRDefault="00AF2D19">
      <w:pPr>
        <w:pStyle w:val="a3"/>
        <w:spacing w:before="60" w:beforeAutospacing="0" w:after="0" w:afterAutospacing="0"/>
        <w:jc w:val="both"/>
        <w:rPr>
          <w:sz w:val="20"/>
          <w:szCs w:val="20"/>
        </w:rPr>
      </w:pPr>
      <w:r>
        <w:rPr>
          <w:sz w:val="16"/>
          <w:szCs w:val="16"/>
        </w:rPr>
        <w:t>(4) Based on information reported on a Schedul</w:t>
      </w:r>
      <w:r>
        <w:rPr>
          <w:sz w:val="16"/>
          <w:szCs w:val="16"/>
        </w:rPr>
        <w:t>e 13D filed on July 1, 2021, consists of shares of common stock that held by Qumra Capital II, L.P (“Qumra II”). Qumra Capital GP II, L.P. (“Qumra GP II”) is the general partner of Qumra II and Qumra Capital Israel I Ltd. (“Qumra Capital Ltd.”) is the gene</w:t>
      </w:r>
      <w:r>
        <w:rPr>
          <w:sz w:val="16"/>
          <w:szCs w:val="16"/>
        </w:rPr>
        <w:t>ral partner of Qumra GP II. Boaz Dinte and Erez Shachar serve as the managing partners of Qumra Capital Ltd. and share voting and dispositive power with respect to the shares held by Qumra II. Mr. Shachar serves as a member of our board of directors. The a</w:t>
      </w:r>
      <w:r>
        <w:rPr>
          <w:sz w:val="16"/>
          <w:szCs w:val="16"/>
        </w:rPr>
        <w:t>ddress for these entities are c/o Qumra Capital, HaNevi’im St 4, Tel Aviv-Yafo, Israel</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(5) Based on information reported on a Schedule 13G filed on July 2, 2021, consists of shares of common stock held by Revolution Growth III, LP (“Revolution Growth III</w:t>
      </w:r>
      <w:r>
        <w:rPr>
          <w:sz w:val="16"/>
          <w:szCs w:val="16"/>
        </w:rPr>
        <w:t>”). Steven J. Murray is the operating manager of Revolution Growth UGP III, LLC (“Revolution Growth UGP III”), the general partner of Revolution Growth GP III, LP (“Revolution Growth GP III”), which is the general partner of Revolution Growth III. Revoluti</w:t>
      </w:r>
      <w:r>
        <w:rPr>
          <w:sz w:val="16"/>
          <w:szCs w:val="16"/>
        </w:rPr>
        <w:t xml:space="preserve">on Growth UGP III, Revolution Growth GP III and Mr. Murray may be deemed to have voting power with respect to the shares held by Revolution Growth III. Revolution Growth UGP III, Revolution Growth GP III, Revolution Growth III, and Mr. Murray, Theodore J. </w:t>
      </w:r>
      <w:r>
        <w:rPr>
          <w:sz w:val="16"/>
          <w:szCs w:val="16"/>
        </w:rPr>
        <w:t>Leonsis and Stephen M. Case, as members of Revolution Growth UGP III’s investment committee, may be deemed to share dispositive power over such shares. The address of these entities is 1717 Rhode Island Avenue, NW, 10th Floor, Washington, D.C. 20036</w:t>
      </w:r>
      <w:r>
        <w:rPr>
          <w:sz w:val="16"/>
          <w:szCs w:val="16"/>
        </w:rPr>
        <w:t>.</w:t>
      </w:r>
    </w:p>
    <w:p w:rsidR="00000000" w:rsidRDefault="00AF2D19">
      <w:pPr>
        <w:pStyle w:val="a3"/>
        <w:spacing w:before="60" w:beforeAutospacing="0" w:after="0" w:afterAutospacing="0"/>
        <w:jc w:val="both"/>
        <w:rPr>
          <w:sz w:val="20"/>
          <w:szCs w:val="20"/>
        </w:rPr>
      </w:pPr>
      <w:r>
        <w:rPr>
          <w:sz w:val="16"/>
          <w:szCs w:val="16"/>
        </w:rPr>
        <w:t>(6) B</w:t>
      </w:r>
      <w:r>
        <w:rPr>
          <w:sz w:val="16"/>
          <w:szCs w:val="16"/>
        </w:rPr>
        <w:t>ased on information reported on a Schedule 13G/A filed on February 14, 2022, consists of (i) 774,039 shares held by Firstime Ventures L.P., (ii) 1,798,294 shares held by Firstime Investors A LP, (iii) 4,959,435 shares held by Firstime Ventures (A) L.P. (co</w:t>
      </w:r>
      <w:r>
        <w:rPr>
          <w:sz w:val="16"/>
          <w:szCs w:val="16"/>
        </w:rPr>
        <w:t xml:space="preserve">llectively, the “Firstime Entities”) and (iv) 213,940 shares held by Nextime Ventures I L.P. (“Nextime”). Firstime Ventures G.P Ltd. (“GPGP”), is the managing member of the Firstime Entities, and is the general partner of Firstime Ventures General Partner </w:t>
      </w:r>
      <w:r>
        <w:rPr>
          <w:sz w:val="16"/>
          <w:szCs w:val="16"/>
        </w:rPr>
        <w:t>L.P., which in turn is the general partner of the Firstime Entities and may be deemed to have voting and dispositive power over the shares held by the Firstime Entities. Ilan Shiloah, Nir Tarlovsky and Jonathan Benartzi serve as Managing Partners of GPGP a</w:t>
      </w:r>
      <w:r>
        <w:rPr>
          <w:sz w:val="16"/>
          <w:szCs w:val="16"/>
        </w:rPr>
        <w:t>nd may be deemed to share voting and dispositive power with respect to the shares held by the Firstime Entities. Firstime Ventures 2 G.P Ltd. (“GPGP 2”) is the general partner of Nextime Ventures General Partner L.P., which in turn is the general partner o</w:t>
      </w:r>
      <w:r>
        <w:rPr>
          <w:sz w:val="16"/>
          <w:szCs w:val="16"/>
        </w:rPr>
        <w:t>f Nextime. Ilan Shiloah, Nir Tarlovsky and Jonathan Benartzi serve as Managing Partners of GPGP 2 and may be deemed to share voting and dispositive power with respect to the shares held by Nextime. The address for these entities is 6 Hanehoshet Street, Tel</w:t>
      </w:r>
      <w:r>
        <w:rPr>
          <w:sz w:val="16"/>
          <w:szCs w:val="16"/>
        </w:rPr>
        <w:t>-Aviv, Israel 6971070</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(7) Consists of (i) 1,267,726 shares of common stock held directly by Oren Frank, (ii) 474,719 shares of common stock held by the Oren Frank 2018 Trust and (iii) 3,740,087 shares of common stock issuable upon the exercise of options</w:t>
      </w:r>
      <w:r>
        <w:rPr>
          <w:sz w:val="16"/>
          <w:szCs w:val="16"/>
        </w:rPr>
        <w:t xml:space="preserve"> or vesting of restricted stock units, exercisable as of or within 60 days of February 15, 2022</w:t>
      </w:r>
      <w:r>
        <w:rPr>
          <w:sz w:val="16"/>
          <w:szCs w:val="16"/>
        </w:rPr>
        <w:t>.</w:t>
      </w:r>
    </w:p>
    <w:p w:rsidR="00000000" w:rsidRDefault="00AF2D19">
      <w:pPr>
        <w:pStyle w:val="a3"/>
        <w:spacing w:before="60" w:beforeAutospacing="0" w:after="0" w:afterAutospacing="0"/>
        <w:jc w:val="both"/>
        <w:rPr>
          <w:sz w:val="20"/>
          <w:szCs w:val="20"/>
        </w:rPr>
      </w:pPr>
      <w:r>
        <w:rPr>
          <w:sz w:val="16"/>
          <w:szCs w:val="16"/>
        </w:rPr>
        <w:t>(8) Consists of 1,840,579 shares of common stock issuable upon the exercise of options or vesting of restricted stock units, exercisable as of or within 60 day</w:t>
      </w:r>
      <w:r>
        <w:rPr>
          <w:sz w:val="16"/>
          <w:szCs w:val="16"/>
        </w:rPr>
        <w:t>s of February 15, 2022</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(9) Consists of (i) 1,267,726 shares of common stock held directly by Roni Frank, (ii) 474,719 shares of common stock held by the Roni Frank 2018 Trust and (iii) 3,469,387 shares of common stock issuable upon the exercise of option</w:t>
      </w:r>
      <w:r>
        <w:rPr>
          <w:sz w:val="16"/>
          <w:szCs w:val="16"/>
        </w:rPr>
        <w:t>s or vesting of restricted stock units, exercisable as of or within 60 days of February 15, 2022</w:t>
      </w:r>
      <w:r>
        <w:rPr>
          <w:sz w:val="16"/>
          <w:szCs w:val="16"/>
        </w:rPr>
        <w:t>.</w:t>
      </w:r>
    </w:p>
    <w:p w:rsidR="00000000" w:rsidRDefault="00AF2D19">
      <w:pPr>
        <w:pStyle w:val="a3"/>
        <w:spacing w:before="60" w:beforeAutospacing="0" w:after="0" w:afterAutospacing="0"/>
        <w:jc w:val="both"/>
        <w:rPr>
          <w:sz w:val="20"/>
          <w:szCs w:val="20"/>
        </w:rPr>
      </w:pPr>
      <w:r>
        <w:rPr>
          <w:sz w:val="16"/>
          <w:szCs w:val="16"/>
        </w:rPr>
        <w:t>(10) Consists of (i) 2,274,446 shares of common stock owned jointly among Samara Braunstein and her spouse, including through a trust, (ii) 2,270,000 shares o</w:t>
      </w:r>
      <w:r>
        <w:rPr>
          <w:sz w:val="16"/>
          <w:szCs w:val="16"/>
        </w:rPr>
        <w:t>f common stock beneficially owned jointly among Ms. Braunstein and her spouse through the ownership of warrants exercisable within 60 days of the date of February 15, 2022 and (ii) 281,181 shares of common stock held directly by Ms. Braunstein issuable upo</w:t>
      </w:r>
      <w:r>
        <w:rPr>
          <w:sz w:val="16"/>
          <w:szCs w:val="16"/>
        </w:rPr>
        <w:t>n the exercise of options or vesting of restricted stock units, exercisable as of or within 60 days of February 15, 2022. Ms. Braunstein is the trustee of Braunstein 2015 Trust and therefore may be deemed to beneficially own the securities held by the Brau</w:t>
      </w:r>
      <w:r>
        <w:rPr>
          <w:sz w:val="16"/>
          <w:szCs w:val="16"/>
        </w:rPr>
        <w:t>nstein 2015 Trust</w:t>
      </w:r>
      <w:r>
        <w:rPr>
          <w:sz w:val="16"/>
          <w:szCs w:val="16"/>
        </w:rPr>
        <w:t>.</w:t>
      </w:r>
    </w:p>
    <w:p w:rsidR="00000000" w:rsidRDefault="00AF2D19">
      <w:pPr>
        <w:pStyle w:val="a3"/>
        <w:spacing w:before="60" w:beforeAutospacing="0" w:after="0" w:afterAutospacing="0"/>
        <w:jc w:val="both"/>
        <w:rPr>
          <w:sz w:val="20"/>
          <w:szCs w:val="20"/>
        </w:rPr>
      </w:pPr>
      <w:r>
        <w:rPr>
          <w:sz w:val="16"/>
          <w:szCs w:val="16"/>
        </w:rPr>
        <w:t>(11) Consists of shares of common stock issuable upon the exercise of options or vesting of restricted stock units, exercisable as of or within 60 days of February 15, 2022</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(12) Consists of (i) 257,679 shares of common stock and (ii) 2</w:t>
      </w:r>
      <w:r>
        <w:rPr>
          <w:sz w:val="16"/>
          <w:szCs w:val="16"/>
        </w:rPr>
        <w:t>11,148 shares of common stock issuable upon the exercise of options or vesting of restricted stock units, exercisable as of or within 60 days of February 15, 2022</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(13) See footnote 1</w:t>
      </w:r>
      <w:r>
        <w:rPr>
          <w:sz w:val="16"/>
          <w:szCs w:val="16"/>
        </w:rPr>
        <w:t>.</w:t>
      </w:r>
    </w:p>
    <w:p w:rsidR="00000000" w:rsidRDefault="00AF2D19">
      <w:pPr>
        <w:pStyle w:val="a3"/>
        <w:spacing w:before="60" w:beforeAutospacing="0" w:after="0" w:afterAutospacing="0"/>
        <w:jc w:val="both"/>
        <w:rPr>
          <w:sz w:val="20"/>
          <w:szCs w:val="20"/>
        </w:rPr>
      </w:pPr>
      <w:r>
        <w:rPr>
          <w:sz w:val="16"/>
          <w:szCs w:val="16"/>
        </w:rPr>
        <w:t>(14) Consists of shares of common stock held by NVP XIII. Mr. Crowe di</w:t>
      </w:r>
      <w:r>
        <w:rPr>
          <w:sz w:val="16"/>
          <w:szCs w:val="16"/>
        </w:rPr>
        <w:t>sclaims beneficial ownership of all such securities, except to the extent of any pecuniary interest therein. See footnote 2</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 xml:space="preserve">(15) Consists of shares of common stock held by Qumra II. Mr. Shachar disclaims beneficial ownership of the shares held of record </w:t>
      </w:r>
      <w:r>
        <w:rPr>
          <w:sz w:val="16"/>
          <w:szCs w:val="16"/>
        </w:rPr>
        <w:t>by Qumra II except to the extent of his pecuniary interest therein. See footnote 4</w:t>
      </w:r>
      <w:r>
        <w:rPr>
          <w:sz w:val="16"/>
          <w:szCs w:val="16"/>
        </w:rPr>
        <w:t>.</w:t>
      </w:r>
    </w:p>
    <w:p w:rsidR="00000000" w:rsidRDefault="00AF2D19">
      <w:pPr>
        <w:pStyle w:val="a3"/>
        <w:spacing w:before="0" w:beforeAutospacing="0" w:after="0" w:afterAutospacing="0"/>
        <w:jc w:val="center"/>
        <w:rPr>
          <w:sz w:val="20"/>
          <w:szCs w:val="20"/>
        </w:rPr>
      </w:pPr>
      <w:r>
        <w:rPr>
          <w:sz w:val="20"/>
          <w:szCs w:val="20"/>
        </w:rPr>
        <w:t>12</w:t>
      </w:r>
      <w:r>
        <w:rPr>
          <w:sz w:val="20"/>
          <w:szCs w:val="20"/>
        </w:rPr>
        <w:t>2</w:t>
      </w:r>
    </w:p>
    <w:p w:rsidR="00000000" w:rsidRDefault="00AF2D19">
      <w:pPr>
        <w:rPr>
          <w:rFonts w:eastAsia="Times New Roman"/>
        </w:rPr>
      </w:pPr>
      <w:r>
        <w:rPr>
          <w:rFonts w:eastAsia="Times New Roman"/>
        </w:rPr>
        <w:pict>
          <v:rect id="_x0000_i1150"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60" w:beforeAutospacing="0" w:after="0" w:afterAutospacing="0"/>
        <w:jc w:val="both"/>
        <w:rPr>
          <w:sz w:val="20"/>
          <w:szCs w:val="20"/>
        </w:rPr>
      </w:pPr>
      <w:r>
        <w:rPr>
          <w:sz w:val="16"/>
          <w:szCs w:val="16"/>
        </w:rPr>
        <w:t>(16) Consists of (i) 37,149,134 shares of common stock, (ii) 9,910,000 shares of co</w:t>
      </w:r>
      <w:r>
        <w:rPr>
          <w:sz w:val="16"/>
          <w:szCs w:val="16"/>
        </w:rPr>
        <w:t>mmon stock issuable upon the exercise of warrants and (iii) 3,265,249 shares of common stock issuable upon the exercise of options or vesting of restricted stock units, exercisable as of or within 60 days of February 15, 2022</w:t>
      </w:r>
      <w:r>
        <w:rPr>
          <w:sz w:val="16"/>
          <w:szCs w:val="16"/>
        </w:rPr>
        <w:t>.</w:t>
      </w:r>
      <w:r>
        <w:rPr>
          <w:sz w:val="16"/>
          <w:szCs w:val="16"/>
        </w:rPr>
        <w:t xml:space="preserve"> </w:t>
      </w:r>
    </w:p>
    <w:p w:rsidR="00000000" w:rsidRDefault="00AF2D19">
      <w:pPr>
        <w:pStyle w:val="a3"/>
        <w:spacing w:before="60" w:beforeAutospacing="0" w:after="0" w:afterAutospacing="0"/>
        <w:jc w:val="both"/>
        <w:rPr>
          <w:sz w:val="20"/>
          <w:szCs w:val="20"/>
        </w:rPr>
      </w:pPr>
      <w:r>
        <w:rPr>
          <w:sz w:val="16"/>
          <w:szCs w:val="16"/>
        </w:rPr>
        <w:t> </w:t>
      </w:r>
    </w:p>
    <w:p w:rsidR="00000000" w:rsidRDefault="00AF2D19">
      <w:pPr>
        <w:pStyle w:val="a3"/>
        <w:spacing w:before="0" w:beforeAutospacing="0" w:after="0" w:afterAutospacing="0"/>
        <w:jc w:val="both"/>
        <w:rPr>
          <w:sz w:val="20"/>
          <w:szCs w:val="20"/>
        </w:rPr>
      </w:pPr>
      <w:r>
        <w:rPr>
          <w:b/>
          <w:bCs/>
          <w:sz w:val="20"/>
          <w:szCs w:val="20"/>
        </w:rPr>
        <w:t xml:space="preserve">Securities Authorized for </w:t>
      </w:r>
      <w:r>
        <w:rPr>
          <w:b/>
          <w:bCs/>
          <w:sz w:val="20"/>
          <w:szCs w:val="20"/>
        </w:rPr>
        <w:t>Issuance Under Equity Compensation Plan</w:t>
      </w:r>
      <w:r>
        <w:rPr>
          <w:b/>
          <w:bCs/>
          <w:sz w:val="20"/>
          <w:szCs w:val="20"/>
        </w:rPr>
        <w:t>s</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center"/>
        <w:rPr>
          <w:sz w:val="20"/>
          <w:szCs w:val="20"/>
        </w:rPr>
      </w:pPr>
      <w:r>
        <w:rPr>
          <w:b/>
          <w:bCs/>
          <w:sz w:val="20"/>
          <w:szCs w:val="20"/>
        </w:rPr>
        <w:t>As of December 31, 202</w:t>
      </w:r>
      <w:r>
        <w:rPr>
          <w:b/>
          <w:bCs/>
          <w:sz w:val="20"/>
          <w:szCs w:val="20"/>
        </w:rPr>
        <w:t>1</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3"/>
        <w:gridCol w:w="95"/>
        <w:gridCol w:w="96"/>
        <w:gridCol w:w="1630"/>
        <w:gridCol w:w="95"/>
        <w:gridCol w:w="95"/>
        <w:gridCol w:w="131"/>
        <w:gridCol w:w="1268"/>
        <w:gridCol w:w="95"/>
        <w:gridCol w:w="95"/>
        <w:gridCol w:w="96"/>
        <w:gridCol w:w="1457"/>
        <w:gridCol w:w="110"/>
      </w:tblGrid>
      <w:tr w:rsidR="00000000">
        <w:trPr>
          <w:tblCellSpacing w:w="15" w:type="dxa"/>
        </w:trPr>
        <w:tc>
          <w:tcPr>
            <w:tcW w:w="1917" w:type="pct"/>
            <w:vAlign w:val="center"/>
            <w:hideMark/>
          </w:tcPr>
          <w:p w:rsidR="00000000" w:rsidRDefault="00AF2D19">
            <w:pPr>
              <w:rPr>
                <w:sz w:val="20"/>
                <w:szCs w:val="20"/>
              </w:rPr>
            </w:pPr>
          </w:p>
        </w:tc>
        <w:tc>
          <w:tcPr>
            <w:tcW w:w="53"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1035"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53"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806"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53"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925"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b/>
                <w:bCs/>
                <w:sz w:val="14"/>
                <w:szCs w:val="14"/>
              </w:rPr>
              <w:t>Plan category</w:t>
            </w: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Number of Securities to</w:t>
            </w:r>
            <w:r>
              <w:rPr>
                <w:b/>
                <w:bCs/>
                <w:sz w:val="14"/>
                <w:szCs w:val="14"/>
              </w:rPr>
              <w:br/>
              <w:t>be Issued Upon Exercise</w:t>
            </w:r>
            <w:r>
              <w:rPr>
                <w:b/>
                <w:bCs/>
                <w:sz w:val="14"/>
                <w:szCs w:val="14"/>
              </w:rPr>
              <w:br/>
              <w:t>of Outstanding Options,</w:t>
            </w:r>
            <w:r>
              <w:rPr>
                <w:b/>
                <w:bCs/>
                <w:sz w:val="14"/>
                <w:szCs w:val="14"/>
              </w:rPr>
              <w:br/>
            </w:r>
            <w:r>
              <w:rPr>
                <w:b/>
                <w:bCs/>
                <w:sz w:val="14"/>
                <w:szCs w:val="14"/>
              </w:rPr>
              <w:t>Warrants, and Rights and Vesting of Stock Award</w:t>
            </w:r>
            <w:r>
              <w:rPr>
                <w:b/>
                <w:bCs/>
                <w:sz w:val="14"/>
                <w:szCs w:val="14"/>
              </w:rPr>
              <w:t>s</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Weighted-Average</w:t>
            </w:r>
            <w:r>
              <w:rPr>
                <w:b/>
                <w:bCs/>
                <w:sz w:val="14"/>
                <w:szCs w:val="14"/>
              </w:rPr>
              <w:br/>
              <w:t>Exercise Price of</w:t>
            </w:r>
            <w:r>
              <w:rPr>
                <w:b/>
                <w:bCs/>
                <w:sz w:val="14"/>
                <w:szCs w:val="14"/>
              </w:rPr>
              <w:br/>
              <w:t>Outstanding Options,</w:t>
            </w:r>
            <w:r>
              <w:rPr>
                <w:b/>
                <w:bCs/>
                <w:sz w:val="14"/>
                <w:szCs w:val="14"/>
              </w:rPr>
              <w:br/>
              <w:t>Warrants, and Right</w:t>
            </w:r>
            <w:r>
              <w:rPr>
                <w:b/>
                <w:bCs/>
                <w:sz w:val="14"/>
                <w:szCs w:val="14"/>
              </w:rPr>
              <w:t>s</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Number of Securities</w:t>
            </w:r>
            <w:r>
              <w:rPr>
                <w:b/>
                <w:bCs/>
                <w:sz w:val="14"/>
                <w:szCs w:val="14"/>
              </w:rPr>
              <w:br/>
              <w:t>Available for Future</w:t>
            </w:r>
            <w:r>
              <w:rPr>
                <w:b/>
                <w:bCs/>
                <w:sz w:val="14"/>
                <w:szCs w:val="14"/>
              </w:rPr>
              <w:br/>
              <w:t>Issuance Under Equity</w:t>
            </w:r>
            <w:r>
              <w:rPr>
                <w:b/>
                <w:bCs/>
                <w:sz w:val="14"/>
                <w:szCs w:val="14"/>
              </w:rPr>
              <w:br/>
              <w:t>Compensation Plans</w:t>
            </w:r>
            <w:r>
              <w:rPr>
                <w:b/>
                <w:bCs/>
                <w:sz w:val="14"/>
                <w:szCs w:val="14"/>
              </w:rPr>
              <w:br/>
            </w:r>
            <w:r>
              <w:rPr>
                <w:b/>
                <w:bCs/>
                <w:sz w:val="14"/>
                <w:szCs w:val="14"/>
              </w:rPr>
              <w:t>(excludes securities</w:t>
            </w:r>
            <w:r>
              <w:rPr>
                <w:b/>
                <w:bCs/>
                <w:sz w:val="14"/>
                <w:szCs w:val="14"/>
              </w:rPr>
              <w:br/>
              <w:t>Reflected in first column</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Equity compensation plans not approved by security holder</w:t>
            </w:r>
            <w:r>
              <w:rPr>
                <w:sz w:val="14"/>
                <w:szCs w:val="14"/>
              </w:rPr>
              <w:t>s</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Equity compensation plans approved by security holders</w:t>
            </w:r>
            <w:r>
              <w:rPr>
                <w:sz w:val="14"/>
                <w:szCs w:val="14"/>
              </w:rPr>
              <w:t xml:space="preserve"> </w:t>
            </w:r>
            <w:r>
              <w:rPr>
                <w:sz w:val="9"/>
                <w:szCs w:val="9"/>
              </w:rPr>
              <w:t>(1) (2</w:t>
            </w:r>
            <w:r>
              <w:rPr>
                <w:sz w:val="9"/>
                <w:szCs w:val="9"/>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22,474,29</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2.2</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11,851,64</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Tota</w:t>
            </w:r>
            <w:r>
              <w:rPr>
                <w:sz w:val="14"/>
                <w:szCs w:val="14"/>
              </w:rPr>
              <w:t>l</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22,474,29</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2.2</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11,851,64</w:t>
            </w:r>
            <w:r>
              <w:rPr>
                <w:sz w:val="14"/>
                <w:szCs w:val="14"/>
              </w:rPr>
              <w:t>9</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both"/>
        <w:rPr>
          <w:sz w:val="20"/>
          <w:szCs w:val="20"/>
        </w:rPr>
      </w:pPr>
      <w:r>
        <w:rPr>
          <w:sz w:val="16"/>
          <w:szCs w:val="16"/>
        </w:rPr>
        <w:t>(1) Consists of the 2014 Stock Incentive Plan (the “2014 Plan”), 2021 Incentive Award Plan (the “2021 Plan”) and 2021 Employee Stock Purchase Plan (the “2021 ESPP”</w:t>
      </w:r>
      <w:r>
        <w:rPr>
          <w:sz w:val="16"/>
          <w:szCs w:val="16"/>
        </w:rPr>
        <w:t>). The number of shares of common stock reserved for issuance under the 2021 Plan will increased on the first day of each calendar year beginning on January 1, 2022 and ending on and including January 1, 2031, by a number equal to the lesser of (i) a numbe</w:t>
      </w:r>
      <w:r>
        <w:rPr>
          <w:sz w:val="16"/>
          <w:szCs w:val="16"/>
        </w:rPr>
        <w:t>r equal to five percent (5%) of the aggregate number of shares of common stock outstanding on the final day of the immediately preceding calendar year and (ii) such smaller number of Shares (as defined in the 2021 Plan) as is determined by the board of dir</w:t>
      </w:r>
      <w:r>
        <w:rPr>
          <w:sz w:val="16"/>
          <w:szCs w:val="16"/>
        </w:rPr>
        <w:t>ectors. The number of shares of common stock reserved for issuance under the 2021 ESPP will also increase on the first day of each calendar year beginning on January 1, 2022 and ending on and including January 1, 2031 by a equal to the lesser of (a) one pe</w:t>
      </w:r>
      <w:r>
        <w:rPr>
          <w:sz w:val="16"/>
          <w:szCs w:val="16"/>
        </w:rPr>
        <w:t>rcent (1%) of the aggregate number of Shares outstanding on the final day of the immediately preceding calendar year and (b) such smaller number of Shares as determined by the board of directors</w:t>
      </w:r>
      <w:r>
        <w:rPr>
          <w:sz w:val="16"/>
          <w:szCs w:val="16"/>
        </w:rPr>
        <w:t>.</w:t>
      </w:r>
    </w:p>
    <w:p w:rsidR="00000000" w:rsidRDefault="00AF2D19">
      <w:pPr>
        <w:pStyle w:val="a3"/>
        <w:spacing w:before="60" w:beforeAutospacing="0" w:after="0" w:afterAutospacing="0"/>
        <w:jc w:val="both"/>
        <w:rPr>
          <w:sz w:val="20"/>
          <w:szCs w:val="20"/>
        </w:rPr>
      </w:pPr>
      <w:r>
        <w:rPr>
          <w:sz w:val="16"/>
          <w:szCs w:val="16"/>
        </w:rPr>
        <w:t>(2) Consists of 20,144,202 outstanding options under the 201</w:t>
      </w:r>
      <w:r>
        <w:rPr>
          <w:sz w:val="16"/>
          <w:szCs w:val="16"/>
        </w:rPr>
        <w:t>4 Plan and 2021 Plan (including 650,000 warrants issued to consultant) and 2,330,094 nonvested restricted stock units under the 2021 Plan</w:t>
      </w:r>
      <w:r>
        <w:rPr>
          <w:sz w:val="16"/>
          <w:szCs w:val="16"/>
        </w:rPr>
        <w:t>.</w:t>
      </w:r>
    </w:p>
    <w:p w:rsidR="00000000" w:rsidRDefault="00AF2D19">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13. CERTAIN RELATIONSHIPS AND RELATED TRANSACTIONS, AND DIRECTOR INDEPENDENC</w:t>
      </w:r>
      <w:r>
        <w:rPr>
          <w:b/>
          <w:bCs/>
          <w:sz w:val="20"/>
          <w:szCs w:val="20"/>
        </w:rPr>
        <w:t>E</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sz w:val="20"/>
          <w:szCs w:val="20"/>
        </w:rPr>
        <w:t>Policies and Procedures for Approval of Related Person Transaction</w:t>
      </w:r>
      <w:r>
        <w:rPr>
          <w:b/>
          <w:bCs/>
          <w:sz w:val="20"/>
          <w:szCs w:val="20"/>
        </w:rPr>
        <w:t>s</w:t>
      </w:r>
    </w:p>
    <w:p w:rsidR="00000000" w:rsidRDefault="00AF2D19">
      <w:pPr>
        <w:pStyle w:val="a3"/>
        <w:spacing w:before="120" w:beforeAutospacing="0" w:after="120" w:afterAutospacing="0"/>
        <w:jc w:val="both"/>
        <w:rPr>
          <w:sz w:val="20"/>
          <w:szCs w:val="20"/>
        </w:rPr>
      </w:pPr>
      <w:r>
        <w:rPr>
          <w:sz w:val="20"/>
          <w:szCs w:val="20"/>
        </w:rPr>
        <w:t>Our Board of Directors has adopted a written Related Person Transaction Policy, setting forth the policies and procedures for the review and approval or ratification of related person tran</w:t>
      </w:r>
      <w:r>
        <w:rPr>
          <w:sz w:val="20"/>
          <w:szCs w:val="20"/>
        </w:rPr>
        <w:t>sactions. Under the policy, our finance department is primarily responsible for developing and implementing processes and procedures to obtain information regarding related persons with respect to potential related person transactions and then determining,</w:t>
      </w:r>
      <w:r>
        <w:rPr>
          <w:sz w:val="20"/>
          <w:szCs w:val="20"/>
        </w:rPr>
        <w:t xml:space="preserve"> based on the facts and circumstances, whether such potential related person transactions do, in fact, constitute related person transactions requiring compliance with the policy. If our finance department determines that a transaction or relationship is a</w:t>
      </w:r>
      <w:r>
        <w:rPr>
          <w:sz w:val="20"/>
          <w:szCs w:val="20"/>
        </w:rPr>
        <w:t xml:space="preserve"> related person transaction requiring compliance with the policy, our Chief Financial Officer is required to present to the Audit Committee all relevant facts and circumstances relating to the related person transaction. Our Audit Committee must review the</w:t>
      </w:r>
      <w:r>
        <w:rPr>
          <w:sz w:val="20"/>
          <w:szCs w:val="20"/>
        </w:rPr>
        <w:t xml:space="preserve"> relevant facts and circumstances of each related person transaction, including if the transaction is on terms comparable to those that could be obtained in arm’s length dealings with an unrelated third party and the extent of the related person’s interest</w:t>
      </w:r>
      <w:r>
        <w:rPr>
          <w:sz w:val="20"/>
          <w:szCs w:val="20"/>
        </w:rPr>
        <w:t xml:space="preserve"> in the transaction, take into account the conflicts of interest and corporate opportunity provisions of our Code of Business Conduct and Ethics, and either approve or disapprove the related person transaction. If advance Audit Committee approval of a rela</w:t>
      </w:r>
      <w:r>
        <w:rPr>
          <w:sz w:val="20"/>
          <w:szCs w:val="20"/>
        </w:rPr>
        <w:t xml:space="preserve">ted person transaction requiring the Audit Committee’s approval is not feasible, then the transaction may be preliminarily entered into by management upon prior approval of the transaction by the chair of the Audit Committee subject to ratification of the </w:t>
      </w:r>
      <w:r>
        <w:rPr>
          <w:sz w:val="20"/>
          <w:szCs w:val="20"/>
        </w:rPr>
        <w:t>transaction by the Audit Committee at the Audit Committee’s next regularly scheduled meeting; provided, that if ratification is not forthcoming, management will make all reasonable efforts to cancel or annul the transaction. If a transaction was not initia</w:t>
      </w:r>
      <w:r>
        <w:rPr>
          <w:sz w:val="20"/>
          <w:szCs w:val="20"/>
        </w:rPr>
        <w:t>lly recognized as a related person, then upon such recognition the transaction will be presented to the Audit Committee for ratification at the Audit Committee’s next regularly scheduled meeting; provided, that if ratification is not forthcoming, managemen</w:t>
      </w:r>
      <w:r>
        <w:rPr>
          <w:sz w:val="20"/>
          <w:szCs w:val="20"/>
        </w:rPr>
        <w:t>t will make all reasonable efforts to cancel or annul the transaction. Our management will update the Audit Committee as to any material changes to any approved or ratified related person transaction and will provide a status report at least annually of al</w:t>
      </w:r>
      <w:r>
        <w:rPr>
          <w:sz w:val="20"/>
          <w:szCs w:val="20"/>
        </w:rPr>
        <w:t>l then current related person transactions. No director may participate in approval of a related person transaction for which he or she is a related person</w:t>
      </w:r>
      <w:r>
        <w:rPr>
          <w:sz w:val="20"/>
          <w:szCs w:val="20"/>
        </w:rPr>
        <w:t>.</w:t>
      </w:r>
    </w:p>
    <w:p w:rsidR="00000000" w:rsidRDefault="00AF2D19">
      <w:pPr>
        <w:pStyle w:val="a3"/>
        <w:spacing w:before="240" w:beforeAutospacing="0" w:after="120" w:afterAutospacing="0"/>
        <w:jc w:val="both"/>
        <w:rPr>
          <w:sz w:val="20"/>
          <w:szCs w:val="20"/>
        </w:rPr>
      </w:pPr>
      <w:r>
        <w:rPr>
          <w:b/>
          <w:bCs/>
          <w:sz w:val="20"/>
          <w:szCs w:val="20"/>
        </w:rPr>
        <w:t>Relationships and Transactions with Directors, Executive Officers and Significant Stockholder</w:t>
      </w:r>
      <w:r>
        <w:rPr>
          <w:b/>
          <w:bCs/>
          <w:sz w:val="20"/>
          <w:szCs w:val="20"/>
        </w:rPr>
        <w:t>s</w:t>
      </w:r>
    </w:p>
    <w:p w:rsidR="00000000" w:rsidRDefault="00AF2D19">
      <w:pPr>
        <w:pStyle w:val="a3"/>
        <w:spacing w:before="160" w:beforeAutospacing="0" w:after="120" w:afterAutospacing="0"/>
        <w:jc w:val="both"/>
        <w:rPr>
          <w:sz w:val="20"/>
          <w:szCs w:val="20"/>
        </w:rPr>
      </w:pPr>
      <w:r>
        <w:rPr>
          <w:b/>
          <w:bCs/>
          <w:sz w:val="20"/>
          <w:szCs w:val="20"/>
        </w:rPr>
        <w:t xml:space="preserve">HEC </w:t>
      </w:r>
      <w:r>
        <w:rPr>
          <w:b/>
          <w:bCs/>
          <w:sz w:val="20"/>
          <w:szCs w:val="20"/>
        </w:rPr>
        <w:t>Related Person Transaction</w:t>
      </w:r>
      <w:r>
        <w:rPr>
          <w:b/>
          <w:bCs/>
          <w:sz w:val="20"/>
          <w:szCs w:val="20"/>
        </w:rPr>
        <w:t>s</w:t>
      </w:r>
      <w:r>
        <w:rPr>
          <w:b/>
          <w:bCs/>
          <w:sz w:val="20"/>
          <w:szCs w:val="20"/>
        </w:rPr>
        <w:t xml:space="preserve"> </w:t>
      </w:r>
    </w:p>
    <w:p w:rsidR="00000000" w:rsidRDefault="00AF2D19">
      <w:pPr>
        <w:pStyle w:val="a3"/>
        <w:spacing w:before="160" w:beforeAutospacing="0" w:after="0" w:afterAutospacing="0"/>
        <w:rPr>
          <w:sz w:val="20"/>
          <w:szCs w:val="20"/>
        </w:rPr>
      </w:pPr>
      <w:r>
        <w:rPr>
          <w:b/>
          <w:bCs/>
          <w:i/>
          <w:iCs/>
          <w:sz w:val="20"/>
          <w:szCs w:val="20"/>
        </w:rPr>
        <w:t>Sponsor Support Agreemen</w:t>
      </w:r>
      <w:r>
        <w:rPr>
          <w:b/>
          <w:bCs/>
          <w:i/>
          <w:iCs/>
          <w:sz w:val="20"/>
          <w:szCs w:val="20"/>
        </w:rPr>
        <w:t>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In connection with the execution of the Merger Agreement, HEC, the HEC Insiders and Talkspace entered into the Sponsor Support Agreement pursuant to which the HEC Insiders agreed to, among other thing</w:t>
      </w:r>
      <w:r>
        <w:rPr>
          <w:sz w:val="20"/>
          <w:szCs w:val="20"/>
        </w:rPr>
        <w:t>s, vote to adopt and approve the Merger Agreement and the Transactions, in each case, subject to the terms and conditions of the Sponsor Support Agreement</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12</w:t>
      </w:r>
      <w:r>
        <w:rPr>
          <w:sz w:val="20"/>
          <w:szCs w:val="20"/>
        </w:rPr>
        <w:t>3</w:t>
      </w:r>
    </w:p>
    <w:p w:rsidR="00000000" w:rsidRDefault="00AF2D19">
      <w:pPr>
        <w:rPr>
          <w:rFonts w:eastAsia="Times New Roman"/>
        </w:rPr>
      </w:pPr>
      <w:r>
        <w:rPr>
          <w:rFonts w:eastAsia="Times New Roman"/>
        </w:rPr>
        <w:pict>
          <v:rect id="_x0000_i1151"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240" w:beforeAutospacing="0" w:after="0" w:afterAutospacing="0"/>
        <w:rPr>
          <w:sz w:val="20"/>
          <w:szCs w:val="20"/>
        </w:rPr>
      </w:pPr>
      <w:r>
        <w:rPr>
          <w:b/>
          <w:bCs/>
          <w:i/>
          <w:iCs/>
          <w:sz w:val="20"/>
          <w:szCs w:val="20"/>
        </w:rPr>
        <w:t>Registrat</w:t>
      </w:r>
      <w:r>
        <w:rPr>
          <w:b/>
          <w:bCs/>
          <w:i/>
          <w:iCs/>
          <w:sz w:val="20"/>
          <w:szCs w:val="20"/>
        </w:rPr>
        <w:t>ion Rights Agreemen</w:t>
      </w:r>
      <w:r>
        <w:rPr>
          <w:b/>
          <w:bCs/>
          <w:i/>
          <w:iCs/>
          <w:sz w:val="20"/>
          <w:szCs w:val="20"/>
        </w:rPr>
        <w:t>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At the Closing, HEC, the Sponsor, Talkspace’s independent directors, certain former stockholders of Talkspace and certain other parties thereto entered into an Amended and Restated Registration Rights Agreement, pursuant to which purs</w:t>
      </w:r>
      <w:r>
        <w:rPr>
          <w:sz w:val="20"/>
          <w:szCs w:val="20"/>
        </w:rPr>
        <w:t>uant to which Talkspace, Inc. agreed to register for resale, pursuant to Rule 415 under the Securities Act, certain shares of Talkspace common stock and other equity securities of Talkspace that are held by the parties thereto from time to time</w:t>
      </w:r>
      <w:r>
        <w:rPr>
          <w:sz w:val="20"/>
          <w:szCs w:val="20"/>
        </w:rPr>
        <w:t>.</w:t>
      </w:r>
      <w:r>
        <w:rPr>
          <w:sz w:val="20"/>
          <w:szCs w:val="20"/>
        </w:rPr>
        <w:t xml:space="preserve">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sz w:val="20"/>
          <w:szCs w:val="20"/>
        </w:rPr>
        <w:t>Talkspa</w:t>
      </w:r>
      <w:r>
        <w:rPr>
          <w:b/>
          <w:bCs/>
          <w:sz w:val="20"/>
          <w:szCs w:val="20"/>
        </w:rPr>
        <w:t>ce Related Person Transaction</w:t>
      </w:r>
      <w:r>
        <w:rPr>
          <w:b/>
          <w:bCs/>
          <w:sz w:val="20"/>
          <w:szCs w:val="20"/>
        </w:rPr>
        <w:t>s</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i/>
          <w:iCs/>
          <w:sz w:val="20"/>
          <w:szCs w:val="20"/>
        </w:rPr>
        <w:t>Director and Officer Indemnificatio</w:t>
      </w:r>
      <w:r>
        <w:rPr>
          <w:b/>
          <w:bCs/>
          <w:i/>
          <w:iCs/>
          <w:sz w:val="20"/>
          <w:szCs w:val="20"/>
        </w:rPr>
        <w:t>n</w:t>
      </w:r>
    </w:p>
    <w:p w:rsidR="00000000" w:rsidRDefault="00AF2D19">
      <w:pPr>
        <w:pStyle w:val="a3"/>
        <w:spacing w:before="120" w:beforeAutospacing="0" w:after="0" w:afterAutospacing="0"/>
        <w:jc w:val="both"/>
        <w:rPr>
          <w:sz w:val="20"/>
          <w:szCs w:val="20"/>
        </w:rPr>
      </w:pPr>
      <w:r>
        <w:rPr>
          <w:sz w:val="20"/>
          <w:szCs w:val="20"/>
        </w:rPr>
        <w:t>Our Certificate of Incorporation provides for indemnification and advancement of expenses for our directors and officers to the fullest extent permitted by the DGCL, subject to certain l</w:t>
      </w:r>
      <w:r>
        <w:rPr>
          <w:sz w:val="20"/>
          <w:szCs w:val="20"/>
        </w:rPr>
        <w:t>imited exceptions. In connection with the Closing, Talkspace we entered into indemnification agreements with each director and executive officer of Talkspace, Inc</w:t>
      </w:r>
      <w:r>
        <w:rPr>
          <w:sz w:val="20"/>
          <w:szCs w:val="20"/>
        </w:rPr>
        <w:t>.</w:t>
      </w:r>
      <w:r>
        <w:rPr>
          <w:sz w:val="20"/>
          <w:szCs w:val="20"/>
        </w:rPr>
        <w:t xml:space="preserve">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i/>
          <w:iCs/>
          <w:sz w:val="20"/>
          <w:szCs w:val="20"/>
        </w:rPr>
        <w:t>PIPE Investmen</w:t>
      </w:r>
      <w:r>
        <w:rPr>
          <w:b/>
          <w:bCs/>
          <w:i/>
          <w:iCs/>
          <w:sz w:val="20"/>
          <w:szCs w:val="20"/>
        </w:rPr>
        <w:t>t</w:t>
      </w:r>
      <w:r>
        <w:rPr>
          <w:b/>
          <w:bCs/>
          <w:i/>
          <w:iCs/>
          <w:sz w:val="20"/>
          <w:szCs w:val="20"/>
        </w:rPr>
        <w:t xml:space="preserve"> </w:t>
      </w:r>
    </w:p>
    <w:p w:rsidR="00000000" w:rsidRDefault="00AF2D19">
      <w:pPr>
        <w:pStyle w:val="a3"/>
        <w:spacing w:before="120" w:beforeAutospacing="0" w:after="0" w:afterAutospacing="0"/>
        <w:jc w:val="both"/>
        <w:rPr>
          <w:sz w:val="20"/>
          <w:szCs w:val="20"/>
        </w:rPr>
      </w:pPr>
      <w:r>
        <w:rPr>
          <w:sz w:val="20"/>
          <w:szCs w:val="20"/>
        </w:rPr>
        <w:t>Talkspace PIPE Investors entered into subscription agreements with HEC, pursuant to which the Talkspace PIPE Investors subscribed for shares of Talkspace, Inc.’s common stock in connection with the PIPE Investment</w:t>
      </w:r>
      <w:r>
        <w:rPr>
          <w:sz w:val="20"/>
          <w:szCs w:val="20"/>
        </w:rPr>
        <w:t>.</w:t>
      </w:r>
      <w:r>
        <w:rPr>
          <w:sz w:val="20"/>
          <w:szCs w:val="20"/>
        </w:rPr>
        <w:t xml:space="preserve">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rPr>
          <w:sz w:val="20"/>
          <w:szCs w:val="20"/>
        </w:rPr>
      </w:pPr>
      <w:r>
        <w:rPr>
          <w:b/>
          <w:bCs/>
          <w:sz w:val="20"/>
          <w:szCs w:val="20"/>
        </w:rPr>
        <w:t>Independence of the Board of Director</w:t>
      </w:r>
      <w:r>
        <w:rPr>
          <w:b/>
          <w:bCs/>
          <w:sz w:val="20"/>
          <w:szCs w:val="20"/>
        </w:rPr>
        <w:t>s</w:t>
      </w:r>
      <w:r>
        <w:rPr>
          <w:b/>
          <w:bCs/>
          <w:sz w:val="20"/>
          <w:szCs w:val="20"/>
        </w:rPr>
        <w:t xml:space="preserve"> </w:t>
      </w:r>
    </w:p>
    <w:p w:rsidR="00000000" w:rsidRDefault="00AF2D19">
      <w:pPr>
        <w:pStyle w:val="a3"/>
        <w:spacing w:before="120" w:beforeAutospacing="0" w:after="0" w:afterAutospacing="0"/>
        <w:jc w:val="both"/>
        <w:rPr>
          <w:sz w:val="20"/>
          <w:szCs w:val="20"/>
        </w:rPr>
      </w:pPr>
      <w:r>
        <w:rPr>
          <w:sz w:val="20"/>
          <w:szCs w:val="20"/>
        </w:rPr>
        <w:t>Our board of directors has determined that each of Jeffrey Crowe, Madhu Pawar, Erez Shachar, Curtis Warfield and Jacqueline Yeaney qualify as “independent” in accordance with the listing requirements of Nasdaq. The Nasdaq independence definition includes</w:t>
      </w:r>
      <w:r>
        <w:rPr>
          <w:sz w:val="20"/>
          <w:szCs w:val="20"/>
        </w:rPr>
        <w:t xml:space="preserve"> a series of objective tests, including that the director is not, and has not been for at least three years, one of our employees and that neither the director nor any of his family members has engaged in various types of business dealings with us. In addi</w:t>
      </w:r>
      <w:r>
        <w:rPr>
          <w:sz w:val="20"/>
          <w:szCs w:val="20"/>
        </w:rPr>
        <w:t>tion, as required by Nasdaq rules, our board of directors has made a subjective determination as to each independent director that no relationships exist, which, in the opinion of our board of directors, would interfere with the exercise of independent jud</w:t>
      </w:r>
      <w:r>
        <w:rPr>
          <w:sz w:val="20"/>
          <w:szCs w:val="20"/>
        </w:rPr>
        <w:t>gment in carrying out the responsibilities of a director. In making these determinations, our board of directors reviewed and discussed information provided by the directors and us with regard to each director’s business and personal activities and relatio</w:t>
      </w:r>
      <w:r>
        <w:rPr>
          <w:sz w:val="20"/>
          <w:szCs w:val="20"/>
        </w:rPr>
        <w:t>nships as they may relate to us and our management, including that Jeffrey Crowe and Erez Shachar are affiliated with certain of our significant stockholders</w:t>
      </w:r>
      <w:r>
        <w:rPr>
          <w:sz w:val="20"/>
          <w:szCs w:val="20"/>
        </w:rPr>
        <w:t>.</w:t>
      </w:r>
    </w:p>
    <w:p w:rsidR="00000000" w:rsidRDefault="00AF2D19">
      <w:pPr>
        <w:pStyle w:val="a3"/>
        <w:spacing w:before="360" w:beforeAutospacing="0" w:after="0" w:afterAutospacing="0"/>
        <w:rPr>
          <w:sz w:val="20"/>
          <w:szCs w:val="20"/>
        </w:rPr>
      </w:pPr>
      <w:r>
        <w:rPr>
          <w:b/>
          <w:bCs/>
          <w:sz w:val="20"/>
          <w:szCs w:val="20"/>
        </w:rPr>
        <w:t>It</w:t>
      </w:r>
      <w:r>
        <w:rPr>
          <w:b/>
          <w:bCs/>
          <w:sz w:val="20"/>
          <w:szCs w:val="20"/>
        </w:rPr>
        <w:t>e</w:t>
      </w:r>
      <w:r>
        <w:rPr>
          <w:b/>
          <w:bCs/>
          <w:sz w:val="20"/>
          <w:szCs w:val="20"/>
        </w:rPr>
        <w:t>m 14. PRINCIPAL ACCOUNTING FEES AND SERVICE</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The following table summarizes the fees of Kost F</w:t>
      </w:r>
      <w:r>
        <w:rPr>
          <w:sz w:val="20"/>
          <w:szCs w:val="20"/>
        </w:rPr>
        <w:t>orer Gabbay &amp; Kasierer, a member of Ernst &amp; Young Global (“Kost Forer Gabbay &amp; Kasierer”), our independent registered public accounting firm, billed to us for each of the last two fiscal years for audit services and billed to us for the years ended Decembe</w:t>
      </w:r>
      <w:r>
        <w:rPr>
          <w:sz w:val="20"/>
          <w:szCs w:val="20"/>
        </w:rPr>
        <w:t>r 31, 2021 and 2020</w:t>
      </w:r>
      <w:r>
        <w:rPr>
          <w:sz w:val="20"/>
          <w:szCs w:val="20"/>
        </w:rPr>
        <w:t>:</w:t>
      </w:r>
      <w:r>
        <w:rPr>
          <w:sz w:val="20"/>
          <w:szCs w:val="20"/>
        </w:rPr>
        <w:t xml:space="preserve"> </w:t>
      </w:r>
    </w:p>
    <w:p w:rsidR="00000000" w:rsidRDefault="00AF2D19">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5"/>
        <w:gridCol w:w="185"/>
        <w:gridCol w:w="130"/>
        <w:gridCol w:w="1240"/>
        <w:gridCol w:w="95"/>
        <w:gridCol w:w="140"/>
        <w:gridCol w:w="130"/>
        <w:gridCol w:w="1241"/>
        <w:gridCol w:w="110"/>
      </w:tblGrid>
      <w:tr w:rsidR="00000000">
        <w:trPr>
          <w:tblCellSpacing w:w="15" w:type="dxa"/>
        </w:trPr>
        <w:tc>
          <w:tcPr>
            <w:tcW w:w="3129" w:type="pct"/>
            <w:vAlign w:val="center"/>
            <w:hideMark/>
          </w:tcPr>
          <w:p w:rsidR="00000000" w:rsidRDefault="00AF2D19">
            <w:pPr>
              <w:rPr>
                <w:sz w:val="20"/>
                <w:szCs w:val="20"/>
              </w:rPr>
            </w:pPr>
          </w:p>
        </w:tc>
        <w:tc>
          <w:tcPr>
            <w:tcW w:w="111"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770"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c>
          <w:tcPr>
            <w:tcW w:w="83" w:type="pct"/>
            <w:vAlign w:val="center"/>
            <w:hideMark/>
          </w:tcPr>
          <w:p w:rsidR="00000000" w:rsidRDefault="00AF2D19">
            <w:pPr>
              <w:rPr>
                <w:rFonts w:eastAsia="Times New Roman"/>
                <w:sz w:val="20"/>
                <w:szCs w:val="20"/>
              </w:rPr>
            </w:pPr>
          </w:p>
        </w:tc>
        <w:tc>
          <w:tcPr>
            <w:tcW w:w="45" w:type="pct"/>
            <w:vAlign w:val="center"/>
            <w:hideMark/>
          </w:tcPr>
          <w:p w:rsidR="00000000" w:rsidRDefault="00AF2D19">
            <w:pPr>
              <w:rPr>
                <w:rFonts w:eastAsia="Times New Roman"/>
                <w:sz w:val="20"/>
                <w:szCs w:val="20"/>
              </w:rPr>
            </w:pPr>
          </w:p>
        </w:tc>
        <w:tc>
          <w:tcPr>
            <w:tcW w:w="770" w:type="pct"/>
            <w:vAlign w:val="center"/>
            <w:hideMark/>
          </w:tcPr>
          <w:p w:rsidR="00000000" w:rsidRDefault="00AF2D19">
            <w:pPr>
              <w:rPr>
                <w:rFonts w:eastAsia="Times New Roman"/>
                <w:sz w:val="20"/>
                <w:szCs w:val="20"/>
              </w:rPr>
            </w:pPr>
          </w:p>
        </w:tc>
        <w:tc>
          <w:tcPr>
            <w:tcW w:w="22" w:type="pct"/>
            <w:vAlign w:val="center"/>
            <w:hideMark/>
          </w:tcPr>
          <w:p w:rsidR="00000000" w:rsidRDefault="00AF2D19">
            <w:pPr>
              <w:rPr>
                <w:rFonts w:eastAsia="Times New Roman"/>
                <w:sz w:val="20"/>
                <w:szCs w:val="20"/>
              </w:rPr>
            </w:pP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AF2D19">
            <w:pPr>
              <w:pStyle w:val="a3"/>
              <w:spacing w:before="0" w:beforeAutospacing="0" w:after="0" w:afterAutospacing="0"/>
              <w:jc w:val="center"/>
              <w:rPr>
                <w:sz w:val="14"/>
                <w:szCs w:val="14"/>
              </w:rPr>
            </w:pPr>
            <w:r>
              <w:rPr>
                <w:b/>
                <w:bCs/>
                <w:sz w:val="14"/>
                <w:szCs w:val="14"/>
              </w:rPr>
              <w:t>Year Ended</w:t>
            </w:r>
            <w:r>
              <w:rPr>
                <w:b/>
                <w:bCs/>
                <w:sz w:val="14"/>
                <w:szCs w:val="14"/>
              </w:rPr>
              <w:br/>
              <w:t>December 31</w:t>
            </w:r>
            <w:r>
              <w:rPr>
                <w:b/>
                <w:bCs/>
                <w:sz w:val="14"/>
                <w:szCs w:val="14"/>
              </w:rPr>
              <w:t>,</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i/>
                <w:iCs/>
                <w:sz w:val="14"/>
                <w:szCs w:val="14"/>
              </w:rPr>
              <w:t>(in thousands</w:t>
            </w:r>
            <w:r>
              <w:rPr>
                <w:i/>
                <w:i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1</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b/>
                <w:bCs/>
                <w:sz w:val="14"/>
                <w:szCs w:val="14"/>
              </w:rPr>
              <w:t>202</w:t>
            </w:r>
            <w:r>
              <w:rPr>
                <w:b/>
                <w:bCs/>
                <w:sz w:val="14"/>
                <w:szCs w:val="14"/>
              </w:rPr>
              <w:t>0</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AF2D19">
            <w:pPr>
              <w:pStyle w:val="a3"/>
              <w:spacing w:before="0" w:beforeAutospacing="0" w:after="0" w:afterAutospacing="0"/>
              <w:rPr>
                <w:sz w:val="14"/>
                <w:szCs w:val="14"/>
              </w:rPr>
            </w:pPr>
            <w:r>
              <w:rPr>
                <w:b/>
                <w:bCs/>
                <w:sz w:val="14"/>
                <w:szCs w:val="14"/>
              </w:rPr>
              <w:t>Fee Category</w:t>
            </w:r>
            <w:r>
              <w:rPr>
                <w:b/>
                <w:bCs/>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F2D19">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Audit Fees</w:t>
            </w:r>
            <w:r>
              <w:rPr>
                <w:sz w:val="14"/>
                <w:szCs w:val="14"/>
              </w:rPr>
              <w:t xml:space="preserve"> </w:t>
            </w:r>
            <w:r>
              <w:rPr>
                <w:sz w:val="9"/>
                <w:szCs w:val="9"/>
              </w:rPr>
              <w:t>(1</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66</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32</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Audit-Related Fees</w:t>
            </w:r>
            <w:r>
              <w:rPr>
                <w:sz w:val="14"/>
                <w:szCs w:val="14"/>
              </w:rPr>
              <w:t xml:space="preserve"> </w:t>
            </w:r>
            <w:r>
              <w:rPr>
                <w:sz w:val="9"/>
                <w:szCs w:val="9"/>
              </w:rPr>
              <w:t>(2</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15</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Tax Fee</w:t>
            </w:r>
            <w:r>
              <w:rPr>
                <w:sz w:val="14"/>
                <w:szCs w:val="14"/>
              </w:rPr>
              <w:t>s</w:t>
            </w:r>
            <w:r>
              <w:rPr>
                <w:sz w:val="9"/>
                <w:szCs w:val="9"/>
              </w:rPr>
              <w:t> (3</w:t>
            </w:r>
            <w:r>
              <w:rPr>
                <w:sz w:val="9"/>
                <w:szCs w:val="9"/>
              </w:rPr>
              <w:t>)</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6</w:t>
            </w:r>
            <w:r>
              <w:rPr>
                <w:sz w:val="14"/>
                <w:szCs w:val="14"/>
              </w:rPr>
              <w:t>6</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1</w:t>
            </w:r>
            <w:r>
              <w:rPr>
                <w:sz w:val="14"/>
                <w:szCs w:val="14"/>
              </w:rPr>
              <w:t>5</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F2D19">
            <w:pPr>
              <w:pStyle w:val="a3"/>
              <w:spacing w:before="0" w:beforeAutospacing="0" w:after="0" w:afterAutospacing="0"/>
              <w:rPr>
                <w:sz w:val="14"/>
                <w:szCs w:val="14"/>
              </w:rPr>
            </w:pPr>
            <w:r>
              <w:rPr>
                <w:sz w:val="14"/>
                <w:szCs w:val="14"/>
              </w:rPr>
              <w:t>Total Fee</w:t>
            </w:r>
            <w:r>
              <w:rPr>
                <w:sz w:val="14"/>
                <w:szCs w:val="14"/>
              </w:rPr>
              <w:t>s</w:t>
            </w:r>
          </w:p>
        </w:tc>
        <w:tc>
          <w:tcPr>
            <w:tcW w:w="0" w:type="auto"/>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73</w:t>
            </w:r>
            <w:r>
              <w:rPr>
                <w:sz w:val="14"/>
                <w:szCs w:val="14"/>
              </w:rPr>
              <w:t>1</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w:t>
            </w:r>
          </w:p>
        </w:tc>
        <w:tc>
          <w:tcPr>
            <w:tcW w:w="0" w:type="auto"/>
            <w:vAlign w:val="bottom"/>
            <w:hideMark/>
          </w:tcPr>
          <w:p w:rsidR="00000000" w:rsidRDefault="00AF2D19">
            <w:pPr>
              <w:pStyle w:val="a3"/>
              <w:spacing w:before="0" w:beforeAutospacing="0" w:after="0" w:afterAutospacing="0"/>
              <w:jc w:val="right"/>
              <w:rPr>
                <w:sz w:val="14"/>
                <w:szCs w:val="14"/>
              </w:rPr>
            </w:pPr>
            <w:r>
              <w:rPr>
                <w:sz w:val="14"/>
                <w:szCs w:val="14"/>
              </w:rPr>
              <w:t>49</w:t>
            </w:r>
            <w:r>
              <w:rPr>
                <w:sz w:val="14"/>
                <w:szCs w:val="14"/>
              </w:rPr>
              <w:t>0</w:t>
            </w:r>
          </w:p>
        </w:tc>
        <w:tc>
          <w:tcPr>
            <w:tcW w:w="0" w:type="auto"/>
            <w:vAlign w:val="bottom"/>
            <w:hideMark/>
          </w:tcPr>
          <w:p w:rsidR="00000000" w:rsidRDefault="00AF2D19">
            <w:pPr>
              <w:pStyle w:val="a3"/>
              <w:spacing w:before="0" w:beforeAutospacing="0" w:after="0" w:afterAutospacing="0"/>
              <w:rPr>
                <w:sz w:val="14"/>
                <w:szCs w:val="14"/>
              </w:rPr>
            </w:pPr>
            <w:r>
              <w:rPr>
                <w:sz w:val="14"/>
                <w:szCs w:val="14"/>
              </w:rPr>
              <w:t> </w:t>
            </w:r>
          </w:p>
        </w:tc>
      </w:tr>
    </w:tbl>
    <w:p w:rsidR="00000000" w:rsidRDefault="00AF2D19">
      <w:pPr>
        <w:jc w:val="both"/>
        <w:divId w:val="85002028"/>
        <w:rPr>
          <w:rFonts w:eastAsia="Times New Roman"/>
        </w:rPr>
      </w:pPr>
      <w:r>
        <w:rPr>
          <w:rFonts w:eastAsia="Times New Roman"/>
          <w:sz w:val="17"/>
          <w:szCs w:val="17"/>
        </w:rPr>
        <w:t>(1</w:t>
      </w:r>
      <w:r>
        <w:rPr>
          <w:rFonts w:eastAsia="Times New Roman"/>
          <w:sz w:val="17"/>
          <w:szCs w:val="17"/>
        </w:rPr>
        <w:t>)</w:t>
      </w:r>
    </w:p>
    <w:p w:rsidR="00000000" w:rsidRDefault="00AF2D19">
      <w:pPr>
        <w:jc w:val="both"/>
        <w:divId w:val="1972587005"/>
        <w:rPr>
          <w:rFonts w:eastAsia="Times New Roman"/>
        </w:rPr>
      </w:pPr>
      <w:r>
        <w:rPr>
          <w:rFonts w:eastAsia="Times New Roman"/>
          <w:sz w:val="17"/>
          <w:szCs w:val="17"/>
        </w:rPr>
        <w:t xml:space="preserve">Fees for audit services include fees associated with the annual audit, reviews of the Company's quarterly reports on Form 10-Q and statutory audits required internationally. The 2021 fees include comfort letters; consents and assistance with and review of </w:t>
      </w:r>
      <w:r>
        <w:rPr>
          <w:rFonts w:eastAsia="Times New Roman"/>
          <w:sz w:val="17"/>
          <w:szCs w:val="17"/>
        </w:rPr>
        <w:t>documents filed with the SEC</w:t>
      </w:r>
      <w:r>
        <w:rPr>
          <w:rFonts w:eastAsia="Times New Roman"/>
          <w:sz w:val="17"/>
          <w:szCs w:val="17"/>
        </w:rPr>
        <w:t>.</w:t>
      </w:r>
    </w:p>
    <w:p w:rsidR="00000000" w:rsidRDefault="00AF2D19">
      <w:pPr>
        <w:jc w:val="both"/>
        <w:divId w:val="295069342"/>
        <w:rPr>
          <w:rFonts w:eastAsia="Times New Roman"/>
        </w:rPr>
      </w:pPr>
      <w:r>
        <w:rPr>
          <w:rFonts w:eastAsia="Times New Roman"/>
          <w:sz w:val="17"/>
          <w:szCs w:val="17"/>
        </w:rPr>
        <w:t>(2</w:t>
      </w:r>
      <w:r>
        <w:rPr>
          <w:rFonts w:eastAsia="Times New Roman"/>
          <w:sz w:val="17"/>
          <w:szCs w:val="17"/>
        </w:rPr>
        <w:t>)</w:t>
      </w:r>
    </w:p>
    <w:p w:rsidR="00000000" w:rsidRDefault="00AF2D19">
      <w:pPr>
        <w:jc w:val="both"/>
        <w:divId w:val="791442924"/>
        <w:rPr>
          <w:rFonts w:eastAsia="Times New Roman"/>
        </w:rPr>
      </w:pPr>
      <w:r>
        <w:rPr>
          <w:rFonts w:eastAsia="Times New Roman"/>
          <w:sz w:val="17"/>
          <w:szCs w:val="17"/>
        </w:rPr>
        <w:t>Audit-related fees include vendor due diligence.</w:t>
      </w:r>
      <w:r>
        <w:rPr>
          <w:rFonts w:eastAsia="Times New Roman"/>
          <w:sz w:val="17"/>
          <w:szCs w:val="17"/>
        </w:rPr>
        <w:t xml:space="preserve"> </w:t>
      </w:r>
    </w:p>
    <w:p w:rsidR="00000000" w:rsidRDefault="00AF2D19">
      <w:pPr>
        <w:jc w:val="both"/>
        <w:divId w:val="1841694921"/>
        <w:rPr>
          <w:rFonts w:eastAsia="Times New Roman"/>
        </w:rPr>
      </w:pPr>
      <w:r>
        <w:rPr>
          <w:rFonts w:eastAsia="Times New Roman"/>
          <w:sz w:val="17"/>
          <w:szCs w:val="17"/>
        </w:rPr>
        <w:t>(3</w:t>
      </w:r>
      <w:r>
        <w:rPr>
          <w:rFonts w:eastAsia="Times New Roman"/>
          <w:sz w:val="17"/>
          <w:szCs w:val="17"/>
        </w:rPr>
        <w:t>)</w:t>
      </w:r>
    </w:p>
    <w:p w:rsidR="00000000" w:rsidRDefault="00AF2D19">
      <w:pPr>
        <w:jc w:val="both"/>
        <w:divId w:val="1450779416"/>
        <w:rPr>
          <w:rFonts w:eastAsia="Times New Roman"/>
        </w:rPr>
      </w:pPr>
      <w:r>
        <w:rPr>
          <w:rFonts w:eastAsia="Times New Roman"/>
          <w:sz w:val="17"/>
          <w:szCs w:val="17"/>
        </w:rPr>
        <w:t>Tax fees consist of tax compliance including the review and filing of tax returns and tax advice services</w:t>
      </w:r>
      <w:r>
        <w:rPr>
          <w:rFonts w:eastAsia="Times New Roman"/>
          <w:sz w:val="17"/>
          <w:szCs w:val="17"/>
        </w:rPr>
        <w:t>.</w:t>
      </w:r>
    </w:p>
    <w:p w:rsidR="00000000" w:rsidRDefault="00AF2D19">
      <w:pPr>
        <w:pStyle w:val="a3"/>
        <w:spacing w:before="0" w:beforeAutospacing="0" w:after="0" w:afterAutospacing="0"/>
        <w:jc w:val="both"/>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12</w:t>
      </w:r>
      <w:r>
        <w:rPr>
          <w:sz w:val="20"/>
          <w:szCs w:val="20"/>
        </w:rPr>
        <w:t>4</w:t>
      </w:r>
    </w:p>
    <w:p w:rsidR="00000000" w:rsidRDefault="00AF2D19">
      <w:pPr>
        <w:rPr>
          <w:rFonts w:eastAsia="Times New Roman"/>
        </w:rPr>
      </w:pPr>
      <w:r>
        <w:rPr>
          <w:rFonts w:eastAsia="Times New Roman"/>
        </w:rPr>
        <w:pict>
          <v:rect id="_x0000_i1152"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both"/>
        <w:rPr>
          <w:sz w:val="20"/>
          <w:szCs w:val="20"/>
        </w:rPr>
      </w:pPr>
      <w:r>
        <w:rPr>
          <w:b/>
          <w:bCs/>
          <w:sz w:val="20"/>
          <w:szCs w:val="20"/>
        </w:rPr>
        <w:t>Audit Committee Pre-Approval Policy and Procedure</w:t>
      </w:r>
      <w:r>
        <w:rPr>
          <w:b/>
          <w:bCs/>
          <w:sz w:val="20"/>
          <w:szCs w:val="20"/>
        </w:rPr>
        <w:t>s</w:t>
      </w:r>
    </w:p>
    <w:p w:rsidR="00000000" w:rsidRDefault="00AF2D19">
      <w:pPr>
        <w:pStyle w:val="a3"/>
        <w:spacing w:before="120" w:beforeAutospacing="0" w:after="0" w:afterAutospacing="0"/>
        <w:jc w:val="both"/>
        <w:rPr>
          <w:sz w:val="20"/>
          <w:szCs w:val="20"/>
        </w:rPr>
      </w:pPr>
      <w:r>
        <w:rPr>
          <w:sz w:val="20"/>
          <w:szCs w:val="20"/>
        </w:rPr>
        <w:t>The Audit Committee has adopted a policy (the “Pre-Approval Policy”) that sets forth the procedures and conditions pursu</w:t>
      </w:r>
      <w:r>
        <w:rPr>
          <w:sz w:val="20"/>
          <w:szCs w:val="20"/>
        </w:rPr>
        <w:t>ant to which audit and non-audit services proposed to be performed by the independent auditor may be pre-approved. The Pre-Approval Policy generally provides that we will not engage Kost Forer Gabbay &amp; Kasierer to render any audit, audit-related, tax or pe</w:t>
      </w:r>
      <w:r>
        <w:rPr>
          <w:sz w:val="20"/>
          <w:szCs w:val="20"/>
        </w:rPr>
        <w:t>rmissible non-audit service unless the service is either (i) explicitly approved by the Audit Committee (“specific pre-approval”) or (ii) entered into pursuant to the pre-approval policies and procedures described in the Pre-Approval Policy (“general pre-a</w:t>
      </w:r>
      <w:r>
        <w:rPr>
          <w:sz w:val="20"/>
          <w:szCs w:val="20"/>
        </w:rPr>
        <w:t>pproval”). Unless a type of service to be provided by Kost Forer Gabbay &amp; Kasierer has received general pre-approval under the Pre-Approval Policy, it requires specific pre-approval by the Audit Committee or by a designated member of the Audit Committee to</w:t>
      </w:r>
      <w:r>
        <w:rPr>
          <w:sz w:val="20"/>
          <w:szCs w:val="20"/>
        </w:rPr>
        <w:t xml:space="preserve"> whom the committee has delegated the authority to grant pre-approvals. Any proposed services exceeding pre-approved cost levels or budgeted amounts will also require specific pre-approval. For both types of pre-approval, the Audit Committee will consider </w:t>
      </w:r>
      <w:r>
        <w:rPr>
          <w:sz w:val="20"/>
          <w:szCs w:val="20"/>
        </w:rPr>
        <w:t>whether such services are consistent with the SEC’s rules on auditor independence. The Audit Committee will also consider whether the independent auditor is best positioned to provide the most effective and efficient service, for reasons such as its famili</w:t>
      </w:r>
      <w:r>
        <w:rPr>
          <w:sz w:val="20"/>
          <w:szCs w:val="20"/>
        </w:rPr>
        <w:t>arity with the Company’s business, people, culture, accounting systems, risk profile and other factors, and whether the service might enhance the Company’s ability to manage or control risk or improve audit quality. All such factors will be considered as a</w:t>
      </w:r>
      <w:r>
        <w:rPr>
          <w:sz w:val="20"/>
          <w:szCs w:val="20"/>
        </w:rPr>
        <w:t xml:space="preserve"> whole, and no one factor should necessarily be determinative. On a periodic basis, the Audit Committee reviews and generally pre-approves the services (and related fee levels or budgeted amounts) that may be provided by Kost Forer Gabbay &amp; Kasierer withou</w:t>
      </w:r>
      <w:r>
        <w:rPr>
          <w:sz w:val="20"/>
          <w:szCs w:val="20"/>
        </w:rPr>
        <w:t>t first obtaining specific pre-approval from the Audit Committee. The Audit Committee may revise the list of general pre-approved services from time to time, based on subsequent determinations</w:t>
      </w:r>
      <w:r>
        <w:rPr>
          <w:sz w:val="20"/>
          <w:szCs w:val="20"/>
        </w:rPr>
        <w:t>.</w:t>
      </w:r>
      <w:r>
        <w:rPr>
          <w:sz w:val="20"/>
          <w:szCs w:val="20"/>
        </w:rPr>
        <w:t xml:space="preserve"> </w:t>
      </w:r>
    </w:p>
    <w:p w:rsidR="00000000" w:rsidRDefault="00AF2D19">
      <w:pPr>
        <w:pStyle w:val="a3"/>
        <w:spacing w:before="0" w:beforeAutospacing="0" w:after="0" w:afterAutospacing="0"/>
        <w:jc w:val="center"/>
        <w:rPr>
          <w:sz w:val="20"/>
          <w:szCs w:val="20"/>
        </w:rPr>
      </w:pPr>
      <w:r>
        <w:rPr>
          <w:sz w:val="20"/>
          <w:szCs w:val="20"/>
        </w:rPr>
        <w:t>12</w:t>
      </w:r>
      <w:r>
        <w:rPr>
          <w:sz w:val="20"/>
          <w:szCs w:val="20"/>
        </w:rPr>
        <w:t>5</w:t>
      </w:r>
    </w:p>
    <w:p w:rsidR="00000000" w:rsidRDefault="00AF2D19">
      <w:pPr>
        <w:rPr>
          <w:rFonts w:eastAsia="Times New Roman"/>
        </w:rPr>
      </w:pPr>
      <w:r>
        <w:rPr>
          <w:rFonts w:eastAsia="Times New Roman"/>
        </w:rPr>
        <w:pict>
          <v:rect id="_x0000_i1153"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0"/>
          <w:szCs w:val="20"/>
        </w:rPr>
        <w:t>PART I</w:t>
      </w:r>
      <w:r>
        <w:rPr>
          <w:b/>
          <w:bCs/>
          <w:sz w:val="20"/>
          <w:szCs w:val="20"/>
        </w:rPr>
        <w:t>V</w:t>
      </w:r>
    </w:p>
    <w:p w:rsidR="00000000" w:rsidRDefault="00AF2D19">
      <w:pPr>
        <w:pStyle w:val="a3"/>
        <w:spacing w:before="240" w:beforeAutospacing="0" w:after="0" w:afterAutospacing="0"/>
        <w:rPr>
          <w:sz w:val="20"/>
          <w:szCs w:val="20"/>
        </w:rPr>
      </w:pPr>
      <w:r>
        <w:rPr>
          <w:b/>
          <w:bCs/>
          <w:sz w:val="20"/>
          <w:szCs w:val="20"/>
        </w:rPr>
        <w:t>I</w:t>
      </w:r>
      <w:r>
        <w:rPr>
          <w:b/>
          <w:bCs/>
          <w:sz w:val="20"/>
          <w:szCs w:val="20"/>
        </w:rPr>
        <w:t>t</w:t>
      </w:r>
      <w:r>
        <w:rPr>
          <w:b/>
          <w:bCs/>
          <w:sz w:val="20"/>
          <w:szCs w:val="20"/>
        </w:rPr>
        <w:t>em 15. EXHIBITS AND FINANCIAL STATEMENT SCHEDULE</w:t>
      </w:r>
      <w:r>
        <w:rPr>
          <w:b/>
          <w:bCs/>
          <w:sz w:val="20"/>
          <w:szCs w:val="20"/>
        </w:rPr>
        <w:t>S</w:t>
      </w:r>
    </w:p>
    <w:p w:rsidR="00000000" w:rsidRDefault="00AF2D19">
      <w:pPr>
        <w:divId w:val="482547481"/>
        <w:rPr>
          <w:rFonts w:eastAsia="Times New Roman"/>
        </w:rPr>
      </w:pPr>
      <w:r>
        <w:rPr>
          <w:rFonts w:eastAsia="Times New Roman"/>
          <w:sz w:val="20"/>
          <w:szCs w:val="20"/>
        </w:rPr>
        <w:t>(a</w:t>
      </w:r>
      <w:r>
        <w:rPr>
          <w:rFonts w:eastAsia="Times New Roman"/>
          <w:sz w:val="20"/>
          <w:szCs w:val="20"/>
        </w:rPr>
        <w:t>)</w:t>
      </w:r>
    </w:p>
    <w:p w:rsidR="00000000" w:rsidRDefault="00AF2D19">
      <w:pPr>
        <w:divId w:val="515265199"/>
        <w:rPr>
          <w:rFonts w:eastAsia="Times New Roman"/>
        </w:rPr>
      </w:pPr>
      <w:r>
        <w:rPr>
          <w:rFonts w:eastAsia="Times New Roman"/>
          <w:sz w:val="20"/>
          <w:szCs w:val="20"/>
        </w:rPr>
        <w:t>(1</w:t>
      </w:r>
      <w:r>
        <w:rPr>
          <w:rFonts w:eastAsia="Times New Roman"/>
          <w:sz w:val="20"/>
          <w:szCs w:val="20"/>
        </w:rPr>
        <w:t>)</w:t>
      </w:r>
    </w:p>
    <w:p w:rsidR="00000000" w:rsidRDefault="00AF2D19">
      <w:pPr>
        <w:divId w:val="374276714"/>
        <w:rPr>
          <w:rFonts w:eastAsia="Times New Roman"/>
        </w:rPr>
      </w:pPr>
      <w:r>
        <w:rPr>
          <w:rFonts w:eastAsia="Times New Roman"/>
          <w:sz w:val="20"/>
          <w:szCs w:val="20"/>
        </w:rPr>
        <w:t>Our Consolidated Financial Statements are listed in the Index to Consolidated Financial Statements and Supplemental Data filed as part of this Form 10-K. See Item 8 (pages 71 to 98</w:t>
      </w:r>
      <w:r>
        <w:rPr>
          <w:rFonts w:eastAsia="Times New Roman"/>
          <w:sz w:val="20"/>
          <w:szCs w:val="20"/>
        </w:rPr>
        <w:t>)</w:t>
      </w:r>
    </w:p>
    <w:p w:rsidR="00000000" w:rsidRDefault="00AF2D19">
      <w:pPr>
        <w:divId w:val="544752063"/>
        <w:rPr>
          <w:rFonts w:eastAsia="Times New Roman"/>
        </w:rPr>
      </w:pPr>
      <w:r>
        <w:rPr>
          <w:rFonts w:eastAsia="Times New Roman"/>
          <w:sz w:val="20"/>
          <w:szCs w:val="20"/>
        </w:rPr>
        <w:t>(2</w:t>
      </w:r>
      <w:r>
        <w:rPr>
          <w:rFonts w:eastAsia="Times New Roman"/>
          <w:sz w:val="20"/>
          <w:szCs w:val="20"/>
        </w:rPr>
        <w:t>)</w:t>
      </w:r>
    </w:p>
    <w:p w:rsidR="00000000" w:rsidRDefault="00AF2D19">
      <w:pPr>
        <w:divId w:val="289239993"/>
        <w:rPr>
          <w:rFonts w:eastAsia="Times New Roman"/>
        </w:rPr>
      </w:pPr>
      <w:r>
        <w:rPr>
          <w:rFonts w:eastAsia="Times New Roman"/>
          <w:sz w:val="20"/>
          <w:szCs w:val="20"/>
        </w:rPr>
        <w:t>Financial Statement Schedules</w:t>
      </w:r>
      <w:r>
        <w:rPr>
          <w:rFonts w:eastAsia="Times New Roman"/>
          <w:sz w:val="20"/>
          <w:szCs w:val="20"/>
        </w:rPr>
        <w:t xml:space="preserve"> </w:t>
      </w:r>
    </w:p>
    <w:p w:rsidR="00000000" w:rsidRDefault="00AF2D19">
      <w:pPr>
        <w:divId w:val="1954246055"/>
        <w:rPr>
          <w:rFonts w:eastAsia="Times New Roman"/>
        </w:rPr>
      </w:pPr>
      <w:r>
        <w:rPr>
          <w:rFonts w:eastAsia="Times New Roman"/>
          <w:sz w:val="20"/>
          <w:szCs w:val="20"/>
        </w:rPr>
        <w:t>(3</w:t>
      </w:r>
      <w:r>
        <w:rPr>
          <w:rFonts w:eastAsia="Times New Roman"/>
          <w:sz w:val="20"/>
          <w:szCs w:val="20"/>
        </w:rPr>
        <w:t>)</w:t>
      </w:r>
    </w:p>
    <w:p w:rsidR="00000000" w:rsidRDefault="00AF2D19">
      <w:pPr>
        <w:divId w:val="1635020611"/>
        <w:rPr>
          <w:rFonts w:eastAsia="Times New Roman"/>
        </w:rPr>
      </w:pPr>
      <w:r>
        <w:rPr>
          <w:rFonts w:eastAsia="Times New Roman"/>
          <w:sz w:val="20"/>
          <w:szCs w:val="20"/>
        </w:rPr>
        <w:t>The exhibits which are filed with t</w:t>
      </w:r>
      <w:r>
        <w:rPr>
          <w:rFonts w:eastAsia="Times New Roman"/>
          <w:sz w:val="20"/>
          <w:szCs w:val="20"/>
        </w:rPr>
        <w:t>his Form 10-K or are incorporated herein by reference are set forth in the Exhibit Index (pages 127 to 128)</w:t>
      </w:r>
      <w:r>
        <w:rPr>
          <w:rFonts w:eastAsia="Times New Roman"/>
          <w:sz w:val="20"/>
          <w:szCs w:val="20"/>
        </w:rPr>
        <w:t>.</w:t>
      </w:r>
    </w:p>
    <w:p w:rsidR="00000000" w:rsidRDefault="00AF2D19">
      <w:pPr>
        <w:divId w:val="873425245"/>
        <w:rPr>
          <w:rFonts w:eastAsia="Times New Roman"/>
        </w:rPr>
      </w:pPr>
      <w:r>
        <w:rPr>
          <w:rFonts w:eastAsia="Times New Roman"/>
          <w:sz w:val="20"/>
          <w:szCs w:val="20"/>
        </w:rPr>
        <w:t>(b</w:t>
      </w:r>
      <w:r>
        <w:rPr>
          <w:rFonts w:eastAsia="Times New Roman"/>
          <w:sz w:val="20"/>
          <w:szCs w:val="20"/>
        </w:rPr>
        <w:t>)</w:t>
      </w:r>
    </w:p>
    <w:p w:rsidR="00000000" w:rsidRDefault="00AF2D19">
      <w:pPr>
        <w:divId w:val="1199732579"/>
        <w:rPr>
          <w:rFonts w:eastAsia="Times New Roman"/>
        </w:rPr>
      </w:pPr>
      <w:r>
        <w:rPr>
          <w:rFonts w:eastAsia="Times New Roman"/>
          <w:sz w:val="20"/>
          <w:szCs w:val="20"/>
        </w:rPr>
        <w:t>See the Exhibit Index included hereinafter on pages 127 to 12</w:t>
      </w:r>
      <w:r>
        <w:rPr>
          <w:rFonts w:eastAsia="Times New Roman"/>
          <w:sz w:val="20"/>
          <w:szCs w:val="20"/>
        </w:rPr>
        <w:t>8</w:t>
      </w:r>
    </w:p>
    <w:p w:rsidR="00000000" w:rsidRDefault="00AF2D19">
      <w:pPr>
        <w:divId w:val="828322762"/>
        <w:rPr>
          <w:rFonts w:eastAsia="Times New Roman"/>
        </w:rPr>
      </w:pPr>
      <w:r>
        <w:rPr>
          <w:rFonts w:eastAsia="Times New Roman"/>
          <w:sz w:val="20"/>
          <w:szCs w:val="20"/>
        </w:rPr>
        <w:t>(c</w:t>
      </w:r>
      <w:r>
        <w:rPr>
          <w:rFonts w:eastAsia="Times New Roman"/>
          <w:sz w:val="20"/>
          <w:szCs w:val="20"/>
        </w:rPr>
        <w:t>)</w:t>
      </w:r>
    </w:p>
    <w:p w:rsidR="00000000" w:rsidRDefault="00AF2D19">
      <w:pPr>
        <w:divId w:val="1115056006"/>
        <w:rPr>
          <w:rFonts w:eastAsia="Times New Roman"/>
        </w:rPr>
      </w:pPr>
      <w:r>
        <w:rPr>
          <w:rFonts w:eastAsia="Times New Roman"/>
          <w:sz w:val="20"/>
          <w:szCs w:val="20"/>
        </w:rPr>
        <w:t>Financial Statement Schedules excluded from the annual report to stockholder</w:t>
      </w:r>
      <w:r>
        <w:rPr>
          <w:rFonts w:eastAsia="Times New Roman"/>
          <w:sz w:val="20"/>
          <w:szCs w:val="20"/>
        </w:rPr>
        <w:t>s</w:t>
      </w:r>
    </w:p>
    <w:p w:rsidR="00000000" w:rsidRDefault="00AF2D19">
      <w:pPr>
        <w:pStyle w:val="a3"/>
        <w:spacing w:before="0" w:beforeAutospacing="0" w:after="0" w:afterAutospacing="0"/>
        <w:ind w:left="952"/>
        <w:rPr>
          <w:sz w:val="20"/>
          <w:szCs w:val="20"/>
        </w:rPr>
      </w:pPr>
      <w:r>
        <w:rPr>
          <w:sz w:val="20"/>
          <w:szCs w:val="20"/>
        </w:rPr>
        <w:t>Non</w:t>
      </w:r>
      <w:r>
        <w:rPr>
          <w:sz w:val="20"/>
          <w:szCs w:val="20"/>
        </w:rPr>
        <w:t>e</w:t>
      </w:r>
    </w:p>
    <w:p w:rsidR="00000000" w:rsidRDefault="00AF2D19">
      <w:pPr>
        <w:pStyle w:val="a3"/>
        <w:spacing w:before="360" w:beforeAutospacing="0" w:after="0" w:afterAutospacing="0"/>
        <w:rPr>
          <w:sz w:val="20"/>
          <w:szCs w:val="20"/>
        </w:rPr>
      </w:pPr>
      <w:r>
        <w:rPr>
          <w:b/>
          <w:bCs/>
          <w:sz w:val="20"/>
          <w:szCs w:val="20"/>
        </w:rPr>
        <w:t>I</w:t>
      </w:r>
      <w:r>
        <w:rPr>
          <w:b/>
          <w:bCs/>
          <w:sz w:val="20"/>
          <w:szCs w:val="20"/>
        </w:rPr>
        <w:t>t</w:t>
      </w:r>
      <w:r>
        <w:rPr>
          <w:b/>
          <w:bCs/>
          <w:sz w:val="20"/>
          <w:szCs w:val="20"/>
        </w:rPr>
        <w:t>em 16. FORM 10-K SUMMAR</w:t>
      </w:r>
      <w:r>
        <w:rPr>
          <w:b/>
          <w:bCs/>
          <w:sz w:val="20"/>
          <w:szCs w:val="20"/>
        </w:rPr>
        <w:t>Y</w:t>
      </w:r>
    </w:p>
    <w:p w:rsidR="00000000" w:rsidRDefault="00AF2D19">
      <w:pPr>
        <w:pStyle w:val="a3"/>
        <w:spacing w:before="120" w:beforeAutospacing="0" w:after="0" w:afterAutospacing="0"/>
        <w:rPr>
          <w:sz w:val="20"/>
          <w:szCs w:val="20"/>
        </w:rPr>
      </w:pPr>
      <w:r>
        <w:rPr>
          <w:sz w:val="20"/>
          <w:szCs w:val="20"/>
        </w:rPr>
        <w:t>None</w:t>
      </w:r>
      <w:r>
        <w:rPr>
          <w:sz w:val="20"/>
          <w:szCs w:val="20"/>
        </w:rPr>
        <w:t>.</w:t>
      </w:r>
    </w:p>
    <w:p w:rsidR="00000000" w:rsidRDefault="00AF2D19">
      <w:pPr>
        <w:pStyle w:val="a3"/>
        <w:spacing w:before="0" w:beforeAutospacing="0" w:after="0" w:afterAutospacing="0"/>
        <w:jc w:val="center"/>
        <w:rPr>
          <w:sz w:val="20"/>
          <w:szCs w:val="20"/>
        </w:rPr>
      </w:pPr>
      <w:r>
        <w:rPr>
          <w:sz w:val="20"/>
          <w:szCs w:val="20"/>
        </w:rPr>
        <w:t>12</w:t>
      </w:r>
      <w:r>
        <w:rPr>
          <w:sz w:val="20"/>
          <w:szCs w:val="20"/>
        </w:rPr>
        <w:t>6</w:t>
      </w:r>
    </w:p>
    <w:p w:rsidR="00000000" w:rsidRDefault="00AF2D19">
      <w:pPr>
        <w:rPr>
          <w:rFonts w:eastAsia="Times New Roman"/>
        </w:rPr>
      </w:pPr>
      <w:r>
        <w:rPr>
          <w:rFonts w:eastAsia="Times New Roman"/>
        </w:rPr>
        <w:pict>
          <v:rect id="_x0000_i1154"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2"/>
          <w:szCs w:val="22"/>
        </w:rPr>
        <w:t>Exhib</w:t>
      </w:r>
      <w:r>
        <w:rPr>
          <w:b/>
          <w:bCs/>
          <w:sz w:val="22"/>
          <w:szCs w:val="22"/>
        </w:rPr>
        <w:t>i</w:t>
      </w:r>
      <w:r>
        <w:rPr>
          <w:b/>
          <w:bCs/>
          <w:sz w:val="22"/>
          <w:szCs w:val="22"/>
        </w:rPr>
        <w:t>t Inde</w:t>
      </w:r>
      <w:r>
        <w:rPr>
          <w:b/>
          <w:bCs/>
          <w:sz w:val="22"/>
          <w:szCs w:val="22"/>
        </w:rPr>
        <w:t>x</w:t>
      </w:r>
    </w:p>
    <w:p w:rsidR="00000000" w:rsidRDefault="00AF2D19">
      <w:pPr>
        <w:pStyle w:val="a3"/>
        <w:spacing w:before="0" w:beforeAutospacing="0" w:after="0" w:afterAutospacing="0"/>
        <w:jc w:val="center"/>
        <w:rPr>
          <w:sz w:val="20"/>
          <w:szCs w:val="20"/>
        </w:rPr>
      </w:pPr>
      <w:r>
        <w:rPr>
          <w:sz w:val="22"/>
          <w:szCs w:val="22"/>
        </w:rPr>
        <w:t> </w:t>
      </w:r>
    </w:p>
    <w:p w:rsidR="00000000" w:rsidRDefault="00AF2D19">
      <w:pPr>
        <w:pStyle w:val="a3"/>
        <w:spacing w:before="0" w:beforeAutospacing="0" w:after="0" w:afterAutospacing="0"/>
        <w:jc w:val="center"/>
        <w:rPr>
          <w:sz w:val="20"/>
          <w:szCs w:val="20"/>
        </w:rPr>
      </w:pPr>
      <w:r>
        <w:rPr>
          <w:sz w:val="20"/>
          <w:szCs w:val="20"/>
        </w:rPr>
        <w:t>The following is a list of exhibits filed as part of this Annual Report on Form 10-K</w:t>
      </w:r>
      <w:r>
        <w:rPr>
          <w:sz w:val="20"/>
          <w:szCs w:val="20"/>
        </w:rPr>
        <w:t>.</w:t>
      </w:r>
    </w:p>
    <w:p w:rsidR="00000000" w:rsidRDefault="00AF2D19">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
        <w:gridCol w:w="99"/>
        <w:gridCol w:w="4217"/>
        <w:gridCol w:w="442"/>
        <w:gridCol w:w="601"/>
        <w:gridCol w:w="566"/>
        <w:gridCol w:w="628"/>
        <w:gridCol w:w="1079"/>
      </w:tblGrid>
      <w:tr w:rsidR="00000000">
        <w:trPr>
          <w:tblCellSpacing w:w="15" w:type="dxa"/>
        </w:trPr>
        <w:tc>
          <w:tcPr>
            <w:tcW w:w="300" w:type="pct"/>
            <w:vAlign w:val="center"/>
            <w:hideMark/>
          </w:tcPr>
          <w:p w:rsidR="00000000" w:rsidRDefault="00AF2D19">
            <w:pPr>
              <w:rPr>
                <w:sz w:val="20"/>
                <w:szCs w:val="20"/>
              </w:rPr>
            </w:pPr>
          </w:p>
        </w:tc>
        <w:tc>
          <w:tcPr>
            <w:tcW w:w="56" w:type="pct"/>
            <w:vAlign w:val="center"/>
            <w:hideMark/>
          </w:tcPr>
          <w:p w:rsidR="00000000" w:rsidRDefault="00AF2D19">
            <w:pPr>
              <w:rPr>
                <w:rFonts w:eastAsia="Times New Roman"/>
                <w:sz w:val="20"/>
                <w:szCs w:val="20"/>
              </w:rPr>
            </w:pPr>
          </w:p>
        </w:tc>
        <w:tc>
          <w:tcPr>
            <w:tcW w:w="2740" w:type="pct"/>
            <w:vAlign w:val="center"/>
            <w:hideMark/>
          </w:tcPr>
          <w:p w:rsidR="00000000" w:rsidRDefault="00AF2D19">
            <w:pPr>
              <w:rPr>
                <w:rFonts w:eastAsia="Times New Roman"/>
                <w:sz w:val="20"/>
                <w:szCs w:val="20"/>
              </w:rPr>
            </w:pPr>
          </w:p>
        </w:tc>
        <w:tc>
          <w:tcPr>
            <w:tcW w:w="306" w:type="pct"/>
            <w:vAlign w:val="center"/>
            <w:hideMark/>
          </w:tcPr>
          <w:p w:rsidR="00000000" w:rsidRDefault="00AF2D19">
            <w:pPr>
              <w:rPr>
                <w:rFonts w:eastAsia="Times New Roman"/>
                <w:sz w:val="20"/>
                <w:szCs w:val="20"/>
              </w:rPr>
            </w:pPr>
          </w:p>
        </w:tc>
        <w:tc>
          <w:tcPr>
            <w:tcW w:w="455" w:type="pct"/>
            <w:vAlign w:val="center"/>
            <w:hideMark/>
          </w:tcPr>
          <w:p w:rsidR="00000000" w:rsidRDefault="00AF2D19">
            <w:pPr>
              <w:rPr>
                <w:rFonts w:eastAsia="Times New Roman"/>
                <w:sz w:val="20"/>
                <w:szCs w:val="20"/>
              </w:rPr>
            </w:pPr>
          </w:p>
        </w:tc>
        <w:tc>
          <w:tcPr>
            <w:tcW w:w="306" w:type="pct"/>
            <w:vAlign w:val="center"/>
            <w:hideMark/>
          </w:tcPr>
          <w:p w:rsidR="00000000" w:rsidRDefault="00AF2D19">
            <w:pPr>
              <w:rPr>
                <w:rFonts w:eastAsia="Times New Roman"/>
                <w:sz w:val="20"/>
                <w:szCs w:val="20"/>
              </w:rPr>
            </w:pPr>
          </w:p>
        </w:tc>
        <w:tc>
          <w:tcPr>
            <w:tcW w:w="307" w:type="pct"/>
            <w:vAlign w:val="center"/>
            <w:hideMark/>
          </w:tcPr>
          <w:p w:rsidR="00000000" w:rsidRDefault="00AF2D19">
            <w:pPr>
              <w:rPr>
                <w:rFonts w:eastAsia="Times New Roman"/>
                <w:sz w:val="20"/>
                <w:szCs w:val="20"/>
              </w:rPr>
            </w:pPr>
          </w:p>
        </w:tc>
        <w:tc>
          <w:tcPr>
            <w:tcW w:w="526"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gridSpan w:val="4"/>
            <w:tcBorders>
              <w:bottom w:val="single" w:sz="4" w:space="0" w:color="auto"/>
            </w:tcBorders>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Incorporated by Referenc</w:t>
            </w:r>
            <w:r>
              <w:rPr>
                <w:b/>
                <w:bCs/>
                <w:sz w:val="16"/>
                <w:szCs w:val="16"/>
              </w:rPr>
              <w:t>e</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AF2D19">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Exhibit Descriptio</w:t>
            </w:r>
            <w:r>
              <w:rPr>
                <w:b/>
                <w:bCs/>
                <w:sz w:val="16"/>
                <w:szCs w:val="16"/>
              </w:rPr>
              <w:t>n</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File No</w:t>
            </w:r>
            <w:r>
              <w:rPr>
                <w:b/>
                <w:bCs/>
                <w:sz w:val="16"/>
                <w:szCs w:val="16"/>
              </w:rPr>
              <w:t>.</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Exhibi</w:t>
            </w:r>
            <w:r>
              <w:rPr>
                <w:b/>
                <w:bCs/>
                <w:sz w:val="16"/>
                <w:szCs w:val="16"/>
              </w:rPr>
              <w:t>t</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Filing Dat</w:t>
            </w:r>
            <w:r>
              <w:rPr>
                <w:b/>
                <w:bCs/>
                <w:sz w:val="16"/>
                <w:szCs w:val="16"/>
              </w:rPr>
              <w:t>e</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File/Furnished Herewit</w:t>
            </w:r>
            <w:r>
              <w:rPr>
                <w:b/>
                <w:bCs/>
                <w:sz w:val="16"/>
                <w:szCs w:val="16"/>
              </w:rPr>
              <w:t>h</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7" w:anchor="rom119648_45" w:history="1">
              <w:r>
                <w:rPr>
                  <w:rStyle w:val="a4"/>
                  <w:sz w:val="16"/>
                  <w:szCs w:val="16"/>
                </w:rPr>
                <w:t>2.</w:t>
              </w:r>
              <w:r>
                <w:rPr>
                  <w:rStyle w:val="a4"/>
                  <w:sz w:val="16"/>
                  <w:szCs w:val="16"/>
                </w:rPr>
                <w:t>1</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8" w:anchor="rom119648_45" w:history="1">
              <w:r>
                <w:rPr>
                  <w:rStyle w:val="a4"/>
                  <w:sz w:val="16"/>
                  <w:szCs w:val="16"/>
                </w:rPr>
                <w:t>Agreement and Plan of Merger, dated as of January 12, 2021, by and among Hudson Executive Investment Corp., Tailwind Merger Sub I, Inc., Tai</w:t>
              </w:r>
              <w:r>
                <w:rPr>
                  <w:rStyle w:val="a4"/>
                  <w:sz w:val="16"/>
                  <w:szCs w:val="16"/>
                </w:rPr>
                <w:t>lwind Merger Sub II, LLC, and Groop Internet Platform, Inc. (d/b/a Talkspace)</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S-</w:t>
            </w:r>
            <w:r>
              <w:rPr>
                <w:sz w:val="16"/>
                <w:szCs w:val="16"/>
              </w:rPr>
              <w:t>4</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333-25263</w:t>
            </w:r>
            <w:r>
              <w:rPr>
                <w:sz w:val="16"/>
                <w:szCs w:val="16"/>
              </w:rPr>
              <w:t>8</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2/2/2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9" w:history="1">
              <w:r>
                <w:rPr>
                  <w:rStyle w:val="a4"/>
                  <w:sz w:val="16"/>
                  <w:szCs w:val="16"/>
                </w:rPr>
                <w:t>3.</w:t>
              </w:r>
              <w:r>
                <w:rPr>
                  <w:rStyle w:val="a4"/>
                  <w:sz w:val="16"/>
                  <w:szCs w:val="16"/>
                </w:rPr>
                <w:t>1</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10" w:history="1">
              <w:r>
                <w:rPr>
                  <w:rStyle w:val="a4"/>
                  <w:sz w:val="16"/>
                  <w:szCs w:val="16"/>
                </w:rPr>
                <w:t>Second Amended and Restated Certificate of Incorporation of Talkspace, Inc</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8-K/</w:t>
            </w:r>
            <w:r>
              <w:rPr>
                <w:sz w:val="16"/>
                <w:szCs w:val="16"/>
              </w:rPr>
              <w:t>A</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3.</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11" w:history="1">
              <w:r>
                <w:rPr>
                  <w:rStyle w:val="a4"/>
                  <w:sz w:val="16"/>
                  <w:szCs w:val="16"/>
                </w:rPr>
                <w:t>3.</w:t>
              </w:r>
              <w:r>
                <w:rPr>
                  <w:rStyle w:val="a4"/>
                  <w:sz w:val="16"/>
                  <w:szCs w:val="16"/>
                </w:rPr>
                <w:t>2</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12" w:history="1">
              <w:r>
                <w:rPr>
                  <w:rStyle w:val="a4"/>
                  <w:sz w:val="16"/>
                  <w:szCs w:val="16"/>
                </w:rPr>
                <w:t>Bylaws of Talkspace, Inc</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8-K/</w:t>
            </w:r>
            <w:r>
              <w:rPr>
                <w:sz w:val="16"/>
                <w:szCs w:val="16"/>
              </w:rPr>
              <w:t>A</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3.</w:t>
            </w:r>
            <w:r>
              <w:rPr>
                <w:sz w:val="16"/>
                <w:szCs w:val="16"/>
              </w:rPr>
              <w:t>2</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13" w:history="1">
              <w:r>
                <w:rPr>
                  <w:rStyle w:val="a4"/>
                  <w:sz w:val="16"/>
                  <w:szCs w:val="16"/>
                </w:rPr>
                <w:t>4.</w:t>
              </w:r>
              <w:r>
                <w:rPr>
                  <w:rStyle w:val="a4"/>
                  <w:sz w:val="16"/>
                  <w:szCs w:val="16"/>
                </w:rPr>
                <w:t>1</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14" w:history="1">
              <w:r>
                <w:rPr>
                  <w:rStyle w:val="a4"/>
                  <w:sz w:val="16"/>
                  <w:szCs w:val="16"/>
                </w:rPr>
                <w:t>Warrant Agreement, dated as of June 8, 2020,</w:t>
              </w:r>
              <w:r>
                <w:rPr>
                  <w:rStyle w:val="a4"/>
                  <w:sz w:val="16"/>
                  <w:szCs w:val="16"/>
                </w:rPr>
                <w:t xml:space="preserve"> by and between Continental Stock Transfer &amp; Trust Company and Hudson Executive Investment Corp</w:t>
              </w:r>
              <w:r>
                <w:rPr>
                  <w:rStyle w:val="a4"/>
                  <w:sz w:val="16"/>
                  <w:szCs w:val="16"/>
                </w:rPr>
                <w:t>.</w:t>
              </w:r>
              <w:r>
                <w:rPr>
                  <w:rStyle w:val="a4"/>
                  <w:sz w:val="16"/>
                  <w:szCs w:val="16"/>
                </w:rPr>
                <w:t xml:space="preserve"> </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4.</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6/11/2</w:t>
            </w:r>
            <w:r>
              <w:rPr>
                <w:sz w:val="16"/>
                <w:szCs w:val="16"/>
              </w:rPr>
              <w:t>0</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15" w:history="1">
              <w:r>
                <w:rPr>
                  <w:rStyle w:val="a4"/>
                  <w:sz w:val="16"/>
                  <w:szCs w:val="16"/>
                </w:rPr>
                <w:t>4.</w:t>
              </w:r>
              <w:r>
                <w:rPr>
                  <w:rStyle w:val="a4"/>
                  <w:sz w:val="16"/>
                  <w:szCs w:val="16"/>
                </w:rPr>
                <w:t>2</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16" w:history="1">
              <w:r>
                <w:rPr>
                  <w:rStyle w:val="a4"/>
                  <w:sz w:val="16"/>
                  <w:szCs w:val="16"/>
                </w:rPr>
                <w:t>Specimen Warrant Certificate of the Registrant</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S-1/</w:t>
            </w:r>
            <w:r>
              <w:rPr>
                <w:sz w:val="16"/>
                <w:szCs w:val="16"/>
              </w:rPr>
              <w:t>A</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333-23858</w:t>
            </w:r>
            <w:r>
              <w:rPr>
                <w:sz w:val="16"/>
                <w:szCs w:val="16"/>
              </w:rPr>
              <w:t>3</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4.</w:t>
            </w:r>
            <w:r>
              <w:rPr>
                <w:sz w:val="16"/>
                <w:szCs w:val="16"/>
              </w:rPr>
              <w:t>3</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6/5/2</w:t>
            </w:r>
            <w:r>
              <w:rPr>
                <w:sz w:val="16"/>
                <w:szCs w:val="16"/>
              </w:rPr>
              <w:t>0</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17" w:history="1">
              <w:r>
                <w:rPr>
                  <w:rStyle w:val="a4"/>
                  <w:sz w:val="16"/>
                  <w:szCs w:val="16"/>
                </w:rPr>
                <w:t>4.</w:t>
              </w:r>
              <w:r>
                <w:rPr>
                  <w:rStyle w:val="a4"/>
                  <w:sz w:val="16"/>
                  <w:szCs w:val="16"/>
                </w:rPr>
                <w:t>3</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18" w:history="1">
              <w:r>
                <w:rPr>
                  <w:rStyle w:val="a4"/>
                  <w:sz w:val="16"/>
                  <w:szCs w:val="16"/>
                </w:rPr>
                <w:t>Specimen Common Stock Certificate</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S-4/</w:t>
            </w:r>
            <w:r>
              <w:rPr>
                <w:sz w:val="16"/>
                <w:szCs w:val="16"/>
              </w:rPr>
              <w:t>A</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333</w:t>
            </w:r>
            <w:r>
              <w:rPr>
                <w:sz w:val="16"/>
                <w:szCs w:val="16"/>
              </w:rPr>
              <w:t>-25263</w:t>
            </w:r>
            <w:r>
              <w:rPr>
                <w:sz w:val="16"/>
                <w:szCs w:val="16"/>
              </w:rPr>
              <w:t>8</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4.</w:t>
            </w:r>
            <w:r>
              <w:rPr>
                <w:sz w:val="16"/>
                <w:szCs w:val="16"/>
              </w:rPr>
              <w:t>5</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5/20/2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19" w:history="1">
              <w:r>
                <w:rPr>
                  <w:rStyle w:val="a4"/>
                  <w:sz w:val="16"/>
                  <w:szCs w:val="16"/>
                </w:rPr>
                <w:t>4.</w:t>
              </w:r>
              <w:r>
                <w:rPr>
                  <w:rStyle w:val="a4"/>
                  <w:sz w:val="16"/>
                  <w:szCs w:val="16"/>
                </w:rPr>
                <w:t>4</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20" w:history="1">
              <w:r>
                <w:rPr>
                  <w:rStyle w:val="a4"/>
                  <w:sz w:val="16"/>
                  <w:szCs w:val="16"/>
                </w:rPr>
                <w:t>Description of Common Stock</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21" w:history="1">
              <w:r>
                <w:rPr>
                  <w:rStyle w:val="a4"/>
                  <w:sz w:val="16"/>
                  <w:szCs w:val="16"/>
                </w:rPr>
                <w:t>10.</w:t>
              </w:r>
              <w:r>
                <w:rPr>
                  <w:rStyle w:val="a4"/>
                  <w:sz w:val="16"/>
                  <w:szCs w:val="16"/>
                </w:rPr>
                <w:t>1</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22" w:history="1">
              <w:r>
                <w:rPr>
                  <w:rStyle w:val="a4"/>
                  <w:sz w:val="16"/>
                  <w:szCs w:val="16"/>
                </w:rPr>
                <w:t>2021 Incentive Award Plan</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S-</w:t>
            </w:r>
            <w:r>
              <w:rPr>
                <w:sz w:val="16"/>
                <w:szCs w:val="16"/>
              </w:rPr>
              <w:t>8</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333-25916</w:t>
            </w:r>
            <w:r>
              <w:rPr>
                <w:sz w:val="16"/>
                <w:szCs w:val="16"/>
              </w:rPr>
              <w:t>5</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99.</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8/30/2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23" w:history="1">
              <w:r>
                <w:rPr>
                  <w:rStyle w:val="a4"/>
                  <w:sz w:val="16"/>
                  <w:szCs w:val="16"/>
                </w:rPr>
                <w:t>10.</w:t>
              </w:r>
              <w:r>
                <w:rPr>
                  <w:rStyle w:val="a4"/>
                  <w:sz w:val="16"/>
                  <w:szCs w:val="16"/>
                </w:rPr>
                <w:t>2</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24" w:history="1">
              <w:r>
                <w:rPr>
                  <w:rStyle w:val="a4"/>
                  <w:sz w:val="16"/>
                  <w:szCs w:val="16"/>
                </w:rPr>
                <w:t>2021 Employee Stock Purchase Plan</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S-</w:t>
            </w:r>
            <w:r>
              <w:rPr>
                <w:sz w:val="16"/>
                <w:szCs w:val="16"/>
              </w:rPr>
              <w:t>8</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3</w:t>
            </w:r>
            <w:r>
              <w:rPr>
                <w:sz w:val="16"/>
                <w:szCs w:val="16"/>
              </w:rPr>
              <w:t>33-25916</w:t>
            </w:r>
            <w:r>
              <w:rPr>
                <w:sz w:val="16"/>
                <w:szCs w:val="16"/>
              </w:rPr>
              <w:t>5</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99.</w:t>
            </w:r>
            <w:r>
              <w:rPr>
                <w:sz w:val="16"/>
                <w:szCs w:val="16"/>
              </w:rPr>
              <w:t>2</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8/30/2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25" w:history="1">
              <w:r>
                <w:rPr>
                  <w:rStyle w:val="a4"/>
                  <w:sz w:val="16"/>
                  <w:szCs w:val="16"/>
                </w:rPr>
                <w:t>10.</w:t>
              </w:r>
              <w:r>
                <w:rPr>
                  <w:rStyle w:val="a4"/>
                  <w:sz w:val="16"/>
                  <w:szCs w:val="16"/>
                </w:rPr>
                <w:t>3</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26" w:history="1">
              <w:r>
                <w:rPr>
                  <w:rStyle w:val="a4"/>
                  <w:sz w:val="16"/>
                  <w:szCs w:val="16"/>
                </w:rPr>
                <w:t>2014 Stock Inc</w:t>
              </w:r>
              <w:r>
                <w:rPr>
                  <w:rStyle w:val="a4"/>
                  <w:sz w:val="16"/>
                  <w:szCs w:val="16"/>
                </w:rPr>
                <w:t>entive Plan</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S-</w:t>
            </w:r>
            <w:r>
              <w:rPr>
                <w:sz w:val="16"/>
                <w:szCs w:val="16"/>
              </w:rPr>
              <w:t>8</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333-25916</w:t>
            </w:r>
            <w:r>
              <w:rPr>
                <w:sz w:val="16"/>
                <w:szCs w:val="16"/>
              </w:rPr>
              <w:t>5</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99.</w:t>
            </w:r>
            <w:r>
              <w:rPr>
                <w:sz w:val="16"/>
                <w:szCs w:val="16"/>
              </w:rPr>
              <w:t>3</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8/30/2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27" w:history="1">
              <w:r>
                <w:rPr>
                  <w:rStyle w:val="a4"/>
                  <w:sz w:val="16"/>
                  <w:szCs w:val="16"/>
                </w:rPr>
                <w:t>10.</w:t>
              </w:r>
              <w:r>
                <w:rPr>
                  <w:rStyle w:val="a4"/>
                  <w:sz w:val="16"/>
                  <w:szCs w:val="16"/>
                </w:rPr>
                <w:t>4</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28" w:history="1">
              <w:r>
                <w:rPr>
                  <w:rStyle w:val="a4"/>
                  <w:sz w:val="16"/>
                  <w:szCs w:val="16"/>
                </w:rPr>
                <w:t>Form of Indemnification Agreement</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29" w:history="1">
              <w:r>
                <w:rPr>
                  <w:rStyle w:val="a4"/>
                  <w:sz w:val="16"/>
                  <w:szCs w:val="16"/>
                </w:rPr>
                <w:t>10.</w:t>
              </w:r>
              <w:r>
                <w:rPr>
                  <w:rStyle w:val="a4"/>
                  <w:sz w:val="16"/>
                  <w:szCs w:val="16"/>
                </w:rPr>
                <w:t>5</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30" w:history="1">
              <w:r>
                <w:rPr>
                  <w:rStyle w:val="a4"/>
                  <w:sz w:val="16"/>
                  <w:szCs w:val="16"/>
                </w:rPr>
                <w:t>Amended and Restated Registration Rights Agreement, by and among Talkspace, Inc. and the holders party thereto</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w:t>
            </w:r>
            <w:r>
              <w:rPr>
                <w:sz w:val="16"/>
                <w:szCs w:val="16"/>
              </w:rPr>
              <w:t>2</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31" w:history="1">
              <w:r>
                <w:rPr>
                  <w:rStyle w:val="a4"/>
                  <w:sz w:val="16"/>
                  <w:szCs w:val="16"/>
                </w:rPr>
                <w:t>10.</w:t>
              </w:r>
              <w:r>
                <w:rPr>
                  <w:rStyle w:val="a4"/>
                  <w:sz w:val="16"/>
                  <w:szCs w:val="16"/>
                </w:rPr>
                <w:t>6</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32" w:history="1">
              <w:r>
                <w:rPr>
                  <w:rStyle w:val="a4"/>
                  <w:sz w:val="16"/>
                  <w:szCs w:val="16"/>
                </w:rPr>
                <w:t>Non-Employee Director Co</w:t>
              </w:r>
              <w:r>
                <w:rPr>
                  <w:rStyle w:val="a4"/>
                  <w:sz w:val="16"/>
                  <w:szCs w:val="16"/>
                </w:rPr>
                <w:t>mpensation Program</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w:t>
            </w:r>
            <w:r>
              <w:rPr>
                <w:sz w:val="16"/>
                <w:szCs w:val="16"/>
              </w:rPr>
              <w:t>3</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33" w:history="1">
              <w:r>
                <w:rPr>
                  <w:rStyle w:val="a4"/>
                  <w:sz w:val="16"/>
                  <w:szCs w:val="16"/>
                </w:rPr>
                <w:t>10.</w:t>
              </w:r>
              <w:r>
                <w:rPr>
                  <w:rStyle w:val="a4"/>
                  <w:sz w:val="16"/>
                  <w:szCs w:val="16"/>
                </w:rPr>
                <w:t>7</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34" w:history="1">
              <w:r>
                <w:rPr>
                  <w:rStyle w:val="a4"/>
                  <w:sz w:val="16"/>
                  <w:szCs w:val="16"/>
                </w:rPr>
                <w:t>Form of Stock Option Agreement under the Talkspace, Inc. 2021 Incentive Award Plan</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10.7(a</w:t>
            </w:r>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35" w:history="1">
              <w:r>
                <w:rPr>
                  <w:rStyle w:val="a4"/>
                  <w:sz w:val="16"/>
                  <w:szCs w:val="16"/>
                </w:rPr>
                <w:t>10.</w:t>
              </w:r>
              <w:r>
                <w:rPr>
                  <w:rStyle w:val="a4"/>
                  <w:sz w:val="16"/>
                  <w:szCs w:val="16"/>
                </w:rPr>
                <w:t>8</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36" w:history="1">
              <w:r>
                <w:rPr>
                  <w:rStyle w:val="a4"/>
                  <w:sz w:val="16"/>
                  <w:szCs w:val="16"/>
                </w:rPr>
                <w:t xml:space="preserve">Form of Restricted Stock Unit Agreement under the Talkspace, Inc. 2021 </w:t>
              </w:r>
              <w:r>
                <w:rPr>
                  <w:rStyle w:val="a4"/>
                  <w:sz w:val="16"/>
                  <w:szCs w:val="16"/>
                </w:rPr>
                <w:t>Incentive Award Plan</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10.7(b</w:t>
            </w:r>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37" w:history="1">
              <w:r>
                <w:rPr>
                  <w:rStyle w:val="a4"/>
                  <w:sz w:val="16"/>
                  <w:szCs w:val="16"/>
                </w:rPr>
                <w:t>10.</w:t>
              </w:r>
              <w:r>
                <w:rPr>
                  <w:rStyle w:val="a4"/>
                  <w:sz w:val="16"/>
                  <w:szCs w:val="16"/>
                </w:rPr>
                <w:t>9</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38" w:history="1">
              <w:r>
                <w:rPr>
                  <w:rStyle w:val="a4"/>
                  <w:sz w:val="16"/>
                  <w:szCs w:val="16"/>
                </w:rPr>
                <w:t>Executive Severance Plan</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w:t>
            </w:r>
            <w:r>
              <w:rPr>
                <w:sz w:val="16"/>
                <w:szCs w:val="16"/>
              </w:rPr>
              <w:t>9</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39" w:history="1">
              <w:r>
                <w:rPr>
                  <w:rStyle w:val="a4"/>
                  <w:sz w:val="16"/>
                  <w:szCs w:val="16"/>
                </w:rPr>
                <w:t>10.1</w:t>
              </w:r>
              <w:r>
                <w:rPr>
                  <w:rStyle w:val="a4"/>
                  <w:sz w:val="16"/>
                  <w:szCs w:val="16"/>
                </w:rPr>
                <w:t>0</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40" w:history="1">
              <w:r>
                <w:rPr>
                  <w:rStyle w:val="a4"/>
                  <w:sz w:val="16"/>
                  <w:szCs w:val="16"/>
                </w:rPr>
                <w:t>Credit and Security Agreement, dated as of March 15, 2021, by and among Talkspace Network LLC, Groop Internet Platform, Inc. and JPM</w:t>
              </w:r>
              <w:r>
                <w:rPr>
                  <w:rStyle w:val="a4"/>
                  <w:sz w:val="16"/>
                  <w:szCs w:val="16"/>
                </w:rPr>
                <w:t>organ Chase Bank, N.A</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S-4/</w:t>
            </w:r>
            <w:r>
              <w:rPr>
                <w:sz w:val="16"/>
                <w:szCs w:val="16"/>
              </w:rPr>
              <w:t>A</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333-25263</w:t>
            </w:r>
            <w:r>
              <w:rPr>
                <w:sz w:val="16"/>
                <w:szCs w:val="16"/>
              </w:rPr>
              <w:t>8</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10.1</w:t>
            </w:r>
            <w:r>
              <w:rPr>
                <w:sz w:val="16"/>
                <w:szCs w:val="16"/>
              </w:rPr>
              <w:t>9</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4/6/2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41" w:history="1">
              <w:r>
                <w:rPr>
                  <w:rStyle w:val="a4"/>
                  <w:sz w:val="16"/>
                  <w:szCs w:val="16"/>
                </w:rPr>
                <w:t>10.1</w:t>
              </w:r>
              <w:r>
                <w:rPr>
                  <w:rStyle w:val="a4"/>
                  <w:sz w:val="16"/>
                  <w:szCs w:val="16"/>
                </w:rPr>
                <w:t>1</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42" w:history="1">
              <w:r>
                <w:rPr>
                  <w:rStyle w:val="a4"/>
                  <w:sz w:val="16"/>
                  <w:szCs w:val="16"/>
                </w:rPr>
                <w:t>Employment Agreement, dated July 2, 2021, between the Company and Jennifer Fulk</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w:t>
            </w:r>
            <w:r>
              <w:rPr>
                <w:sz w:val="16"/>
                <w:szCs w:val="16"/>
              </w:rPr>
              <w:t>Q</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10.1</w:t>
            </w:r>
            <w:r>
              <w:rPr>
                <w:sz w:val="16"/>
                <w:szCs w:val="16"/>
              </w:rPr>
              <w:t>4</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8/9/2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43" w:history="1">
              <w:r>
                <w:rPr>
                  <w:rStyle w:val="a4"/>
                  <w:sz w:val="16"/>
                  <w:szCs w:val="16"/>
                </w:rPr>
                <w:t>10.1</w:t>
              </w:r>
              <w:r>
                <w:rPr>
                  <w:rStyle w:val="a4"/>
                  <w:sz w:val="16"/>
                  <w:szCs w:val="16"/>
                </w:rPr>
                <w:t>2</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44" w:history="1">
              <w:r>
                <w:rPr>
                  <w:rStyle w:val="a4"/>
                  <w:sz w:val="16"/>
                  <w:szCs w:val="16"/>
                </w:rPr>
                <w:t>Retention Agreement, dated December 6, 2021</w:t>
              </w:r>
              <w:r>
                <w:rPr>
                  <w:rStyle w:val="a4"/>
                  <w:sz w:val="16"/>
                  <w:szCs w:val="16"/>
                </w:rPr>
                <w:t xml:space="preserve"> by and between the Company and Jennifer Fulk</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12/10/2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45" w:history="1">
              <w:r>
                <w:rPr>
                  <w:rStyle w:val="a4"/>
                  <w:sz w:val="16"/>
                  <w:szCs w:val="16"/>
                </w:rPr>
                <w:t>10.1</w:t>
              </w:r>
              <w:r>
                <w:rPr>
                  <w:rStyle w:val="a4"/>
                  <w:sz w:val="16"/>
                  <w:szCs w:val="16"/>
                </w:rPr>
                <w:t>3</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46" w:history="1">
              <w:r>
                <w:rPr>
                  <w:rStyle w:val="a4"/>
                  <w:sz w:val="16"/>
                  <w:szCs w:val="16"/>
                </w:rPr>
                <w:t>Employment Offer Letter, dated as of June 22, 2021, by and between Talkspace, Inc. and Oren Frank</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w:t>
            </w:r>
            <w:r>
              <w:rPr>
                <w:sz w:val="16"/>
                <w:szCs w:val="16"/>
              </w:rPr>
              <w:t>4</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sz w:val="18"/>
                <w:szCs w:val="18"/>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47" w:history="1">
              <w:r>
                <w:rPr>
                  <w:rStyle w:val="a4"/>
                  <w:sz w:val="16"/>
                  <w:szCs w:val="16"/>
                </w:rPr>
                <w:t>10.1</w:t>
              </w:r>
              <w:r>
                <w:rPr>
                  <w:rStyle w:val="a4"/>
                  <w:sz w:val="16"/>
                  <w:szCs w:val="16"/>
                </w:rPr>
                <w:t>4</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48" w:history="1">
              <w:r>
                <w:rPr>
                  <w:rStyle w:val="a4"/>
                  <w:sz w:val="16"/>
                  <w:szCs w:val="16"/>
                </w:rPr>
                <w:t>Employment Offer Letter, dated as of June 22, 2021, by and between Talkspace, Inc. and Mark Hirschhorn</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w:t>
            </w:r>
            <w:r>
              <w:rPr>
                <w:sz w:val="16"/>
                <w:szCs w:val="16"/>
              </w:rPr>
              <w:t>5</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sz w:val="18"/>
                <w:szCs w:val="18"/>
              </w:rPr>
              <w:t> </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49" w:history="1">
              <w:r>
                <w:rPr>
                  <w:rStyle w:val="a4"/>
                  <w:sz w:val="16"/>
                  <w:szCs w:val="16"/>
                </w:rPr>
                <w:t>10.1</w:t>
              </w:r>
              <w:r>
                <w:rPr>
                  <w:rStyle w:val="a4"/>
                  <w:sz w:val="16"/>
                  <w:szCs w:val="16"/>
                </w:rPr>
                <w:t>5</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50" w:history="1">
              <w:r>
                <w:rPr>
                  <w:rStyle w:val="a4"/>
                  <w:sz w:val="16"/>
                  <w:szCs w:val="16"/>
                </w:rPr>
                <w:t>Employment Offer Letter</w:t>
              </w:r>
              <w:r>
                <w:rPr>
                  <w:rStyle w:val="a4"/>
                  <w:sz w:val="16"/>
                  <w:szCs w:val="16"/>
                </w:rPr>
                <w:t>, dated as of June 22, 2021, by and between Talkspace, Inc. and Roni Frank</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10.</w:t>
            </w:r>
            <w:r>
              <w:rPr>
                <w:sz w:val="16"/>
                <w:szCs w:val="16"/>
              </w:rPr>
              <w:t>6</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51" w:history="1">
              <w:r>
                <w:rPr>
                  <w:rStyle w:val="a4"/>
                  <w:sz w:val="16"/>
                  <w:szCs w:val="16"/>
                </w:rPr>
                <w:t>10.1</w:t>
              </w:r>
              <w:r>
                <w:rPr>
                  <w:rStyle w:val="a4"/>
                  <w:sz w:val="16"/>
                  <w:szCs w:val="16"/>
                </w:rPr>
                <w:t>6</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52" w:history="1">
              <w:r>
                <w:rPr>
                  <w:rStyle w:val="a4"/>
                  <w:sz w:val="16"/>
                  <w:szCs w:val="16"/>
                </w:rPr>
                <w:t>Employment Offer Letter, dated as of June 22, 2021, by and between Talkspace, Inc. and Gil Margolin</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53" w:history="1">
              <w:r>
                <w:rPr>
                  <w:rStyle w:val="a4"/>
                  <w:sz w:val="16"/>
                  <w:szCs w:val="16"/>
                </w:rPr>
                <w:t>10.1</w:t>
              </w:r>
              <w:r>
                <w:rPr>
                  <w:rStyle w:val="a4"/>
                  <w:sz w:val="16"/>
                  <w:szCs w:val="16"/>
                </w:rPr>
                <w:t>7</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54" w:history="1">
              <w:r>
                <w:rPr>
                  <w:rStyle w:val="a4"/>
                  <w:sz w:val="16"/>
                  <w:szCs w:val="16"/>
                </w:rPr>
                <w:t>Employment Offer Letter, dated as of June 22, 2021, by and between Talkspace, Inc. and Samara Braunstein</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55" w:history="1">
              <w:r>
                <w:rPr>
                  <w:rStyle w:val="a4"/>
                  <w:sz w:val="16"/>
                  <w:szCs w:val="16"/>
                </w:rPr>
                <w:t>10.1</w:t>
              </w:r>
              <w:r>
                <w:rPr>
                  <w:rStyle w:val="a4"/>
                  <w:sz w:val="16"/>
                  <w:szCs w:val="16"/>
                </w:rPr>
                <w:t>8</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56" w:history="1">
              <w:r>
                <w:rPr>
                  <w:rStyle w:val="a4"/>
                  <w:sz w:val="16"/>
                  <w:szCs w:val="16"/>
                </w:rPr>
                <w:t>Employment Offer Letter, dated as of June 22, 2021, by and betwe</w:t>
              </w:r>
              <w:r>
                <w:rPr>
                  <w:rStyle w:val="a4"/>
                  <w:sz w:val="16"/>
                  <w:szCs w:val="16"/>
                </w:rPr>
                <w:t>en Talkspace, Inc. and John C. Reilly</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57" w:history="1">
              <w:r>
                <w:rPr>
                  <w:rStyle w:val="a4"/>
                  <w:sz w:val="16"/>
                  <w:szCs w:val="16"/>
                </w:rPr>
                <w:t>10.1</w:t>
              </w:r>
              <w:r>
                <w:rPr>
                  <w:rStyle w:val="a4"/>
                  <w:sz w:val="16"/>
                  <w:szCs w:val="16"/>
                </w:rPr>
                <w:t>9</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58" w:history="1">
              <w:r>
                <w:rPr>
                  <w:rStyle w:val="a4"/>
                  <w:sz w:val="16"/>
                  <w:szCs w:val="16"/>
                </w:rPr>
                <w:t>Retention Agreement, dated as of December 6, 2021, by and between Talkspace, Inc. and Gil Margolin</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59" w:history="1">
              <w:r>
                <w:rPr>
                  <w:rStyle w:val="a4"/>
                  <w:sz w:val="16"/>
                  <w:szCs w:val="16"/>
                </w:rPr>
                <w:t>10.2</w:t>
              </w:r>
              <w:r>
                <w:rPr>
                  <w:rStyle w:val="a4"/>
                  <w:sz w:val="16"/>
                  <w:szCs w:val="16"/>
                </w:rPr>
                <w:t>0</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60" w:history="1">
              <w:r>
                <w:rPr>
                  <w:rStyle w:val="a4"/>
                  <w:sz w:val="16"/>
                  <w:szCs w:val="16"/>
                </w:rPr>
                <w:t>Retention Agreement, dated as of December 6,2021, by and between Talkspace, Inc. and Samara Braunstein</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61" w:history="1">
              <w:r>
                <w:rPr>
                  <w:rStyle w:val="a4"/>
                  <w:sz w:val="16"/>
                  <w:szCs w:val="16"/>
                </w:rPr>
                <w:t>10.2</w:t>
              </w:r>
              <w:r>
                <w:rPr>
                  <w:rStyle w:val="a4"/>
                  <w:sz w:val="16"/>
                  <w:szCs w:val="16"/>
                </w:rPr>
                <w:t>1</w:t>
              </w:r>
            </w:hyperlink>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62" w:history="1">
              <w:r>
                <w:rPr>
                  <w:rStyle w:val="a4"/>
                  <w:sz w:val="16"/>
                  <w:szCs w:val="16"/>
                </w:rPr>
                <w:t>Retention Agreement, dated as of December 6, 2021, by and between Talkspace, Inc. and John C. Reilly</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6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63" w:history="1">
              <w:r>
                <w:rPr>
                  <w:rStyle w:val="a4"/>
                  <w:sz w:val="16"/>
                  <w:szCs w:val="16"/>
                </w:rPr>
                <w:t>21.</w:t>
              </w:r>
              <w:r>
                <w:rPr>
                  <w:rStyle w:val="a4"/>
                  <w:sz w:val="16"/>
                  <w:szCs w:val="16"/>
                </w:rPr>
                <w:t>1</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64" w:history="1">
              <w:r>
                <w:rPr>
                  <w:rStyle w:val="a4"/>
                  <w:sz w:val="16"/>
                  <w:szCs w:val="16"/>
                </w:rPr>
                <w:t>List of Subsidiaries of Talkspace, In</w:t>
              </w:r>
              <w:r>
                <w:rPr>
                  <w:rStyle w:val="a4"/>
                  <w:sz w:val="16"/>
                  <w:szCs w:val="16"/>
                </w:rPr>
                <w:t>c</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001-3931</w:t>
            </w:r>
            <w:r>
              <w:rPr>
                <w:sz w:val="16"/>
                <w:szCs w:val="16"/>
              </w:rPr>
              <w:t>4</w:t>
            </w:r>
            <w:r>
              <w:rPr>
                <w:sz w:val="16"/>
                <w:szCs w:val="16"/>
              </w:rPr>
              <w:t xml:space="preserve">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6/23/2</w:t>
            </w:r>
            <w:r>
              <w:rPr>
                <w:sz w:val="16"/>
                <w:szCs w:val="16"/>
              </w:rPr>
              <w:t>1</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65" w:history="1">
              <w:r>
                <w:rPr>
                  <w:rStyle w:val="a4"/>
                  <w:sz w:val="16"/>
                  <w:szCs w:val="16"/>
                </w:rPr>
                <w:t>23.</w:t>
              </w:r>
              <w:r>
                <w:rPr>
                  <w:rStyle w:val="a4"/>
                  <w:sz w:val="16"/>
                  <w:szCs w:val="16"/>
                </w:rPr>
                <w:t>1</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66" w:history="1">
              <w:r>
                <w:rPr>
                  <w:rStyle w:val="a4"/>
                  <w:sz w:val="16"/>
                  <w:szCs w:val="16"/>
                </w:rPr>
                <w:t>Consent of Kost Forer Gabbay &amp; Kasierer, a member of Ernst &amp; Young Global, Independent Registered Public Accounting Firm</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67" w:history="1">
              <w:r>
                <w:rPr>
                  <w:rStyle w:val="a4"/>
                  <w:sz w:val="16"/>
                  <w:szCs w:val="16"/>
                </w:rPr>
                <w:t>31.</w:t>
              </w:r>
              <w:r>
                <w:rPr>
                  <w:rStyle w:val="a4"/>
                  <w:sz w:val="16"/>
                  <w:szCs w:val="16"/>
                </w:rPr>
                <w:t>1</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68" w:history="1">
              <w:r>
                <w:rPr>
                  <w:rStyle w:val="a4"/>
                  <w:sz w:val="16"/>
                  <w:szCs w:val="16"/>
                </w:rPr>
                <w:t>Certification of Chief Executive Officer pursuant to Rule 13a-14(a)/15d-14(a)</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69" w:history="1">
              <w:r>
                <w:rPr>
                  <w:rStyle w:val="a4"/>
                  <w:sz w:val="16"/>
                  <w:szCs w:val="16"/>
                </w:rPr>
                <w:t>31.</w:t>
              </w:r>
              <w:r>
                <w:rPr>
                  <w:rStyle w:val="a4"/>
                  <w:sz w:val="16"/>
                  <w:szCs w:val="16"/>
                </w:rPr>
                <w:t>2</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70" w:history="1">
              <w:r>
                <w:rPr>
                  <w:rStyle w:val="a4"/>
                  <w:sz w:val="16"/>
                  <w:szCs w:val="16"/>
                </w:rPr>
                <w:t>Certification of Chief Financial Officer pursuant to Rule 13a-14(a)/15d-14(a)</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71" w:history="1">
              <w:r>
                <w:rPr>
                  <w:rStyle w:val="a4"/>
                  <w:sz w:val="16"/>
                  <w:szCs w:val="16"/>
                </w:rPr>
                <w:t>32.</w:t>
              </w:r>
              <w:r>
                <w:rPr>
                  <w:rStyle w:val="a4"/>
                  <w:sz w:val="16"/>
                  <w:szCs w:val="16"/>
                </w:rPr>
                <w:t>1</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72" w:history="1">
              <w:r>
                <w:rPr>
                  <w:rStyle w:val="a4"/>
                  <w:sz w:val="16"/>
                  <w:szCs w:val="16"/>
                </w:rPr>
                <w:t>Certification of Chief Executive Officer pursuant to 18 U.S.C. Section 1350</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73" w:history="1">
              <w:r>
                <w:rPr>
                  <w:rStyle w:val="a4"/>
                  <w:sz w:val="16"/>
                  <w:szCs w:val="16"/>
                </w:rPr>
                <w:t>32.</w:t>
              </w:r>
              <w:r>
                <w:rPr>
                  <w:rStyle w:val="a4"/>
                  <w:sz w:val="16"/>
                  <w:szCs w:val="16"/>
                </w:rPr>
                <w:t>2</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hyperlink r:id="rId74" w:history="1">
              <w:r>
                <w:rPr>
                  <w:rStyle w:val="a4"/>
                  <w:sz w:val="16"/>
                  <w:szCs w:val="16"/>
                </w:rPr>
                <w:t>Certification of Chief Financial Officer pursuant to 18 U.S.C. Section 1350</w:t>
              </w:r>
              <w:r>
                <w:rPr>
                  <w:rStyle w:val="a4"/>
                  <w:sz w:val="16"/>
                  <w:szCs w:val="16"/>
                </w:rPr>
                <w:t>.</w:t>
              </w:r>
            </w:hyperlink>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101.IN</w:t>
            </w:r>
            <w:r>
              <w:rPr>
                <w:sz w:val="16"/>
                <w:szCs w:val="16"/>
              </w:rPr>
              <w:t>S</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xml:space="preserve">Inline XBRL Instance Document – </w:t>
            </w:r>
            <w:r>
              <w:rPr>
                <w:sz w:val="16"/>
                <w:szCs w:val="16"/>
              </w:rPr>
              <w:t>the instance document does not appear in the Interactive Data File because XBRL tags are embedded within the Inline XBRL document</w:t>
            </w:r>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101.SC</w:t>
            </w:r>
            <w:r>
              <w:rPr>
                <w:sz w:val="16"/>
                <w:szCs w:val="16"/>
              </w:rPr>
              <w:t>H</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Inline XBRL Taxonomy Extension Schema Documen</w:t>
            </w:r>
            <w:r>
              <w:rPr>
                <w:sz w:val="16"/>
                <w:szCs w:val="16"/>
              </w:rPr>
              <w:t>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101.CA</w:t>
            </w:r>
            <w:r>
              <w:rPr>
                <w:sz w:val="16"/>
                <w:szCs w:val="16"/>
              </w:rPr>
              <w:t>L</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Inline XBRL Taxonomy Extension Calculation Linkbase Documen</w:t>
            </w:r>
            <w:r>
              <w:rPr>
                <w:sz w:val="16"/>
                <w:szCs w:val="16"/>
              </w:rPr>
              <w:t>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bl>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12</w:t>
      </w:r>
      <w:r>
        <w:rPr>
          <w:sz w:val="20"/>
          <w:szCs w:val="20"/>
        </w:rPr>
        <w:t>7</w:t>
      </w:r>
    </w:p>
    <w:p w:rsidR="00000000" w:rsidRDefault="00AF2D19">
      <w:pPr>
        <w:rPr>
          <w:rFonts w:eastAsia="Times New Roman"/>
        </w:rPr>
      </w:pPr>
      <w:r>
        <w:rPr>
          <w:rFonts w:eastAsia="Times New Roman"/>
        </w:rPr>
        <w:pict>
          <v:rect id="_x0000_i1155"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
        <w:gridCol w:w="99"/>
        <w:gridCol w:w="4416"/>
        <w:gridCol w:w="501"/>
        <w:gridCol w:w="741"/>
        <w:gridCol w:w="502"/>
        <w:gridCol w:w="503"/>
        <w:gridCol w:w="870"/>
      </w:tblGrid>
      <w:tr w:rsidR="00000000">
        <w:trPr>
          <w:tblCellSpacing w:w="15" w:type="dxa"/>
        </w:trPr>
        <w:tc>
          <w:tcPr>
            <w:tcW w:w="300" w:type="pct"/>
            <w:vAlign w:val="center"/>
            <w:hideMark/>
          </w:tcPr>
          <w:p w:rsidR="00000000" w:rsidRDefault="00AF2D19">
            <w:pPr>
              <w:rPr>
                <w:sz w:val="20"/>
                <w:szCs w:val="20"/>
              </w:rPr>
            </w:pPr>
          </w:p>
        </w:tc>
        <w:tc>
          <w:tcPr>
            <w:tcW w:w="56" w:type="pct"/>
            <w:vAlign w:val="center"/>
            <w:hideMark/>
          </w:tcPr>
          <w:p w:rsidR="00000000" w:rsidRDefault="00AF2D19">
            <w:pPr>
              <w:rPr>
                <w:rFonts w:eastAsia="Times New Roman"/>
                <w:sz w:val="20"/>
                <w:szCs w:val="20"/>
              </w:rPr>
            </w:pPr>
          </w:p>
        </w:tc>
        <w:tc>
          <w:tcPr>
            <w:tcW w:w="2740" w:type="pct"/>
            <w:vAlign w:val="center"/>
            <w:hideMark/>
          </w:tcPr>
          <w:p w:rsidR="00000000" w:rsidRDefault="00AF2D19">
            <w:pPr>
              <w:rPr>
                <w:rFonts w:eastAsia="Times New Roman"/>
                <w:sz w:val="20"/>
                <w:szCs w:val="20"/>
              </w:rPr>
            </w:pPr>
          </w:p>
        </w:tc>
        <w:tc>
          <w:tcPr>
            <w:tcW w:w="306" w:type="pct"/>
            <w:vAlign w:val="center"/>
            <w:hideMark/>
          </w:tcPr>
          <w:p w:rsidR="00000000" w:rsidRDefault="00AF2D19">
            <w:pPr>
              <w:rPr>
                <w:rFonts w:eastAsia="Times New Roman"/>
                <w:sz w:val="20"/>
                <w:szCs w:val="20"/>
              </w:rPr>
            </w:pPr>
          </w:p>
        </w:tc>
        <w:tc>
          <w:tcPr>
            <w:tcW w:w="455" w:type="pct"/>
            <w:vAlign w:val="center"/>
            <w:hideMark/>
          </w:tcPr>
          <w:p w:rsidR="00000000" w:rsidRDefault="00AF2D19">
            <w:pPr>
              <w:rPr>
                <w:rFonts w:eastAsia="Times New Roman"/>
                <w:sz w:val="20"/>
                <w:szCs w:val="20"/>
              </w:rPr>
            </w:pPr>
          </w:p>
        </w:tc>
        <w:tc>
          <w:tcPr>
            <w:tcW w:w="306" w:type="pct"/>
            <w:vAlign w:val="center"/>
            <w:hideMark/>
          </w:tcPr>
          <w:p w:rsidR="00000000" w:rsidRDefault="00AF2D19">
            <w:pPr>
              <w:rPr>
                <w:rFonts w:eastAsia="Times New Roman"/>
                <w:sz w:val="20"/>
                <w:szCs w:val="20"/>
              </w:rPr>
            </w:pPr>
          </w:p>
        </w:tc>
        <w:tc>
          <w:tcPr>
            <w:tcW w:w="307" w:type="pct"/>
            <w:vAlign w:val="center"/>
            <w:hideMark/>
          </w:tcPr>
          <w:p w:rsidR="00000000" w:rsidRDefault="00AF2D19">
            <w:pPr>
              <w:rPr>
                <w:rFonts w:eastAsia="Times New Roman"/>
                <w:sz w:val="20"/>
                <w:szCs w:val="20"/>
              </w:rPr>
            </w:pPr>
          </w:p>
        </w:tc>
        <w:tc>
          <w:tcPr>
            <w:tcW w:w="526" w:type="pct"/>
            <w:vAlign w:val="center"/>
            <w:hideMark/>
          </w:tcPr>
          <w:p w:rsidR="00000000" w:rsidRDefault="00AF2D19">
            <w:pPr>
              <w:rPr>
                <w:rFonts w:eastAsia="Times New Roman"/>
                <w:sz w:val="20"/>
                <w:szCs w:val="20"/>
              </w:rPr>
            </w:pP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101.DE</w:t>
            </w:r>
            <w:r>
              <w:rPr>
                <w:sz w:val="16"/>
                <w:szCs w:val="16"/>
              </w:rPr>
              <w:t>F</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Inline XBRL Taxonomy Extension Definition Linkbase Documen</w:t>
            </w:r>
            <w:r>
              <w:rPr>
                <w:sz w:val="16"/>
                <w:szCs w:val="16"/>
              </w:rPr>
              <w:t>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101.LA</w:t>
            </w:r>
            <w:r>
              <w:rPr>
                <w:sz w:val="16"/>
                <w:szCs w:val="16"/>
              </w:rPr>
              <w:t>B</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Inline XBRL Taxonomy Extension Label Linkbase Documen</w:t>
            </w:r>
            <w:r>
              <w:rPr>
                <w:sz w:val="16"/>
                <w:szCs w:val="16"/>
              </w:rPr>
              <w:t>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101.PR</w:t>
            </w:r>
            <w:r>
              <w:rPr>
                <w:sz w:val="16"/>
                <w:szCs w:val="16"/>
              </w:rPr>
              <w:t>E</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Inline XBRL Taxonomy Extension Presentation Linkbase Documen</w:t>
            </w:r>
            <w:r>
              <w:rPr>
                <w:sz w:val="16"/>
                <w:szCs w:val="16"/>
              </w:rPr>
              <w:t>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r w:rsidR="00000000">
        <w:trPr>
          <w:trHeight w:val="49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10</w:t>
            </w:r>
            <w:r>
              <w:rPr>
                <w:sz w:val="16"/>
                <w:szCs w:val="16"/>
              </w:rPr>
              <w:t>4</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16"/>
                <w:szCs w:val="16"/>
              </w:rPr>
            </w:pPr>
            <w:r>
              <w:rPr>
                <w:sz w:val="16"/>
                <w:szCs w:val="16"/>
              </w:rPr>
              <w:t>Cover Page Interactive Data File (as formatted as Inline XBRL and containe</w:t>
            </w:r>
            <w:r>
              <w:rPr>
                <w:sz w:val="16"/>
                <w:szCs w:val="16"/>
              </w:rPr>
              <w:t>d</w:t>
            </w:r>
          </w:p>
          <w:p w:rsidR="00000000" w:rsidRDefault="00AF2D19">
            <w:pPr>
              <w:pStyle w:val="a3"/>
              <w:spacing w:before="0" w:beforeAutospacing="0" w:after="0" w:afterAutospacing="0"/>
              <w:rPr>
                <w:sz w:val="16"/>
                <w:szCs w:val="16"/>
              </w:rPr>
            </w:pPr>
            <w:r>
              <w:rPr>
                <w:sz w:val="16"/>
                <w:szCs w:val="16"/>
              </w:rPr>
              <w:t>in Exhibit 101)</w:t>
            </w:r>
            <w:r>
              <w:rPr>
                <w:sz w:val="16"/>
                <w:szCs w:val="16"/>
              </w:rPr>
              <w:t>.</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jc w:val="center"/>
              <w:rPr>
                <w:sz w:val="18"/>
                <w:szCs w:val="18"/>
              </w:rPr>
            </w:pPr>
            <w:r>
              <w:rPr>
                <w:b/>
                <w:bCs/>
                <w:sz w:val="18"/>
                <w:szCs w:val="18"/>
              </w:rPr>
              <w:t>*</w:t>
            </w:r>
          </w:p>
        </w:tc>
      </w:tr>
    </w:tbl>
    <w:p w:rsidR="00000000" w:rsidRDefault="00AF2D19">
      <w:pPr>
        <w:pStyle w:val="a3"/>
        <w:pBdr>
          <w:bottom w:val="single" w:sz="4" w:space="1" w:color="auto"/>
        </w:pBdr>
        <w:spacing w:before="0" w:beforeAutospacing="0" w:after="0" w:afterAutospacing="0"/>
        <w:ind w:right="9524"/>
        <w:rPr>
          <w:sz w:val="20"/>
          <w:szCs w:val="20"/>
        </w:rPr>
      </w:pPr>
      <w:r>
        <w:rPr>
          <w:sz w:val="12"/>
          <w:szCs w:val="12"/>
        </w:rPr>
        <w:t> </w:t>
      </w:r>
    </w:p>
    <w:p w:rsidR="00000000" w:rsidRDefault="00AF2D19">
      <w:pPr>
        <w:pStyle w:val="a3"/>
        <w:spacing w:before="120" w:beforeAutospacing="0" w:after="0" w:afterAutospacing="0"/>
        <w:ind w:hanging="581"/>
        <w:rPr>
          <w:sz w:val="20"/>
          <w:szCs w:val="20"/>
        </w:rPr>
      </w:pPr>
      <w:r>
        <w:rPr>
          <w:sz w:val="16"/>
          <w:szCs w:val="16"/>
        </w:rPr>
        <w:t>* Filed herewith</w:t>
      </w:r>
      <w:r>
        <w:rPr>
          <w:sz w:val="16"/>
          <w:szCs w:val="16"/>
        </w:rPr>
        <w:t>.</w:t>
      </w:r>
    </w:p>
    <w:p w:rsidR="00000000" w:rsidRDefault="00AF2D19">
      <w:pPr>
        <w:pStyle w:val="a3"/>
        <w:spacing w:before="60" w:beforeAutospacing="0" w:after="0" w:afterAutospacing="0"/>
        <w:ind w:hanging="581"/>
        <w:rPr>
          <w:sz w:val="20"/>
          <w:szCs w:val="20"/>
        </w:rPr>
      </w:pPr>
      <w:r>
        <w:rPr>
          <w:sz w:val="16"/>
          <w:szCs w:val="16"/>
        </w:rPr>
        <w:t>** Furnished herewith</w:t>
      </w:r>
      <w:r>
        <w:rPr>
          <w:sz w:val="16"/>
          <w:szCs w:val="16"/>
        </w:rPr>
        <w:t>.</w:t>
      </w:r>
    </w:p>
    <w:p w:rsidR="00000000" w:rsidRDefault="00AF2D19">
      <w:pPr>
        <w:pStyle w:val="a3"/>
        <w:spacing w:before="60" w:beforeAutospacing="0" w:after="0" w:afterAutospacing="0"/>
        <w:ind w:hanging="581"/>
        <w:rPr>
          <w:sz w:val="20"/>
          <w:szCs w:val="20"/>
        </w:rPr>
      </w:pPr>
      <w:r>
        <w:rPr>
          <w:sz w:val="20"/>
          <w:szCs w:val="20"/>
        </w:rPr>
        <w:t>†</w:t>
      </w:r>
      <w:r>
        <w:rPr>
          <w:sz w:val="20"/>
          <w:szCs w:val="20"/>
        </w:rPr>
        <w:t xml:space="preserve"> </w:t>
      </w:r>
      <w:r>
        <w:rPr>
          <w:sz w:val="16"/>
          <w:szCs w:val="16"/>
        </w:rPr>
        <w:t>Indicates management contract or compensatory plan</w:t>
      </w:r>
      <w:r>
        <w:rPr>
          <w:sz w:val="16"/>
          <w:szCs w:val="16"/>
        </w:rPr>
        <w:t>.</w:t>
      </w:r>
    </w:p>
    <w:p w:rsidR="00000000" w:rsidRDefault="00AF2D19">
      <w:pPr>
        <w:pStyle w:val="a3"/>
        <w:spacing w:before="60" w:beforeAutospacing="0" w:after="0" w:afterAutospacing="0"/>
        <w:ind w:hanging="581"/>
        <w:rPr>
          <w:sz w:val="20"/>
          <w:szCs w:val="20"/>
        </w:rPr>
      </w:pPr>
      <w:r>
        <w:rPr>
          <w:sz w:val="16"/>
          <w:szCs w:val="16"/>
        </w:rPr>
        <w:t>+ Schedules and exhibits have been omitted pursuant to Item 601(b)(2) of Regulation S-K. The Registrant agrees to furnish supplementally a cop</w:t>
      </w:r>
      <w:r>
        <w:rPr>
          <w:sz w:val="16"/>
          <w:szCs w:val="16"/>
        </w:rPr>
        <w:t>y</w:t>
      </w:r>
      <w:r>
        <w:rPr>
          <w:sz w:val="16"/>
          <w:szCs w:val="16"/>
        </w:rPr>
        <w:t xml:space="preserve"> </w:t>
      </w:r>
    </w:p>
    <w:p w:rsidR="00000000" w:rsidRDefault="00AF2D19">
      <w:pPr>
        <w:pStyle w:val="a3"/>
        <w:spacing w:before="0" w:beforeAutospacing="0" w:after="0" w:afterAutospacing="0"/>
        <w:ind w:hanging="581"/>
        <w:rPr>
          <w:sz w:val="20"/>
          <w:szCs w:val="20"/>
        </w:rPr>
      </w:pPr>
      <w:r>
        <w:rPr>
          <w:sz w:val="16"/>
          <w:szCs w:val="16"/>
        </w:rPr>
        <w:t>of any omi</w:t>
      </w:r>
      <w:r>
        <w:rPr>
          <w:sz w:val="16"/>
          <w:szCs w:val="16"/>
        </w:rPr>
        <w:t>tted schedule or exhibit to the SEC upon request</w:t>
      </w:r>
      <w:r>
        <w:rPr>
          <w:sz w:val="16"/>
          <w:szCs w:val="16"/>
        </w:rPr>
        <w:t>.</w:t>
      </w:r>
    </w:p>
    <w:p w:rsidR="00000000" w:rsidRDefault="00AF2D19">
      <w:pPr>
        <w:pStyle w:val="a3"/>
        <w:spacing w:before="120" w:beforeAutospacing="0" w:after="0" w:afterAutospacing="0"/>
        <w:ind w:hanging="581"/>
        <w:rPr>
          <w:sz w:val="20"/>
          <w:szCs w:val="20"/>
        </w:rPr>
      </w:pPr>
      <w:r>
        <w:rPr>
          <w:sz w:val="16"/>
          <w:szCs w:val="16"/>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12</w:t>
      </w:r>
      <w:r>
        <w:rPr>
          <w:sz w:val="20"/>
          <w:szCs w:val="20"/>
        </w:rPr>
        <w:t>8</w:t>
      </w:r>
    </w:p>
    <w:p w:rsidR="00000000" w:rsidRDefault="00AF2D19">
      <w:pPr>
        <w:rPr>
          <w:rFonts w:eastAsia="Times New Roman"/>
        </w:rPr>
      </w:pPr>
      <w:r>
        <w:rPr>
          <w:rFonts w:eastAsia="Times New Roman"/>
        </w:rPr>
        <w:pict>
          <v:rect id="_x0000_i1156" style="width:0;height:1.5pt" o:hralign="center" o:hrstd="t" o:hr="t" fillcolor="#a0a0a0" stroked="f"/>
        </w:pict>
      </w:r>
    </w:p>
    <w:p w:rsidR="00000000" w:rsidRDefault="00AF2D19">
      <w:pPr>
        <w:pStyle w:val="a3"/>
        <w:spacing w:before="0" w:beforeAutospacing="0" w:after="0" w:afterAutospacing="0"/>
        <w:rPr>
          <w:sz w:val="20"/>
          <w:szCs w:val="20"/>
        </w:rPr>
      </w:pPr>
      <w:hyperlink w:anchor="toc_page" w:history="1">
        <w:r>
          <w:rPr>
            <w:rStyle w:val="a4"/>
            <w:sz w:val="20"/>
            <w:szCs w:val="20"/>
          </w:rPr>
          <w:t>Table of Content</w:t>
        </w:r>
        <w:r>
          <w:rPr>
            <w:rStyle w:val="a4"/>
            <w:sz w:val="20"/>
            <w:szCs w:val="20"/>
          </w:rPr>
          <w:t>s</w:t>
        </w:r>
      </w:hyperlink>
    </w:p>
    <w:p w:rsidR="00000000" w:rsidRDefault="00AF2D19">
      <w:pPr>
        <w:pStyle w:val="a3"/>
        <w:spacing w:before="0" w:beforeAutospacing="0" w:after="0" w:afterAutospacing="0"/>
        <w:jc w:val="center"/>
        <w:rPr>
          <w:sz w:val="20"/>
          <w:szCs w:val="20"/>
        </w:rPr>
      </w:pPr>
      <w:r>
        <w:rPr>
          <w:b/>
          <w:bCs/>
          <w:sz w:val="20"/>
          <w:szCs w:val="20"/>
        </w:rPr>
        <w:t>SIGN</w:t>
      </w:r>
      <w:r>
        <w:rPr>
          <w:b/>
          <w:bCs/>
          <w:sz w:val="20"/>
          <w:szCs w:val="20"/>
        </w:rPr>
        <w:t>A</w:t>
      </w:r>
      <w:r>
        <w:rPr>
          <w:b/>
          <w:bCs/>
          <w:sz w:val="20"/>
          <w:szCs w:val="20"/>
        </w:rPr>
        <w:t>TURE</w:t>
      </w:r>
      <w:r>
        <w:rPr>
          <w:b/>
          <w:bCs/>
          <w:sz w:val="20"/>
          <w:szCs w:val="20"/>
        </w:rPr>
        <w:t>S</w:t>
      </w:r>
    </w:p>
    <w:p w:rsidR="00000000" w:rsidRDefault="00AF2D19">
      <w:pPr>
        <w:pStyle w:val="a3"/>
        <w:spacing w:before="240" w:beforeAutospacing="0" w:after="0" w:afterAutospacing="0"/>
        <w:jc w:val="both"/>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r>
        <w:rPr>
          <w:sz w:val="20"/>
          <w:szCs w:val="20"/>
        </w:rPr>
        <w:t>.</w:t>
      </w:r>
    </w:p>
    <w:p w:rsidR="00000000" w:rsidRDefault="00AF2D19">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6"/>
        <w:gridCol w:w="260"/>
        <w:gridCol w:w="492"/>
        <w:gridCol w:w="3818"/>
      </w:tblGrid>
      <w:tr w:rsidR="00000000">
        <w:trPr>
          <w:tblCellSpacing w:w="15" w:type="dxa"/>
        </w:trPr>
        <w:tc>
          <w:tcPr>
            <w:tcW w:w="2262" w:type="pct"/>
            <w:vAlign w:val="center"/>
            <w:hideMark/>
          </w:tcPr>
          <w:p w:rsidR="00000000" w:rsidRDefault="00AF2D19">
            <w:pPr>
              <w:rPr>
                <w:sz w:val="20"/>
                <w:szCs w:val="20"/>
              </w:rPr>
            </w:pPr>
          </w:p>
        </w:tc>
        <w:tc>
          <w:tcPr>
            <w:tcW w:w="141" w:type="pct"/>
            <w:vAlign w:val="center"/>
            <w:hideMark/>
          </w:tcPr>
          <w:p w:rsidR="00000000" w:rsidRDefault="00AF2D19">
            <w:pPr>
              <w:rPr>
                <w:rFonts w:eastAsia="Times New Roman"/>
                <w:sz w:val="20"/>
                <w:szCs w:val="20"/>
              </w:rPr>
            </w:pPr>
          </w:p>
        </w:tc>
        <w:tc>
          <w:tcPr>
            <w:tcW w:w="283" w:type="pct"/>
            <w:vAlign w:val="center"/>
            <w:hideMark/>
          </w:tcPr>
          <w:p w:rsidR="00000000" w:rsidRDefault="00AF2D19">
            <w:pPr>
              <w:rPr>
                <w:rFonts w:eastAsia="Times New Roman"/>
                <w:sz w:val="20"/>
                <w:szCs w:val="20"/>
              </w:rPr>
            </w:pPr>
          </w:p>
        </w:tc>
        <w:tc>
          <w:tcPr>
            <w:tcW w:w="2313" w:type="pct"/>
            <w:vAlign w:val="center"/>
            <w:hideMark/>
          </w:tcPr>
          <w:p w:rsidR="00000000" w:rsidRDefault="00AF2D19">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TALKSPACE, INC</w:t>
            </w:r>
            <w:r>
              <w:rPr>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Date: February 25, 202</w:t>
            </w:r>
            <w:r>
              <w:rPr>
                <w:sz w:val="20"/>
                <w:szCs w:val="20"/>
              </w:rPr>
              <w:t>2</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/s/ Douglas Braunstei</w:t>
            </w:r>
            <w:r>
              <w:rPr>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b/>
                <w:bCs/>
                <w:sz w:val="20"/>
                <w:szCs w:val="20"/>
              </w:rPr>
              <w:t>Douglas Braunstei</w:t>
            </w:r>
            <w:r>
              <w:rPr>
                <w:b/>
                <w:bCs/>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b/>
                <w:bCs/>
                <w:sz w:val="20"/>
                <w:szCs w:val="20"/>
              </w:rPr>
              <w:t>Interim Chief Executive Office</w:t>
            </w:r>
            <w:r>
              <w:rPr>
                <w:b/>
                <w:bCs/>
                <w:sz w:val="20"/>
                <w:szCs w:val="20"/>
              </w:rPr>
              <w:t>r</w:t>
            </w:r>
          </w:p>
        </w:tc>
      </w:tr>
    </w:tbl>
    <w:p w:rsidR="00000000" w:rsidRDefault="00AF2D19">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7"/>
        <w:gridCol w:w="251"/>
        <w:gridCol w:w="480"/>
        <w:gridCol w:w="3828"/>
      </w:tblGrid>
      <w:tr w:rsidR="00000000">
        <w:trPr>
          <w:tblCellSpacing w:w="15" w:type="dxa"/>
        </w:trPr>
        <w:tc>
          <w:tcPr>
            <w:tcW w:w="2269" w:type="pct"/>
            <w:vAlign w:val="center"/>
            <w:hideMark/>
          </w:tcPr>
          <w:p w:rsidR="00000000" w:rsidRDefault="00AF2D19">
            <w:pPr>
              <w:rPr>
                <w:sz w:val="20"/>
                <w:szCs w:val="20"/>
              </w:rPr>
            </w:pPr>
          </w:p>
        </w:tc>
        <w:tc>
          <w:tcPr>
            <w:tcW w:w="135" w:type="pct"/>
            <w:vAlign w:val="center"/>
            <w:hideMark/>
          </w:tcPr>
          <w:p w:rsidR="00000000" w:rsidRDefault="00AF2D19">
            <w:pPr>
              <w:rPr>
                <w:rFonts w:eastAsia="Times New Roman"/>
                <w:sz w:val="20"/>
                <w:szCs w:val="20"/>
              </w:rPr>
            </w:pPr>
          </w:p>
        </w:tc>
        <w:tc>
          <w:tcPr>
            <w:tcW w:w="276" w:type="pct"/>
            <w:vAlign w:val="center"/>
            <w:hideMark/>
          </w:tcPr>
          <w:p w:rsidR="00000000" w:rsidRDefault="00AF2D19">
            <w:pPr>
              <w:rPr>
                <w:rFonts w:eastAsia="Times New Roman"/>
                <w:sz w:val="20"/>
                <w:szCs w:val="20"/>
              </w:rPr>
            </w:pPr>
          </w:p>
        </w:tc>
        <w:tc>
          <w:tcPr>
            <w:tcW w:w="2319" w:type="pct"/>
            <w:vAlign w:val="center"/>
            <w:hideMark/>
          </w:tcPr>
          <w:p w:rsidR="00000000" w:rsidRDefault="00AF2D19">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Date: February 25, 202</w:t>
            </w:r>
            <w:r>
              <w:rPr>
                <w:sz w:val="20"/>
                <w:szCs w:val="20"/>
              </w:rPr>
              <w:t>2</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F2D19">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/s/ Jennifer Ful</w:t>
            </w:r>
            <w:r>
              <w:rPr>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b/>
                <w:bCs/>
                <w:sz w:val="20"/>
                <w:szCs w:val="20"/>
              </w:rPr>
              <w:t>Jennifer Ful</w:t>
            </w:r>
            <w:r>
              <w:rPr>
                <w:b/>
                <w:bCs/>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b/>
                <w:bCs/>
                <w:sz w:val="20"/>
                <w:szCs w:val="20"/>
              </w:rPr>
              <w:t>Chief Financial Office</w:t>
            </w:r>
            <w:r>
              <w:rPr>
                <w:b/>
                <w:bCs/>
                <w:sz w:val="20"/>
                <w:szCs w:val="20"/>
              </w:rPr>
              <w:t>r</w:t>
            </w:r>
          </w:p>
        </w:tc>
      </w:tr>
    </w:tbl>
    <w:p w:rsidR="00000000" w:rsidRDefault="00AF2D19">
      <w:pPr>
        <w:pStyle w:val="a3"/>
        <w:spacing w:before="0" w:beforeAutospacing="0" w:after="0" w:afterAutospacing="0"/>
        <w:rPr>
          <w:sz w:val="20"/>
          <w:szCs w:val="20"/>
        </w:rPr>
      </w:pPr>
      <w:r>
        <w:t> </w:t>
      </w:r>
    </w:p>
    <w:p w:rsidR="00000000" w:rsidRDefault="00AF2D19">
      <w:pPr>
        <w:pStyle w:val="a3"/>
        <w:spacing w:before="0" w:beforeAutospacing="0" w:after="0" w:afterAutospacing="0"/>
        <w:jc w:val="both"/>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r>
        <w:rPr>
          <w:sz w:val="20"/>
          <w:szCs w:val="20"/>
        </w:rPr>
        <w:t>.</w:t>
      </w:r>
    </w:p>
    <w:p w:rsidR="00000000" w:rsidRDefault="00AF2D19">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27"/>
        <w:gridCol w:w="113"/>
        <w:gridCol w:w="3550"/>
        <w:gridCol w:w="113"/>
        <w:gridCol w:w="1803"/>
      </w:tblGrid>
      <w:tr w:rsidR="00000000">
        <w:trPr>
          <w:tblCellSpacing w:w="15" w:type="dxa"/>
        </w:trPr>
        <w:tc>
          <w:tcPr>
            <w:tcW w:w="1649" w:type="pct"/>
            <w:vAlign w:val="center"/>
            <w:hideMark/>
          </w:tcPr>
          <w:p w:rsidR="00000000" w:rsidRDefault="00AF2D19">
            <w:pPr>
              <w:rPr>
                <w:sz w:val="20"/>
                <w:szCs w:val="20"/>
              </w:rPr>
            </w:pPr>
          </w:p>
        </w:tc>
        <w:tc>
          <w:tcPr>
            <w:tcW w:w="51" w:type="pct"/>
            <w:vAlign w:val="center"/>
            <w:hideMark/>
          </w:tcPr>
          <w:p w:rsidR="00000000" w:rsidRDefault="00AF2D19">
            <w:pPr>
              <w:rPr>
                <w:rFonts w:eastAsia="Times New Roman"/>
                <w:sz w:val="20"/>
                <w:szCs w:val="20"/>
              </w:rPr>
            </w:pPr>
          </w:p>
        </w:tc>
        <w:tc>
          <w:tcPr>
            <w:tcW w:w="2165" w:type="pct"/>
            <w:vAlign w:val="center"/>
            <w:hideMark/>
          </w:tcPr>
          <w:p w:rsidR="00000000" w:rsidRDefault="00AF2D19">
            <w:pPr>
              <w:rPr>
                <w:rFonts w:eastAsia="Times New Roman"/>
                <w:sz w:val="20"/>
                <w:szCs w:val="20"/>
              </w:rPr>
            </w:pPr>
          </w:p>
        </w:tc>
        <w:tc>
          <w:tcPr>
            <w:tcW w:w="51" w:type="pct"/>
            <w:vAlign w:val="center"/>
            <w:hideMark/>
          </w:tcPr>
          <w:p w:rsidR="00000000" w:rsidRDefault="00AF2D19">
            <w:pPr>
              <w:rPr>
                <w:rFonts w:eastAsia="Times New Roman"/>
                <w:sz w:val="20"/>
                <w:szCs w:val="20"/>
              </w:rPr>
            </w:pPr>
          </w:p>
        </w:tc>
        <w:tc>
          <w:tcPr>
            <w:tcW w:w="1081" w:type="pct"/>
            <w:vAlign w:val="center"/>
            <w:hideMark/>
          </w:tcPr>
          <w:p w:rsidR="00000000" w:rsidRDefault="00AF2D19">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Titl</w:t>
            </w:r>
            <w:r>
              <w:rPr>
                <w:b/>
                <w:bCs/>
                <w:sz w:val="16"/>
                <w:szCs w:val="16"/>
              </w:rPr>
              <w:t>e</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Dat</w:t>
            </w:r>
            <w:r>
              <w:rPr>
                <w:b/>
                <w:bCs/>
                <w:sz w:val="16"/>
                <w:szCs w:val="16"/>
              </w:rPr>
              <w:t>e</w:t>
            </w:r>
          </w:p>
        </w:tc>
      </w:tr>
      <w:tr w:rsidR="00000000">
        <w:trPr>
          <w:trHeight w:val="8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8"/>
                <w:szCs w:val="8"/>
              </w:rPr>
            </w:pPr>
            <w:r>
              <w:rPr>
                <w:sz w:val="8"/>
                <w:szCs w:val="8"/>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20"/>
                <w:szCs w:val="20"/>
              </w:rPr>
            </w:pPr>
            <w:r>
              <w:rPr>
                <w:sz w:val="20"/>
                <w:szCs w:val="20"/>
              </w:rPr>
              <w:t>/s/ Douglas Braunstei</w:t>
            </w:r>
            <w:r>
              <w:rPr>
                <w:sz w:val="20"/>
                <w:szCs w:val="20"/>
              </w:rPr>
              <w:t>n</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Interim Chief Executive Officer and Directo</w:t>
            </w:r>
            <w:r>
              <w:rPr>
                <w:sz w:val="20"/>
                <w:szCs w:val="20"/>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February 25, 202</w:t>
            </w:r>
            <w:r>
              <w:rPr>
                <w:sz w:val="20"/>
                <w:szCs w:val="20"/>
              </w:rPr>
              <w:t>2</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Douglas Braunstei</w:t>
            </w:r>
            <w:r>
              <w:rPr>
                <w:b/>
                <w:bCs/>
                <w:sz w:val="16"/>
                <w:szCs w:val="16"/>
              </w:rPr>
              <w:t>n</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(Principal Executive Officer</w:t>
            </w:r>
            <w:r>
              <w:rPr>
                <w:sz w:val="20"/>
                <w:szCs w:val="20"/>
              </w:rPr>
              <w:t>)</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8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20"/>
                <w:szCs w:val="20"/>
              </w:rPr>
            </w:pPr>
            <w:r>
              <w:rPr>
                <w:sz w:val="20"/>
                <w:szCs w:val="20"/>
              </w:rPr>
              <w:t>/s/ Jennifer Ful</w:t>
            </w:r>
            <w:r>
              <w:rPr>
                <w:sz w:val="20"/>
                <w:szCs w:val="20"/>
              </w:rPr>
              <w:t>k</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Chief Financial Office</w:t>
            </w:r>
            <w:r>
              <w:rPr>
                <w:sz w:val="20"/>
                <w:szCs w:val="20"/>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February 25, 202</w:t>
            </w:r>
            <w:r>
              <w:rPr>
                <w:sz w:val="20"/>
                <w:szCs w:val="20"/>
              </w:rPr>
              <w:t>2</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Jennifer Ful</w:t>
            </w:r>
            <w:r>
              <w:rPr>
                <w:b/>
                <w:bCs/>
                <w:sz w:val="16"/>
                <w:szCs w:val="16"/>
              </w:rPr>
              <w:t>k</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r>
              <w:rPr>
                <w:sz w:val="20"/>
                <w:szCs w:val="20"/>
              </w:rPr>
              <w:t>(Principal Financial and Accounting Officer</w:t>
            </w:r>
            <w:r>
              <w:rPr>
                <w:sz w:val="20"/>
                <w:szCs w:val="20"/>
              </w:rPr>
              <w:t>)</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8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20"/>
                <w:szCs w:val="20"/>
              </w:rPr>
            </w:pPr>
            <w:r>
              <w:rPr>
                <w:sz w:val="20"/>
                <w:szCs w:val="20"/>
              </w:rPr>
              <w:t>/s/ Jeffrey M. Crow</w:t>
            </w:r>
            <w:r>
              <w:rPr>
                <w:sz w:val="20"/>
                <w:szCs w:val="20"/>
              </w:rPr>
              <w:t>e</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Directo</w:t>
            </w:r>
            <w:r>
              <w:rPr>
                <w:sz w:val="20"/>
                <w:szCs w:val="20"/>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February 25, 202</w:t>
            </w:r>
            <w:r>
              <w:rPr>
                <w:sz w:val="20"/>
                <w:szCs w:val="20"/>
              </w:rPr>
              <w:t>2</w:t>
            </w: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Jeffrey M. Crow</w:t>
            </w:r>
            <w:r>
              <w:rPr>
                <w:b/>
                <w:bCs/>
                <w:sz w:val="16"/>
                <w:szCs w:val="16"/>
              </w:rPr>
              <w:t>e</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8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20"/>
                <w:szCs w:val="20"/>
              </w:rPr>
            </w:pPr>
            <w:r>
              <w:rPr>
                <w:sz w:val="20"/>
                <w:szCs w:val="20"/>
              </w:rPr>
              <w:t>/s/ Erez Shacha</w:t>
            </w:r>
            <w:r>
              <w:rPr>
                <w:sz w:val="20"/>
                <w:szCs w:val="20"/>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Directo</w:t>
            </w:r>
            <w:r>
              <w:rPr>
                <w:sz w:val="20"/>
                <w:szCs w:val="20"/>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February 25, 202</w:t>
            </w:r>
            <w:r>
              <w:rPr>
                <w:sz w:val="20"/>
                <w:szCs w:val="20"/>
              </w:rPr>
              <w:t>2</w:t>
            </w: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Erez Shacha</w:t>
            </w:r>
            <w:r>
              <w:rPr>
                <w:b/>
                <w:bCs/>
                <w:sz w:val="16"/>
                <w:szCs w:val="16"/>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8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20"/>
                <w:szCs w:val="20"/>
              </w:rPr>
            </w:pPr>
            <w:r>
              <w:rPr>
                <w:sz w:val="20"/>
                <w:szCs w:val="20"/>
              </w:rPr>
              <w:t>/s/ Curtis Warfiel</w:t>
            </w:r>
            <w:r>
              <w:rPr>
                <w:sz w:val="20"/>
                <w:szCs w:val="20"/>
              </w:rPr>
              <w:t>d</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Directo</w:t>
            </w:r>
            <w:r>
              <w:rPr>
                <w:sz w:val="20"/>
                <w:szCs w:val="20"/>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February 25, 202</w:t>
            </w:r>
            <w:r>
              <w:rPr>
                <w:sz w:val="20"/>
                <w:szCs w:val="20"/>
              </w:rPr>
              <w:t>2</w:t>
            </w: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Curtis Warfiel</w:t>
            </w:r>
            <w:r>
              <w:rPr>
                <w:b/>
                <w:bCs/>
                <w:sz w:val="16"/>
                <w:szCs w:val="16"/>
              </w:rPr>
              <w:t>d</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8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20"/>
                <w:szCs w:val="20"/>
              </w:rPr>
            </w:pPr>
            <w:r>
              <w:rPr>
                <w:sz w:val="20"/>
                <w:szCs w:val="20"/>
              </w:rPr>
              <w:t>/s/ Jacqueline Yeane</w:t>
            </w:r>
            <w:r>
              <w:rPr>
                <w:sz w:val="20"/>
                <w:szCs w:val="20"/>
              </w:rPr>
              <w:t>y</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Directo</w:t>
            </w:r>
            <w:r>
              <w:rPr>
                <w:sz w:val="20"/>
                <w:szCs w:val="20"/>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February 25, 202</w:t>
            </w:r>
            <w:r>
              <w:rPr>
                <w:sz w:val="20"/>
                <w:szCs w:val="20"/>
              </w:rPr>
              <w:t>2</w:t>
            </w: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Jacqueline Yeane</w:t>
            </w:r>
            <w:r>
              <w:rPr>
                <w:b/>
                <w:bCs/>
                <w:sz w:val="16"/>
                <w:szCs w:val="16"/>
              </w:rPr>
              <w:t>y</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8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20"/>
                <w:szCs w:val="20"/>
              </w:rPr>
            </w:pPr>
            <w:r>
              <w:rPr>
                <w:sz w:val="20"/>
                <w:szCs w:val="20"/>
              </w:rPr>
              <w:t>/s/ Charles Ber</w:t>
            </w:r>
            <w:r>
              <w:rPr>
                <w:sz w:val="20"/>
                <w:szCs w:val="20"/>
              </w:rPr>
              <w:t>g</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Directo</w:t>
            </w:r>
            <w:r>
              <w:rPr>
                <w:sz w:val="20"/>
                <w:szCs w:val="20"/>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February 25, 202</w:t>
            </w:r>
            <w:r>
              <w:rPr>
                <w:sz w:val="20"/>
                <w:szCs w:val="20"/>
              </w:rPr>
              <w:t>2</w:t>
            </w: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Charles Ber</w:t>
            </w:r>
            <w:r>
              <w:rPr>
                <w:b/>
                <w:bCs/>
                <w:sz w:val="16"/>
                <w:szCs w:val="16"/>
              </w:rPr>
              <w:t>g</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8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20"/>
                <w:szCs w:val="20"/>
              </w:rPr>
            </w:pPr>
            <w:r>
              <w:rPr>
                <w:sz w:val="20"/>
                <w:szCs w:val="20"/>
              </w:rPr>
              <w:t>/s/ Madhu Pawa</w:t>
            </w:r>
            <w:r>
              <w:rPr>
                <w:sz w:val="20"/>
                <w:szCs w:val="20"/>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Directo</w:t>
            </w:r>
            <w:r>
              <w:rPr>
                <w:sz w:val="20"/>
                <w:szCs w:val="20"/>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20"/>
                <w:szCs w:val="20"/>
              </w:rPr>
            </w:pPr>
            <w:r>
              <w:rPr>
                <w:sz w:val="20"/>
                <w:szCs w:val="20"/>
              </w:rPr>
              <w:t> February 25, 202</w:t>
            </w:r>
            <w:r>
              <w:rPr>
                <w:sz w:val="20"/>
                <w:szCs w:val="20"/>
              </w:rPr>
              <w:t>2</w:t>
            </w: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16"/>
                <w:szCs w:val="16"/>
              </w:rPr>
            </w:pPr>
            <w:r>
              <w:rPr>
                <w:b/>
                <w:bCs/>
                <w:sz w:val="16"/>
                <w:szCs w:val="16"/>
              </w:rPr>
              <w:t>Madhu Pawa</w:t>
            </w:r>
            <w:r>
              <w:rPr>
                <w:b/>
                <w:bCs/>
                <w:sz w:val="16"/>
                <w:szCs w:val="16"/>
              </w:rPr>
              <w:t>r</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16"/>
                <w:szCs w:val="16"/>
              </w:rPr>
            </w:pPr>
            <w:r>
              <w:rPr>
                <w:sz w:val="16"/>
                <w:szCs w:val="16"/>
              </w:rPr>
              <w:t> </w:t>
            </w:r>
          </w:p>
        </w:tc>
      </w:tr>
      <w:tr w:rsidR="00000000">
        <w:trPr>
          <w:trHeight w:val="80"/>
          <w:tblCellSpacing w:w="15" w:type="dxa"/>
        </w:trPr>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jc w:val="center"/>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c>
          <w:tcPr>
            <w:tcW w:w="0" w:type="auto"/>
            <w:tcMar>
              <w:top w:w="14" w:type="dxa"/>
              <w:left w:w="15" w:type="dxa"/>
              <w:bottom w:w="15" w:type="dxa"/>
              <w:right w:w="14" w:type="dxa"/>
            </w:tcMar>
            <w:vAlign w:val="bottom"/>
            <w:hideMark/>
          </w:tcPr>
          <w:p w:rsidR="00000000" w:rsidRDefault="00AF2D19">
            <w:pPr>
              <w:pStyle w:val="a3"/>
              <w:spacing w:before="0" w:beforeAutospacing="0" w:after="0" w:afterAutospacing="0"/>
              <w:rPr>
                <w:sz w:val="8"/>
                <w:szCs w:val="8"/>
              </w:rPr>
            </w:pPr>
            <w:r>
              <w:rPr>
                <w:sz w:val="8"/>
                <w:szCs w:val="8"/>
              </w:rPr>
              <w:t> </w:t>
            </w:r>
          </w:p>
        </w:tc>
      </w:tr>
    </w:tbl>
    <w:p w:rsidR="00000000" w:rsidRDefault="00AF2D19">
      <w:pPr>
        <w:pStyle w:val="a3"/>
        <w:spacing w:before="0" w:beforeAutospacing="0" w:after="0" w:afterAutospacing="0"/>
        <w:rPr>
          <w:sz w:val="20"/>
          <w:szCs w:val="20"/>
        </w:rPr>
      </w:pPr>
      <w:r>
        <w:rPr>
          <w:sz w:val="12"/>
          <w:szCs w:val="12"/>
        </w:rPr>
        <w:t> </w:t>
      </w:r>
    </w:p>
    <w:p w:rsidR="00000000" w:rsidRDefault="00AF2D19">
      <w:pPr>
        <w:pStyle w:val="a3"/>
        <w:spacing w:before="0" w:beforeAutospacing="0" w:after="0" w:afterAutospacing="0"/>
        <w:rPr>
          <w:sz w:val="20"/>
          <w:szCs w:val="20"/>
        </w:rPr>
      </w:pPr>
      <w:r>
        <w:rPr>
          <w:sz w:val="20"/>
          <w:szCs w:val="20"/>
        </w:rPr>
        <w:t> </w:t>
      </w:r>
    </w:p>
    <w:p w:rsidR="00000000" w:rsidRDefault="00AF2D19">
      <w:pPr>
        <w:pStyle w:val="a3"/>
        <w:spacing w:before="0" w:beforeAutospacing="0" w:after="0" w:afterAutospacing="0"/>
        <w:jc w:val="center"/>
        <w:rPr>
          <w:sz w:val="20"/>
          <w:szCs w:val="20"/>
        </w:rPr>
      </w:pPr>
      <w:r>
        <w:rPr>
          <w:sz w:val="20"/>
          <w:szCs w:val="20"/>
        </w:rPr>
        <w:t>12</w:t>
      </w:r>
      <w:r>
        <w:rPr>
          <w:sz w:val="20"/>
          <w:szCs w:val="20"/>
        </w:rPr>
        <w:t>9</w:t>
      </w:r>
    </w:p>
    <w:p w:rsidR="00AF2D19" w:rsidRDefault="00AF2D19">
      <w:pPr>
        <w:rPr>
          <w:rFonts w:eastAsia="Times New Roman"/>
        </w:rPr>
      </w:pPr>
      <w:r>
        <w:rPr>
          <w:rFonts w:eastAsia="Times New Roman"/>
        </w:rPr>
        <w:pict>
          <v:rect id="_x0000_i1157" style="width:0;height:1.5pt" o:hralign="center" o:hrstd="t" o:hr="t" fillcolor="#a0a0a0" stroked="f"/>
        </w:pict>
      </w:r>
    </w:p>
    <w:sectPr w:rsidR="00AF2D1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F2D19"/>
    <w:rsid w:val="00AF2D19"/>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1q4"/>
  <w:attachedSchema w:val="http://fasb.org/us-gaap/2021-01-31"/>
  <w:attachedSchema w:val="http://www.xbrl.org/2003/iso4217"/>
  <w:attachedSchema w:val="http://www.xbrl.org/dtr/type/2020-01-21"/>
  <w:attachedSchema w:val="http://xbrl.sec.gov/country/2021"/>
  <w:attachedSchema w:val="http://www.talkspace.com/20211231"/>
  <w:attachedSchema w:val="http://fasb.org/srt/2021-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481">
      <w:marLeft w:val="4"/>
      <w:marRight w:val="0"/>
      <w:marTop w:val="60"/>
      <w:marBottom w:val="0"/>
      <w:divBdr>
        <w:top w:val="none" w:sz="0" w:space="0" w:color="auto"/>
        <w:left w:val="none" w:sz="0" w:space="0" w:color="auto"/>
        <w:bottom w:val="none" w:sz="0" w:space="0" w:color="auto"/>
        <w:right w:val="none" w:sz="0" w:space="0" w:color="auto"/>
      </w:divBdr>
      <w:divsChild>
        <w:div w:id="233858559">
          <w:marLeft w:val="0"/>
          <w:marRight w:val="0"/>
          <w:marTop w:val="0"/>
          <w:marBottom w:val="0"/>
          <w:divBdr>
            <w:top w:val="none" w:sz="0" w:space="0" w:color="auto"/>
            <w:left w:val="none" w:sz="0" w:space="0" w:color="auto"/>
            <w:bottom w:val="none" w:sz="0" w:space="0" w:color="auto"/>
            <w:right w:val="none" w:sz="0" w:space="0" w:color="auto"/>
          </w:divBdr>
        </w:div>
      </w:divsChild>
    </w:div>
    <w:div w:id="5527350">
      <w:marLeft w:val="3"/>
      <w:marRight w:val="0"/>
      <w:marTop w:val="120"/>
      <w:marBottom w:val="0"/>
      <w:divBdr>
        <w:top w:val="none" w:sz="0" w:space="0" w:color="auto"/>
        <w:left w:val="none" w:sz="0" w:space="0" w:color="auto"/>
        <w:bottom w:val="none" w:sz="0" w:space="0" w:color="auto"/>
        <w:right w:val="none" w:sz="0" w:space="0" w:color="auto"/>
      </w:divBdr>
      <w:divsChild>
        <w:div w:id="1337532488">
          <w:marLeft w:val="0"/>
          <w:marRight w:val="0"/>
          <w:marTop w:val="0"/>
          <w:marBottom w:val="0"/>
          <w:divBdr>
            <w:top w:val="none" w:sz="0" w:space="0" w:color="auto"/>
            <w:left w:val="none" w:sz="0" w:space="0" w:color="auto"/>
            <w:bottom w:val="none" w:sz="0" w:space="0" w:color="auto"/>
            <w:right w:val="none" w:sz="0" w:space="0" w:color="auto"/>
          </w:divBdr>
        </w:div>
      </w:divsChild>
    </w:div>
    <w:div w:id="17513813">
      <w:marLeft w:val="3"/>
      <w:marRight w:val="0"/>
      <w:marTop w:val="120"/>
      <w:marBottom w:val="0"/>
      <w:divBdr>
        <w:top w:val="none" w:sz="0" w:space="0" w:color="auto"/>
        <w:left w:val="none" w:sz="0" w:space="0" w:color="auto"/>
        <w:bottom w:val="none" w:sz="0" w:space="0" w:color="auto"/>
        <w:right w:val="none" w:sz="0" w:space="0" w:color="auto"/>
      </w:divBdr>
      <w:divsChild>
        <w:div w:id="1190676782">
          <w:marLeft w:val="0"/>
          <w:marRight w:val="0"/>
          <w:marTop w:val="0"/>
          <w:marBottom w:val="0"/>
          <w:divBdr>
            <w:top w:val="none" w:sz="0" w:space="0" w:color="auto"/>
            <w:left w:val="none" w:sz="0" w:space="0" w:color="auto"/>
            <w:bottom w:val="none" w:sz="0" w:space="0" w:color="auto"/>
            <w:right w:val="none" w:sz="0" w:space="0" w:color="auto"/>
          </w:divBdr>
        </w:div>
      </w:divsChild>
    </w:div>
    <w:div w:id="27415653">
      <w:marLeft w:val="0"/>
      <w:marRight w:val="0"/>
      <w:marTop w:val="0"/>
      <w:marBottom w:val="0"/>
      <w:divBdr>
        <w:top w:val="none" w:sz="0" w:space="0" w:color="auto"/>
        <w:left w:val="none" w:sz="0" w:space="0" w:color="auto"/>
        <w:bottom w:val="none" w:sz="0" w:space="0" w:color="auto"/>
        <w:right w:val="none" w:sz="0" w:space="0" w:color="auto"/>
      </w:divBdr>
    </w:div>
    <w:div w:id="67002039">
      <w:marLeft w:val="3"/>
      <w:marRight w:val="0"/>
      <w:marTop w:val="120"/>
      <w:marBottom w:val="0"/>
      <w:divBdr>
        <w:top w:val="none" w:sz="0" w:space="0" w:color="auto"/>
        <w:left w:val="none" w:sz="0" w:space="0" w:color="auto"/>
        <w:bottom w:val="none" w:sz="0" w:space="0" w:color="auto"/>
        <w:right w:val="none" w:sz="0" w:space="0" w:color="auto"/>
      </w:divBdr>
      <w:divsChild>
        <w:div w:id="986587021">
          <w:marLeft w:val="0"/>
          <w:marRight w:val="0"/>
          <w:marTop w:val="0"/>
          <w:marBottom w:val="0"/>
          <w:divBdr>
            <w:top w:val="none" w:sz="0" w:space="0" w:color="auto"/>
            <w:left w:val="none" w:sz="0" w:space="0" w:color="auto"/>
            <w:bottom w:val="none" w:sz="0" w:space="0" w:color="auto"/>
            <w:right w:val="none" w:sz="0" w:space="0" w:color="auto"/>
          </w:divBdr>
        </w:div>
      </w:divsChild>
    </w:div>
    <w:div w:id="75132264">
      <w:marLeft w:val="3"/>
      <w:marRight w:val="0"/>
      <w:marTop w:val="120"/>
      <w:marBottom w:val="0"/>
      <w:divBdr>
        <w:top w:val="none" w:sz="0" w:space="0" w:color="auto"/>
        <w:left w:val="none" w:sz="0" w:space="0" w:color="auto"/>
        <w:bottom w:val="none" w:sz="0" w:space="0" w:color="auto"/>
        <w:right w:val="none" w:sz="0" w:space="0" w:color="auto"/>
      </w:divBdr>
      <w:divsChild>
        <w:div w:id="475604484">
          <w:marLeft w:val="0"/>
          <w:marRight w:val="0"/>
          <w:marTop w:val="0"/>
          <w:marBottom w:val="0"/>
          <w:divBdr>
            <w:top w:val="none" w:sz="0" w:space="0" w:color="auto"/>
            <w:left w:val="none" w:sz="0" w:space="0" w:color="auto"/>
            <w:bottom w:val="none" w:sz="0" w:space="0" w:color="auto"/>
            <w:right w:val="none" w:sz="0" w:space="0" w:color="auto"/>
          </w:divBdr>
        </w:div>
      </w:divsChild>
    </w:div>
    <w:div w:id="76245563">
      <w:marLeft w:val="3"/>
      <w:marRight w:val="0"/>
      <w:marTop w:val="120"/>
      <w:marBottom w:val="0"/>
      <w:divBdr>
        <w:top w:val="none" w:sz="0" w:space="0" w:color="auto"/>
        <w:left w:val="none" w:sz="0" w:space="0" w:color="auto"/>
        <w:bottom w:val="none" w:sz="0" w:space="0" w:color="auto"/>
        <w:right w:val="none" w:sz="0" w:space="0" w:color="auto"/>
      </w:divBdr>
      <w:divsChild>
        <w:div w:id="1241524457">
          <w:marLeft w:val="0"/>
          <w:marRight w:val="0"/>
          <w:marTop w:val="0"/>
          <w:marBottom w:val="0"/>
          <w:divBdr>
            <w:top w:val="none" w:sz="0" w:space="0" w:color="auto"/>
            <w:left w:val="none" w:sz="0" w:space="0" w:color="auto"/>
            <w:bottom w:val="none" w:sz="0" w:space="0" w:color="auto"/>
            <w:right w:val="none" w:sz="0" w:space="0" w:color="auto"/>
          </w:divBdr>
        </w:div>
      </w:divsChild>
    </w:div>
    <w:div w:id="85002028">
      <w:marLeft w:val="4"/>
      <w:marRight w:val="0"/>
      <w:marTop w:val="120"/>
      <w:marBottom w:val="0"/>
      <w:divBdr>
        <w:top w:val="none" w:sz="0" w:space="0" w:color="auto"/>
        <w:left w:val="none" w:sz="0" w:space="0" w:color="auto"/>
        <w:bottom w:val="none" w:sz="0" w:space="0" w:color="auto"/>
        <w:right w:val="none" w:sz="0" w:space="0" w:color="auto"/>
      </w:divBdr>
      <w:divsChild>
        <w:div w:id="1972587005">
          <w:marLeft w:val="0"/>
          <w:marRight w:val="0"/>
          <w:marTop w:val="0"/>
          <w:marBottom w:val="0"/>
          <w:divBdr>
            <w:top w:val="none" w:sz="0" w:space="0" w:color="auto"/>
            <w:left w:val="none" w:sz="0" w:space="0" w:color="auto"/>
            <w:bottom w:val="none" w:sz="0" w:space="0" w:color="auto"/>
            <w:right w:val="none" w:sz="0" w:space="0" w:color="auto"/>
          </w:divBdr>
        </w:div>
      </w:divsChild>
    </w:div>
    <w:div w:id="86194350">
      <w:marLeft w:val="4"/>
      <w:marRight w:val="0"/>
      <w:marTop w:val="60"/>
      <w:marBottom w:val="0"/>
      <w:divBdr>
        <w:top w:val="none" w:sz="0" w:space="0" w:color="auto"/>
        <w:left w:val="none" w:sz="0" w:space="0" w:color="auto"/>
        <w:bottom w:val="none" w:sz="0" w:space="0" w:color="auto"/>
        <w:right w:val="none" w:sz="0" w:space="0" w:color="auto"/>
      </w:divBdr>
      <w:divsChild>
        <w:div w:id="778572084">
          <w:marLeft w:val="0"/>
          <w:marRight w:val="0"/>
          <w:marTop w:val="0"/>
          <w:marBottom w:val="0"/>
          <w:divBdr>
            <w:top w:val="none" w:sz="0" w:space="0" w:color="auto"/>
            <w:left w:val="none" w:sz="0" w:space="0" w:color="auto"/>
            <w:bottom w:val="none" w:sz="0" w:space="0" w:color="auto"/>
            <w:right w:val="none" w:sz="0" w:space="0" w:color="auto"/>
          </w:divBdr>
        </w:div>
      </w:divsChild>
    </w:div>
    <w:div w:id="98452226">
      <w:marLeft w:val="3"/>
      <w:marRight w:val="0"/>
      <w:marTop w:val="120"/>
      <w:marBottom w:val="0"/>
      <w:divBdr>
        <w:top w:val="none" w:sz="0" w:space="0" w:color="auto"/>
        <w:left w:val="none" w:sz="0" w:space="0" w:color="auto"/>
        <w:bottom w:val="none" w:sz="0" w:space="0" w:color="auto"/>
        <w:right w:val="none" w:sz="0" w:space="0" w:color="auto"/>
      </w:divBdr>
      <w:divsChild>
        <w:div w:id="1480077679">
          <w:marLeft w:val="0"/>
          <w:marRight w:val="0"/>
          <w:marTop w:val="0"/>
          <w:marBottom w:val="0"/>
          <w:divBdr>
            <w:top w:val="none" w:sz="0" w:space="0" w:color="auto"/>
            <w:left w:val="none" w:sz="0" w:space="0" w:color="auto"/>
            <w:bottom w:val="none" w:sz="0" w:space="0" w:color="auto"/>
            <w:right w:val="none" w:sz="0" w:space="0" w:color="auto"/>
          </w:divBdr>
        </w:div>
      </w:divsChild>
    </w:div>
    <w:div w:id="98528114">
      <w:marLeft w:val="3"/>
      <w:marRight w:val="0"/>
      <w:marTop w:val="120"/>
      <w:marBottom w:val="0"/>
      <w:divBdr>
        <w:top w:val="none" w:sz="0" w:space="0" w:color="auto"/>
        <w:left w:val="none" w:sz="0" w:space="0" w:color="auto"/>
        <w:bottom w:val="none" w:sz="0" w:space="0" w:color="auto"/>
        <w:right w:val="none" w:sz="0" w:space="0" w:color="auto"/>
      </w:divBdr>
      <w:divsChild>
        <w:div w:id="1113327153">
          <w:marLeft w:val="0"/>
          <w:marRight w:val="0"/>
          <w:marTop w:val="0"/>
          <w:marBottom w:val="0"/>
          <w:divBdr>
            <w:top w:val="none" w:sz="0" w:space="0" w:color="auto"/>
            <w:left w:val="none" w:sz="0" w:space="0" w:color="auto"/>
            <w:bottom w:val="none" w:sz="0" w:space="0" w:color="auto"/>
            <w:right w:val="none" w:sz="0" w:space="0" w:color="auto"/>
          </w:divBdr>
        </w:div>
      </w:divsChild>
    </w:div>
    <w:div w:id="101456538">
      <w:marLeft w:val="3"/>
      <w:marRight w:val="0"/>
      <w:marTop w:val="120"/>
      <w:marBottom w:val="0"/>
      <w:divBdr>
        <w:top w:val="none" w:sz="0" w:space="0" w:color="auto"/>
        <w:left w:val="none" w:sz="0" w:space="0" w:color="auto"/>
        <w:bottom w:val="none" w:sz="0" w:space="0" w:color="auto"/>
        <w:right w:val="none" w:sz="0" w:space="0" w:color="auto"/>
      </w:divBdr>
      <w:divsChild>
        <w:div w:id="868371521">
          <w:marLeft w:val="0"/>
          <w:marRight w:val="0"/>
          <w:marTop w:val="0"/>
          <w:marBottom w:val="0"/>
          <w:divBdr>
            <w:top w:val="none" w:sz="0" w:space="0" w:color="auto"/>
            <w:left w:val="none" w:sz="0" w:space="0" w:color="auto"/>
            <w:bottom w:val="none" w:sz="0" w:space="0" w:color="auto"/>
            <w:right w:val="none" w:sz="0" w:space="0" w:color="auto"/>
          </w:divBdr>
        </w:div>
      </w:divsChild>
    </w:div>
    <w:div w:id="124130592">
      <w:marLeft w:val="3"/>
      <w:marRight w:val="0"/>
      <w:marTop w:val="120"/>
      <w:marBottom w:val="0"/>
      <w:divBdr>
        <w:top w:val="none" w:sz="0" w:space="0" w:color="auto"/>
        <w:left w:val="none" w:sz="0" w:space="0" w:color="auto"/>
        <w:bottom w:val="none" w:sz="0" w:space="0" w:color="auto"/>
        <w:right w:val="none" w:sz="0" w:space="0" w:color="auto"/>
      </w:divBdr>
      <w:divsChild>
        <w:div w:id="52118226">
          <w:marLeft w:val="0"/>
          <w:marRight w:val="0"/>
          <w:marTop w:val="0"/>
          <w:marBottom w:val="0"/>
          <w:divBdr>
            <w:top w:val="none" w:sz="0" w:space="0" w:color="auto"/>
            <w:left w:val="none" w:sz="0" w:space="0" w:color="auto"/>
            <w:bottom w:val="none" w:sz="0" w:space="0" w:color="auto"/>
            <w:right w:val="none" w:sz="0" w:space="0" w:color="auto"/>
          </w:divBdr>
        </w:div>
      </w:divsChild>
    </w:div>
    <w:div w:id="128673045">
      <w:marLeft w:val="3"/>
      <w:marRight w:val="0"/>
      <w:marTop w:val="120"/>
      <w:marBottom w:val="0"/>
      <w:divBdr>
        <w:top w:val="none" w:sz="0" w:space="0" w:color="auto"/>
        <w:left w:val="none" w:sz="0" w:space="0" w:color="auto"/>
        <w:bottom w:val="none" w:sz="0" w:space="0" w:color="auto"/>
        <w:right w:val="none" w:sz="0" w:space="0" w:color="auto"/>
      </w:divBdr>
      <w:divsChild>
        <w:div w:id="507210960">
          <w:marLeft w:val="0"/>
          <w:marRight w:val="0"/>
          <w:marTop w:val="0"/>
          <w:marBottom w:val="0"/>
          <w:divBdr>
            <w:top w:val="none" w:sz="0" w:space="0" w:color="auto"/>
            <w:left w:val="none" w:sz="0" w:space="0" w:color="auto"/>
            <w:bottom w:val="none" w:sz="0" w:space="0" w:color="auto"/>
            <w:right w:val="none" w:sz="0" w:space="0" w:color="auto"/>
          </w:divBdr>
        </w:div>
      </w:divsChild>
    </w:div>
    <w:div w:id="140973345">
      <w:marLeft w:val="3"/>
      <w:marRight w:val="0"/>
      <w:marTop w:val="120"/>
      <w:marBottom w:val="0"/>
      <w:divBdr>
        <w:top w:val="none" w:sz="0" w:space="0" w:color="auto"/>
        <w:left w:val="none" w:sz="0" w:space="0" w:color="auto"/>
        <w:bottom w:val="none" w:sz="0" w:space="0" w:color="auto"/>
        <w:right w:val="none" w:sz="0" w:space="0" w:color="auto"/>
      </w:divBdr>
      <w:divsChild>
        <w:div w:id="570193745">
          <w:marLeft w:val="0"/>
          <w:marRight w:val="0"/>
          <w:marTop w:val="0"/>
          <w:marBottom w:val="0"/>
          <w:divBdr>
            <w:top w:val="none" w:sz="0" w:space="0" w:color="auto"/>
            <w:left w:val="none" w:sz="0" w:space="0" w:color="auto"/>
            <w:bottom w:val="none" w:sz="0" w:space="0" w:color="auto"/>
            <w:right w:val="none" w:sz="0" w:space="0" w:color="auto"/>
          </w:divBdr>
        </w:div>
      </w:divsChild>
    </w:div>
    <w:div w:id="144975383">
      <w:marLeft w:val="3"/>
      <w:marRight w:val="0"/>
      <w:marTop w:val="120"/>
      <w:marBottom w:val="0"/>
      <w:divBdr>
        <w:top w:val="none" w:sz="0" w:space="0" w:color="auto"/>
        <w:left w:val="none" w:sz="0" w:space="0" w:color="auto"/>
        <w:bottom w:val="none" w:sz="0" w:space="0" w:color="auto"/>
        <w:right w:val="none" w:sz="0" w:space="0" w:color="auto"/>
      </w:divBdr>
      <w:divsChild>
        <w:div w:id="305548624">
          <w:marLeft w:val="0"/>
          <w:marRight w:val="0"/>
          <w:marTop w:val="0"/>
          <w:marBottom w:val="0"/>
          <w:divBdr>
            <w:top w:val="none" w:sz="0" w:space="0" w:color="auto"/>
            <w:left w:val="none" w:sz="0" w:space="0" w:color="auto"/>
            <w:bottom w:val="none" w:sz="0" w:space="0" w:color="auto"/>
            <w:right w:val="none" w:sz="0" w:space="0" w:color="auto"/>
          </w:divBdr>
        </w:div>
      </w:divsChild>
    </w:div>
    <w:div w:id="178005645">
      <w:marLeft w:val="3"/>
      <w:marRight w:val="0"/>
      <w:marTop w:val="120"/>
      <w:marBottom w:val="0"/>
      <w:divBdr>
        <w:top w:val="none" w:sz="0" w:space="0" w:color="auto"/>
        <w:left w:val="none" w:sz="0" w:space="0" w:color="auto"/>
        <w:bottom w:val="none" w:sz="0" w:space="0" w:color="auto"/>
        <w:right w:val="none" w:sz="0" w:space="0" w:color="auto"/>
      </w:divBdr>
      <w:divsChild>
        <w:div w:id="575436318">
          <w:marLeft w:val="0"/>
          <w:marRight w:val="0"/>
          <w:marTop w:val="0"/>
          <w:marBottom w:val="0"/>
          <w:divBdr>
            <w:top w:val="none" w:sz="0" w:space="0" w:color="auto"/>
            <w:left w:val="none" w:sz="0" w:space="0" w:color="auto"/>
            <w:bottom w:val="none" w:sz="0" w:space="0" w:color="auto"/>
            <w:right w:val="none" w:sz="0" w:space="0" w:color="auto"/>
          </w:divBdr>
        </w:div>
      </w:divsChild>
    </w:div>
    <w:div w:id="185296139">
      <w:marLeft w:val="3"/>
      <w:marRight w:val="0"/>
      <w:marTop w:val="120"/>
      <w:marBottom w:val="0"/>
      <w:divBdr>
        <w:top w:val="none" w:sz="0" w:space="0" w:color="auto"/>
        <w:left w:val="none" w:sz="0" w:space="0" w:color="auto"/>
        <w:bottom w:val="none" w:sz="0" w:space="0" w:color="auto"/>
        <w:right w:val="none" w:sz="0" w:space="0" w:color="auto"/>
      </w:divBdr>
      <w:divsChild>
        <w:div w:id="1918244459">
          <w:marLeft w:val="0"/>
          <w:marRight w:val="0"/>
          <w:marTop w:val="0"/>
          <w:marBottom w:val="0"/>
          <w:divBdr>
            <w:top w:val="none" w:sz="0" w:space="0" w:color="auto"/>
            <w:left w:val="none" w:sz="0" w:space="0" w:color="auto"/>
            <w:bottom w:val="none" w:sz="0" w:space="0" w:color="auto"/>
            <w:right w:val="none" w:sz="0" w:space="0" w:color="auto"/>
          </w:divBdr>
        </w:div>
      </w:divsChild>
    </w:div>
    <w:div w:id="193731931">
      <w:marLeft w:val="3"/>
      <w:marRight w:val="0"/>
      <w:marTop w:val="120"/>
      <w:marBottom w:val="0"/>
      <w:divBdr>
        <w:top w:val="none" w:sz="0" w:space="0" w:color="auto"/>
        <w:left w:val="none" w:sz="0" w:space="0" w:color="auto"/>
        <w:bottom w:val="none" w:sz="0" w:space="0" w:color="auto"/>
        <w:right w:val="none" w:sz="0" w:space="0" w:color="auto"/>
      </w:divBdr>
      <w:divsChild>
        <w:div w:id="1551771668">
          <w:marLeft w:val="0"/>
          <w:marRight w:val="0"/>
          <w:marTop w:val="0"/>
          <w:marBottom w:val="0"/>
          <w:divBdr>
            <w:top w:val="none" w:sz="0" w:space="0" w:color="auto"/>
            <w:left w:val="none" w:sz="0" w:space="0" w:color="auto"/>
            <w:bottom w:val="none" w:sz="0" w:space="0" w:color="auto"/>
            <w:right w:val="none" w:sz="0" w:space="0" w:color="auto"/>
          </w:divBdr>
        </w:div>
      </w:divsChild>
    </w:div>
    <w:div w:id="195118713">
      <w:marLeft w:val="3"/>
      <w:marRight w:val="0"/>
      <w:marTop w:val="120"/>
      <w:marBottom w:val="0"/>
      <w:divBdr>
        <w:top w:val="none" w:sz="0" w:space="0" w:color="auto"/>
        <w:left w:val="none" w:sz="0" w:space="0" w:color="auto"/>
        <w:bottom w:val="none" w:sz="0" w:space="0" w:color="auto"/>
        <w:right w:val="none" w:sz="0" w:space="0" w:color="auto"/>
      </w:divBdr>
      <w:divsChild>
        <w:div w:id="1691179068">
          <w:marLeft w:val="0"/>
          <w:marRight w:val="0"/>
          <w:marTop w:val="0"/>
          <w:marBottom w:val="0"/>
          <w:divBdr>
            <w:top w:val="none" w:sz="0" w:space="0" w:color="auto"/>
            <w:left w:val="none" w:sz="0" w:space="0" w:color="auto"/>
            <w:bottom w:val="none" w:sz="0" w:space="0" w:color="auto"/>
            <w:right w:val="none" w:sz="0" w:space="0" w:color="auto"/>
          </w:divBdr>
        </w:div>
      </w:divsChild>
    </w:div>
    <w:div w:id="211966001">
      <w:marLeft w:val="3"/>
      <w:marRight w:val="0"/>
      <w:marTop w:val="120"/>
      <w:marBottom w:val="0"/>
      <w:divBdr>
        <w:top w:val="none" w:sz="0" w:space="0" w:color="auto"/>
        <w:left w:val="none" w:sz="0" w:space="0" w:color="auto"/>
        <w:bottom w:val="none" w:sz="0" w:space="0" w:color="auto"/>
        <w:right w:val="none" w:sz="0" w:space="0" w:color="auto"/>
      </w:divBdr>
      <w:divsChild>
        <w:div w:id="219363295">
          <w:marLeft w:val="0"/>
          <w:marRight w:val="0"/>
          <w:marTop w:val="0"/>
          <w:marBottom w:val="0"/>
          <w:divBdr>
            <w:top w:val="none" w:sz="0" w:space="0" w:color="auto"/>
            <w:left w:val="none" w:sz="0" w:space="0" w:color="auto"/>
            <w:bottom w:val="none" w:sz="0" w:space="0" w:color="auto"/>
            <w:right w:val="none" w:sz="0" w:space="0" w:color="auto"/>
          </w:divBdr>
        </w:div>
      </w:divsChild>
    </w:div>
    <w:div w:id="219873533">
      <w:marLeft w:val="4"/>
      <w:marRight w:val="0"/>
      <w:marTop w:val="120"/>
      <w:marBottom w:val="0"/>
      <w:divBdr>
        <w:top w:val="none" w:sz="0" w:space="0" w:color="auto"/>
        <w:left w:val="none" w:sz="0" w:space="0" w:color="auto"/>
        <w:bottom w:val="none" w:sz="0" w:space="0" w:color="auto"/>
        <w:right w:val="none" w:sz="0" w:space="0" w:color="auto"/>
      </w:divBdr>
      <w:divsChild>
        <w:div w:id="939334905">
          <w:marLeft w:val="0"/>
          <w:marRight w:val="0"/>
          <w:marTop w:val="0"/>
          <w:marBottom w:val="0"/>
          <w:divBdr>
            <w:top w:val="none" w:sz="0" w:space="0" w:color="auto"/>
            <w:left w:val="none" w:sz="0" w:space="0" w:color="auto"/>
            <w:bottom w:val="none" w:sz="0" w:space="0" w:color="auto"/>
            <w:right w:val="none" w:sz="0" w:space="0" w:color="auto"/>
          </w:divBdr>
        </w:div>
      </w:divsChild>
    </w:div>
    <w:div w:id="231936752">
      <w:marLeft w:val="4"/>
      <w:marRight w:val="0"/>
      <w:marTop w:val="60"/>
      <w:marBottom w:val="0"/>
      <w:divBdr>
        <w:top w:val="none" w:sz="0" w:space="0" w:color="auto"/>
        <w:left w:val="none" w:sz="0" w:space="0" w:color="auto"/>
        <w:bottom w:val="none" w:sz="0" w:space="0" w:color="auto"/>
        <w:right w:val="none" w:sz="0" w:space="0" w:color="auto"/>
      </w:divBdr>
      <w:divsChild>
        <w:div w:id="342979112">
          <w:marLeft w:val="0"/>
          <w:marRight w:val="0"/>
          <w:marTop w:val="0"/>
          <w:marBottom w:val="0"/>
          <w:divBdr>
            <w:top w:val="none" w:sz="0" w:space="0" w:color="auto"/>
            <w:left w:val="none" w:sz="0" w:space="0" w:color="auto"/>
            <w:bottom w:val="none" w:sz="0" w:space="0" w:color="auto"/>
            <w:right w:val="none" w:sz="0" w:space="0" w:color="auto"/>
          </w:divBdr>
        </w:div>
      </w:divsChild>
    </w:div>
    <w:div w:id="249853697">
      <w:marLeft w:val="3"/>
      <w:marRight w:val="0"/>
      <w:marTop w:val="120"/>
      <w:marBottom w:val="0"/>
      <w:divBdr>
        <w:top w:val="none" w:sz="0" w:space="0" w:color="auto"/>
        <w:left w:val="none" w:sz="0" w:space="0" w:color="auto"/>
        <w:bottom w:val="none" w:sz="0" w:space="0" w:color="auto"/>
        <w:right w:val="none" w:sz="0" w:space="0" w:color="auto"/>
      </w:divBdr>
      <w:divsChild>
        <w:div w:id="628048207">
          <w:marLeft w:val="0"/>
          <w:marRight w:val="0"/>
          <w:marTop w:val="0"/>
          <w:marBottom w:val="0"/>
          <w:divBdr>
            <w:top w:val="none" w:sz="0" w:space="0" w:color="auto"/>
            <w:left w:val="none" w:sz="0" w:space="0" w:color="auto"/>
            <w:bottom w:val="none" w:sz="0" w:space="0" w:color="auto"/>
            <w:right w:val="none" w:sz="0" w:space="0" w:color="auto"/>
          </w:divBdr>
        </w:div>
      </w:divsChild>
    </w:div>
    <w:div w:id="268900681">
      <w:marLeft w:val="4"/>
      <w:marRight w:val="0"/>
      <w:marTop w:val="120"/>
      <w:marBottom w:val="0"/>
      <w:divBdr>
        <w:top w:val="none" w:sz="0" w:space="0" w:color="auto"/>
        <w:left w:val="none" w:sz="0" w:space="0" w:color="auto"/>
        <w:bottom w:val="none" w:sz="0" w:space="0" w:color="auto"/>
        <w:right w:val="none" w:sz="0" w:space="0" w:color="auto"/>
      </w:divBdr>
      <w:divsChild>
        <w:div w:id="449477094">
          <w:marLeft w:val="0"/>
          <w:marRight w:val="0"/>
          <w:marTop w:val="0"/>
          <w:marBottom w:val="0"/>
          <w:divBdr>
            <w:top w:val="none" w:sz="0" w:space="0" w:color="auto"/>
            <w:left w:val="none" w:sz="0" w:space="0" w:color="auto"/>
            <w:bottom w:val="none" w:sz="0" w:space="0" w:color="auto"/>
            <w:right w:val="none" w:sz="0" w:space="0" w:color="auto"/>
          </w:divBdr>
        </w:div>
      </w:divsChild>
    </w:div>
    <w:div w:id="271323681">
      <w:marLeft w:val="3"/>
      <w:marRight w:val="0"/>
      <w:marTop w:val="120"/>
      <w:marBottom w:val="0"/>
      <w:divBdr>
        <w:top w:val="none" w:sz="0" w:space="0" w:color="auto"/>
        <w:left w:val="none" w:sz="0" w:space="0" w:color="auto"/>
        <w:bottom w:val="none" w:sz="0" w:space="0" w:color="auto"/>
        <w:right w:val="none" w:sz="0" w:space="0" w:color="auto"/>
      </w:divBdr>
      <w:divsChild>
        <w:div w:id="1094938772">
          <w:marLeft w:val="0"/>
          <w:marRight w:val="0"/>
          <w:marTop w:val="0"/>
          <w:marBottom w:val="0"/>
          <w:divBdr>
            <w:top w:val="none" w:sz="0" w:space="0" w:color="auto"/>
            <w:left w:val="none" w:sz="0" w:space="0" w:color="auto"/>
            <w:bottom w:val="none" w:sz="0" w:space="0" w:color="auto"/>
            <w:right w:val="none" w:sz="0" w:space="0" w:color="auto"/>
          </w:divBdr>
        </w:div>
      </w:divsChild>
    </w:div>
    <w:div w:id="273682937">
      <w:marLeft w:val="3"/>
      <w:marRight w:val="0"/>
      <w:marTop w:val="120"/>
      <w:marBottom w:val="0"/>
      <w:divBdr>
        <w:top w:val="none" w:sz="0" w:space="0" w:color="auto"/>
        <w:left w:val="none" w:sz="0" w:space="0" w:color="auto"/>
        <w:bottom w:val="none" w:sz="0" w:space="0" w:color="auto"/>
        <w:right w:val="none" w:sz="0" w:space="0" w:color="auto"/>
      </w:divBdr>
      <w:divsChild>
        <w:div w:id="718941057">
          <w:marLeft w:val="0"/>
          <w:marRight w:val="0"/>
          <w:marTop w:val="0"/>
          <w:marBottom w:val="0"/>
          <w:divBdr>
            <w:top w:val="none" w:sz="0" w:space="0" w:color="auto"/>
            <w:left w:val="none" w:sz="0" w:space="0" w:color="auto"/>
            <w:bottom w:val="none" w:sz="0" w:space="0" w:color="auto"/>
            <w:right w:val="none" w:sz="0" w:space="0" w:color="auto"/>
          </w:divBdr>
        </w:div>
      </w:divsChild>
    </w:div>
    <w:div w:id="283316846">
      <w:marLeft w:val="3"/>
      <w:marRight w:val="0"/>
      <w:marTop w:val="120"/>
      <w:marBottom w:val="0"/>
      <w:divBdr>
        <w:top w:val="none" w:sz="0" w:space="0" w:color="auto"/>
        <w:left w:val="none" w:sz="0" w:space="0" w:color="auto"/>
        <w:bottom w:val="none" w:sz="0" w:space="0" w:color="auto"/>
        <w:right w:val="none" w:sz="0" w:space="0" w:color="auto"/>
      </w:divBdr>
      <w:divsChild>
        <w:div w:id="1307974301">
          <w:marLeft w:val="0"/>
          <w:marRight w:val="0"/>
          <w:marTop w:val="0"/>
          <w:marBottom w:val="0"/>
          <w:divBdr>
            <w:top w:val="none" w:sz="0" w:space="0" w:color="auto"/>
            <w:left w:val="none" w:sz="0" w:space="0" w:color="auto"/>
            <w:bottom w:val="none" w:sz="0" w:space="0" w:color="auto"/>
            <w:right w:val="none" w:sz="0" w:space="0" w:color="auto"/>
          </w:divBdr>
        </w:div>
      </w:divsChild>
    </w:div>
    <w:div w:id="289433160">
      <w:marLeft w:val="3"/>
      <w:marRight w:val="0"/>
      <w:marTop w:val="120"/>
      <w:marBottom w:val="0"/>
      <w:divBdr>
        <w:top w:val="none" w:sz="0" w:space="0" w:color="auto"/>
        <w:left w:val="none" w:sz="0" w:space="0" w:color="auto"/>
        <w:bottom w:val="none" w:sz="0" w:space="0" w:color="auto"/>
        <w:right w:val="none" w:sz="0" w:space="0" w:color="auto"/>
      </w:divBdr>
      <w:divsChild>
        <w:div w:id="1809398118">
          <w:marLeft w:val="0"/>
          <w:marRight w:val="0"/>
          <w:marTop w:val="0"/>
          <w:marBottom w:val="0"/>
          <w:divBdr>
            <w:top w:val="none" w:sz="0" w:space="0" w:color="auto"/>
            <w:left w:val="none" w:sz="0" w:space="0" w:color="auto"/>
            <w:bottom w:val="none" w:sz="0" w:space="0" w:color="auto"/>
            <w:right w:val="none" w:sz="0" w:space="0" w:color="auto"/>
          </w:divBdr>
        </w:div>
      </w:divsChild>
    </w:div>
    <w:div w:id="290284602">
      <w:marLeft w:val="9"/>
      <w:marRight w:val="0"/>
      <w:marTop w:val="0"/>
      <w:marBottom w:val="0"/>
      <w:divBdr>
        <w:top w:val="none" w:sz="0" w:space="0" w:color="auto"/>
        <w:left w:val="none" w:sz="0" w:space="0" w:color="auto"/>
        <w:bottom w:val="none" w:sz="0" w:space="0" w:color="auto"/>
        <w:right w:val="none" w:sz="0" w:space="0" w:color="auto"/>
      </w:divBdr>
      <w:divsChild>
        <w:div w:id="206064038">
          <w:marLeft w:val="0"/>
          <w:marRight w:val="0"/>
          <w:marTop w:val="0"/>
          <w:marBottom w:val="0"/>
          <w:divBdr>
            <w:top w:val="none" w:sz="0" w:space="0" w:color="auto"/>
            <w:left w:val="none" w:sz="0" w:space="0" w:color="auto"/>
            <w:bottom w:val="none" w:sz="0" w:space="0" w:color="auto"/>
            <w:right w:val="none" w:sz="0" w:space="0" w:color="auto"/>
          </w:divBdr>
        </w:div>
      </w:divsChild>
    </w:div>
    <w:div w:id="295069342">
      <w:marLeft w:val="4"/>
      <w:marRight w:val="0"/>
      <w:marTop w:val="20"/>
      <w:marBottom w:val="0"/>
      <w:divBdr>
        <w:top w:val="none" w:sz="0" w:space="0" w:color="auto"/>
        <w:left w:val="none" w:sz="0" w:space="0" w:color="auto"/>
        <w:bottom w:val="none" w:sz="0" w:space="0" w:color="auto"/>
        <w:right w:val="none" w:sz="0" w:space="0" w:color="auto"/>
      </w:divBdr>
      <w:divsChild>
        <w:div w:id="791442924">
          <w:marLeft w:val="0"/>
          <w:marRight w:val="0"/>
          <w:marTop w:val="0"/>
          <w:marBottom w:val="0"/>
          <w:divBdr>
            <w:top w:val="none" w:sz="0" w:space="0" w:color="auto"/>
            <w:left w:val="none" w:sz="0" w:space="0" w:color="auto"/>
            <w:bottom w:val="none" w:sz="0" w:space="0" w:color="auto"/>
            <w:right w:val="none" w:sz="0" w:space="0" w:color="auto"/>
          </w:divBdr>
        </w:div>
      </w:divsChild>
    </w:div>
    <w:div w:id="337077028">
      <w:marLeft w:val="3"/>
      <w:marRight w:val="0"/>
      <w:marTop w:val="120"/>
      <w:marBottom w:val="0"/>
      <w:divBdr>
        <w:top w:val="none" w:sz="0" w:space="0" w:color="auto"/>
        <w:left w:val="none" w:sz="0" w:space="0" w:color="auto"/>
        <w:bottom w:val="none" w:sz="0" w:space="0" w:color="auto"/>
        <w:right w:val="none" w:sz="0" w:space="0" w:color="auto"/>
      </w:divBdr>
      <w:divsChild>
        <w:div w:id="409623002">
          <w:marLeft w:val="0"/>
          <w:marRight w:val="0"/>
          <w:marTop w:val="0"/>
          <w:marBottom w:val="0"/>
          <w:divBdr>
            <w:top w:val="none" w:sz="0" w:space="0" w:color="auto"/>
            <w:left w:val="none" w:sz="0" w:space="0" w:color="auto"/>
            <w:bottom w:val="none" w:sz="0" w:space="0" w:color="auto"/>
            <w:right w:val="none" w:sz="0" w:space="0" w:color="auto"/>
          </w:divBdr>
        </w:div>
      </w:divsChild>
    </w:div>
    <w:div w:id="342367008">
      <w:marLeft w:val="3"/>
      <w:marRight w:val="0"/>
      <w:marTop w:val="120"/>
      <w:marBottom w:val="0"/>
      <w:divBdr>
        <w:top w:val="none" w:sz="0" w:space="0" w:color="auto"/>
        <w:left w:val="none" w:sz="0" w:space="0" w:color="auto"/>
        <w:bottom w:val="none" w:sz="0" w:space="0" w:color="auto"/>
        <w:right w:val="none" w:sz="0" w:space="0" w:color="auto"/>
      </w:divBdr>
      <w:divsChild>
        <w:div w:id="1809853784">
          <w:marLeft w:val="0"/>
          <w:marRight w:val="0"/>
          <w:marTop w:val="0"/>
          <w:marBottom w:val="0"/>
          <w:divBdr>
            <w:top w:val="none" w:sz="0" w:space="0" w:color="auto"/>
            <w:left w:val="none" w:sz="0" w:space="0" w:color="auto"/>
            <w:bottom w:val="none" w:sz="0" w:space="0" w:color="auto"/>
            <w:right w:val="none" w:sz="0" w:space="0" w:color="auto"/>
          </w:divBdr>
        </w:div>
      </w:divsChild>
    </w:div>
    <w:div w:id="347030738">
      <w:marLeft w:val="3"/>
      <w:marRight w:val="0"/>
      <w:marTop w:val="120"/>
      <w:marBottom w:val="0"/>
      <w:divBdr>
        <w:top w:val="none" w:sz="0" w:space="0" w:color="auto"/>
        <w:left w:val="none" w:sz="0" w:space="0" w:color="auto"/>
        <w:bottom w:val="none" w:sz="0" w:space="0" w:color="auto"/>
        <w:right w:val="none" w:sz="0" w:space="0" w:color="auto"/>
      </w:divBdr>
      <w:divsChild>
        <w:div w:id="961501387">
          <w:marLeft w:val="0"/>
          <w:marRight w:val="0"/>
          <w:marTop w:val="0"/>
          <w:marBottom w:val="0"/>
          <w:divBdr>
            <w:top w:val="none" w:sz="0" w:space="0" w:color="auto"/>
            <w:left w:val="none" w:sz="0" w:space="0" w:color="auto"/>
            <w:bottom w:val="none" w:sz="0" w:space="0" w:color="auto"/>
            <w:right w:val="none" w:sz="0" w:space="0" w:color="auto"/>
          </w:divBdr>
        </w:div>
      </w:divsChild>
    </w:div>
    <w:div w:id="353582810">
      <w:marLeft w:val="3"/>
      <w:marRight w:val="0"/>
      <w:marTop w:val="120"/>
      <w:marBottom w:val="0"/>
      <w:divBdr>
        <w:top w:val="none" w:sz="0" w:space="0" w:color="auto"/>
        <w:left w:val="none" w:sz="0" w:space="0" w:color="auto"/>
        <w:bottom w:val="none" w:sz="0" w:space="0" w:color="auto"/>
        <w:right w:val="none" w:sz="0" w:space="0" w:color="auto"/>
      </w:divBdr>
      <w:divsChild>
        <w:div w:id="2116364084">
          <w:marLeft w:val="0"/>
          <w:marRight w:val="0"/>
          <w:marTop w:val="0"/>
          <w:marBottom w:val="0"/>
          <w:divBdr>
            <w:top w:val="none" w:sz="0" w:space="0" w:color="auto"/>
            <w:left w:val="none" w:sz="0" w:space="0" w:color="auto"/>
            <w:bottom w:val="none" w:sz="0" w:space="0" w:color="auto"/>
            <w:right w:val="none" w:sz="0" w:space="0" w:color="auto"/>
          </w:divBdr>
        </w:div>
      </w:divsChild>
    </w:div>
    <w:div w:id="369183960">
      <w:marLeft w:val="4"/>
      <w:marRight w:val="0"/>
      <w:marTop w:val="120"/>
      <w:marBottom w:val="120"/>
      <w:divBdr>
        <w:top w:val="none" w:sz="0" w:space="0" w:color="auto"/>
        <w:left w:val="none" w:sz="0" w:space="0" w:color="auto"/>
        <w:bottom w:val="none" w:sz="0" w:space="0" w:color="auto"/>
        <w:right w:val="none" w:sz="0" w:space="0" w:color="auto"/>
      </w:divBdr>
      <w:divsChild>
        <w:div w:id="465706550">
          <w:marLeft w:val="0"/>
          <w:marRight w:val="0"/>
          <w:marTop w:val="0"/>
          <w:marBottom w:val="0"/>
          <w:divBdr>
            <w:top w:val="none" w:sz="0" w:space="0" w:color="auto"/>
            <w:left w:val="none" w:sz="0" w:space="0" w:color="auto"/>
            <w:bottom w:val="none" w:sz="0" w:space="0" w:color="auto"/>
            <w:right w:val="none" w:sz="0" w:space="0" w:color="auto"/>
          </w:divBdr>
        </w:div>
      </w:divsChild>
    </w:div>
    <w:div w:id="370568929">
      <w:marLeft w:val="3"/>
      <w:marRight w:val="0"/>
      <w:marTop w:val="120"/>
      <w:marBottom w:val="0"/>
      <w:divBdr>
        <w:top w:val="none" w:sz="0" w:space="0" w:color="auto"/>
        <w:left w:val="none" w:sz="0" w:space="0" w:color="auto"/>
        <w:bottom w:val="none" w:sz="0" w:space="0" w:color="auto"/>
        <w:right w:val="none" w:sz="0" w:space="0" w:color="auto"/>
      </w:divBdr>
      <w:divsChild>
        <w:div w:id="454640742">
          <w:marLeft w:val="0"/>
          <w:marRight w:val="0"/>
          <w:marTop w:val="0"/>
          <w:marBottom w:val="0"/>
          <w:divBdr>
            <w:top w:val="none" w:sz="0" w:space="0" w:color="auto"/>
            <w:left w:val="none" w:sz="0" w:space="0" w:color="auto"/>
            <w:bottom w:val="none" w:sz="0" w:space="0" w:color="auto"/>
            <w:right w:val="none" w:sz="0" w:space="0" w:color="auto"/>
          </w:divBdr>
        </w:div>
      </w:divsChild>
    </w:div>
    <w:div w:id="371078841">
      <w:marLeft w:val="4"/>
      <w:marRight w:val="0"/>
      <w:marTop w:val="60"/>
      <w:marBottom w:val="0"/>
      <w:divBdr>
        <w:top w:val="none" w:sz="0" w:space="0" w:color="auto"/>
        <w:left w:val="none" w:sz="0" w:space="0" w:color="auto"/>
        <w:bottom w:val="none" w:sz="0" w:space="0" w:color="auto"/>
        <w:right w:val="none" w:sz="0" w:space="0" w:color="auto"/>
      </w:divBdr>
      <w:divsChild>
        <w:div w:id="283580338">
          <w:marLeft w:val="0"/>
          <w:marRight w:val="0"/>
          <w:marTop w:val="0"/>
          <w:marBottom w:val="0"/>
          <w:divBdr>
            <w:top w:val="none" w:sz="0" w:space="0" w:color="auto"/>
            <w:left w:val="none" w:sz="0" w:space="0" w:color="auto"/>
            <w:bottom w:val="none" w:sz="0" w:space="0" w:color="auto"/>
            <w:right w:val="none" w:sz="0" w:space="0" w:color="auto"/>
          </w:divBdr>
        </w:div>
      </w:divsChild>
    </w:div>
    <w:div w:id="372389004">
      <w:marLeft w:val="3"/>
      <w:marRight w:val="0"/>
      <w:marTop w:val="120"/>
      <w:marBottom w:val="0"/>
      <w:divBdr>
        <w:top w:val="none" w:sz="0" w:space="0" w:color="auto"/>
        <w:left w:val="none" w:sz="0" w:space="0" w:color="auto"/>
        <w:bottom w:val="none" w:sz="0" w:space="0" w:color="auto"/>
        <w:right w:val="none" w:sz="0" w:space="0" w:color="auto"/>
      </w:divBdr>
      <w:divsChild>
        <w:div w:id="339162143">
          <w:marLeft w:val="0"/>
          <w:marRight w:val="0"/>
          <w:marTop w:val="0"/>
          <w:marBottom w:val="0"/>
          <w:divBdr>
            <w:top w:val="none" w:sz="0" w:space="0" w:color="auto"/>
            <w:left w:val="none" w:sz="0" w:space="0" w:color="auto"/>
            <w:bottom w:val="none" w:sz="0" w:space="0" w:color="auto"/>
            <w:right w:val="none" w:sz="0" w:space="0" w:color="auto"/>
          </w:divBdr>
        </w:div>
      </w:divsChild>
    </w:div>
    <w:div w:id="397750103">
      <w:marLeft w:val="3"/>
      <w:marRight w:val="0"/>
      <w:marTop w:val="120"/>
      <w:marBottom w:val="0"/>
      <w:divBdr>
        <w:top w:val="none" w:sz="0" w:space="0" w:color="auto"/>
        <w:left w:val="none" w:sz="0" w:space="0" w:color="auto"/>
        <w:bottom w:val="none" w:sz="0" w:space="0" w:color="auto"/>
        <w:right w:val="none" w:sz="0" w:space="0" w:color="auto"/>
      </w:divBdr>
      <w:divsChild>
        <w:div w:id="77294560">
          <w:marLeft w:val="0"/>
          <w:marRight w:val="0"/>
          <w:marTop w:val="0"/>
          <w:marBottom w:val="0"/>
          <w:divBdr>
            <w:top w:val="none" w:sz="0" w:space="0" w:color="auto"/>
            <w:left w:val="none" w:sz="0" w:space="0" w:color="auto"/>
            <w:bottom w:val="none" w:sz="0" w:space="0" w:color="auto"/>
            <w:right w:val="none" w:sz="0" w:space="0" w:color="auto"/>
          </w:divBdr>
        </w:div>
      </w:divsChild>
    </w:div>
    <w:div w:id="409736489">
      <w:marLeft w:val="3"/>
      <w:marRight w:val="0"/>
      <w:marTop w:val="120"/>
      <w:marBottom w:val="0"/>
      <w:divBdr>
        <w:top w:val="none" w:sz="0" w:space="0" w:color="auto"/>
        <w:left w:val="none" w:sz="0" w:space="0" w:color="auto"/>
        <w:bottom w:val="none" w:sz="0" w:space="0" w:color="auto"/>
        <w:right w:val="none" w:sz="0" w:space="0" w:color="auto"/>
      </w:divBdr>
      <w:divsChild>
        <w:div w:id="891355707">
          <w:marLeft w:val="0"/>
          <w:marRight w:val="0"/>
          <w:marTop w:val="0"/>
          <w:marBottom w:val="0"/>
          <w:divBdr>
            <w:top w:val="none" w:sz="0" w:space="0" w:color="auto"/>
            <w:left w:val="none" w:sz="0" w:space="0" w:color="auto"/>
            <w:bottom w:val="none" w:sz="0" w:space="0" w:color="auto"/>
            <w:right w:val="none" w:sz="0" w:space="0" w:color="auto"/>
          </w:divBdr>
        </w:div>
      </w:divsChild>
    </w:div>
    <w:div w:id="415975724">
      <w:marLeft w:val="3"/>
      <w:marRight w:val="0"/>
      <w:marTop w:val="120"/>
      <w:marBottom w:val="0"/>
      <w:divBdr>
        <w:top w:val="none" w:sz="0" w:space="0" w:color="auto"/>
        <w:left w:val="none" w:sz="0" w:space="0" w:color="auto"/>
        <w:bottom w:val="none" w:sz="0" w:space="0" w:color="auto"/>
        <w:right w:val="none" w:sz="0" w:space="0" w:color="auto"/>
      </w:divBdr>
      <w:divsChild>
        <w:div w:id="590092637">
          <w:marLeft w:val="0"/>
          <w:marRight w:val="0"/>
          <w:marTop w:val="0"/>
          <w:marBottom w:val="0"/>
          <w:divBdr>
            <w:top w:val="none" w:sz="0" w:space="0" w:color="auto"/>
            <w:left w:val="none" w:sz="0" w:space="0" w:color="auto"/>
            <w:bottom w:val="none" w:sz="0" w:space="0" w:color="auto"/>
            <w:right w:val="none" w:sz="0" w:space="0" w:color="auto"/>
          </w:divBdr>
        </w:div>
      </w:divsChild>
    </w:div>
    <w:div w:id="419446622">
      <w:marLeft w:val="3"/>
      <w:marRight w:val="0"/>
      <w:marTop w:val="120"/>
      <w:marBottom w:val="0"/>
      <w:divBdr>
        <w:top w:val="none" w:sz="0" w:space="0" w:color="auto"/>
        <w:left w:val="none" w:sz="0" w:space="0" w:color="auto"/>
        <w:bottom w:val="none" w:sz="0" w:space="0" w:color="auto"/>
        <w:right w:val="none" w:sz="0" w:space="0" w:color="auto"/>
      </w:divBdr>
      <w:divsChild>
        <w:div w:id="133256809">
          <w:marLeft w:val="0"/>
          <w:marRight w:val="0"/>
          <w:marTop w:val="0"/>
          <w:marBottom w:val="0"/>
          <w:divBdr>
            <w:top w:val="none" w:sz="0" w:space="0" w:color="auto"/>
            <w:left w:val="none" w:sz="0" w:space="0" w:color="auto"/>
            <w:bottom w:val="none" w:sz="0" w:space="0" w:color="auto"/>
            <w:right w:val="none" w:sz="0" w:space="0" w:color="auto"/>
          </w:divBdr>
        </w:div>
      </w:divsChild>
    </w:div>
    <w:div w:id="434524924">
      <w:marLeft w:val="3"/>
      <w:marRight w:val="0"/>
      <w:marTop w:val="120"/>
      <w:marBottom w:val="0"/>
      <w:divBdr>
        <w:top w:val="none" w:sz="0" w:space="0" w:color="auto"/>
        <w:left w:val="none" w:sz="0" w:space="0" w:color="auto"/>
        <w:bottom w:val="none" w:sz="0" w:space="0" w:color="auto"/>
        <w:right w:val="none" w:sz="0" w:space="0" w:color="auto"/>
      </w:divBdr>
      <w:divsChild>
        <w:div w:id="1507205867">
          <w:marLeft w:val="0"/>
          <w:marRight w:val="0"/>
          <w:marTop w:val="0"/>
          <w:marBottom w:val="0"/>
          <w:divBdr>
            <w:top w:val="none" w:sz="0" w:space="0" w:color="auto"/>
            <w:left w:val="none" w:sz="0" w:space="0" w:color="auto"/>
            <w:bottom w:val="none" w:sz="0" w:space="0" w:color="auto"/>
            <w:right w:val="none" w:sz="0" w:space="0" w:color="auto"/>
          </w:divBdr>
        </w:div>
      </w:divsChild>
    </w:div>
    <w:div w:id="435560788">
      <w:marLeft w:val="3"/>
      <w:marRight w:val="0"/>
      <w:marTop w:val="120"/>
      <w:marBottom w:val="0"/>
      <w:divBdr>
        <w:top w:val="none" w:sz="0" w:space="0" w:color="auto"/>
        <w:left w:val="none" w:sz="0" w:space="0" w:color="auto"/>
        <w:bottom w:val="none" w:sz="0" w:space="0" w:color="auto"/>
        <w:right w:val="none" w:sz="0" w:space="0" w:color="auto"/>
      </w:divBdr>
      <w:divsChild>
        <w:div w:id="336082378">
          <w:marLeft w:val="0"/>
          <w:marRight w:val="0"/>
          <w:marTop w:val="0"/>
          <w:marBottom w:val="0"/>
          <w:divBdr>
            <w:top w:val="none" w:sz="0" w:space="0" w:color="auto"/>
            <w:left w:val="none" w:sz="0" w:space="0" w:color="auto"/>
            <w:bottom w:val="none" w:sz="0" w:space="0" w:color="auto"/>
            <w:right w:val="none" w:sz="0" w:space="0" w:color="auto"/>
          </w:divBdr>
        </w:div>
      </w:divsChild>
    </w:div>
    <w:div w:id="438381366">
      <w:marLeft w:val="3"/>
      <w:marRight w:val="0"/>
      <w:marTop w:val="120"/>
      <w:marBottom w:val="0"/>
      <w:divBdr>
        <w:top w:val="none" w:sz="0" w:space="0" w:color="auto"/>
        <w:left w:val="none" w:sz="0" w:space="0" w:color="auto"/>
        <w:bottom w:val="none" w:sz="0" w:space="0" w:color="auto"/>
        <w:right w:val="none" w:sz="0" w:space="0" w:color="auto"/>
      </w:divBdr>
      <w:divsChild>
        <w:div w:id="579288379">
          <w:marLeft w:val="0"/>
          <w:marRight w:val="0"/>
          <w:marTop w:val="0"/>
          <w:marBottom w:val="0"/>
          <w:divBdr>
            <w:top w:val="none" w:sz="0" w:space="0" w:color="auto"/>
            <w:left w:val="none" w:sz="0" w:space="0" w:color="auto"/>
            <w:bottom w:val="none" w:sz="0" w:space="0" w:color="auto"/>
            <w:right w:val="none" w:sz="0" w:space="0" w:color="auto"/>
          </w:divBdr>
        </w:div>
      </w:divsChild>
    </w:div>
    <w:div w:id="439491407">
      <w:marLeft w:val="0"/>
      <w:marRight w:val="0"/>
      <w:marTop w:val="100"/>
      <w:marBottom w:val="0"/>
      <w:divBdr>
        <w:top w:val="none" w:sz="0" w:space="0" w:color="auto"/>
        <w:left w:val="none" w:sz="0" w:space="0" w:color="auto"/>
        <w:bottom w:val="none" w:sz="0" w:space="0" w:color="auto"/>
        <w:right w:val="none" w:sz="0" w:space="0" w:color="auto"/>
      </w:divBdr>
      <w:divsChild>
        <w:div w:id="464394783">
          <w:marLeft w:val="0"/>
          <w:marRight w:val="0"/>
          <w:marTop w:val="0"/>
          <w:marBottom w:val="0"/>
          <w:divBdr>
            <w:top w:val="none" w:sz="0" w:space="0" w:color="auto"/>
            <w:left w:val="none" w:sz="0" w:space="0" w:color="auto"/>
            <w:bottom w:val="none" w:sz="0" w:space="0" w:color="auto"/>
            <w:right w:val="none" w:sz="0" w:space="0" w:color="auto"/>
          </w:divBdr>
        </w:div>
      </w:divsChild>
    </w:div>
    <w:div w:id="463427703">
      <w:marLeft w:val="3"/>
      <w:marRight w:val="0"/>
      <w:marTop w:val="120"/>
      <w:marBottom w:val="0"/>
      <w:divBdr>
        <w:top w:val="none" w:sz="0" w:space="0" w:color="auto"/>
        <w:left w:val="none" w:sz="0" w:space="0" w:color="auto"/>
        <w:bottom w:val="none" w:sz="0" w:space="0" w:color="auto"/>
        <w:right w:val="none" w:sz="0" w:space="0" w:color="auto"/>
      </w:divBdr>
      <w:divsChild>
        <w:div w:id="1118062864">
          <w:marLeft w:val="0"/>
          <w:marRight w:val="0"/>
          <w:marTop w:val="0"/>
          <w:marBottom w:val="0"/>
          <w:divBdr>
            <w:top w:val="none" w:sz="0" w:space="0" w:color="auto"/>
            <w:left w:val="none" w:sz="0" w:space="0" w:color="auto"/>
            <w:bottom w:val="none" w:sz="0" w:space="0" w:color="auto"/>
            <w:right w:val="none" w:sz="0" w:space="0" w:color="auto"/>
          </w:divBdr>
        </w:div>
      </w:divsChild>
    </w:div>
    <w:div w:id="473911422">
      <w:marLeft w:val="3"/>
      <w:marRight w:val="0"/>
      <w:marTop w:val="120"/>
      <w:marBottom w:val="0"/>
      <w:divBdr>
        <w:top w:val="none" w:sz="0" w:space="0" w:color="auto"/>
        <w:left w:val="none" w:sz="0" w:space="0" w:color="auto"/>
        <w:bottom w:val="none" w:sz="0" w:space="0" w:color="auto"/>
        <w:right w:val="none" w:sz="0" w:space="0" w:color="auto"/>
      </w:divBdr>
      <w:divsChild>
        <w:div w:id="1907032251">
          <w:marLeft w:val="0"/>
          <w:marRight w:val="0"/>
          <w:marTop w:val="0"/>
          <w:marBottom w:val="0"/>
          <w:divBdr>
            <w:top w:val="none" w:sz="0" w:space="0" w:color="auto"/>
            <w:left w:val="none" w:sz="0" w:space="0" w:color="auto"/>
            <w:bottom w:val="none" w:sz="0" w:space="0" w:color="auto"/>
            <w:right w:val="none" w:sz="0" w:space="0" w:color="auto"/>
          </w:divBdr>
        </w:div>
      </w:divsChild>
    </w:div>
    <w:div w:id="478962793">
      <w:marLeft w:val="3"/>
      <w:marRight w:val="0"/>
      <w:marTop w:val="120"/>
      <w:marBottom w:val="0"/>
      <w:divBdr>
        <w:top w:val="none" w:sz="0" w:space="0" w:color="auto"/>
        <w:left w:val="none" w:sz="0" w:space="0" w:color="auto"/>
        <w:bottom w:val="none" w:sz="0" w:space="0" w:color="auto"/>
        <w:right w:val="none" w:sz="0" w:space="0" w:color="auto"/>
      </w:divBdr>
      <w:divsChild>
        <w:div w:id="300422833">
          <w:marLeft w:val="0"/>
          <w:marRight w:val="0"/>
          <w:marTop w:val="0"/>
          <w:marBottom w:val="0"/>
          <w:divBdr>
            <w:top w:val="none" w:sz="0" w:space="0" w:color="auto"/>
            <w:left w:val="none" w:sz="0" w:space="0" w:color="auto"/>
            <w:bottom w:val="none" w:sz="0" w:space="0" w:color="auto"/>
            <w:right w:val="none" w:sz="0" w:space="0" w:color="auto"/>
          </w:divBdr>
        </w:div>
      </w:divsChild>
    </w:div>
    <w:div w:id="482503142">
      <w:marLeft w:val="3"/>
      <w:marRight w:val="0"/>
      <w:marTop w:val="120"/>
      <w:marBottom w:val="0"/>
      <w:divBdr>
        <w:top w:val="none" w:sz="0" w:space="0" w:color="auto"/>
        <w:left w:val="none" w:sz="0" w:space="0" w:color="auto"/>
        <w:bottom w:val="none" w:sz="0" w:space="0" w:color="auto"/>
        <w:right w:val="none" w:sz="0" w:space="0" w:color="auto"/>
      </w:divBdr>
      <w:divsChild>
        <w:div w:id="1979603141">
          <w:marLeft w:val="0"/>
          <w:marRight w:val="0"/>
          <w:marTop w:val="0"/>
          <w:marBottom w:val="0"/>
          <w:divBdr>
            <w:top w:val="none" w:sz="0" w:space="0" w:color="auto"/>
            <w:left w:val="none" w:sz="0" w:space="0" w:color="auto"/>
            <w:bottom w:val="none" w:sz="0" w:space="0" w:color="auto"/>
            <w:right w:val="none" w:sz="0" w:space="0" w:color="auto"/>
          </w:divBdr>
        </w:div>
      </w:divsChild>
    </w:div>
    <w:div w:id="482547481">
      <w:marLeft w:val="4"/>
      <w:marRight w:val="0"/>
      <w:marTop w:val="120"/>
      <w:marBottom w:val="0"/>
      <w:divBdr>
        <w:top w:val="none" w:sz="0" w:space="0" w:color="auto"/>
        <w:left w:val="none" w:sz="0" w:space="0" w:color="auto"/>
        <w:bottom w:val="none" w:sz="0" w:space="0" w:color="auto"/>
        <w:right w:val="none" w:sz="0" w:space="0" w:color="auto"/>
      </w:divBdr>
    </w:div>
    <w:div w:id="482695397">
      <w:marLeft w:val="3"/>
      <w:marRight w:val="0"/>
      <w:marTop w:val="120"/>
      <w:marBottom w:val="0"/>
      <w:divBdr>
        <w:top w:val="none" w:sz="0" w:space="0" w:color="auto"/>
        <w:left w:val="none" w:sz="0" w:space="0" w:color="auto"/>
        <w:bottom w:val="none" w:sz="0" w:space="0" w:color="auto"/>
        <w:right w:val="none" w:sz="0" w:space="0" w:color="auto"/>
      </w:divBdr>
      <w:divsChild>
        <w:div w:id="39667884">
          <w:marLeft w:val="0"/>
          <w:marRight w:val="0"/>
          <w:marTop w:val="0"/>
          <w:marBottom w:val="0"/>
          <w:divBdr>
            <w:top w:val="none" w:sz="0" w:space="0" w:color="auto"/>
            <w:left w:val="none" w:sz="0" w:space="0" w:color="auto"/>
            <w:bottom w:val="none" w:sz="0" w:space="0" w:color="auto"/>
            <w:right w:val="none" w:sz="0" w:space="0" w:color="auto"/>
          </w:divBdr>
        </w:div>
      </w:divsChild>
    </w:div>
    <w:div w:id="486557514">
      <w:marLeft w:val="3"/>
      <w:marRight w:val="0"/>
      <w:marTop w:val="120"/>
      <w:marBottom w:val="0"/>
      <w:divBdr>
        <w:top w:val="none" w:sz="0" w:space="0" w:color="auto"/>
        <w:left w:val="none" w:sz="0" w:space="0" w:color="auto"/>
        <w:bottom w:val="none" w:sz="0" w:space="0" w:color="auto"/>
        <w:right w:val="none" w:sz="0" w:space="0" w:color="auto"/>
      </w:divBdr>
      <w:divsChild>
        <w:div w:id="616836700">
          <w:marLeft w:val="0"/>
          <w:marRight w:val="0"/>
          <w:marTop w:val="0"/>
          <w:marBottom w:val="0"/>
          <w:divBdr>
            <w:top w:val="none" w:sz="0" w:space="0" w:color="auto"/>
            <w:left w:val="none" w:sz="0" w:space="0" w:color="auto"/>
            <w:bottom w:val="none" w:sz="0" w:space="0" w:color="auto"/>
            <w:right w:val="none" w:sz="0" w:space="0" w:color="auto"/>
          </w:divBdr>
        </w:div>
      </w:divsChild>
    </w:div>
    <w:div w:id="498086720">
      <w:marLeft w:val="3"/>
      <w:marRight w:val="0"/>
      <w:marTop w:val="120"/>
      <w:marBottom w:val="0"/>
      <w:divBdr>
        <w:top w:val="none" w:sz="0" w:space="0" w:color="auto"/>
        <w:left w:val="none" w:sz="0" w:space="0" w:color="auto"/>
        <w:bottom w:val="none" w:sz="0" w:space="0" w:color="auto"/>
        <w:right w:val="none" w:sz="0" w:space="0" w:color="auto"/>
      </w:divBdr>
      <w:divsChild>
        <w:div w:id="346829565">
          <w:marLeft w:val="0"/>
          <w:marRight w:val="0"/>
          <w:marTop w:val="0"/>
          <w:marBottom w:val="0"/>
          <w:divBdr>
            <w:top w:val="none" w:sz="0" w:space="0" w:color="auto"/>
            <w:left w:val="none" w:sz="0" w:space="0" w:color="auto"/>
            <w:bottom w:val="none" w:sz="0" w:space="0" w:color="auto"/>
            <w:right w:val="none" w:sz="0" w:space="0" w:color="auto"/>
          </w:divBdr>
        </w:div>
      </w:divsChild>
    </w:div>
    <w:div w:id="499975949">
      <w:marLeft w:val="0"/>
      <w:marRight w:val="0"/>
      <w:marTop w:val="0"/>
      <w:marBottom w:val="0"/>
      <w:divBdr>
        <w:top w:val="none" w:sz="0" w:space="0" w:color="auto"/>
        <w:left w:val="none" w:sz="0" w:space="0" w:color="auto"/>
        <w:bottom w:val="none" w:sz="0" w:space="0" w:color="auto"/>
        <w:right w:val="none" w:sz="0" w:space="0" w:color="auto"/>
      </w:divBdr>
    </w:div>
    <w:div w:id="506332431">
      <w:marLeft w:val="3"/>
      <w:marRight w:val="0"/>
      <w:marTop w:val="120"/>
      <w:marBottom w:val="0"/>
      <w:divBdr>
        <w:top w:val="none" w:sz="0" w:space="0" w:color="auto"/>
        <w:left w:val="none" w:sz="0" w:space="0" w:color="auto"/>
        <w:bottom w:val="none" w:sz="0" w:space="0" w:color="auto"/>
        <w:right w:val="none" w:sz="0" w:space="0" w:color="auto"/>
      </w:divBdr>
      <w:divsChild>
        <w:div w:id="650058081">
          <w:marLeft w:val="0"/>
          <w:marRight w:val="0"/>
          <w:marTop w:val="0"/>
          <w:marBottom w:val="0"/>
          <w:divBdr>
            <w:top w:val="none" w:sz="0" w:space="0" w:color="auto"/>
            <w:left w:val="none" w:sz="0" w:space="0" w:color="auto"/>
            <w:bottom w:val="none" w:sz="0" w:space="0" w:color="auto"/>
            <w:right w:val="none" w:sz="0" w:space="0" w:color="auto"/>
          </w:divBdr>
        </w:div>
      </w:divsChild>
    </w:div>
    <w:div w:id="507604239">
      <w:marLeft w:val="3"/>
      <w:marRight w:val="0"/>
      <w:marTop w:val="120"/>
      <w:marBottom w:val="0"/>
      <w:divBdr>
        <w:top w:val="none" w:sz="0" w:space="0" w:color="auto"/>
        <w:left w:val="none" w:sz="0" w:space="0" w:color="auto"/>
        <w:bottom w:val="none" w:sz="0" w:space="0" w:color="auto"/>
        <w:right w:val="none" w:sz="0" w:space="0" w:color="auto"/>
      </w:divBdr>
      <w:divsChild>
        <w:div w:id="1620335907">
          <w:marLeft w:val="0"/>
          <w:marRight w:val="0"/>
          <w:marTop w:val="0"/>
          <w:marBottom w:val="0"/>
          <w:divBdr>
            <w:top w:val="none" w:sz="0" w:space="0" w:color="auto"/>
            <w:left w:val="none" w:sz="0" w:space="0" w:color="auto"/>
            <w:bottom w:val="none" w:sz="0" w:space="0" w:color="auto"/>
            <w:right w:val="none" w:sz="0" w:space="0" w:color="auto"/>
          </w:divBdr>
        </w:div>
      </w:divsChild>
    </w:div>
    <w:div w:id="515265199">
      <w:marLeft w:val="9"/>
      <w:marRight w:val="0"/>
      <w:marTop w:val="120"/>
      <w:marBottom w:val="0"/>
      <w:divBdr>
        <w:top w:val="none" w:sz="0" w:space="0" w:color="auto"/>
        <w:left w:val="none" w:sz="0" w:space="0" w:color="auto"/>
        <w:bottom w:val="none" w:sz="0" w:space="0" w:color="auto"/>
        <w:right w:val="none" w:sz="0" w:space="0" w:color="auto"/>
      </w:divBdr>
      <w:divsChild>
        <w:div w:id="374276714">
          <w:marLeft w:val="0"/>
          <w:marRight w:val="0"/>
          <w:marTop w:val="0"/>
          <w:marBottom w:val="0"/>
          <w:divBdr>
            <w:top w:val="none" w:sz="0" w:space="0" w:color="auto"/>
            <w:left w:val="none" w:sz="0" w:space="0" w:color="auto"/>
            <w:bottom w:val="none" w:sz="0" w:space="0" w:color="auto"/>
            <w:right w:val="none" w:sz="0" w:space="0" w:color="auto"/>
          </w:divBdr>
        </w:div>
      </w:divsChild>
    </w:div>
    <w:div w:id="515924794">
      <w:marLeft w:val="3"/>
      <w:marRight w:val="0"/>
      <w:marTop w:val="120"/>
      <w:marBottom w:val="0"/>
      <w:divBdr>
        <w:top w:val="none" w:sz="0" w:space="0" w:color="auto"/>
        <w:left w:val="none" w:sz="0" w:space="0" w:color="auto"/>
        <w:bottom w:val="none" w:sz="0" w:space="0" w:color="auto"/>
        <w:right w:val="none" w:sz="0" w:space="0" w:color="auto"/>
      </w:divBdr>
      <w:divsChild>
        <w:div w:id="1681808331">
          <w:marLeft w:val="0"/>
          <w:marRight w:val="0"/>
          <w:marTop w:val="0"/>
          <w:marBottom w:val="0"/>
          <w:divBdr>
            <w:top w:val="none" w:sz="0" w:space="0" w:color="auto"/>
            <w:left w:val="none" w:sz="0" w:space="0" w:color="auto"/>
            <w:bottom w:val="none" w:sz="0" w:space="0" w:color="auto"/>
            <w:right w:val="none" w:sz="0" w:space="0" w:color="auto"/>
          </w:divBdr>
        </w:div>
      </w:divsChild>
    </w:div>
    <w:div w:id="518391745">
      <w:marLeft w:val="3"/>
      <w:marRight w:val="0"/>
      <w:marTop w:val="120"/>
      <w:marBottom w:val="0"/>
      <w:divBdr>
        <w:top w:val="none" w:sz="0" w:space="0" w:color="auto"/>
        <w:left w:val="none" w:sz="0" w:space="0" w:color="auto"/>
        <w:bottom w:val="none" w:sz="0" w:space="0" w:color="auto"/>
        <w:right w:val="none" w:sz="0" w:space="0" w:color="auto"/>
      </w:divBdr>
      <w:divsChild>
        <w:div w:id="742802711">
          <w:marLeft w:val="0"/>
          <w:marRight w:val="0"/>
          <w:marTop w:val="0"/>
          <w:marBottom w:val="0"/>
          <w:divBdr>
            <w:top w:val="none" w:sz="0" w:space="0" w:color="auto"/>
            <w:left w:val="none" w:sz="0" w:space="0" w:color="auto"/>
            <w:bottom w:val="none" w:sz="0" w:space="0" w:color="auto"/>
            <w:right w:val="none" w:sz="0" w:space="0" w:color="auto"/>
          </w:divBdr>
        </w:div>
      </w:divsChild>
    </w:div>
    <w:div w:id="544752063">
      <w:marLeft w:val="9"/>
      <w:marRight w:val="0"/>
      <w:marTop w:val="120"/>
      <w:marBottom w:val="0"/>
      <w:divBdr>
        <w:top w:val="none" w:sz="0" w:space="0" w:color="auto"/>
        <w:left w:val="none" w:sz="0" w:space="0" w:color="auto"/>
        <w:bottom w:val="none" w:sz="0" w:space="0" w:color="auto"/>
        <w:right w:val="none" w:sz="0" w:space="0" w:color="auto"/>
      </w:divBdr>
      <w:divsChild>
        <w:div w:id="289239993">
          <w:marLeft w:val="0"/>
          <w:marRight w:val="0"/>
          <w:marTop w:val="0"/>
          <w:marBottom w:val="0"/>
          <w:divBdr>
            <w:top w:val="none" w:sz="0" w:space="0" w:color="auto"/>
            <w:left w:val="none" w:sz="0" w:space="0" w:color="auto"/>
            <w:bottom w:val="none" w:sz="0" w:space="0" w:color="auto"/>
            <w:right w:val="none" w:sz="0" w:space="0" w:color="auto"/>
          </w:divBdr>
        </w:div>
      </w:divsChild>
    </w:div>
    <w:div w:id="546796153">
      <w:marLeft w:val="3"/>
      <w:marRight w:val="0"/>
      <w:marTop w:val="120"/>
      <w:marBottom w:val="0"/>
      <w:divBdr>
        <w:top w:val="none" w:sz="0" w:space="0" w:color="auto"/>
        <w:left w:val="none" w:sz="0" w:space="0" w:color="auto"/>
        <w:bottom w:val="none" w:sz="0" w:space="0" w:color="auto"/>
        <w:right w:val="none" w:sz="0" w:space="0" w:color="auto"/>
      </w:divBdr>
      <w:divsChild>
        <w:div w:id="1238710460">
          <w:marLeft w:val="0"/>
          <w:marRight w:val="0"/>
          <w:marTop w:val="0"/>
          <w:marBottom w:val="0"/>
          <w:divBdr>
            <w:top w:val="none" w:sz="0" w:space="0" w:color="auto"/>
            <w:left w:val="none" w:sz="0" w:space="0" w:color="auto"/>
            <w:bottom w:val="none" w:sz="0" w:space="0" w:color="auto"/>
            <w:right w:val="none" w:sz="0" w:space="0" w:color="auto"/>
          </w:divBdr>
        </w:div>
      </w:divsChild>
    </w:div>
    <w:div w:id="548372220">
      <w:marLeft w:val="3"/>
      <w:marRight w:val="0"/>
      <w:marTop w:val="120"/>
      <w:marBottom w:val="0"/>
      <w:divBdr>
        <w:top w:val="none" w:sz="0" w:space="0" w:color="auto"/>
        <w:left w:val="none" w:sz="0" w:space="0" w:color="auto"/>
        <w:bottom w:val="none" w:sz="0" w:space="0" w:color="auto"/>
        <w:right w:val="none" w:sz="0" w:space="0" w:color="auto"/>
      </w:divBdr>
      <w:divsChild>
        <w:div w:id="330447974">
          <w:marLeft w:val="0"/>
          <w:marRight w:val="0"/>
          <w:marTop w:val="0"/>
          <w:marBottom w:val="0"/>
          <w:divBdr>
            <w:top w:val="none" w:sz="0" w:space="0" w:color="auto"/>
            <w:left w:val="none" w:sz="0" w:space="0" w:color="auto"/>
            <w:bottom w:val="none" w:sz="0" w:space="0" w:color="auto"/>
            <w:right w:val="none" w:sz="0" w:space="0" w:color="auto"/>
          </w:divBdr>
        </w:div>
      </w:divsChild>
    </w:div>
    <w:div w:id="561675223">
      <w:marLeft w:val="3"/>
      <w:marRight w:val="0"/>
      <w:marTop w:val="0"/>
      <w:marBottom w:val="0"/>
      <w:divBdr>
        <w:top w:val="none" w:sz="0" w:space="0" w:color="auto"/>
        <w:left w:val="none" w:sz="0" w:space="0" w:color="auto"/>
        <w:bottom w:val="none" w:sz="0" w:space="0" w:color="auto"/>
        <w:right w:val="none" w:sz="0" w:space="0" w:color="auto"/>
      </w:divBdr>
      <w:divsChild>
        <w:div w:id="2107076553">
          <w:marLeft w:val="0"/>
          <w:marRight w:val="0"/>
          <w:marTop w:val="0"/>
          <w:marBottom w:val="0"/>
          <w:divBdr>
            <w:top w:val="none" w:sz="0" w:space="0" w:color="auto"/>
            <w:left w:val="none" w:sz="0" w:space="0" w:color="auto"/>
            <w:bottom w:val="none" w:sz="0" w:space="0" w:color="auto"/>
            <w:right w:val="none" w:sz="0" w:space="0" w:color="auto"/>
          </w:divBdr>
        </w:div>
      </w:divsChild>
    </w:div>
    <w:div w:id="567034242">
      <w:marLeft w:val="3"/>
      <w:marRight w:val="0"/>
      <w:marTop w:val="120"/>
      <w:marBottom w:val="0"/>
      <w:divBdr>
        <w:top w:val="none" w:sz="0" w:space="0" w:color="auto"/>
        <w:left w:val="none" w:sz="0" w:space="0" w:color="auto"/>
        <w:bottom w:val="none" w:sz="0" w:space="0" w:color="auto"/>
        <w:right w:val="none" w:sz="0" w:space="0" w:color="auto"/>
      </w:divBdr>
      <w:divsChild>
        <w:div w:id="76944580">
          <w:marLeft w:val="0"/>
          <w:marRight w:val="0"/>
          <w:marTop w:val="0"/>
          <w:marBottom w:val="0"/>
          <w:divBdr>
            <w:top w:val="none" w:sz="0" w:space="0" w:color="auto"/>
            <w:left w:val="none" w:sz="0" w:space="0" w:color="auto"/>
            <w:bottom w:val="none" w:sz="0" w:space="0" w:color="auto"/>
            <w:right w:val="none" w:sz="0" w:space="0" w:color="auto"/>
          </w:divBdr>
        </w:div>
      </w:divsChild>
    </w:div>
    <w:div w:id="580406498">
      <w:marLeft w:val="3"/>
      <w:marRight w:val="0"/>
      <w:marTop w:val="120"/>
      <w:marBottom w:val="0"/>
      <w:divBdr>
        <w:top w:val="none" w:sz="0" w:space="0" w:color="auto"/>
        <w:left w:val="none" w:sz="0" w:space="0" w:color="auto"/>
        <w:bottom w:val="none" w:sz="0" w:space="0" w:color="auto"/>
        <w:right w:val="none" w:sz="0" w:space="0" w:color="auto"/>
      </w:divBdr>
      <w:divsChild>
        <w:div w:id="1513448829">
          <w:marLeft w:val="0"/>
          <w:marRight w:val="0"/>
          <w:marTop w:val="0"/>
          <w:marBottom w:val="0"/>
          <w:divBdr>
            <w:top w:val="none" w:sz="0" w:space="0" w:color="auto"/>
            <w:left w:val="none" w:sz="0" w:space="0" w:color="auto"/>
            <w:bottom w:val="none" w:sz="0" w:space="0" w:color="auto"/>
            <w:right w:val="none" w:sz="0" w:space="0" w:color="auto"/>
          </w:divBdr>
        </w:div>
      </w:divsChild>
    </w:div>
    <w:div w:id="590624682">
      <w:marLeft w:val="3"/>
      <w:marRight w:val="0"/>
      <w:marTop w:val="120"/>
      <w:marBottom w:val="0"/>
      <w:divBdr>
        <w:top w:val="none" w:sz="0" w:space="0" w:color="auto"/>
        <w:left w:val="none" w:sz="0" w:space="0" w:color="auto"/>
        <w:bottom w:val="none" w:sz="0" w:space="0" w:color="auto"/>
        <w:right w:val="none" w:sz="0" w:space="0" w:color="auto"/>
      </w:divBdr>
      <w:divsChild>
        <w:div w:id="860817810">
          <w:marLeft w:val="0"/>
          <w:marRight w:val="0"/>
          <w:marTop w:val="0"/>
          <w:marBottom w:val="0"/>
          <w:divBdr>
            <w:top w:val="none" w:sz="0" w:space="0" w:color="auto"/>
            <w:left w:val="none" w:sz="0" w:space="0" w:color="auto"/>
            <w:bottom w:val="none" w:sz="0" w:space="0" w:color="auto"/>
            <w:right w:val="none" w:sz="0" w:space="0" w:color="auto"/>
          </w:divBdr>
        </w:div>
      </w:divsChild>
    </w:div>
    <w:div w:id="607127873">
      <w:marLeft w:val="3"/>
      <w:marRight w:val="0"/>
      <w:marTop w:val="120"/>
      <w:marBottom w:val="0"/>
      <w:divBdr>
        <w:top w:val="none" w:sz="0" w:space="0" w:color="auto"/>
        <w:left w:val="none" w:sz="0" w:space="0" w:color="auto"/>
        <w:bottom w:val="none" w:sz="0" w:space="0" w:color="auto"/>
        <w:right w:val="none" w:sz="0" w:space="0" w:color="auto"/>
      </w:divBdr>
      <w:divsChild>
        <w:div w:id="2135906037">
          <w:marLeft w:val="0"/>
          <w:marRight w:val="0"/>
          <w:marTop w:val="0"/>
          <w:marBottom w:val="0"/>
          <w:divBdr>
            <w:top w:val="none" w:sz="0" w:space="0" w:color="auto"/>
            <w:left w:val="none" w:sz="0" w:space="0" w:color="auto"/>
            <w:bottom w:val="none" w:sz="0" w:space="0" w:color="auto"/>
            <w:right w:val="none" w:sz="0" w:space="0" w:color="auto"/>
          </w:divBdr>
        </w:div>
      </w:divsChild>
    </w:div>
    <w:div w:id="615916574">
      <w:marLeft w:val="4"/>
      <w:marRight w:val="0"/>
      <w:marTop w:val="60"/>
      <w:marBottom w:val="0"/>
      <w:divBdr>
        <w:top w:val="none" w:sz="0" w:space="0" w:color="auto"/>
        <w:left w:val="none" w:sz="0" w:space="0" w:color="auto"/>
        <w:bottom w:val="none" w:sz="0" w:space="0" w:color="auto"/>
        <w:right w:val="none" w:sz="0" w:space="0" w:color="auto"/>
      </w:divBdr>
      <w:divsChild>
        <w:div w:id="564797573">
          <w:marLeft w:val="0"/>
          <w:marRight w:val="0"/>
          <w:marTop w:val="0"/>
          <w:marBottom w:val="0"/>
          <w:divBdr>
            <w:top w:val="none" w:sz="0" w:space="0" w:color="auto"/>
            <w:left w:val="none" w:sz="0" w:space="0" w:color="auto"/>
            <w:bottom w:val="none" w:sz="0" w:space="0" w:color="auto"/>
            <w:right w:val="none" w:sz="0" w:space="0" w:color="auto"/>
          </w:divBdr>
        </w:div>
      </w:divsChild>
    </w:div>
    <w:div w:id="622461383">
      <w:marLeft w:val="3"/>
      <w:marRight w:val="0"/>
      <w:marTop w:val="120"/>
      <w:marBottom w:val="0"/>
      <w:divBdr>
        <w:top w:val="none" w:sz="0" w:space="0" w:color="auto"/>
        <w:left w:val="none" w:sz="0" w:space="0" w:color="auto"/>
        <w:bottom w:val="none" w:sz="0" w:space="0" w:color="auto"/>
        <w:right w:val="none" w:sz="0" w:space="0" w:color="auto"/>
      </w:divBdr>
      <w:divsChild>
        <w:div w:id="1017003367">
          <w:marLeft w:val="0"/>
          <w:marRight w:val="0"/>
          <w:marTop w:val="0"/>
          <w:marBottom w:val="0"/>
          <w:divBdr>
            <w:top w:val="none" w:sz="0" w:space="0" w:color="auto"/>
            <w:left w:val="none" w:sz="0" w:space="0" w:color="auto"/>
            <w:bottom w:val="none" w:sz="0" w:space="0" w:color="auto"/>
            <w:right w:val="none" w:sz="0" w:space="0" w:color="auto"/>
          </w:divBdr>
        </w:div>
      </w:divsChild>
    </w:div>
    <w:div w:id="633605470">
      <w:marLeft w:val="3"/>
      <w:marRight w:val="0"/>
      <w:marTop w:val="0"/>
      <w:marBottom w:val="0"/>
      <w:divBdr>
        <w:top w:val="none" w:sz="0" w:space="0" w:color="auto"/>
        <w:left w:val="none" w:sz="0" w:space="0" w:color="auto"/>
        <w:bottom w:val="none" w:sz="0" w:space="0" w:color="auto"/>
        <w:right w:val="none" w:sz="0" w:space="0" w:color="auto"/>
      </w:divBdr>
      <w:divsChild>
        <w:div w:id="1111896178">
          <w:marLeft w:val="0"/>
          <w:marRight w:val="0"/>
          <w:marTop w:val="0"/>
          <w:marBottom w:val="0"/>
          <w:divBdr>
            <w:top w:val="none" w:sz="0" w:space="0" w:color="auto"/>
            <w:left w:val="none" w:sz="0" w:space="0" w:color="auto"/>
            <w:bottom w:val="none" w:sz="0" w:space="0" w:color="auto"/>
            <w:right w:val="none" w:sz="0" w:space="0" w:color="auto"/>
          </w:divBdr>
        </w:div>
      </w:divsChild>
    </w:div>
    <w:div w:id="651064962">
      <w:marLeft w:val="3"/>
      <w:marRight w:val="0"/>
      <w:marTop w:val="120"/>
      <w:marBottom w:val="0"/>
      <w:divBdr>
        <w:top w:val="none" w:sz="0" w:space="0" w:color="auto"/>
        <w:left w:val="none" w:sz="0" w:space="0" w:color="auto"/>
        <w:bottom w:val="none" w:sz="0" w:space="0" w:color="auto"/>
        <w:right w:val="none" w:sz="0" w:space="0" w:color="auto"/>
      </w:divBdr>
      <w:divsChild>
        <w:div w:id="692344382">
          <w:marLeft w:val="0"/>
          <w:marRight w:val="0"/>
          <w:marTop w:val="0"/>
          <w:marBottom w:val="0"/>
          <w:divBdr>
            <w:top w:val="none" w:sz="0" w:space="0" w:color="auto"/>
            <w:left w:val="none" w:sz="0" w:space="0" w:color="auto"/>
            <w:bottom w:val="none" w:sz="0" w:space="0" w:color="auto"/>
            <w:right w:val="none" w:sz="0" w:space="0" w:color="auto"/>
          </w:divBdr>
        </w:div>
      </w:divsChild>
    </w:div>
    <w:div w:id="651445097">
      <w:marLeft w:val="3"/>
      <w:marRight w:val="0"/>
      <w:marTop w:val="120"/>
      <w:marBottom w:val="0"/>
      <w:divBdr>
        <w:top w:val="none" w:sz="0" w:space="0" w:color="auto"/>
        <w:left w:val="none" w:sz="0" w:space="0" w:color="auto"/>
        <w:bottom w:val="none" w:sz="0" w:space="0" w:color="auto"/>
        <w:right w:val="none" w:sz="0" w:space="0" w:color="auto"/>
      </w:divBdr>
      <w:divsChild>
        <w:div w:id="397628917">
          <w:marLeft w:val="0"/>
          <w:marRight w:val="0"/>
          <w:marTop w:val="0"/>
          <w:marBottom w:val="0"/>
          <w:divBdr>
            <w:top w:val="none" w:sz="0" w:space="0" w:color="auto"/>
            <w:left w:val="none" w:sz="0" w:space="0" w:color="auto"/>
            <w:bottom w:val="none" w:sz="0" w:space="0" w:color="auto"/>
            <w:right w:val="none" w:sz="0" w:space="0" w:color="auto"/>
          </w:divBdr>
        </w:div>
      </w:divsChild>
    </w:div>
    <w:div w:id="653611513">
      <w:marLeft w:val="3"/>
      <w:marRight w:val="0"/>
      <w:marTop w:val="120"/>
      <w:marBottom w:val="0"/>
      <w:divBdr>
        <w:top w:val="none" w:sz="0" w:space="0" w:color="auto"/>
        <w:left w:val="none" w:sz="0" w:space="0" w:color="auto"/>
        <w:bottom w:val="none" w:sz="0" w:space="0" w:color="auto"/>
        <w:right w:val="none" w:sz="0" w:space="0" w:color="auto"/>
      </w:divBdr>
      <w:divsChild>
        <w:div w:id="1849170563">
          <w:marLeft w:val="0"/>
          <w:marRight w:val="0"/>
          <w:marTop w:val="0"/>
          <w:marBottom w:val="0"/>
          <w:divBdr>
            <w:top w:val="none" w:sz="0" w:space="0" w:color="auto"/>
            <w:left w:val="none" w:sz="0" w:space="0" w:color="auto"/>
            <w:bottom w:val="none" w:sz="0" w:space="0" w:color="auto"/>
            <w:right w:val="none" w:sz="0" w:space="0" w:color="auto"/>
          </w:divBdr>
        </w:div>
      </w:divsChild>
    </w:div>
    <w:div w:id="656807315">
      <w:marLeft w:val="4"/>
      <w:marRight w:val="0"/>
      <w:marTop w:val="120"/>
      <w:marBottom w:val="0"/>
      <w:divBdr>
        <w:top w:val="none" w:sz="0" w:space="0" w:color="auto"/>
        <w:left w:val="none" w:sz="0" w:space="0" w:color="auto"/>
        <w:bottom w:val="none" w:sz="0" w:space="0" w:color="auto"/>
        <w:right w:val="none" w:sz="0" w:space="0" w:color="auto"/>
      </w:divBdr>
      <w:divsChild>
        <w:div w:id="869957372">
          <w:marLeft w:val="0"/>
          <w:marRight w:val="0"/>
          <w:marTop w:val="0"/>
          <w:marBottom w:val="0"/>
          <w:divBdr>
            <w:top w:val="none" w:sz="0" w:space="0" w:color="auto"/>
            <w:left w:val="none" w:sz="0" w:space="0" w:color="auto"/>
            <w:bottom w:val="none" w:sz="0" w:space="0" w:color="auto"/>
            <w:right w:val="none" w:sz="0" w:space="0" w:color="auto"/>
          </w:divBdr>
        </w:div>
      </w:divsChild>
    </w:div>
    <w:div w:id="683477542">
      <w:marLeft w:val="3"/>
      <w:marRight w:val="0"/>
      <w:marTop w:val="120"/>
      <w:marBottom w:val="0"/>
      <w:divBdr>
        <w:top w:val="none" w:sz="0" w:space="0" w:color="auto"/>
        <w:left w:val="none" w:sz="0" w:space="0" w:color="auto"/>
        <w:bottom w:val="none" w:sz="0" w:space="0" w:color="auto"/>
        <w:right w:val="none" w:sz="0" w:space="0" w:color="auto"/>
      </w:divBdr>
      <w:divsChild>
        <w:div w:id="2054499749">
          <w:marLeft w:val="0"/>
          <w:marRight w:val="0"/>
          <w:marTop w:val="0"/>
          <w:marBottom w:val="0"/>
          <w:divBdr>
            <w:top w:val="none" w:sz="0" w:space="0" w:color="auto"/>
            <w:left w:val="none" w:sz="0" w:space="0" w:color="auto"/>
            <w:bottom w:val="none" w:sz="0" w:space="0" w:color="auto"/>
            <w:right w:val="none" w:sz="0" w:space="0" w:color="auto"/>
          </w:divBdr>
        </w:div>
      </w:divsChild>
    </w:div>
    <w:div w:id="688799096">
      <w:marLeft w:val="3"/>
      <w:marRight w:val="0"/>
      <w:marTop w:val="120"/>
      <w:marBottom w:val="0"/>
      <w:divBdr>
        <w:top w:val="none" w:sz="0" w:space="0" w:color="auto"/>
        <w:left w:val="none" w:sz="0" w:space="0" w:color="auto"/>
        <w:bottom w:val="none" w:sz="0" w:space="0" w:color="auto"/>
        <w:right w:val="none" w:sz="0" w:space="0" w:color="auto"/>
      </w:divBdr>
      <w:divsChild>
        <w:div w:id="2146385795">
          <w:marLeft w:val="0"/>
          <w:marRight w:val="0"/>
          <w:marTop w:val="0"/>
          <w:marBottom w:val="0"/>
          <w:divBdr>
            <w:top w:val="none" w:sz="0" w:space="0" w:color="auto"/>
            <w:left w:val="none" w:sz="0" w:space="0" w:color="auto"/>
            <w:bottom w:val="none" w:sz="0" w:space="0" w:color="auto"/>
            <w:right w:val="none" w:sz="0" w:space="0" w:color="auto"/>
          </w:divBdr>
        </w:div>
      </w:divsChild>
    </w:div>
    <w:div w:id="693000817">
      <w:marLeft w:val="3"/>
      <w:marRight w:val="0"/>
      <w:marTop w:val="120"/>
      <w:marBottom w:val="0"/>
      <w:divBdr>
        <w:top w:val="none" w:sz="0" w:space="0" w:color="auto"/>
        <w:left w:val="none" w:sz="0" w:space="0" w:color="auto"/>
        <w:bottom w:val="none" w:sz="0" w:space="0" w:color="auto"/>
        <w:right w:val="none" w:sz="0" w:space="0" w:color="auto"/>
      </w:divBdr>
      <w:divsChild>
        <w:div w:id="44716993">
          <w:marLeft w:val="0"/>
          <w:marRight w:val="0"/>
          <w:marTop w:val="0"/>
          <w:marBottom w:val="0"/>
          <w:divBdr>
            <w:top w:val="none" w:sz="0" w:space="0" w:color="auto"/>
            <w:left w:val="none" w:sz="0" w:space="0" w:color="auto"/>
            <w:bottom w:val="none" w:sz="0" w:space="0" w:color="auto"/>
            <w:right w:val="none" w:sz="0" w:space="0" w:color="auto"/>
          </w:divBdr>
        </w:div>
      </w:divsChild>
    </w:div>
    <w:div w:id="696078789">
      <w:marLeft w:val="3"/>
      <w:marRight w:val="0"/>
      <w:marTop w:val="120"/>
      <w:marBottom w:val="0"/>
      <w:divBdr>
        <w:top w:val="none" w:sz="0" w:space="0" w:color="auto"/>
        <w:left w:val="none" w:sz="0" w:space="0" w:color="auto"/>
        <w:bottom w:val="none" w:sz="0" w:space="0" w:color="auto"/>
        <w:right w:val="none" w:sz="0" w:space="0" w:color="auto"/>
      </w:divBdr>
      <w:divsChild>
        <w:div w:id="1070495820">
          <w:marLeft w:val="0"/>
          <w:marRight w:val="0"/>
          <w:marTop w:val="0"/>
          <w:marBottom w:val="0"/>
          <w:divBdr>
            <w:top w:val="none" w:sz="0" w:space="0" w:color="auto"/>
            <w:left w:val="none" w:sz="0" w:space="0" w:color="auto"/>
            <w:bottom w:val="none" w:sz="0" w:space="0" w:color="auto"/>
            <w:right w:val="none" w:sz="0" w:space="0" w:color="auto"/>
          </w:divBdr>
        </w:div>
      </w:divsChild>
    </w:div>
    <w:div w:id="728960932">
      <w:marLeft w:val="3"/>
      <w:marRight w:val="0"/>
      <w:marTop w:val="120"/>
      <w:marBottom w:val="0"/>
      <w:divBdr>
        <w:top w:val="none" w:sz="0" w:space="0" w:color="auto"/>
        <w:left w:val="none" w:sz="0" w:space="0" w:color="auto"/>
        <w:bottom w:val="none" w:sz="0" w:space="0" w:color="auto"/>
        <w:right w:val="none" w:sz="0" w:space="0" w:color="auto"/>
      </w:divBdr>
      <w:divsChild>
        <w:div w:id="1636061134">
          <w:marLeft w:val="0"/>
          <w:marRight w:val="0"/>
          <w:marTop w:val="0"/>
          <w:marBottom w:val="0"/>
          <w:divBdr>
            <w:top w:val="none" w:sz="0" w:space="0" w:color="auto"/>
            <w:left w:val="none" w:sz="0" w:space="0" w:color="auto"/>
            <w:bottom w:val="none" w:sz="0" w:space="0" w:color="auto"/>
            <w:right w:val="none" w:sz="0" w:space="0" w:color="auto"/>
          </w:divBdr>
        </w:div>
      </w:divsChild>
    </w:div>
    <w:div w:id="755707208">
      <w:marLeft w:val="3"/>
      <w:marRight w:val="0"/>
      <w:marTop w:val="120"/>
      <w:marBottom w:val="0"/>
      <w:divBdr>
        <w:top w:val="none" w:sz="0" w:space="0" w:color="auto"/>
        <w:left w:val="none" w:sz="0" w:space="0" w:color="auto"/>
        <w:bottom w:val="none" w:sz="0" w:space="0" w:color="auto"/>
        <w:right w:val="none" w:sz="0" w:space="0" w:color="auto"/>
      </w:divBdr>
      <w:divsChild>
        <w:div w:id="1297107848">
          <w:marLeft w:val="0"/>
          <w:marRight w:val="0"/>
          <w:marTop w:val="0"/>
          <w:marBottom w:val="0"/>
          <w:divBdr>
            <w:top w:val="none" w:sz="0" w:space="0" w:color="auto"/>
            <w:left w:val="none" w:sz="0" w:space="0" w:color="auto"/>
            <w:bottom w:val="none" w:sz="0" w:space="0" w:color="auto"/>
            <w:right w:val="none" w:sz="0" w:space="0" w:color="auto"/>
          </w:divBdr>
        </w:div>
      </w:divsChild>
    </w:div>
    <w:div w:id="759521451">
      <w:marLeft w:val="3"/>
      <w:marRight w:val="0"/>
      <w:marTop w:val="120"/>
      <w:marBottom w:val="0"/>
      <w:divBdr>
        <w:top w:val="none" w:sz="0" w:space="0" w:color="auto"/>
        <w:left w:val="none" w:sz="0" w:space="0" w:color="auto"/>
        <w:bottom w:val="none" w:sz="0" w:space="0" w:color="auto"/>
        <w:right w:val="none" w:sz="0" w:space="0" w:color="auto"/>
      </w:divBdr>
      <w:divsChild>
        <w:div w:id="500896974">
          <w:marLeft w:val="0"/>
          <w:marRight w:val="0"/>
          <w:marTop w:val="0"/>
          <w:marBottom w:val="0"/>
          <w:divBdr>
            <w:top w:val="none" w:sz="0" w:space="0" w:color="auto"/>
            <w:left w:val="none" w:sz="0" w:space="0" w:color="auto"/>
            <w:bottom w:val="none" w:sz="0" w:space="0" w:color="auto"/>
            <w:right w:val="none" w:sz="0" w:space="0" w:color="auto"/>
          </w:divBdr>
        </w:div>
      </w:divsChild>
    </w:div>
    <w:div w:id="763837691">
      <w:marLeft w:val="3"/>
      <w:marRight w:val="0"/>
      <w:marTop w:val="120"/>
      <w:marBottom w:val="0"/>
      <w:divBdr>
        <w:top w:val="none" w:sz="0" w:space="0" w:color="auto"/>
        <w:left w:val="none" w:sz="0" w:space="0" w:color="auto"/>
        <w:bottom w:val="none" w:sz="0" w:space="0" w:color="auto"/>
        <w:right w:val="none" w:sz="0" w:space="0" w:color="auto"/>
      </w:divBdr>
      <w:divsChild>
        <w:div w:id="2117096612">
          <w:marLeft w:val="0"/>
          <w:marRight w:val="0"/>
          <w:marTop w:val="0"/>
          <w:marBottom w:val="0"/>
          <w:divBdr>
            <w:top w:val="none" w:sz="0" w:space="0" w:color="auto"/>
            <w:left w:val="none" w:sz="0" w:space="0" w:color="auto"/>
            <w:bottom w:val="none" w:sz="0" w:space="0" w:color="auto"/>
            <w:right w:val="none" w:sz="0" w:space="0" w:color="auto"/>
          </w:divBdr>
        </w:div>
      </w:divsChild>
    </w:div>
    <w:div w:id="776101020">
      <w:marLeft w:val="4"/>
      <w:marRight w:val="0"/>
      <w:marTop w:val="120"/>
      <w:marBottom w:val="0"/>
      <w:divBdr>
        <w:top w:val="none" w:sz="0" w:space="0" w:color="auto"/>
        <w:left w:val="none" w:sz="0" w:space="0" w:color="auto"/>
        <w:bottom w:val="none" w:sz="0" w:space="0" w:color="auto"/>
        <w:right w:val="none" w:sz="0" w:space="0" w:color="auto"/>
      </w:divBdr>
      <w:divsChild>
        <w:div w:id="1500075152">
          <w:marLeft w:val="0"/>
          <w:marRight w:val="0"/>
          <w:marTop w:val="0"/>
          <w:marBottom w:val="0"/>
          <w:divBdr>
            <w:top w:val="none" w:sz="0" w:space="0" w:color="auto"/>
            <w:left w:val="none" w:sz="0" w:space="0" w:color="auto"/>
            <w:bottom w:val="none" w:sz="0" w:space="0" w:color="auto"/>
            <w:right w:val="none" w:sz="0" w:space="0" w:color="auto"/>
          </w:divBdr>
        </w:div>
      </w:divsChild>
    </w:div>
    <w:div w:id="780298034">
      <w:marLeft w:val="3"/>
      <w:marRight w:val="0"/>
      <w:marTop w:val="0"/>
      <w:marBottom w:val="0"/>
      <w:divBdr>
        <w:top w:val="none" w:sz="0" w:space="0" w:color="auto"/>
        <w:left w:val="none" w:sz="0" w:space="0" w:color="auto"/>
        <w:bottom w:val="none" w:sz="0" w:space="0" w:color="auto"/>
        <w:right w:val="none" w:sz="0" w:space="0" w:color="auto"/>
      </w:divBdr>
      <w:divsChild>
        <w:div w:id="1558011328">
          <w:marLeft w:val="0"/>
          <w:marRight w:val="0"/>
          <w:marTop w:val="0"/>
          <w:marBottom w:val="0"/>
          <w:divBdr>
            <w:top w:val="none" w:sz="0" w:space="0" w:color="auto"/>
            <w:left w:val="none" w:sz="0" w:space="0" w:color="auto"/>
            <w:bottom w:val="none" w:sz="0" w:space="0" w:color="auto"/>
            <w:right w:val="none" w:sz="0" w:space="0" w:color="auto"/>
          </w:divBdr>
        </w:div>
      </w:divsChild>
    </w:div>
    <w:div w:id="797072401">
      <w:marLeft w:val="4"/>
      <w:marRight w:val="0"/>
      <w:marTop w:val="120"/>
      <w:marBottom w:val="0"/>
      <w:divBdr>
        <w:top w:val="none" w:sz="0" w:space="0" w:color="auto"/>
        <w:left w:val="none" w:sz="0" w:space="0" w:color="auto"/>
        <w:bottom w:val="none" w:sz="0" w:space="0" w:color="auto"/>
        <w:right w:val="none" w:sz="0" w:space="0" w:color="auto"/>
      </w:divBdr>
      <w:divsChild>
        <w:div w:id="1261765910">
          <w:marLeft w:val="0"/>
          <w:marRight w:val="0"/>
          <w:marTop w:val="0"/>
          <w:marBottom w:val="0"/>
          <w:divBdr>
            <w:top w:val="none" w:sz="0" w:space="0" w:color="auto"/>
            <w:left w:val="none" w:sz="0" w:space="0" w:color="auto"/>
            <w:bottom w:val="none" w:sz="0" w:space="0" w:color="auto"/>
            <w:right w:val="none" w:sz="0" w:space="0" w:color="auto"/>
          </w:divBdr>
        </w:div>
      </w:divsChild>
    </w:div>
    <w:div w:id="801462229">
      <w:marLeft w:val="3"/>
      <w:marRight w:val="0"/>
      <w:marTop w:val="120"/>
      <w:marBottom w:val="0"/>
      <w:divBdr>
        <w:top w:val="none" w:sz="0" w:space="0" w:color="auto"/>
        <w:left w:val="none" w:sz="0" w:space="0" w:color="auto"/>
        <w:bottom w:val="none" w:sz="0" w:space="0" w:color="auto"/>
        <w:right w:val="none" w:sz="0" w:space="0" w:color="auto"/>
      </w:divBdr>
      <w:divsChild>
        <w:div w:id="1034502930">
          <w:marLeft w:val="0"/>
          <w:marRight w:val="0"/>
          <w:marTop w:val="0"/>
          <w:marBottom w:val="0"/>
          <w:divBdr>
            <w:top w:val="none" w:sz="0" w:space="0" w:color="auto"/>
            <w:left w:val="none" w:sz="0" w:space="0" w:color="auto"/>
            <w:bottom w:val="none" w:sz="0" w:space="0" w:color="auto"/>
            <w:right w:val="none" w:sz="0" w:space="0" w:color="auto"/>
          </w:divBdr>
        </w:div>
      </w:divsChild>
    </w:div>
    <w:div w:id="809517916">
      <w:marLeft w:val="0"/>
      <w:marRight w:val="0"/>
      <w:marTop w:val="0"/>
      <w:marBottom w:val="0"/>
      <w:divBdr>
        <w:top w:val="none" w:sz="0" w:space="0" w:color="auto"/>
        <w:left w:val="none" w:sz="0" w:space="0" w:color="auto"/>
        <w:bottom w:val="none" w:sz="0" w:space="0" w:color="auto"/>
        <w:right w:val="none" w:sz="0" w:space="0" w:color="auto"/>
      </w:divBdr>
    </w:div>
    <w:div w:id="815026550">
      <w:marLeft w:val="0"/>
      <w:marRight w:val="0"/>
      <w:marTop w:val="120"/>
      <w:marBottom w:val="0"/>
      <w:divBdr>
        <w:top w:val="none" w:sz="0" w:space="0" w:color="auto"/>
        <w:left w:val="none" w:sz="0" w:space="0" w:color="auto"/>
        <w:bottom w:val="none" w:sz="0" w:space="0" w:color="auto"/>
        <w:right w:val="none" w:sz="0" w:space="0" w:color="auto"/>
      </w:divBdr>
      <w:divsChild>
        <w:div w:id="463811675">
          <w:marLeft w:val="0"/>
          <w:marRight w:val="0"/>
          <w:marTop w:val="0"/>
          <w:marBottom w:val="0"/>
          <w:divBdr>
            <w:top w:val="none" w:sz="0" w:space="0" w:color="auto"/>
            <w:left w:val="none" w:sz="0" w:space="0" w:color="auto"/>
            <w:bottom w:val="none" w:sz="0" w:space="0" w:color="auto"/>
            <w:right w:val="none" w:sz="0" w:space="0" w:color="auto"/>
          </w:divBdr>
        </w:div>
      </w:divsChild>
    </w:div>
    <w:div w:id="815731110">
      <w:marLeft w:val="0"/>
      <w:marRight w:val="0"/>
      <w:marTop w:val="0"/>
      <w:marBottom w:val="0"/>
      <w:divBdr>
        <w:top w:val="none" w:sz="0" w:space="0" w:color="auto"/>
        <w:left w:val="none" w:sz="0" w:space="0" w:color="auto"/>
        <w:bottom w:val="none" w:sz="0" w:space="0" w:color="auto"/>
        <w:right w:val="none" w:sz="0" w:space="0" w:color="auto"/>
      </w:divBdr>
      <w:divsChild>
        <w:div w:id="1260024519">
          <w:marLeft w:val="0"/>
          <w:marRight w:val="0"/>
          <w:marTop w:val="0"/>
          <w:marBottom w:val="0"/>
          <w:divBdr>
            <w:top w:val="none" w:sz="0" w:space="0" w:color="auto"/>
            <w:left w:val="none" w:sz="0" w:space="0" w:color="auto"/>
            <w:bottom w:val="none" w:sz="0" w:space="0" w:color="auto"/>
            <w:right w:val="none" w:sz="0" w:space="0" w:color="auto"/>
          </w:divBdr>
        </w:div>
        <w:div w:id="1548643588">
          <w:marLeft w:val="0"/>
          <w:marRight w:val="0"/>
          <w:marTop w:val="0"/>
          <w:marBottom w:val="0"/>
          <w:divBdr>
            <w:top w:val="none" w:sz="0" w:space="0" w:color="auto"/>
            <w:left w:val="none" w:sz="0" w:space="0" w:color="auto"/>
            <w:bottom w:val="none" w:sz="0" w:space="0" w:color="auto"/>
            <w:right w:val="none" w:sz="0" w:space="0" w:color="auto"/>
          </w:divBdr>
        </w:div>
        <w:div w:id="1420105328">
          <w:marLeft w:val="0"/>
          <w:marRight w:val="0"/>
          <w:marTop w:val="0"/>
          <w:marBottom w:val="0"/>
          <w:divBdr>
            <w:top w:val="none" w:sz="0" w:space="0" w:color="auto"/>
            <w:left w:val="none" w:sz="0" w:space="0" w:color="auto"/>
            <w:bottom w:val="none" w:sz="0" w:space="0" w:color="auto"/>
            <w:right w:val="none" w:sz="0" w:space="0" w:color="auto"/>
          </w:divBdr>
        </w:div>
        <w:div w:id="1546136145">
          <w:marLeft w:val="0"/>
          <w:marRight w:val="0"/>
          <w:marTop w:val="0"/>
          <w:marBottom w:val="0"/>
          <w:divBdr>
            <w:top w:val="none" w:sz="0" w:space="0" w:color="auto"/>
            <w:left w:val="none" w:sz="0" w:space="0" w:color="auto"/>
            <w:bottom w:val="none" w:sz="0" w:space="0" w:color="auto"/>
            <w:right w:val="none" w:sz="0" w:space="0" w:color="auto"/>
          </w:divBdr>
        </w:div>
        <w:div w:id="28914446">
          <w:marLeft w:val="0"/>
          <w:marRight w:val="0"/>
          <w:marTop w:val="0"/>
          <w:marBottom w:val="0"/>
          <w:divBdr>
            <w:top w:val="none" w:sz="0" w:space="0" w:color="auto"/>
            <w:left w:val="none" w:sz="0" w:space="0" w:color="auto"/>
            <w:bottom w:val="none" w:sz="0" w:space="0" w:color="auto"/>
            <w:right w:val="none" w:sz="0" w:space="0" w:color="auto"/>
          </w:divBdr>
        </w:div>
        <w:div w:id="1194533393">
          <w:marLeft w:val="0"/>
          <w:marRight w:val="0"/>
          <w:marTop w:val="0"/>
          <w:marBottom w:val="0"/>
          <w:divBdr>
            <w:top w:val="none" w:sz="0" w:space="0" w:color="auto"/>
            <w:left w:val="none" w:sz="0" w:space="0" w:color="auto"/>
            <w:bottom w:val="none" w:sz="0" w:space="0" w:color="auto"/>
            <w:right w:val="none" w:sz="0" w:space="0" w:color="auto"/>
          </w:divBdr>
        </w:div>
        <w:div w:id="2102020884">
          <w:marLeft w:val="0"/>
          <w:marRight w:val="0"/>
          <w:marTop w:val="0"/>
          <w:marBottom w:val="0"/>
          <w:divBdr>
            <w:top w:val="none" w:sz="0" w:space="0" w:color="auto"/>
            <w:left w:val="none" w:sz="0" w:space="0" w:color="auto"/>
            <w:bottom w:val="none" w:sz="0" w:space="0" w:color="auto"/>
            <w:right w:val="none" w:sz="0" w:space="0" w:color="auto"/>
          </w:divBdr>
        </w:div>
        <w:div w:id="262999391">
          <w:marLeft w:val="0"/>
          <w:marRight w:val="0"/>
          <w:marTop w:val="0"/>
          <w:marBottom w:val="0"/>
          <w:divBdr>
            <w:top w:val="none" w:sz="0" w:space="0" w:color="auto"/>
            <w:left w:val="none" w:sz="0" w:space="0" w:color="auto"/>
            <w:bottom w:val="none" w:sz="0" w:space="0" w:color="auto"/>
            <w:right w:val="none" w:sz="0" w:space="0" w:color="auto"/>
          </w:divBdr>
          <w:divsChild>
            <w:div w:id="1054162822">
              <w:marLeft w:val="0"/>
              <w:marRight w:val="0"/>
              <w:marTop w:val="0"/>
              <w:marBottom w:val="0"/>
              <w:divBdr>
                <w:top w:val="none" w:sz="0" w:space="0" w:color="auto"/>
                <w:left w:val="none" w:sz="0" w:space="0" w:color="auto"/>
                <w:bottom w:val="none" w:sz="0" w:space="0" w:color="auto"/>
                <w:right w:val="none" w:sz="0" w:space="0" w:color="auto"/>
              </w:divBdr>
            </w:div>
          </w:divsChild>
        </w:div>
        <w:div w:id="203913375">
          <w:marLeft w:val="0"/>
          <w:marRight w:val="0"/>
          <w:marTop w:val="0"/>
          <w:marBottom w:val="0"/>
          <w:divBdr>
            <w:top w:val="none" w:sz="0" w:space="0" w:color="auto"/>
            <w:left w:val="none" w:sz="0" w:space="0" w:color="auto"/>
            <w:bottom w:val="none" w:sz="0" w:space="0" w:color="auto"/>
            <w:right w:val="none" w:sz="0" w:space="0" w:color="auto"/>
          </w:divBdr>
        </w:div>
        <w:div w:id="451368574">
          <w:marLeft w:val="0"/>
          <w:marRight w:val="0"/>
          <w:marTop w:val="0"/>
          <w:marBottom w:val="0"/>
          <w:divBdr>
            <w:top w:val="none" w:sz="0" w:space="0" w:color="auto"/>
            <w:left w:val="none" w:sz="0" w:space="0" w:color="auto"/>
            <w:bottom w:val="none" w:sz="0" w:space="0" w:color="auto"/>
            <w:right w:val="none" w:sz="0" w:space="0" w:color="auto"/>
          </w:divBdr>
        </w:div>
        <w:div w:id="816845431">
          <w:marLeft w:val="0"/>
          <w:marRight w:val="0"/>
          <w:marTop w:val="0"/>
          <w:marBottom w:val="0"/>
          <w:divBdr>
            <w:top w:val="none" w:sz="0" w:space="0" w:color="auto"/>
            <w:left w:val="none" w:sz="0" w:space="0" w:color="auto"/>
            <w:bottom w:val="none" w:sz="0" w:space="0" w:color="auto"/>
            <w:right w:val="none" w:sz="0" w:space="0" w:color="auto"/>
          </w:divBdr>
        </w:div>
        <w:div w:id="1678000218">
          <w:marLeft w:val="0"/>
          <w:marRight w:val="0"/>
          <w:marTop w:val="0"/>
          <w:marBottom w:val="0"/>
          <w:divBdr>
            <w:top w:val="none" w:sz="0" w:space="0" w:color="auto"/>
            <w:left w:val="none" w:sz="0" w:space="0" w:color="auto"/>
            <w:bottom w:val="none" w:sz="0" w:space="0" w:color="auto"/>
            <w:right w:val="none" w:sz="0" w:space="0" w:color="auto"/>
          </w:divBdr>
        </w:div>
        <w:div w:id="1245918223">
          <w:marLeft w:val="0"/>
          <w:marRight w:val="0"/>
          <w:marTop w:val="0"/>
          <w:marBottom w:val="0"/>
          <w:divBdr>
            <w:top w:val="none" w:sz="0" w:space="0" w:color="auto"/>
            <w:left w:val="none" w:sz="0" w:space="0" w:color="auto"/>
            <w:bottom w:val="none" w:sz="0" w:space="0" w:color="auto"/>
            <w:right w:val="none" w:sz="0" w:space="0" w:color="auto"/>
          </w:divBdr>
        </w:div>
        <w:div w:id="961039783">
          <w:marLeft w:val="0"/>
          <w:marRight w:val="0"/>
          <w:marTop w:val="0"/>
          <w:marBottom w:val="0"/>
          <w:divBdr>
            <w:top w:val="none" w:sz="0" w:space="0" w:color="auto"/>
            <w:left w:val="none" w:sz="0" w:space="0" w:color="auto"/>
            <w:bottom w:val="none" w:sz="0" w:space="0" w:color="auto"/>
            <w:right w:val="none" w:sz="0" w:space="0" w:color="auto"/>
          </w:divBdr>
        </w:div>
        <w:div w:id="514542202">
          <w:marLeft w:val="0"/>
          <w:marRight w:val="0"/>
          <w:marTop w:val="0"/>
          <w:marBottom w:val="0"/>
          <w:divBdr>
            <w:top w:val="none" w:sz="0" w:space="0" w:color="auto"/>
            <w:left w:val="none" w:sz="0" w:space="0" w:color="auto"/>
            <w:bottom w:val="none" w:sz="0" w:space="0" w:color="auto"/>
            <w:right w:val="none" w:sz="0" w:space="0" w:color="auto"/>
          </w:divBdr>
        </w:div>
        <w:div w:id="1420132197">
          <w:marLeft w:val="0"/>
          <w:marRight w:val="0"/>
          <w:marTop w:val="0"/>
          <w:marBottom w:val="0"/>
          <w:divBdr>
            <w:top w:val="none" w:sz="0" w:space="0" w:color="auto"/>
            <w:left w:val="none" w:sz="0" w:space="0" w:color="auto"/>
            <w:bottom w:val="none" w:sz="0" w:space="0" w:color="auto"/>
            <w:right w:val="none" w:sz="0" w:space="0" w:color="auto"/>
          </w:divBdr>
        </w:div>
        <w:div w:id="2020933648">
          <w:marLeft w:val="0"/>
          <w:marRight w:val="0"/>
          <w:marTop w:val="0"/>
          <w:marBottom w:val="0"/>
          <w:divBdr>
            <w:top w:val="none" w:sz="0" w:space="0" w:color="auto"/>
            <w:left w:val="none" w:sz="0" w:space="0" w:color="auto"/>
            <w:bottom w:val="none" w:sz="0" w:space="0" w:color="auto"/>
            <w:right w:val="none" w:sz="0" w:space="0" w:color="auto"/>
          </w:divBdr>
        </w:div>
        <w:div w:id="1607619450">
          <w:marLeft w:val="0"/>
          <w:marRight w:val="0"/>
          <w:marTop w:val="0"/>
          <w:marBottom w:val="0"/>
          <w:divBdr>
            <w:top w:val="none" w:sz="0" w:space="0" w:color="auto"/>
            <w:left w:val="none" w:sz="0" w:space="0" w:color="auto"/>
            <w:bottom w:val="none" w:sz="0" w:space="0" w:color="auto"/>
            <w:right w:val="none" w:sz="0" w:space="0" w:color="auto"/>
          </w:divBdr>
        </w:div>
        <w:div w:id="532226539">
          <w:marLeft w:val="0"/>
          <w:marRight w:val="0"/>
          <w:marTop w:val="0"/>
          <w:marBottom w:val="0"/>
          <w:divBdr>
            <w:top w:val="none" w:sz="0" w:space="0" w:color="auto"/>
            <w:left w:val="none" w:sz="0" w:space="0" w:color="auto"/>
            <w:bottom w:val="none" w:sz="0" w:space="0" w:color="auto"/>
            <w:right w:val="none" w:sz="0" w:space="0" w:color="auto"/>
          </w:divBdr>
        </w:div>
        <w:div w:id="909578042">
          <w:marLeft w:val="0"/>
          <w:marRight w:val="0"/>
          <w:marTop w:val="0"/>
          <w:marBottom w:val="0"/>
          <w:divBdr>
            <w:top w:val="none" w:sz="0" w:space="0" w:color="auto"/>
            <w:left w:val="none" w:sz="0" w:space="0" w:color="auto"/>
            <w:bottom w:val="none" w:sz="0" w:space="0" w:color="auto"/>
            <w:right w:val="none" w:sz="0" w:space="0" w:color="auto"/>
          </w:divBdr>
        </w:div>
      </w:divsChild>
    </w:div>
    <w:div w:id="816341809">
      <w:marLeft w:val="3"/>
      <w:marRight w:val="0"/>
      <w:marTop w:val="120"/>
      <w:marBottom w:val="0"/>
      <w:divBdr>
        <w:top w:val="none" w:sz="0" w:space="0" w:color="auto"/>
        <w:left w:val="none" w:sz="0" w:space="0" w:color="auto"/>
        <w:bottom w:val="none" w:sz="0" w:space="0" w:color="auto"/>
        <w:right w:val="none" w:sz="0" w:space="0" w:color="auto"/>
      </w:divBdr>
      <w:divsChild>
        <w:div w:id="1958442714">
          <w:marLeft w:val="0"/>
          <w:marRight w:val="0"/>
          <w:marTop w:val="0"/>
          <w:marBottom w:val="0"/>
          <w:divBdr>
            <w:top w:val="none" w:sz="0" w:space="0" w:color="auto"/>
            <w:left w:val="none" w:sz="0" w:space="0" w:color="auto"/>
            <w:bottom w:val="none" w:sz="0" w:space="0" w:color="auto"/>
            <w:right w:val="none" w:sz="0" w:space="0" w:color="auto"/>
          </w:divBdr>
        </w:div>
      </w:divsChild>
    </w:div>
    <w:div w:id="819807647">
      <w:marLeft w:val="3"/>
      <w:marRight w:val="0"/>
      <w:marTop w:val="120"/>
      <w:marBottom w:val="0"/>
      <w:divBdr>
        <w:top w:val="none" w:sz="0" w:space="0" w:color="auto"/>
        <w:left w:val="none" w:sz="0" w:space="0" w:color="auto"/>
        <w:bottom w:val="none" w:sz="0" w:space="0" w:color="auto"/>
        <w:right w:val="none" w:sz="0" w:space="0" w:color="auto"/>
      </w:divBdr>
      <w:divsChild>
        <w:div w:id="283316787">
          <w:marLeft w:val="0"/>
          <w:marRight w:val="0"/>
          <w:marTop w:val="0"/>
          <w:marBottom w:val="0"/>
          <w:divBdr>
            <w:top w:val="none" w:sz="0" w:space="0" w:color="auto"/>
            <w:left w:val="none" w:sz="0" w:space="0" w:color="auto"/>
            <w:bottom w:val="none" w:sz="0" w:space="0" w:color="auto"/>
            <w:right w:val="none" w:sz="0" w:space="0" w:color="auto"/>
          </w:divBdr>
        </w:div>
      </w:divsChild>
    </w:div>
    <w:div w:id="820776667">
      <w:marLeft w:val="0"/>
      <w:marRight w:val="0"/>
      <w:marTop w:val="0"/>
      <w:marBottom w:val="0"/>
      <w:divBdr>
        <w:top w:val="none" w:sz="0" w:space="0" w:color="auto"/>
        <w:left w:val="none" w:sz="0" w:space="0" w:color="auto"/>
        <w:bottom w:val="none" w:sz="0" w:space="0" w:color="auto"/>
        <w:right w:val="none" w:sz="0" w:space="0" w:color="auto"/>
      </w:divBdr>
      <w:divsChild>
        <w:div w:id="927537252">
          <w:marLeft w:val="0"/>
          <w:marRight w:val="0"/>
          <w:marTop w:val="0"/>
          <w:marBottom w:val="0"/>
          <w:divBdr>
            <w:top w:val="none" w:sz="0" w:space="0" w:color="auto"/>
            <w:left w:val="none" w:sz="0" w:space="0" w:color="auto"/>
            <w:bottom w:val="none" w:sz="0" w:space="0" w:color="auto"/>
            <w:right w:val="none" w:sz="0" w:space="0" w:color="auto"/>
          </w:divBdr>
          <w:divsChild>
            <w:div w:id="13169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7711">
      <w:marLeft w:val="4"/>
      <w:marRight w:val="0"/>
      <w:marTop w:val="120"/>
      <w:marBottom w:val="0"/>
      <w:divBdr>
        <w:top w:val="none" w:sz="0" w:space="0" w:color="auto"/>
        <w:left w:val="none" w:sz="0" w:space="0" w:color="auto"/>
        <w:bottom w:val="none" w:sz="0" w:space="0" w:color="auto"/>
        <w:right w:val="none" w:sz="0" w:space="0" w:color="auto"/>
      </w:divBdr>
      <w:divsChild>
        <w:div w:id="1080954375">
          <w:marLeft w:val="0"/>
          <w:marRight w:val="0"/>
          <w:marTop w:val="0"/>
          <w:marBottom w:val="0"/>
          <w:divBdr>
            <w:top w:val="none" w:sz="0" w:space="0" w:color="auto"/>
            <w:left w:val="none" w:sz="0" w:space="0" w:color="auto"/>
            <w:bottom w:val="none" w:sz="0" w:space="0" w:color="auto"/>
            <w:right w:val="none" w:sz="0" w:space="0" w:color="auto"/>
          </w:divBdr>
        </w:div>
      </w:divsChild>
    </w:div>
    <w:div w:id="828322762">
      <w:marLeft w:val="4"/>
      <w:marRight w:val="0"/>
      <w:marTop w:val="120"/>
      <w:marBottom w:val="0"/>
      <w:divBdr>
        <w:top w:val="none" w:sz="0" w:space="0" w:color="auto"/>
        <w:left w:val="none" w:sz="0" w:space="0" w:color="auto"/>
        <w:bottom w:val="none" w:sz="0" w:space="0" w:color="auto"/>
        <w:right w:val="none" w:sz="0" w:space="0" w:color="auto"/>
      </w:divBdr>
      <w:divsChild>
        <w:div w:id="1115056006">
          <w:marLeft w:val="0"/>
          <w:marRight w:val="0"/>
          <w:marTop w:val="0"/>
          <w:marBottom w:val="0"/>
          <w:divBdr>
            <w:top w:val="none" w:sz="0" w:space="0" w:color="auto"/>
            <w:left w:val="none" w:sz="0" w:space="0" w:color="auto"/>
            <w:bottom w:val="none" w:sz="0" w:space="0" w:color="auto"/>
            <w:right w:val="none" w:sz="0" w:space="0" w:color="auto"/>
          </w:divBdr>
        </w:div>
      </w:divsChild>
    </w:div>
    <w:div w:id="829518314">
      <w:marLeft w:val="4"/>
      <w:marRight w:val="0"/>
      <w:marTop w:val="120"/>
      <w:marBottom w:val="0"/>
      <w:divBdr>
        <w:top w:val="none" w:sz="0" w:space="0" w:color="auto"/>
        <w:left w:val="none" w:sz="0" w:space="0" w:color="auto"/>
        <w:bottom w:val="none" w:sz="0" w:space="0" w:color="auto"/>
        <w:right w:val="none" w:sz="0" w:space="0" w:color="auto"/>
      </w:divBdr>
      <w:divsChild>
        <w:div w:id="547838366">
          <w:marLeft w:val="0"/>
          <w:marRight w:val="0"/>
          <w:marTop w:val="0"/>
          <w:marBottom w:val="0"/>
          <w:divBdr>
            <w:top w:val="none" w:sz="0" w:space="0" w:color="auto"/>
            <w:left w:val="none" w:sz="0" w:space="0" w:color="auto"/>
            <w:bottom w:val="none" w:sz="0" w:space="0" w:color="auto"/>
            <w:right w:val="none" w:sz="0" w:space="0" w:color="auto"/>
          </w:divBdr>
        </w:div>
      </w:divsChild>
    </w:div>
    <w:div w:id="831870543">
      <w:marLeft w:val="3"/>
      <w:marRight w:val="0"/>
      <w:marTop w:val="120"/>
      <w:marBottom w:val="0"/>
      <w:divBdr>
        <w:top w:val="none" w:sz="0" w:space="0" w:color="auto"/>
        <w:left w:val="none" w:sz="0" w:space="0" w:color="auto"/>
        <w:bottom w:val="none" w:sz="0" w:space="0" w:color="auto"/>
        <w:right w:val="none" w:sz="0" w:space="0" w:color="auto"/>
      </w:divBdr>
      <w:divsChild>
        <w:div w:id="1601176841">
          <w:marLeft w:val="0"/>
          <w:marRight w:val="0"/>
          <w:marTop w:val="0"/>
          <w:marBottom w:val="0"/>
          <w:divBdr>
            <w:top w:val="none" w:sz="0" w:space="0" w:color="auto"/>
            <w:left w:val="none" w:sz="0" w:space="0" w:color="auto"/>
            <w:bottom w:val="none" w:sz="0" w:space="0" w:color="auto"/>
            <w:right w:val="none" w:sz="0" w:space="0" w:color="auto"/>
          </w:divBdr>
        </w:div>
      </w:divsChild>
    </w:div>
    <w:div w:id="836073709">
      <w:marLeft w:val="4"/>
      <w:marRight w:val="0"/>
      <w:marTop w:val="120"/>
      <w:marBottom w:val="0"/>
      <w:divBdr>
        <w:top w:val="none" w:sz="0" w:space="0" w:color="auto"/>
        <w:left w:val="none" w:sz="0" w:space="0" w:color="auto"/>
        <w:bottom w:val="none" w:sz="0" w:space="0" w:color="auto"/>
        <w:right w:val="none" w:sz="0" w:space="0" w:color="auto"/>
      </w:divBdr>
      <w:divsChild>
        <w:div w:id="2034768622">
          <w:marLeft w:val="0"/>
          <w:marRight w:val="0"/>
          <w:marTop w:val="0"/>
          <w:marBottom w:val="0"/>
          <w:divBdr>
            <w:top w:val="none" w:sz="0" w:space="0" w:color="auto"/>
            <w:left w:val="none" w:sz="0" w:space="0" w:color="auto"/>
            <w:bottom w:val="none" w:sz="0" w:space="0" w:color="auto"/>
            <w:right w:val="none" w:sz="0" w:space="0" w:color="auto"/>
          </w:divBdr>
        </w:div>
      </w:divsChild>
    </w:div>
    <w:div w:id="840045639">
      <w:marLeft w:val="3"/>
      <w:marRight w:val="0"/>
      <w:marTop w:val="120"/>
      <w:marBottom w:val="0"/>
      <w:divBdr>
        <w:top w:val="none" w:sz="0" w:space="0" w:color="auto"/>
        <w:left w:val="none" w:sz="0" w:space="0" w:color="auto"/>
        <w:bottom w:val="none" w:sz="0" w:space="0" w:color="auto"/>
        <w:right w:val="none" w:sz="0" w:space="0" w:color="auto"/>
      </w:divBdr>
      <w:divsChild>
        <w:div w:id="921177694">
          <w:marLeft w:val="0"/>
          <w:marRight w:val="0"/>
          <w:marTop w:val="0"/>
          <w:marBottom w:val="0"/>
          <w:divBdr>
            <w:top w:val="none" w:sz="0" w:space="0" w:color="auto"/>
            <w:left w:val="none" w:sz="0" w:space="0" w:color="auto"/>
            <w:bottom w:val="none" w:sz="0" w:space="0" w:color="auto"/>
            <w:right w:val="none" w:sz="0" w:space="0" w:color="auto"/>
          </w:divBdr>
        </w:div>
      </w:divsChild>
    </w:div>
    <w:div w:id="842085126">
      <w:marLeft w:val="0"/>
      <w:marRight w:val="0"/>
      <w:marTop w:val="0"/>
      <w:marBottom w:val="0"/>
      <w:divBdr>
        <w:top w:val="none" w:sz="0" w:space="0" w:color="auto"/>
        <w:left w:val="none" w:sz="0" w:space="0" w:color="auto"/>
        <w:bottom w:val="none" w:sz="0" w:space="0" w:color="auto"/>
        <w:right w:val="none" w:sz="0" w:space="0" w:color="auto"/>
      </w:divBdr>
      <w:divsChild>
        <w:div w:id="727068383">
          <w:marLeft w:val="0"/>
          <w:marRight w:val="0"/>
          <w:marTop w:val="0"/>
          <w:marBottom w:val="0"/>
          <w:divBdr>
            <w:top w:val="none" w:sz="0" w:space="0" w:color="auto"/>
            <w:left w:val="none" w:sz="0" w:space="0" w:color="auto"/>
            <w:bottom w:val="none" w:sz="0" w:space="0" w:color="auto"/>
            <w:right w:val="none" w:sz="0" w:space="0" w:color="auto"/>
          </w:divBdr>
        </w:div>
      </w:divsChild>
    </w:div>
    <w:div w:id="852114779">
      <w:marLeft w:val="3"/>
      <w:marRight w:val="0"/>
      <w:marTop w:val="120"/>
      <w:marBottom w:val="0"/>
      <w:divBdr>
        <w:top w:val="none" w:sz="0" w:space="0" w:color="auto"/>
        <w:left w:val="none" w:sz="0" w:space="0" w:color="auto"/>
        <w:bottom w:val="none" w:sz="0" w:space="0" w:color="auto"/>
        <w:right w:val="none" w:sz="0" w:space="0" w:color="auto"/>
      </w:divBdr>
      <w:divsChild>
        <w:div w:id="2130926856">
          <w:marLeft w:val="0"/>
          <w:marRight w:val="0"/>
          <w:marTop w:val="0"/>
          <w:marBottom w:val="0"/>
          <w:divBdr>
            <w:top w:val="none" w:sz="0" w:space="0" w:color="auto"/>
            <w:left w:val="none" w:sz="0" w:space="0" w:color="auto"/>
            <w:bottom w:val="none" w:sz="0" w:space="0" w:color="auto"/>
            <w:right w:val="none" w:sz="0" w:space="0" w:color="auto"/>
          </w:divBdr>
        </w:div>
      </w:divsChild>
    </w:div>
    <w:div w:id="868951031">
      <w:marLeft w:val="0"/>
      <w:marRight w:val="0"/>
      <w:marTop w:val="0"/>
      <w:marBottom w:val="0"/>
      <w:divBdr>
        <w:top w:val="none" w:sz="0" w:space="0" w:color="auto"/>
        <w:left w:val="none" w:sz="0" w:space="0" w:color="auto"/>
        <w:bottom w:val="none" w:sz="0" w:space="0" w:color="auto"/>
        <w:right w:val="none" w:sz="0" w:space="0" w:color="auto"/>
      </w:divBdr>
      <w:divsChild>
        <w:div w:id="1312441436">
          <w:marLeft w:val="3"/>
          <w:marRight w:val="0"/>
          <w:marTop w:val="0"/>
          <w:marBottom w:val="0"/>
          <w:divBdr>
            <w:top w:val="none" w:sz="0" w:space="0" w:color="auto"/>
            <w:left w:val="none" w:sz="0" w:space="0" w:color="auto"/>
            <w:bottom w:val="none" w:sz="0" w:space="0" w:color="auto"/>
            <w:right w:val="none" w:sz="0" w:space="0" w:color="auto"/>
          </w:divBdr>
          <w:divsChild>
            <w:div w:id="175311681">
              <w:marLeft w:val="0"/>
              <w:marRight w:val="0"/>
              <w:marTop w:val="0"/>
              <w:marBottom w:val="0"/>
              <w:divBdr>
                <w:top w:val="none" w:sz="0" w:space="0" w:color="auto"/>
                <w:left w:val="none" w:sz="0" w:space="0" w:color="auto"/>
                <w:bottom w:val="none" w:sz="0" w:space="0" w:color="auto"/>
                <w:right w:val="none" w:sz="0" w:space="0" w:color="auto"/>
              </w:divBdr>
            </w:div>
          </w:divsChild>
        </w:div>
        <w:div w:id="1772823074">
          <w:marLeft w:val="3"/>
          <w:marRight w:val="0"/>
          <w:marTop w:val="0"/>
          <w:marBottom w:val="0"/>
          <w:divBdr>
            <w:top w:val="none" w:sz="0" w:space="0" w:color="auto"/>
            <w:left w:val="none" w:sz="0" w:space="0" w:color="auto"/>
            <w:bottom w:val="none" w:sz="0" w:space="0" w:color="auto"/>
            <w:right w:val="none" w:sz="0" w:space="0" w:color="auto"/>
          </w:divBdr>
          <w:divsChild>
            <w:div w:id="138495287">
              <w:marLeft w:val="0"/>
              <w:marRight w:val="0"/>
              <w:marTop w:val="0"/>
              <w:marBottom w:val="0"/>
              <w:divBdr>
                <w:top w:val="none" w:sz="0" w:space="0" w:color="auto"/>
                <w:left w:val="none" w:sz="0" w:space="0" w:color="auto"/>
                <w:bottom w:val="none" w:sz="0" w:space="0" w:color="auto"/>
                <w:right w:val="none" w:sz="0" w:space="0" w:color="auto"/>
              </w:divBdr>
            </w:div>
          </w:divsChild>
        </w:div>
        <w:div w:id="9181790">
          <w:marLeft w:val="3"/>
          <w:marRight w:val="0"/>
          <w:marTop w:val="0"/>
          <w:marBottom w:val="0"/>
          <w:divBdr>
            <w:top w:val="none" w:sz="0" w:space="0" w:color="auto"/>
            <w:left w:val="none" w:sz="0" w:space="0" w:color="auto"/>
            <w:bottom w:val="none" w:sz="0" w:space="0" w:color="auto"/>
            <w:right w:val="none" w:sz="0" w:space="0" w:color="auto"/>
          </w:divBdr>
          <w:divsChild>
            <w:div w:id="329603759">
              <w:marLeft w:val="0"/>
              <w:marRight w:val="0"/>
              <w:marTop w:val="0"/>
              <w:marBottom w:val="0"/>
              <w:divBdr>
                <w:top w:val="none" w:sz="0" w:space="0" w:color="auto"/>
                <w:left w:val="none" w:sz="0" w:space="0" w:color="auto"/>
                <w:bottom w:val="none" w:sz="0" w:space="0" w:color="auto"/>
                <w:right w:val="none" w:sz="0" w:space="0" w:color="auto"/>
              </w:divBdr>
            </w:div>
          </w:divsChild>
        </w:div>
        <w:div w:id="679237323">
          <w:marLeft w:val="3"/>
          <w:marRight w:val="0"/>
          <w:marTop w:val="120"/>
          <w:marBottom w:val="0"/>
          <w:divBdr>
            <w:top w:val="none" w:sz="0" w:space="0" w:color="auto"/>
            <w:left w:val="none" w:sz="0" w:space="0" w:color="auto"/>
            <w:bottom w:val="none" w:sz="0" w:space="0" w:color="auto"/>
            <w:right w:val="none" w:sz="0" w:space="0" w:color="auto"/>
          </w:divBdr>
          <w:divsChild>
            <w:div w:id="308025857">
              <w:marLeft w:val="0"/>
              <w:marRight w:val="0"/>
              <w:marTop w:val="0"/>
              <w:marBottom w:val="0"/>
              <w:divBdr>
                <w:top w:val="none" w:sz="0" w:space="0" w:color="auto"/>
                <w:left w:val="none" w:sz="0" w:space="0" w:color="auto"/>
                <w:bottom w:val="none" w:sz="0" w:space="0" w:color="auto"/>
                <w:right w:val="none" w:sz="0" w:space="0" w:color="auto"/>
              </w:divBdr>
            </w:div>
          </w:divsChild>
        </w:div>
        <w:div w:id="101196401">
          <w:marLeft w:val="3"/>
          <w:marRight w:val="0"/>
          <w:marTop w:val="120"/>
          <w:marBottom w:val="0"/>
          <w:divBdr>
            <w:top w:val="none" w:sz="0" w:space="0" w:color="auto"/>
            <w:left w:val="none" w:sz="0" w:space="0" w:color="auto"/>
            <w:bottom w:val="none" w:sz="0" w:space="0" w:color="auto"/>
            <w:right w:val="none" w:sz="0" w:space="0" w:color="auto"/>
          </w:divBdr>
          <w:divsChild>
            <w:div w:id="1559124852">
              <w:marLeft w:val="0"/>
              <w:marRight w:val="0"/>
              <w:marTop w:val="0"/>
              <w:marBottom w:val="0"/>
              <w:divBdr>
                <w:top w:val="none" w:sz="0" w:space="0" w:color="auto"/>
                <w:left w:val="none" w:sz="0" w:space="0" w:color="auto"/>
                <w:bottom w:val="none" w:sz="0" w:space="0" w:color="auto"/>
                <w:right w:val="none" w:sz="0" w:space="0" w:color="auto"/>
              </w:divBdr>
            </w:div>
          </w:divsChild>
        </w:div>
        <w:div w:id="1318072533">
          <w:marLeft w:val="3"/>
          <w:marRight w:val="0"/>
          <w:marTop w:val="120"/>
          <w:marBottom w:val="0"/>
          <w:divBdr>
            <w:top w:val="none" w:sz="0" w:space="0" w:color="auto"/>
            <w:left w:val="none" w:sz="0" w:space="0" w:color="auto"/>
            <w:bottom w:val="none" w:sz="0" w:space="0" w:color="auto"/>
            <w:right w:val="none" w:sz="0" w:space="0" w:color="auto"/>
          </w:divBdr>
          <w:divsChild>
            <w:div w:id="1696149269">
              <w:marLeft w:val="0"/>
              <w:marRight w:val="0"/>
              <w:marTop w:val="0"/>
              <w:marBottom w:val="0"/>
              <w:divBdr>
                <w:top w:val="none" w:sz="0" w:space="0" w:color="auto"/>
                <w:left w:val="none" w:sz="0" w:space="0" w:color="auto"/>
                <w:bottom w:val="none" w:sz="0" w:space="0" w:color="auto"/>
                <w:right w:val="none" w:sz="0" w:space="0" w:color="auto"/>
              </w:divBdr>
            </w:div>
          </w:divsChild>
        </w:div>
        <w:div w:id="1013607336">
          <w:marLeft w:val="3"/>
          <w:marRight w:val="0"/>
          <w:marTop w:val="120"/>
          <w:marBottom w:val="0"/>
          <w:divBdr>
            <w:top w:val="none" w:sz="0" w:space="0" w:color="auto"/>
            <w:left w:val="none" w:sz="0" w:space="0" w:color="auto"/>
            <w:bottom w:val="none" w:sz="0" w:space="0" w:color="auto"/>
            <w:right w:val="none" w:sz="0" w:space="0" w:color="auto"/>
          </w:divBdr>
          <w:divsChild>
            <w:div w:id="16400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245">
      <w:marLeft w:val="4"/>
      <w:marRight w:val="0"/>
      <w:marTop w:val="120"/>
      <w:marBottom w:val="0"/>
      <w:divBdr>
        <w:top w:val="none" w:sz="0" w:space="0" w:color="auto"/>
        <w:left w:val="none" w:sz="0" w:space="0" w:color="auto"/>
        <w:bottom w:val="none" w:sz="0" w:space="0" w:color="auto"/>
        <w:right w:val="none" w:sz="0" w:space="0" w:color="auto"/>
      </w:divBdr>
      <w:divsChild>
        <w:div w:id="1199732579">
          <w:marLeft w:val="0"/>
          <w:marRight w:val="0"/>
          <w:marTop w:val="0"/>
          <w:marBottom w:val="0"/>
          <w:divBdr>
            <w:top w:val="none" w:sz="0" w:space="0" w:color="auto"/>
            <w:left w:val="none" w:sz="0" w:space="0" w:color="auto"/>
            <w:bottom w:val="none" w:sz="0" w:space="0" w:color="auto"/>
            <w:right w:val="none" w:sz="0" w:space="0" w:color="auto"/>
          </w:divBdr>
        </w:div>
      </w:divsChild>
    </w:div>
    <w:div w:id="876895802">
      <w:marLeft w:val="3"/>
      <w:marRight w:val="0"/>
      <w:marTop w:val="120"/>
      <w:marBottom w:val="0"/>
      <w:divBdr>
        <w:top w:val="none" w:sz="0" w:space="0" w:color="auto"/>
        <w:left w:val="none" w:sz="0" w:space="0" w:color="auto"/>
        <w:bottom w:val="none" w:sz="0" w:space="0" w:color="auto"/>
        <w:right w:val="none" w:sz="0" w:space="0" w:color="auto"/>
      </w:divBdr>
      <w:divsChild>
        <w:div w:id="2123106212">
          <w:marLeft w:val="0"/>
          <w:marRight w:val="0"/>
          <w:marTop w:val="0"/>
          <w:marBottom w:val="0"/>
          <w:divBdr>
            <w:top w:val="none" w:sz="0" w:space="0" w:color="auto"/>
            <w:left w:val="none" w:sz="0" w:space="0" w:color="auto"/>
            <w:bottom w:val="none" w:sz="0" w:space="0" w:color="auto"/>
            <w:right w:val="none" w:sz="0" w:space="0" w:color="auto"/>
          </w:divBdr>
        </w:div>
      </w:divsChild>
    </w:div>
    <w:div w:id="878932493">
      <w:marLeft w:val="3"/>
      <w:marRight w:val="0"/>
      <w:marTop w:val="120"/>
      <w:marBottom w:val="0"/>
      <w:divBdr>
        <w:top w:val="none" w:sz="0" w:space="0" w:color="auto"/>
        <w:left w:val="none" w:sz="0" w:space="0" w:color="auto"/>
        <w:bottom w:val="none" w:sz="0" w:space="0" w:color="auto"/>
        <w:right w:val="none" w:sz="0" w:space="0" w:color="auto"/>
      </w:divBdr>
      <w:divsChild>
        <w:div w:id="703138491">
          <w:marLeft w:val="0"/>
          <w:marRight w:val="0"/>
          <w:marTop w:val="0"/>
          <w:marBottom w:val="0"/>
          <w:divBdr>
            <w:top w:val="none" w:sz="0" w:space="0" w:color="auto"/>
            <w:left w:val="none" w:sz="0" w:space="0" w:color="auto"/>
            <w:bottom w:val="none" w:sz="0" w:space="0" w:color="auto"/>
            <w:right w:val="none" w:sz="0" w:space="0" w:color="auto"/>
          </w:divBdr>
        </w:div>
      </w:divsChild>
    </w:div>
    <w:div w:id="881864910">
      <w:marLeft w:val="0"/>
      <w:marRight w:val="0"/>
      <w:marTop w:val="0"/>
      <w:marBottom w:val="0"/>
      <w:divBdr>
        <w:top w:val="none" w:sz="0" w:space="0" w:color="auto"/>
        <w:left w:val="none" w:sz="0" w:space="0" w:color="auto"/>
        <w:bottom w:val="none" w:sz="0" w:space="0" w:color="auto"/>
        <w:right w:val="none" w:sz="0" w:space="0" w:color="auto"/>
      </w:divBdr>
      <w:divsChild>
        <w:div w:id="1769613341">
          <w:marLeft w:val="0"/>
          <w:marRight w:val="0"/>
          <w:marTop w:val="0"/>
          <w:marBottom w:val="0"/>
          <w:divBdr>
            <w:top w:val="none" w:sz="0" w:space="0" w:color="auto"/>
            <w:left w:val="none" w:sz="0" w:space="0" w:color="auto"/>
            <w:bottom w:val="none" w:sz="0" w:space="0" w:color="auto"/>
            <w:right w:val="none" w:sz="0" w:space="0" w:color="auto"/>
          </w:divBdr>
        </w:div>
        <w:div w:id="1247886254">
          <w:marLeft w:val="0"/>
          <w:marRight w:val="0"/>
          <w:marTop w:val="0"/>
          <w:marBottom w:val="0"/>
          <w:divBdr>
            <w:top w:val="none" w:sz="0" w:space="0" w:color="auto"/>
            <w:left w:val="none" w:sz="0" w:space="0" w:color="auto"/>
            <w:bottom w:val="none" w:sz="0" w:space="0" w:color="auto"/>
            <w:right w:val="none" w:sz="0" w:space="0" w:color="auto"/>
          </w:divBdr>
        </w:div>
        <w:div w:id="36127850">
          <w:marLeft w:val="0"/>
          <w:marRight w:val="0"/>
          <w:marTop w:val="0"/>
          <w:marBottom w:val="0"/>
          <w:divBdr>
            <w:top w:val="none" w:sz="0" w:space="0" w:color="auto"/>
            <w:left w:val="none" w:sz="0" w:space="0" w:color="auto"/>
            <w:bottom w:val="none" w:sz="0" w:space="0" w:color="auto"/>
            <w:right w:val="none" w:sz="0" w:space="0" w:color="auto"/>
          </w:divBdr>
        </w:div>
      </w:divsChild>
    </w:div>
    <w:div w:id="898901297">
      <w:marLeft w:val="3"/>
      <w:marRight w:val="0"/>
      <w:marTop w:val="120"/>
      <w:marBottom w:val="0"/>
      <w:divBdr>
        <w:top w:val="none" w:sz="0" w:space="0" w:color="auto"/>
        <w:left w:val="none" w:sz="0" w:space="0" w:color="auto"/>
        <w:bottom w:val="none" w:sz="0" w:space="0" w:color="auto"/>
        <w:right w:val="none" w:sz="0" w:space="0" w:color="auto"/>
      </w:divBdr>
      <w:divsChild>
        <w:div w:id="911820206">
          <w:marLeft w:val="0"/>
          <w:marRight w:val="0"/>
          <w:marTop w:val="0"/>
          <w:marBottom w:val="0"/>
          <w:divBdr>
            <w:top w:val="none" w:sz="0" w:space="0" w:color="auto"/>
            <w:left w:val="none" w:sz="0" w:space="0" w:color="auto"/>
            <w:bottom w:val="none" w:sz="0" w:space="0" w:color="auto"/>
            <w:right w:val="none" w:sz="0" w:space="0" w:color="auto"/>
          </w:divBdr>
        </w:div>
      </w:divsChild>
    </w:div>
    <w:div w:id="902181437">
      <w:marLeft w:val="0"/>
      <w:marRight w:val="0"/>
      <w:marTop w:val="0"/>
      <w:marBottom w:val="0"/>
      <w:divBdr>
        <w:top w:val="none" w:sz="0" w:space="0" w:color="auto"/>
        <w:left w:val="none" w:sz="0" w:space="0" w:color="auto"/>
        <w:bottom w:val="none" w:sz="0" w:space="0" w:color="auto"/>
        <w:right w:val="none" w:sz="0" w:space="0" w:color="auto"/>
      </w:divBdr>
    </w:div>
    <w:div w:id="910694419">
      <w:marLeft w:val="0"/>
      <w:marRight w:val="0"/>
      <w:marTop w:val="0"/>
      <w:marBottom w:val="0"/>
      <w:divBdr>
        <w:top w:val="none" w:sz="0" w:space="0" w:color="auto"/>
        <w:left w:val="none" w:sz="0" w:space="0" w:color="auto"/>
        <w:bottom w:val="none" w:sz="0" w:space="0" w:color="auto"/>
        <w:right w:val="none" w:sz="0" w:space="0" w:color="auto"/>
      </w:divBdr>
    </w:div>
    <w:div w:id="922762778">
      <w:marLeft w:val="3"/>
      <w:marRight w:val="0"/>
      <w:marTop w:val="120"/>
      <w:marBottom w:val="0"/>
      <w:divBdr>
        <w:top w:val="none" w:sz="0" w:space="0" w:color="auto"/>
        <w:left w:val="none" w:sz="0" w:space="0" w:color="auto"/>
        <w:bottom w:val="none" w:sz="0" w:space="0" w:color="auto"/>
        <w:right w:val="none" w:sz="0" w:space="0" w:color="auto"/>
      </w:divBdr>
      <w:divsChild>
        <w:div w:id="1550803533">
          <w:marLeft w:val="0"/>
          <w:marRight w:val="0"/>
          <w:marTop w:val="0"/>
          <w:marBottom w:val="0"/>
          <w:divBdr>
            <w:top w:val="none" w:sz="0" w:space="0" w:color="auto"/>
            <w:left w:val="none" w:sz="0" w:space="0" w:color="auto"/>
            <w:bottom w:val="none" w:sz="0" w:space="0" w:color="auto"/>
            <w:right w:val="none" w:sz="0" w:space="0" w:color="auto"/>
          </w:divBdr>
        </w:div>
      </w:divsChild>
    </w:div>
    <w:div w:id="923100803">
      <w:marLeft w:val="4"/>
      <w:marRight w:val="0"/>
      <w:marTop w:val="60"/>
      <w:marBottom w:val="0"/>
      <w:divBdr>
        <w:top w:val="none" w:sz="0" w:space="0" w:color="auto"/>
        <w:left w:val="none" w:sz="0" w:space="0" w:color="auto"/>
        <w:bottom w:val="none" w:sz="0" w:space="0" w:color="auto"/>
        <w:right w:val="none" w:sz="0" w:space="0" w:color="auto"/>
      </w:divBdr>
      <w:divsChild>
        <w:div w:id="2101902286">
          <w:marLeft w:val="0"/>
          <w:marRight w:val="0"/>
          <w:marTop w:val="0"/>
          <w:marBottom w:val="0"/>
          <w:divBdr>
            <w:top w:val="none" w:sz="0" w:space="0" w:color="auto"/>
            <w:left w:val="none" w:sz="0" w:space="0" w:color="auto"/>
            <w:bottom w:val="none" w:sz="0" w:space="0" w:color="auto"/>
            <w:right w:val="none" w:sz="0" w:space="0" w:color="auto"/>
          </w:divBdr>
        </w:div>
      </w:divsChild>
    </w:div>
    <w:div w:id="967708246">
      <w:marLeft w:val="3"/>
      <w:marRight w:val="0"/>
      <w:marTop w:val="120"/>
      <w:marBottom w:val="0"/>
      <w:divBdr>
        <w:top w:val="none" w:sz="0" w:space="0" w:color="auto"/>
        <w:left w:val="none" w:sz="0" w:space="0" w:color="auto"/>
        <w:bottom w:val="none" w:sz="0" w:space="0" w:color="auto"/>
        <w:right w:val="none" w:sz="0" w:space="0" w:color="auto"/>
      </w:divBdr>
      <w:divsChild>
        <w:div w:id="973214933">
          <w:marLeft w:val="0"/>
          <w:marRight w:val="0"/>
          <w:marTop w:val="0"/>
          <w:marBottom w:val="0"/>
          <w:divBdr>
            <w:top w:val="none" w:sz="0" w:space="0" w:color="auto"/>
            <w:left w:val="none" w:sz="0" w:space="0" w:color="auto"/>
            <w:bottom w:val="none" w:sz="0" w:space="0" w:color="auto"/>
            <w:right w:val="none" w:sz="0" w:space="0" w:color="auto"/>
          </w:divBdr>
        </w:div>
      </w:divsChild>
    </w:div>
    <w:div w:id="985352254">
      <w:marLeft w:val="3"/>
      <w:marRight w:val="0"/>
      <w:marTop w:val="120"/>
      <w:marBottom w:val="0"/>
      <w:divBdr>
        <w:top w:val="none" w:sz="0" w:space="0" w:color="auto"/>
        <w:left w:val="none" w:sz="0" w:space="0" w:color="auto"/>
        <w:bottom w:val="none" w:sz="0" w:space="0" w:color="auto"/>
        <w:right w:val="none" w:sz="0" w:space="0" w:color="auto"/>
      </w:divBdr>
      <w:divsChild>
        <w:div w:id="1846897756">
          <w:marLeft w:val="0"/>
          <w:marRight w:val="0"/>
          <w:marTop w:val="0"/>
          <w:marBottom w:val="0"/>
          <w:divBdr>
            <w:top w:val="none" w:sz="0" w:space="0" w:color="auto"/>
            <w:left w:val="none" w:sz="0" w:space="0" w:color="auto"/>
            <w:bottom w:val="none" w:sz="0" w:space="0" w:color="auto"/>
            <w:right w:val="none" w:sz="0" w:space="0" w:color="auto"/>
          </w:divBdr>
        </w:div>
      </w:divsChild>
    </w:div>
    <w:div w:id="1002124149">
      <w:marLeft w:val="3"/>
      <w:marRight w:val="0"/>
      <w:marTop w:val="120"/>
      <w:marBottom w:val="0"/>
      <w:divBdr>
        <w:top w:val="none" w:sz="0" w:space="0" w:color="auto"/>
        <w:left w:val="none" w:sz="0" w:space="0" w:color="auto"/>
        <w:bottom w:val="none" w:sz="0" w:space="0" w:color="auto"/>
        <w:right w:val="none" w:sz="0" w:space="0" w:color="auto"/>
      </w:divBdr>
      <w:divsChild>
        <w:div w:id="1101804219">
          <w:marLeft w:val="0"/>
          <w:marRight w:val="0"/>
          <w:marTop w:val="0"/>
          <w:marBottom w:val="0"/>
          <w:divBdr>
            <w:top w:val="none" w:sz="0" w:space="0" w:color="auto"/>
            <w:left w:val="none" w:sz="0" w:space="0" w:color="auto"/>
            <w:bottom w:val="none" w:sz="0" w:space="0" w:color="auto"/>
            <w:right w:val="none" w:sz="0" w:space="0" w:color="auto"/>
          </w:divBdr>
        </w:div>
      </w:divsChild>
    </w:div>
    <w:div w:id="1005549501">
      <w:marLeft w:val="3"/>
      <w:marRight w:val="0"/>
      <w:marTop w:val="120"/>
      <w:marBottom w:val="0"/>
      <w:divBdr>
        <w:top w:val="none" w:sz="0" w:space="0" w:color="auto"/>
        <w:left w:val="none" w:sz="0" w:space="0" w:color="auto"/>
        <w:bottom w:val="none" w:sz="0" w:space="0" w:color="auto"/>
        <w:right w:val="none" w:sz="0" w:space="0" w:color="auto"/>
      </w:divBdr>
      <w:divsChild>
        <w:div w:id="1133524941">
          <w:marLeft w:val="0"/>
          <w:marRight w:val="0"/>
          <w:marTop w:val="0"/>
          <w:marBottom w:val="0"/>
          <w:divBdr>
            <w:top w:val="none" w:sz="0" w:space="0" w:color="auto"/>
            <w:left w:val="none" w:sz="0" w:space="0" w:color="auto"/>
            <w:bottom w:val="none" w:sz="0" w:space="0" w:color="auto"/>
            <w:right w:val="none" w:sz="0" w:space="0" w:color="auto"/>
          </w:divBdr>
        </w:div>
      </w:divsChild>
    </w:div>
    <w:div w:id="1023215385">
      <w:marLeft w:val="3"/>
      <w:marRight w:val="0"/>
      <w:marTop w:val="120"/>
      <w:marBottom w:val="0"/>
      <w:divBdr>
        <w:top w:val="none" w:sz="0" w:space="0" w:color="auto"/>
        <w:left w:val="none" w:sz="0" w:space="0" w:color="auto"/>
        <w:bottom w:val="none" w:sz="0" w:space="0" w:color="auto"/>
        <w:right w:val="none" w:sz="0" w:space="0" w:color="auto"/>
      </w:divBdr>
      <w:divsChild>
        <w:div w:id="724915838">
          <w:marLeft w:val="0"/>
          <w:marRight w:val="0"/>
          <w:marTop w:val="0"/>
          <w:marBottom w:val="0"/>
          <w:divBdr>
            <w:top w:val="none" w:sz="0" w:space="0" w:color="auto"/>
            <w:left w:val="none" w:sz="0" w:space="0" w:color="auto"/>
            <w:bottom w:val="none" w:sz="0" w:space="0" w:color="auto"/>
            <w:right w:val="none" w:sz="0" w:space="0" w:color="auto"/>
          </w:divBdr>
        </w:div>
      </w:divsChild>
    </w:div>
    <w:div w:id="1031498038">
      <w:marLeft w:val="3"/>
      <w:marRight w:val="0"/>
      <w:marTop w:val="120"/>
      <w:marBottom w:val="0"/>
      <w:divBdr>
        <w:top w:val="none" w:sz="0" w:space="0" w:color="auto"/>
        <w:left w:val="none" w:sz="0" w:space="0" w:color="auto"/>
        <w:bottom w:val="none" w:sz="0" w:space="0" w:color="auto"/>
        <w:right w:val="none" w:sz="0" w:space="0" w:color="auto"/>
      </w:divBdr>
      <w:divsChild>
        <w:div w:id="660623070">
          <w:marLeft w:val="0"/>
          <w:marRight w:val="0"/>
          <w:marTop w:val="0"/>
          <w:marBottom w:val="0"/>
          <w:divBdr>
            <w:top w:val="none" w:sz="0" w:space="0" w:color="auto"/>
            <w:left w:val="none" w:sz="0" w:space="0" w:color="auto"/>
            <w:bottom w:val="none" w:sz="0" w:space="0" w:color="auto"/>
            <w:right w:val="none" w:sz="0" w:space="0" w:color="auto"/>
          </w:divBdr>
        </w:div>
      </w:divsChild>
    </w:div>
    <w:div w:id="1042051971">
      <w:marLeft w:val="0"/>
      <w:marRight w:val="0"/>
      <w:marTop w:val="0"/>
      <w:marBottom w:val="0"/>
      <w:divBdr>
        <w:top w:val="none" w:sz="0" w:space="0" w:color="auto"/>
        <w:left w:val="none" w:sz="0" w:space="0" w:color="auto"/>
        <w:bottom w:val="none" w:sz="0" w:space="0" w:color="auto"/>
        <w:right w:val="none" w:sz="0" w:space="0" w:color="auto"/>
      </w:divBdr>
    </w:div>
    <w:div w:id="1056129563">
      <w:marLeft w:val="3"/>
      <w:marRight w:val="0"/>
      <w:marTop w:val="120"/>
      <w:marBottom w:val="0"/>
      <w:divBdr>
        <w:top w:val="none" w:sz="0" w:space="0" w:color="auto"/>
        <w:left w:val="none" w:sz="0" w:space="0" w:color="auto"/>
        <w:bottom w:val="none" w:sz="0" w:space="0" w:color="auto"/>
        <w:right w:val="none" w:sz="0" w:space="0" w:color="auto"/>
      </w:divBdr>
      <w:divsChild>
        <w:div w:id="1054935793">
          <w:marLeft w:val="0"/>
          <w:marRight w:val="0"/>
          <w:marTop w:val="0"/>
          <w:marBottom w:val="0"/>
          <w:divBdr>
            <w:top w:val="none" w:sz="0" w:space="0" w:color="auto"/>
            <w:left w:val="none" w:sz="0" w:space="0" w:color="auto"/>
            <w:bottom w:val="none" w:sz="0" w:space="0" w:color="auto"/>
            <w:right w:val="none" w:sz="0" w:space="0" w:color="auto"/>
          </w:divBdr>
        </w:div>
      </w:divsChild>
    </w:div>
    <w:div w:id="1057162917">
      <w:marLeft w:val="0"/>
      <w:marRight w:val="0"/>
      <w:marTop w:val="0"/>
      <w:marBottom w:val="0"/>
      <w:divBdr>
        <w:top w:val="none" w:sz="0" w:space="0" w:color="auto"/>
        <w:left w:val="none" w:sz="0" w:space="0" w:color="auto"/>
        <w:bottom w:val="none" w:sz="0" w:space="0" w:color="auto"/>
        <w:right w:val="none" w:sz="0" w:space="0" w:color="auto"/>
      </w:divBdr>
      <w:divsChild>
        <w:div w:id="1421834900">
          <w:marLeft w:val="0"/>
          <w:marRight w:val="0"/>
          <w:marTop w:val="0"/>
          <w:marBottom w:val="0"/>
          <w:divBdr>
            <w:top w:val="none" w:sz="0" w:space="0" w:color="auto"/>
            <w:left w:val="none" w:sz="0" w:space="0" w:color="auto"/>
            <w:bottom w:val="none" w:sz="0" w:space="0" w:color="auto"/>
            <w:right w:val="none" w:sz="0" w:space="0" w:color="auto"/>
          </w:divBdr>
        </w:div>
      </w:divsChild>
    </w:div>
    <w:div w:id="1070999138">
      <w:marLeft w:val="0"/>
      <w:marRight w:val="0"/>
      <w:marTop w:val="0"/>
      <w:marBottom w:val="0"/>
      <w:divBdr>
        <w:top w:val="none" w:sz="0" w:space="0" w:color="auto"/>
        <w:left w:val="none" w:sz="0" w:space="0" w:color="auto"/>
        <w:bottom w:val="none" w:sz="0" w:space="0" w:color="auto"/>
        <w:right w:val="none" w:sz="0" w:space="0" w:color="auto"/>
      </w:divBdr>
      <w:divsChild>
        <w:div w:id="51345131">
          <w:marLeft w:val="0"/>
          <w:marRight w:val="0"/>
          <w:marTop w:val="0"/>
          <w:marBottom w:val="0"/>
          <w:divBdr>
            <w:top w:val="none" w:sz="0" w:space="0" w:color="auto"/>
            <w:left w:val="none" w:sz="0" w:space="0" w:color="auto"/>
            <w:bottom w:val="none" w:sz="0" w:space="0" w:color="auto"/>
            <w:right w:val="none" w:sz="0" w:space="0" w:color="auto"/>
          </w:divBdr>
        </w:div>
      </w:divsChild>
    </w:div>
    <w:div w:id="1096704537">
      <w:marLeft w:val="3"/>
      <w:marRight w:val="0"/>
      <w:marTop w:val="120"/>
      <w:marBottom w:val="0"/>
      <w:divBdr>
        <w:top w:val="none" w:sz="0" w:space="0" w:color="auto"/>
        <w:left w:val="none" w:sz="0" w:space="0" w:color="auto"/>
        <w:bottom w:val="none" w:sz="0" w:space="0" w:color="auto"/>
        <w:right w:val="none" w:sz="0" w:space="0" w:color="auto"/>
      </w:divBdr>
      <w:divsChild>
        <w:div w:id="564336693">
          <w:marLeft w:val="0"/>
          <w:marRight w:val="0"/>
          <w:marTop w:val="0"/>
          <w:marBottom w:val="0"/>
          <w:divBdr>
            <w:top w:val="none" w:sz="0" w:space="0" w:color="auto"/>
            <w:left w:val="none" w:sz="0" w:space="0" w:color="auto"/>
            <w:bottom w:val="none" w:sz="0" w:space="0" w:color="auto"/>
            <w:right w:val="none" w:sz="0" w:space="0" w:color="auto"/>
          </w:divBdr>
        </w:div>
      </w:divsChild>
    </w:div>
    <w:div w:id="1101225149">
      <w:marLeft w:val="3"/>
      <w:marRight w:val="0"/>
      <w:marTop w:val="120"/>
      <w:marBottom w:val="0"/>
      <w:divBdr>
        <w:top w:val="none" w:sz="0" w:space="0" w:color="auto"/>
        <w:left w:val="none" w:sz="0" w:space="0" w:color="auto"/>
        <w:bottom w:val="none" w:sz="0" w:space="0" w:color="auto"/>
        <w:right w:val="none" w:sz="0" w:space="0" w:color="auto"/>
      </w:divBdr>
      <w:divsChild>
        <w:div w:id="1090587677">
          <w:marLeft w:val="0"/>
          <w:marRight w:val="0"/>
          <w:marTop w:val="0"/>
          <w:marBottom w:val="0"/>
          <w:divBdr>
            <w:top w:val="none" w:sz="0" w:space="0" w:color="auto"/>
            <w:left w:val="none" w:sz="0" w:space="0" w:color="auto"/>
            <w:bottom w:val="none" w:sz="0" w:space="0" w:color="auto"/>
            <w:right w:val="none" w:sz="0" w:space="0" w:color="auto"/>
          </w:divBdr>
        </w:div>
      </w:divsChild>
    </w:div>
    <w:div w:id="1147357410">
      <w:marLeft w:val="3"/>
      <w:marRight w:val="0"/>
      <w:marTop w:val="120"/>
      <w:marBottom w:val="0"/>
      <w:divBdr>
        <w:top w:val="none" w:sz="0" w:space="0" w:color="auto"/>
        <w:left w:val="none" w:sz="0" w:space="0" w:color="auto"/>
        <w:bottom w:val="none" w:sz="0" w:space="0" w:color="auto"/>
        <w:right w:val="none" w:sz="0" w:space="0" w:color="auto"/>
      </w:divBdr>
      <w:divsChild>
        <w:div w:id="931232855">
          <w:marLeft w:val="0"/>
          <w:marRight w:val="0"/>
          <w:marTop w:val="0"/>
          <w:marBottom w:val="0"/>
          <w:divBdr>
            <w:top w:val="none" w:sz="0" w:space="0" w:color="auto"/>
            <w:left w:val="none" w:sz="0" w:space="0" w:color="auto"/>
            <w:bottom w:val="none" w:sz="0" w:space="0" w:color="auto"/>
            <w:right w:val="none" w:sz="0" w:space="0" w:color="auto"/>
          </w:divBdr>
        </w:div>
      </w:divsChild>
    </w:div>
    <w:div w:id="1149861647">
      <w:marLeft w:val="4"/>
      <w:marRight w:val="0"/>
      <w:marTop w:val="0"/>
      <w:marBottom w:val="0"/>
      <w:divBdr>
        <w:top w:val="none" w:sz="0" w:space="0" w:color="auto"/>
        <w:left w:val="none" w:sz="0" w:space="0" w:color="auto"/>
        <w:bottom w:val="none" w:sz="0" w:space="0" w:color="auto"/>
        <w:right w:val="none" w:sz="0" w:space="0" w:color="auto"/>
      </w:divBdr>
      <w:divsChild>
        <w:div w:id="399525374">
          <w:marLeft w:val="0"/>
          <w:marRight w:val="0"/>
          <w:marTop w:val="0"/>
          <w:marBottom w:val="0"/>
          <w:divBdr>
            <w:top w:val="none" w:sz="0" w:space="0" w:color="auto"/>
            <w:left w:val="none" w:sz="0" w:space="0" w:color="auto"/>
            <w:bottom w:val="none" w:sz="0" w:space="0" w:color="auto"/>
            <w:right w:val="none" w:sz="0" w:space="0" w:color="auto"/>
          </w:divBdr>
        </w:div>
      </w:divsChild>
    </w:div>
    <w:div w:id="1153062785">
      <w:marLeft w:val="3"/>
      <w:marRight w:val="0"/>
      <w:marTop w:val="120"/>
      <w:marBottom w:val="0"/>
      <w:divBdr>
        <w:top w:val="none" w:sz="0" w:space="0" w:color="auto"/>
        <w:left w:val="none" w:sz="0" w:space="0" w:color="auto"/>
        <w:bottom w:val="none" w:sz="0" w:space="0" w:color="auto"/>
        <w:right w:val="none" w:sz="0" w:space="0" w:color="auto"/>
      </w:divBdr>
      <w:divsChild>
        <w:div w:id="1942227453">
          <w:marLeft w:val="0"/>
          <w:marRight w:val="0"/>
          <w:marTop w:val="0"/>
          <w:marBottom w:val="0"/>
          <w:divBdr>
            <w:top w:val="none" w:sz="0" w:space="0" w:color="auto"/>
            <w:left w:val="none" w:sz="0" w:space="0" w:color="auto"/>
            <w:bottom w:val="none" w:sz="0" w:space="0" w:color="auto"/>
            <w:right w:val="none" w:sz="0" w:space="0" w:color="auto"/>
          </w:divBdr>
        </w:div>
      </w:divsChild>
    </w:div>
    <w:div w:id="1183130394">
      <w:marLeft w:val="3"/>
      <w:marRight w:val="0"/>
      <w:marTop w:val="120"/>
      <w:marBottom w:val="0"/>
      <w:divBdr>
        <w:top w:val="none" w:sz="0" w:space="0" w:color="auto"/>
        <w:left w:val="none" w:sz="0" w:space="0" w:color="auto"/>
        <w:bottom w:val="none" w:sz="0" w:space="0" w:color="auto"/>
        <w:right w:val="none" w:sz="0" w:space="0" w:color="auto"/>
      </w:divBdr>
      <w:divsChild>
        <w:div w:id="1817258742">
          <w:marLeft w:val="0"/>
          <w:marRight w:val="0"/>
          <w:marTop w:val="0"/>
          <w:marBottom w:val="0"/>
          <w:divBdr>
            <w:top w:val="none" w:sz="0" w:space="0" w:color="auto"/>
            <w:left w:val="none" w:sz="0" w:space="0" w:color="auto"/>
            <w:bottom w:val="none" w:sz="0" w:space="0" w:color="auto"/>
            <w:right w:val="none" w:sz="0" w:space="0" w:color="auto"/>
          </w:divBdr>
        </w:div>
      </w:divsChild>
    </w:div>
    <w:div w:id="1236012812">
      <w:marLeft w:val="3"/>
      <w:marRight w:val="0"/>
      <w:marTop w:val="120"/>
      <w:marBottom w:val="0"/>
      <w:divBdr>
        <w:top w:val="none" w:sz="0" w:space="0" w:color="auto"/>
        <w:left w:val="none" w:sz="0" w:space="0" w:color="auto"/>
        <w:bottom w:val="none" w:sz="0" w:space="0" w:color="auto"/>
        <w:right w:val="none" w:sz="0" w:space="0" w:color="auto"/>
      </w:divBdr>
      <w:divsChild>
        <w:div w:id="1272590705">
          <w:marLeft w:val="0"/>
          <w:marRight w:val="0"/>
          <w:marTop w:val="0"/>
          <w:marBottom w:val="0"/>
          <w:divBdr>
            <w:top w:val="none" w:sz="0" w:space="0" w:color="auto"/>
            <w:left w:val="none" w:sz="0" w:space="0" w:color="auto"/>
            <w:bottom w:val="none" w:sz="0" w:space="0" w:color="auto"/>
            <w:right w:val="none" w:sz="0" w:space="0" w:color="auto"/>
          </w:divBdr>
        </w:div>
      </w:divsChild>
    </w:div>
    <w:div w:id="1246576892">
      <w:marLeft w:val="4"/>
      <w:marRight w:val="0"/>
      <w:marTop w:val="60"/>
      <w:marBottom w:val="0"/>
      <w:divBdr>
        <w:top w:val="none" w:sz="0" w:space="0" w:color="auto"/>
        <w:left w:val="none" w:sz="0" w:space="0" w:color="auto"/>
        <w:bottom w:val="none" w:sz="0" w:space="0" w:color="auto"/>
        <w:right w:val="none" w:sz="0" w:space="0" w:color="auto"/>
      </w:divBdr>
      <w:divsChild>
        <w:div w:id="284777851">
          <w:marLeft w:val="0"/>
          <w:marRight w:val="0"/>
          <w:marTop w:val="0"/>
          <w:marBottom w:val="0"/>
          <w:divBdr>
            <w:top w:val="none" w:sz="0" w:space="0" w:color="auto"/>
            <w:left w:val="none" w:sz="0" w:space="0" w:color="auto"/>
            <w:bottom w:val="none" w:sz="0" w:space="0" w:color="auto"/>
            <w:right w:val="none" w:sz="0" w:space="0" w:color="auto"/>
          </w:divBdr>
        </w:div>
      </w:divsChild>
    </w:div>
    <w:div w:id="1263149095">
      <w:marLeft w:val="3"/>
      <w:marRight w:val="0"/>
      <w:marTop w:val="120"/>
      <w:marBottom w:val="0"/>
      <w:divBdr>
        <w:top w:val="none" w:sz="0" w:space="0" w:color="auto"/>
        <w:left w:val="none" w:sz="0" w:space="0" w:color="auto"/>
        <w:bottom w:val="none" w:sz="0" w:space="0" w:color="auto"/>
        <w:right w:val="none" w:sz="0" w:space="0" w:color="auto"/>
      </w:divBdr>
      <w:divsChild>
        <w:div w:id="141698710">
          <w:marLeft w:val="0"/>
          <w:marRight w:val="0"/>
          <w:marTop w:val="0"/>
          <w:marBottom w:val="0"/>
          <w:divBdr>
            <w:top w:val="none" w:sz="0" w:space="0" w:color="auto"/>
            <w:left w:val="none" w:sz="0" w:space="0" w:color="auto"/>
            <w:bottom w:val="none" w:sz="0" w:space="0" w:color="auto"/>
            <w:right w:val="none" w:sz="0" w:space="0" w:color="auto"/>
          </w:divBdr>
        </w:div>
      </w:divsChild>
    </w:div>
    <w:div w:id="1279993287">
      <w:marLeft w:val="3"/>
      <w:marRight w:val="0"/>
      <w:marTop w:val="120"/>
      <w:marBottom w:val="0"/>
      <w:divBdr>
        <w:top w:val="none" w:sz="0" w:space="0" w:color="auto"/>
        <w:left w:val="none" w:sz="0" w:space="0" w:color="auto"/>
        <w:bottom w:val="none" w:sz="0" w:space="0" w:color="auto"/>
        <w:right w:val="none" w:sz="0" w:space="0" w:color="auto"/>
      </w:divBdr>
      <w:divsChild>
        <w:div w:id="319426960">
          <w:marLeft w:val="0"/>
          <w:marRight w:val="0"/>
          <w:marTop w:val="0"/>
          <w:marBottom w:val="0"/>
          <w:divBdr>
            <w:top w:val="none" w:sz="0" w:space="0" w:color="auto"/>
            <w:left w:val="none" w:sz="0" w:space="0" w:color="auto"/>
            <w:bottom w:val="none" w:sz="0" w:space="0" w:color="auto"/>
            <w:right w:val="none" w:sz="0" w:space="0" w:color="auto"/>
          </w:divBdr>
        </w:div>
      </w:divsChild>
    </w:div>
    <w:div w:id="1291590495">
      <w:marLeft w:val="3"/>
      <w:marRight w:val="0"/>
      <w:marTop w:val="120"/>
      <w:marBottom w:val="0"/>
      <w:divBdr>
        <w:top w:val="none" w:sz="0" w:space="0" w:color="auto"/>
        <w:left w:val="none" w:sz="0" w:space="0" w:color="auto"/>
        <w:bottom w:val="none" w:sz="0" w:space="0" w:color="auto"/>
        <w:right w:val="none" w:sz="0" w:space="0" w:color="auto"/>
      </w:divBdr>
      <w:divsChild>
        <w:div w:id="631402773">
          <w:marLeft w:val="0"/>
          <w:marRight w:val="0"/>
          <w:marTop w:val="0"/>
          <w:marBottom w:val="0"/>
          <w:divBdr>
            <w:top w:val="none" w:sz="0" w:space="0" w:color="auto"/>
            <w:left w:val="none" w:sz="0" w:space="0" w:color="auto"/>
            <w:bottom w:val="none" w:sz="0" w:space="0" w:color="auto"/>
            <w:right w:val="none" w:sz="0" w:space="0" w:color="auto"/>
          </w:divBdr>
        </w:div>
      </w:divsChild>
    </w:div>
    <w:div w:id="1293057426">
      <w:marLeft w:val="3"/>
      <w:marRight w:val="0"/>
      <w:marTop w:val="120"/>
      <w:marBottom w:val="0"/>
      <w:divBdr>
        <w:top w:val="none" w:sz="0" w:space="0" w:color="auto"/>
        <w:left w:val="none" w:sz="0" w:space="0" w:color="auto"/>
        <w:bottom w:val="none" w:sz="0" w:space="0" w:color="auto"/>
        <w:right w:val="none" w:sz="0" w:space="0" w:color="auto"/>
      </w:divBdr>
      <w:divsChild>
        <w:div w:id="1927684664">
          <w:marLeft w:val="0"/>
          <w:marRight w:val="0"/>
          <w:marTop w:val="0"/>
          <w:marBottom w:val="0"/>
          <w:divBdr>
            <w:top w:val="none" w:sz="0" w:space="0" w:color="auto"/>
            <w:left w:val="none" w:sz="0" w:space="0" w:color="auto"/>
            <w:bottom w:val="none" w:sz="0" w:space="0" w:color="auto"/>
            <w:right w:val="none" w:sz="0" w:space="0" w:color="auto"/>
          </w:divBdr>
        </w:div>
      </w:divsChild>
    </w:div>
    <w:div w:id="1309482574">
      <w:marLeft w:val="0"/>
      <w:marRight w:val="0"/>
      <w:marTop w:val="0"/>
      <w:marBottom w:val="0"/>
      <w:divBdr>
        <w:top w:val="none" w:sz="0" w:space="0" w:color="auto"/>
        <w:left w:val="none" w:sz="0" w:space="0" w:color="auto"/>
        <w:bottom w:val="none" w:sz="0" w:space="0" w:color="auto"/>
        <w:right w:val="none" w:sz="0" w:space="0" w:color="auto"/>
      </w:divBdr>
      <w:divsChild>
        <w:div w:id="148399388">
          <w:marLeft w:val="0"/>
          <w:marRight w:val="0"/>
          <w:marTop w:val="0"/>
          <w:marBottom w:val="0"/>
          <w:divBdr>
            <w:top w:val="none" w:sz="0" w:space="0" w:color="auto"/>
            <w:left w:val="none" w:sz="0" w:space="0" w:color="auto"/>
            <w:bottom w:val="none" w:sz="0" w:space="0" w:color="auto"/>
            <w:right w:val="none" w:sz="0" w:space="0" w:color="auto"/>
          </w:divBdr>
        </w:div>
        <w:div w:id="744255344">
          <w:marLeft w:val="0"/>
          <w:marRight w:val="0"/>
          <w:marTop w:val="0"/>
          <w:marBottom w:val="0"/>
          <w:divBdr>
            <w:top w:val="none" w:sz="0" w:space="0" w:color="auto"/>
            <w:left w:val="none" w:sz="0" w:space="0" w:color="auto"/>
            <w:bottom w:val="none" w:sz="0" w:space="0" w:color="auto"/>
            <w:right w:val="none" w:sz="0" w:space="0" w:color="auto"/>
          </w:divBdr>
        </w:div>
      </w:divsChild>
    </w:div>
    <w:div w:id="1313171256">
      <w:marLeft w:val="3"/>
      <w:marRight w:val="0"/>
      <w:marTop w:val="120"/>
      <w:marBottom w:val="0"/>
      <w:divBdr>
        <w:top w:val="none" w:sz="0" w:space="0" w:color="auto"/>
        <w:left w:val="none" w:sz="0" w:space="0" w:color="auto"/>
        <w:bottom w:val="none" w:sz="0" w:space="0" w:color="auto"/>
        <w:right w:val="none" w:sz="0" w:space="0" w:color="auto"/>
      </w:divBdr>
      <w:divsChild>
        <w:div w:id="2071152096">
          <w:marLeft w:val="0"/>
          <w:marRight w:val="0"/>
          <w:marTop w:val="0"/>
          <w:marBottom w:val="0"/>
          <w:divBdr>
            <w:top w:val="none" w:sz="0" w:space="0" w:color="auto"/>
            <w:left w:val="none" w:sz="0" w:space="0" w:color="auto"/>
            <w:bottom w:val="none" w:sz="0" w:space="0" w:color="auto"/>
            <w:right w:val="none" w:sz="0" w:space="0" w:color="auto"/>
          </w:divBdr>
        </w:div>
      </w:divsChild>
    </w:div>
    <w:div w:id="1325476308">
      <w:marLeft w:val="4"/>
      <w:marRight w:val="0"/>
      <w:marTop w:val="120"/>
      <w:marBottom w:val="0"/>
      <w:divBdr>
        <w:top w:val="none" w:sz="0" w:space="0" w:color="auto"/>
        <w:left w:val="none" w:sz="0" w:space="0" w:color="auto"/>
        <w:bottom w:val="none" w:sz="0" w:space="0" w:color="auto"/>
        <w:right w:val="none" w:sz="0" w:space="0" w:color="auto"/>
      </w:divBdr>
      <w:divsChild>
        <w:div w:id="1641424053">
          <w:marLeft w:val="0"/>
          <w:marRight w:val="0"/>
          <w:marTop w:val="0"/>
          <w:marBottom w:val="0"/>
          <w:divBdr>
            <w:top w:val="none" w:sz="0" w:space="0" w:color="auto"/>
            <w:left w:val="none" w:sz="0" w:space="0" w:color="auto"/>
            <w:bottom w:val="none" w:sz="0" w:space="0" w:color="auto"/>
            <w:right w:val="none" w:sz="0" w:space="0" w:color="auto"/>
          </w:divBdr>
        </w:div>
      </w:divsChild>
    </w:div>
    <w:div w:id="1326283368">
      <w:marLeft w:val="3"/>
      <w:marRight w:val="0"/>
      <w:marTop w:val="120"/>
      <w:marBottom w:val="0"/>
      <w:divBdr>
        <w:top w:val="none" w:sz="0" w:space="0" w:color="auto"/>
        <w:left w:val="none" w:sz="0" w:space="0" w:color="auto"/>
        <w:bottom w:val="none" w:sz="0" w:space="0" w:color="auto"/>
        <w:right w:val="none" w:sz="0" w:space="0" w:color="auto"/>
      </w:divBdr>
      <w:divsChild>
        <w:div w:id="265697983">
          <w:marLeft w:val="0"/>
          <w:marRight w:val="0"/>
          <w:marTop w:val="0"/>
          <w:marBottom w:val="0"/>
          <w:divBdr>
            <w:top w:val="none" w:sz="0" w:space="0" w:color="auto"/>
            <w:left w:val="none" w:sz="0" w:space="0" w:color="auto"/>
            <w:bottom w:val="none" w:sz="0" w:space="0" w:color="auto"/>
            <w:right w:val="none" w:sz="0" w:space="0" w:color="auto"/>
          </w:divBdr>
        </w:div>
      </w:divsChild>
    </w:div>
    <w:div w:id="1327830904">
      <w:marLeft w:val="3"/>
      <w:marRight w:val="0"/>
      <w:marTop w:val="120"/>
      <w:marBottom w:val="0"/>
      <w:divBdr>
        <w:top w:val="none" w:sz="0" w:space="0" w:color="auto"/>
        <w:left w:val="none" w:sz="0" w:space="0" w:color="auto"/>
        <w:bottom w:val="none" w:sz="0" w:space="0" w:color="auto"/>
        <w:right w:val="none" w:sz="0" w:space="0" w:color="auto"/>
      </w:divBdr>
      <w:divsChild>
        <w:div w:id="78987104">
          <w:marLeft w:val="0"/>
          <w:marRight w:val="0"/>
          <w:marTop w:val="0"/>
          <w:marBottom w:val="0"/>
          <w:divBdr>
            <w:top w:val="none" w:sz="0" w:space="0" w:color="auto"/>
            <w:left w:val="none" w:sz="0" w:space="0" w:color="auto"/>
            <w:bottom w:val="none" w:sz="0" w:space="0" w:color="auto"/>
            <w:right w:val="none" w:sz="0" w:space="0" w:color="auto"/>
          </w:divBdr>
        </w:div>
      </w:divsChild>
    </w:div>
    <w:div w:id="1342198491">
      <w:marLeft w:val="3"/>
      <w:marRight w:val="0"/>
      <w:marTop w:val="120"/>
      <w:marBottom w:val="0"/>
      <w:divBdr>
        <w:top w:val="none" w:sz="0" w:space="0" w:color="auto"/>
        <w:left w:val="none" w:sz="0" w:space="0" w:color="auto"/>
        <w:bottom w:val="none" w:sz="0" w:space="0" w:color="auto"/>
        <w:right w:val="none" w:sz="0" w:space="0" w:color="auto"/>
      </w:divBdr>
      <w:divsChild>
        <w:div w:id="115802781">
          <w:marLeft w:val="0"/>
          <w:marRight w:val="0"/>
          <w:marTop w:val="0"/>
          <w:marBottom w:val="0"/>
          <w:divBdr>
            <w:top w:val="none" w:sz="0" w:space="0" w:color="auto"/>
            <w:left w:val="none" w:sz="0" w:space="0" w:color="auto"/>
            <w:bottom w:val="none" w:sz="0" w:space="0" w:color="auto"/>
            <w:right w:val="none" w:sz="0" w:space="0" w:color="auto"/>
          </w:divBdr>
        </w:div>
      </w:divsChild>
    </w:div>
    <w:div w:id="1371805084">
      <w:marLeft w:val="3"/>
      <w:marRight w:val="0"/>
      <w:marTop w:val="120"/>
      <w:marBottom w:val="0"/>
      <w:divBdr>
        <w:top w:val="none" w:sz="0" w:space="0" w:color="auto"/>
        <w:left w:val="none" w:sz="0" w:space="0" w:color="auto"/>
        <w:bottom w:val="none" w:sz="0" w:space="0" w:color="auto"/>
        <w:right w:val="none" w:sz="0" w:space="0" w:color="auto"/>
      </w:divBdr>
      <w:divsChild>
        <w:div w:id="1016813753">
          <w:marLeft w:val="0"/>
          <w:marRight w:val="0"/>
          <w:marTop w:val="0"/>
          <w:marBottom w:val="0"/>
          <w:divBdr>
            <w:top w:val="none" w:sz="0" w:space="0" w:color="auto"/>
            <w:left w:val="none" w:sz="0" w:space="0" w:color="auto"/>
            <w:bottom w:val="none" w:sz="0" w:space="0" w:color="auto"/>
            <w:right w:val="none" w:sz="0" w:space="0" w:color="auto"/>
          </w:divBdr>
        </w:div>
      </w:divsChild>
    </w:div>
    <w:div w:id="1392923518">
      <w:marLeft w:val="3"/>
      <w:marRight w:val="0"/>
      <w:marTop w:val="120"/>
      <w:marBottom w:val="0"/>
      <w:divBdr>
        <w:top w:val="none" w:sz="0" w:space="0" w:color="auto"/>
        <w:left w:val="none" w:sz="0" w:space="0" w:color="auto"/>
        <w:bottom w:val="none" w:sz="0" w:space="0" w:color="auto"/>
        <w:right w:val="none" w:sz="0" w:space="0" w:color="auto"/>
      </w:divBdr>
      <w:divsChild>
        <w:div w:id="1553535493">
          <w:marLeft w:val="0"/>
          <w:marRight w:val="0"/>
          <w:marTop w:val="0"/>
          <w:marBottom w:val="0"/>
          <w:divBdr>
            <w:top w:val="none" w:sz="0" w:space="0" w:color="auto"/>
            <w:left w:val="none" w:sz="0" w:space="0" w:color="auto"/>
            <w:bottom w:val="none" w:sz="0" w:space="0" w:color="auto"/>
            <w:right w:val="none" w:sz="0" w:space="0" w:color="auto"/>
          </w:divBdr>
        </w:div>
      </w:divsChild>
    </w:div>
    <w:div w:id="1392926146">
      <w:marLeft w:val="3"/>
      <w:marRight w:val="0"/>
      <w:marTop w:val="120"/>
      <w:marBottom w:val="0"/>
      <w:divBdr>
        <w:top w:val="none" w:sz="0" w:space="0" w:color="auto"/>
        <w:left w:val="none" w:sz="0" w:space="0" w:color="auto"/>
        <w:bottom w:val="none" w:sz="0" w:space="0" w:color="auto"/>
        <w:right w:val="none" w:sz="0" w:space="0" w:color="auto"/>
      </w:divBdr>
      <w:divsChild>
        <w:div w:id="1698703165">
          <w:marLeft w:val="0"/>
          <w:marRight w:val="0"/>
          <w:marTop w:val="0"/>
          <w:marBottom w:val="0"/>
          <w:divBdr>
            <w:top w:val="none" w:sz="0" w:space="0" w:color="auto"/>
            <w:left w:val="none" w:sz="0" w:space="0" w:color="auto"/>
            <w:bottom w:val="none" w:sz="0" w:space="0" w:color="auto"/>
            <w:right w:val="none" w:sz="0" w:space="0" w:color="auto"/>
          </w:divBdr>
        </w:div>
      </w:divsChild>
    </w:div>
    <w:div w:id="1415784809">
      <w:marLeft w:val="3"/>
      <w:marRight w:val="0"/>
      <w:marTop w:val="120"/>
      <w:marBottom w:val="0"/>
      <w:divBdr>
        <w:top w:val="none" w:sz="0" w:space="0" w:color="auto"/>
        <w:left w:val="none" w:sz="0" w:space="0" w:color="auto"/>
        <w:bottom w:val="none" w:sz="0" w:space="0" w:color="auto"/>
        <w:right w:val="none" w:sz="0" w:space="0" w:color="auto"/>
      </w:divBdr>
      <w:divsChild>
        <w:div w:id="642270285">
          <w:marLeft w:val="0"/>
          <w:marRight w:val="0"/>
          <w:marTop w:val="0"/>
          <w:marBottom w:val="0"/>
          <w:divBdr>
            <w:top w:val="none" w:sz="0" w:space="0" w:color="auto"/>
            <w:left w:val="none" w:sz="0" w:space="0" w:color="auto"/>
            <w:bottom w:val="none" w:sz="0" w:space="0" w:color="auto"/>
            <w:right w:val="none" w:sz="0" w:space="0" w:color="auto"/>
          </w:divBdr>
        </w:div>
      </w:divsChild>
    </w:div>
    <w:div w:id="1419444793">
      <w:marLeft w:val="3"/>
      <w:marRight w:val="0"/>
      <w:marTop w:val="120"/>
      <w:marBottom w:val="0"/>
      <w:divBdr>
        <w:top w:val="none" w:sz="0" w:space="0" w:color="auto"/>
        <w:left w:val="none" w:sz="0" w:space="0" w:color="auto"/>
        <w:bottom w:val="none" w:sz="0" w:space="0" w:color="auto"/>
        <w:right w:val="none" w:sz="0" w:space="0" w:color="auto"/>
      </w:divBdr>
      <w:divsChild>
        <w:div w:id="404693573">
          <w:marLeft w:val="0"/>
          <w:marRight w:val="0"/>
          <w:marTop w:val="0"/>
          <w:marBottom w:val="0"/>
          <w:divBdr>
            <w:top w:val="none" w:sz="0" w:space="0" w:color="auto"/>
            <w:left w:val="none" w:sz="0" w:space="0" w:color="auto"/>
            <w:bottom w:val="none" w:sz="0" w:space="0" w:color="auto"/>
            <w:right w:val="none" w:sz="0" w:space="0" w:color="auto"/>
          </w:divBdr>
        </w:div>
      </w:divsChild>
    </w:div>
    <w:div w:id="1428774022">
      <w:marLeft w:val="3"/>
      <w:marRight w:val="0"/>
      <w:marTop w:val="120"/>
      <w:marBottom w:val="0"/>
      <w:divBdr>
        <w:top w:val="none" w:sz="0" w:space="0" w:color="auto"/>
        <w:left w:val="none" w:sz="0" w:space="0" w:color="auto"/>
        <w:bottom w:val="none" w:sz="0" w:space="0" w:color="auto"/>
        <w:right w:val="none" w:sz="0" w:space="0" w:color="auto"/>
      </w:divBdr>
      <w:divsChild>
        <w:div w:id="580991703">
          <w:marLeft w:val="0"/>
          <w:marRight w:val="0"/>
          <w:marTop w:val="0"/>
          <w:marBottom w:val="0"/>
          <w:divBdr>
            <w:top w:val="none" w:sz="0" w:space="0" w:color="auto"/>
            <w:left w:val="none" w:sz="0" w:space="0" w:color="auto"/>
            <w:bottom w:val="none" w:sz="0" w:space="0" w:color="auto"/>
            <w:right w:val="none" w:sz="0" w:space="0" w:color="auto"/>
          </w:divBdr>
        </w:div>
      </w:divsChild>
    </w:div>
    <w:div w:id="1437794421">
      <w:marLeft w:val="3"/>
      <w:marRight w:val="0"/>
      <w:marTop w:val="120"/>
      <w:marBottom w:val="0"/>
      <w:divBdr>
        <w:top w:val="none" w:sz="0" w:space="0" w:color="auto"/>
        <w:left w:val="none" w:sz="0" w:space="0" w:color="auto"/>
        <w:bottom w:val="none" w:sz="0" w:space="0" w:color="auto"/>
        <w:right w:val="none" w:sz="0" w:space="0" w:color="auto"/>
      </w:divBdr>
      <w:divsChild>
        <w:div w:id="115490205">
          <w:marLeft w:val="0"/>
          <w:marRight w:val="0"/>
          <w:marTop w:val="0"/>
          <w:marBottom w:val="0"/>
          <w:divBdr>
            <w:top w:val="none" w:sz="0" w:space="0" w:color="auto"/>
            <w:left w:val="none" w:sz="0" w:space="0" w:color="auto"/>
            <w:bottom w:val="none" w:sz="0" w:space="0" w:color="auto"/>
            <w:right w:val="none" w:sz="0" w:space="0" w:color="auto"/>
          </w:divBdr>
        </w:div>
      </w:divsChild>
    </w:div>
    <w:div w:id="1440225449">
      <w:marLeft w:val="3"/>
      <w:marRight w:val="0"/>
      <w:marTop w:val="120"/>
      <w:marBottom w:val="0"/>
      <w:divBdr>
        <w:top w:val="none" w:sz="0" w:space="0" w:color="auto"/>
        <w:left w:val="none" w:sz="0" w:space="0" w:color="auto"/>
        <w:bottom w:val="none" w:sz="0" w:space="0" w:color="auto"/>
        <w:right w:val="none" w:sz="0" w:space="0" w:color="auto"/>
      </w:divBdr>
      <w:divsChild>
        <w:div w:id="1276793757">
          <w:marLeft w:val="0"/>
          <w:marRight w:val="0"/>
          <w:marTop w:val="0"/>
          <w:marBottom w:val="0"/>
          <w:divBdr>
            <w:top w:val="none" w:sz="0" w:space="0" w:color="auto"/>
            <w:left w:val="none" w:sz="0" w:space="0" w:color="auto"/>
            <w:bottom w:val="none" w:sz="0" w:space="0" w:color="auto"/>
            <w:right w:val="none" w:sz="0" w:space="0" w:color="auto"/>
          </w:divBdr>
        </w:div>
      </w:divsChild>
    </w:div>
    <w:div w:id="1443377240">
      <w:marLeft w:val="4"/>
      <w:marRight w:val="0"/>
      <w:marTop w:val="120"/>
      <w:marBottom w:val="0"/>
      <w:divBdr>
        <w:top w:val="none" w:sz="0" w:space="0" w:color="auto"/>
        <w:left w:val="none" w:sz="0" w:space="0" w:color="auto"/>
        <w:bottom w:val="none" w:sz="0" w:space="0" w:color="auto"/>
        <w:right w:val="none" w:sz="0" w:space="0" w:color="auto"/>
      </w:divBdr>
      <w:divsChild>
        <w:div w:id="2116705369">
          <w:marLeft w:val="0"/>
          <w:marRight w:val="0"/>
          <w:marTop w:val="0"/>
          <w:marBottom w:val="0"/>
          <w:divBdr>
            <w:top w:val="none" w:sz="0" w:space="0" w:color="auto"/>
            <w:left w:val="none" w:sz="0" w:space="0" w:color="auto"/>
            <w:bottom w:val="none" w:sz="0" w:space="0" w:color="auto"/>
            <w:right w:val="none" w:sz="0" w:space="0" w:color="auto"/>
          </w:divBdr>
        </w:div>
      </w:divsChild>
    </w:div>
    <w:div w:id="1447388177">
      <w:marLeft w:val="3"/>
      <w:marRight w:val="0"/>
      <w:marTop w:val="120"/>
      <w:marBottom w:val="0"/>
      <w:divBdr>
        <w:top w:val="none" w:sz="0" w:space="0" w:color="auto"/>
        <w:left w:val="none" w:sz="0" w:space="0" w:color="auto"/>
        <w:bottom w:val="none" w:sz="0" w:space="0" w:color="auto"/>
        <w:right w:val="none" w:sz="0" w:space="0" w:color="auto"/>
      </w:divBdr>
      <w:divsChild>
        <w:div w:id="1987011316">
          <w:marLeft w:val="0"/>
          <w:marRight w:val="0"/>
          <w:marTop w:val="0"/>
          <w:marBottom w:val="0"/>
          <w:divBdr>
            <w:top w:val="none" w:sz="0" w:space="0" w:color="auto"/>
            <w:left w:val="none" w:sz="0" w:space="0" w:color="auto"/>
            <w:bottom w:val="none" w:sz="0" w:space="0" w:color="auto"/>
            <w:right w:val="none" w:sz="0" w:space="0" w:color="auto"/>
          </w:divBdr>
        </w:div>
      </w:divsChild>
    </w:div>
    <w:div w:id="1449426459">
      <w:marLeft w:val="4"/>
      <w:marRight w:val="0"/>
      <w:marTop w:val="120"/>
      <w:marBottom w:val="0"/>
      <w:divBdr>
        <w:top w:val="none" w:sz="0" w:space="0" w:color="auto"/>
        <w:left w:val="none" w:sz="0" w:space="0" w:color="auto"/>
        <w:bottom w:val="none" w:sz="0" w:space="0" w:color="auto"/>
        <w:right w:val="none" w:sz="0" w:space="0" w:color="auto"/>
      </w:divBdr>
      <w:divsChild>
        <w:div w:id="129061779">
          <w:marLeft w:val="0"/>
          <w:marRight w:val="0"/>
          <w:marTop w:val="0"/>
          <w:marBottom w:val="0"/>
          <w:divBdr>
            <w:top w:val="none" w:sz="0" w:space="0" w:color="auto"/>
            <w:left w:val="none" w:sz="0" w:space="0" w:color="auto"/>
            <w:bottom w:val="none" w:sz="0" w:space="0" w:color="auto"/>
            <w:right w:val="none" w:sz="0" w:space="0" w:color="auto"/>
          </w:divBdr>
        </w:div>
      </w:divsChild>
    </w:div>
    <w:div w:id="1456755444">
      <w:marLeft w:val="3"/>
      <w:marRight w:val="0"/>
      <w:marTop w:val="120"/>
      <w:marBottom w:val="0"/>
      <w:divBdr>
        <w:top w:val="none" w:sz="0" w:space="0" w:color="auto"/>
        <w:left w:val="none" w:sz="0" w:space="0" w:color="auto"/>
        <w:bottom w:val="none" w:sz="0" w:space="0" w:color="auto"/>
        <w:right w:val="none" w:sz="0" w:space="0" w:color="auto"/>
      </w:divBdr>
      <w:divsChild>
        <w:div w:id="554319655">
          <w:marLeft w:val="0"/>
          <w:marRight w:val="0"/>
          <w:marTop w:val="0"/>
          <w:marBottom w:val="0"/>
          <w:divBdr>
            <w:top w:val="none" w:sz="0" w:space="0" w:color="auto"/>
            <w:left w:val="none" w:sz="0" w:space="0" w:color="auto"/>
            <w:bottom w:val="none" w:sz="0" w:space="0" w:color="auto"/>
            <w:right w:val="none" w:sz="0" w:space="0" w:color="auto"/>
          </w:divBdr>
        </w:div>
      </w:divsChild>
    </w:div>
    <w:div w:id="1468624156">
      <w:marLeft w:val="4"/>
      <w:marRight w:val="0"/>
      <w:marTop w:val="120"/>
      <w:marBottom w:val="0"/>
      <w:divBdr>
        <w:top w:val="none" w:sz="0" w:space="0" w:color="auto"/>
        <w:left w:val="none" w:sz="0" w:space="0" w:color="auto"/>
        <w:bottom w:val="none" w:sz="0" w:space="0" w:color="auto"/>
        <w:right w:val="none" w:sz="0" w:space="0" w:color="auto"/>
      </w:divBdr>
      <w:divsChild>
        <w:div w:id="2095466009">
          <w:marLeft w:val="0"/>
          <w:marRight w:val="0"/>
          <w:marTop w:val="0"/>
          <w:marBottom w:val="0"/>
          <w:divBdr>
            <w:top w:val="none" w:sz="0" w:space="0" w:color="auto"/>
            <w:left w:val="none" w:sz="0" w:space="0" w:color="auto"/>
            <w:bottom w:val="none" w:sz="0" w:space="0" w:color="auto"/>
            <w:right w:val="none" w:sz="0" w:space="0" w:color="auto"/>
          </w:divBdr>
        </w:div>
      </w:divsChild>
    </w:div>
    <w:div w:id="1479958301">
      <w:marLeft w:val="3"/>
      <w:marRight w:val="0"/>
      <w:marTop w:val="120"/>
      <w:marBottom w:val="0"/>
      <w:divBdr>
        <w:top w:val="none" w:sz="0" w:space="0" w:color="auto"/>
        <w:left w:val="none" w:sz="0" w:space="0" w:color="auto"/>
        <w:bottom w:val="none" w:sz="0" w:space="0" w:color="auto"/>
        <w:right w:val="none" w:sz="0" w:space="0" w:color="auto"/>
      </w:divBdr>
      <w:divsChild>
        <w:div w:id="545222386">
          <w:marLeft w:val="0"/>
          <w:marRight w:val="0"/>
          <w:marTop w:val="0"/>
          <w:marBottom w:val="0"/>
          <w:divBdr>
            <w:top w:val="none" w:sz="0" w:space="0" w:color="auto"/>
            <w:left w:val="none" w:sz="0" w:space="0" w:color="auto"/>
            <w:bottom w:val="none" w:sz="0" w:space="0" w:color="auto"/>
            <w:right w:val="none" w:sz="0" w:space="0" w:color="auto"/>
          </w:divBdr>
        </w:div>
      </w:divsChild>
    </w:div>
    <w:div w:id="1480266800">
      <w:marLeft w:val="0"/>
      <w:marRight w:val="0"/>
      <w:marTop w:val="0"/>
      <w:marBottom w:val="0"/>
      <w:divBdr>
        <w:top w:val="none" w:sz="0" w:space="0" w:color="auto"/>
        <w:left w:val="none" w:sz="0" w:space="0" w:color="auto"/>
        <w:bottom w:val="none" w:sz="0" w:space="0" w:color="auto"/>
        <w:right w:val="none" w:sz="0" w:space="0" w:color="auto"/>
      </w:divBdr>
    </w:div>
    <w:div w:id="1499732992">
      <w:marLeft w:val="3"/>
      <w:marRight w:val="0"/>
      <w:marTop w:val="120"/>
      <w:marBottom w:val="0"/>
      <w:divBdr>
        <w:top w:val="none" w:sz="0" w:space="0" w:color="auto"/>
        <w:left w:val="none" w:sz="0" w:space="0" w:color="auto"/>
        <w:bottom w:val="none" w:sz="0" w:space="0" w:color="auto"/>
        <w:right w:val="none" w:sz="0" w:space="0" w:color="auto"/>
      </w:divBdr>
      <w:divsChild>
        <w:div w:id="157578417">
          <w:marLeft w:val="0"/>
          <w:marRight w:val="0"/>
          <w:marTop w:val="0"/>
          <w:marBottom w:val="0"/>
          <w:divBdr>
            <w:top w:val="none" w:sz="0" w:space="0" w:color="auto"/>
            <w:left w:val="none" w:sz="0" w:space="0" w:color="auto"/>
            <w:bottom w:val="none" w:sz="0" w:space="0" w:color="auto"/>
            <w:right w:val="none" w:sz="0" w:space="0" w:color="auto"/>
          </w:divBdr>
        </w:div>
      </w:divsChild>
    </w:div>
    <w:div w:id="1507595617">
      <w:marLeft w:val="3"/>
      <w:marRight w:val="0"/>
      <w:marTop w:val="120"/>
      <w:marBottom w:val="0"/>
      <w:divBdr>
        <w:top w:val="none" w:sz="0" w:space="0" w:color="auto"/>
        <w:left w:val="none" w:sz="0" w:space="0" w:color="auto"/>
        <w:bottom w:val="none" w:sz="0" w:space="0" w:color="auto"/>
        <w:right w:val="none" w:sz="0" w:space="0" w:color="auto"/>
      </w:divBdr>
      <w:divsChild>
        <w:div w:id="279335240">
          <w:marLeft w:val="0"/>
          <w:marRight w:val="0"/>
          <w:marTop w:val="0"/>
          <w:marBottom w:val="0"/>
          <w:divBdr>
            <w:top w:val="none" w:sz="0" w:space="0" w:color="auto"/>
            <w:left w:val="none" w:sz="0" w:space="0" w:color="auto"/>
            <w:bottom w:val="none" w:sz="0" w:space="0" w:color="auto"/>
            <w:right w:val="none" w:sz="0" w:space="0" w:color="auto"/>
          </w:divBdr>
        </w:div>
      </w:divsChild>
    </w:div>
    <w:div w:id="1515344921">
      <w:marLeft w:val="4"/>
      <w:marRight w:val="0"/>
      <w:marTop w:val="120"/>
      <w:marBottom w:val="0"/>
      <w:divBdr>
        <w:top w:val="none" w:sz="0" w:space="0" w:color="auto"/>
        <w:left w:val="none" w:sz="0" w:space="0" w:color="auto"/>
        <w:bottom w:val="none" w:sz="0" w:space="0" w:color="auto"/>
        <w:right w:val="none" w:sz="0" w:space="0" w:color="auto"/>
      </w:divBdr>
      <w:divsChild>
        <w:div w:id="1788348716">
          <w:marLeft w:val="0"/>
          <w:marRight w:val="0"/>
          <w:marTop w:val="0"/>
          <w:marBottom w:val="0"/>
          <w:divBdr>
            <w:top w:val="none" w:sz="0" w:space="0" w:color="auto"/>
            <w:left w:val="none" w:sz="0" w:space="0" w:color="auto"/>
            <w:bottom w:val="none" w:sz="0" w:space="0" w:color="auto"/>
            <w:right w:val="none" w:sz="0" w:space="0" w:color="auto"/>
          </w:divBdr>
        </w:div>
      </w:divsChild>
    </w:div>
    <w:div w:id="1520698574">
      <w:marLeft w:val="3"/>
      <w:marRight w:val="0"/>
      <w:marTop w:val="120"/>
      <w:marBottom w:val="0"/>
      <w:divBdr>
        <w:top w:val="none" w:sz="0" w:space="0" w:color="auto"/>
        <w:left w:val="none" w:sz="0" w:space="0" w:color="auto"/>
        <w:bottom w:val="none" w:sz="0" w:space="0" w:color="auto"/>
        <w:right w:val="none" w:sz="0" w:space="0" w:color="auto"/>
      </w:divBdr>
      <w:divsChild>
        <w:div w:id="1324357509">
          <w:marLeft w:val="0"/>
          <w:marRight w:val="0"/>
          <w:marTop w:val="0"/>
          <w:marBottom w:val="0"/>
          <w:divBdr>
            <w:top w:val="none" w:sz="0" w:space="0" w:color="auto"/>
            <w:left w:val="none" w:sz="0" w:space="0" w:color="auto"/>
            <w:bottom w:val="none" w:sz="0" w:space="0" w:color="auto"/>
            <w:right w:val="none" w:sz="0" w:space="0" w:color="auto"/>
          </w:divBdr>
        </w:div>
      </w:divsChild>
    </w:div>
    <w:div w:id="1525482400">
      <w:marLeft w:val="3"/>
      <w:marRight w:val="0"/>
      <w:marTop w:val="120"/>
      <w:marBottom w:val="0"/>
      <w:divBdr>
        <w:top w:val="none" w:sz="0" w:space="0" w:color="auto"/>
        <w:left w:val="none" w:sz="0" w:space="0" w:color="auto"/>
        <w:bottom w:val="none" w:sz="0" w:space="0" w:color="auto"/>
        <w:right w:val="none" w:sz="0" w:space="0" w:color="auto"/>
      </w:divBdr>
      <w:divsChild>
        <w:div w:id="755979529">
          <w:marLeft w:val="0"/>
          <w:marRight w:val="0"/>
          <w:marTop w:val="0"/>
          <w:marBottom w:val="0"/>
          <w:divBdr>
            <w:top w:val="none" w:sz="0" w:space="0" w:color="auto"/>
            <w:left w:val="none" w:sz="0" w:space="0" w:color="auto"/>
            <w:bottom w:val="none" w:sz="0" w:space="0" w:color="auto"/>
            <w:right w:val="none" w:sz="0" w:space="0" w:color="auto"/>
          </w:divBdr>
        </w:div>
      </w:divsChild>
    </w:div>
    <w:div w:id="1525555807">
      <w:marLeft w:val="3"/>
      <w:marRight w:val="0"/>
      <w:marTop w:val="120"/>
      <w:marBottom w:val="0"/>
      <w:divBdr>
        <w:top w:val="none" w:sz="0" w:space="0" w:color="auto"/>
        <w:left w:val="none" w:sz="0" w:space="0" w:color="auto"/>
        <w:bottom w:val="none" w:sz="0" w:space="0" w:color="auto"/>
        <w:right w:val="none" w:sz="0" w:space="0" w:color="auto"/>
      </w:divBdr>
      <w:divsChild>
        <w:div w:id="1972713398">
          <w:marLeft w:val="0"/>
          <w:marRight w:val="0"/>
          <w:marTop w:val="0"/>
          <w:marBottom w:val="0"/>
          <w:divBdr>
            <w:top w:val="none" w:sz="0" w:space="0" w:color="auto"/>
            <w:left w:val="none" w:sz="0" w:space="0" w:color="auto"/>
            <w:bottom w:val="none" w:sz="0" w:space="0" w:color="auto"/>
            <w:right w:val="none" w:sz="0" w:space="0" w:color="auto"/>
          </w:divBdr>
        </w:div>
      </w:divsChild>
    </w:div>
    <w:div w:id="1532106610">
      <w:marLeft w:val="3"/>
      <w:marRight w:val="0"/>
      <w:marTop w:val="120"/>
      <w:marBottom w:val="0"/>
      <w:divBdr>
        <w:top w:val="none" w:sz="0" w:space="0" w:color="auto"/>
        <w:left w:val="none" w:sz="0" w:space="0" w:color="auto"/>
        <w:bottom w:val="none" w:sz="0" w:space="0" w:color="auto"/>
        <w:right w:val="none" w:sz="0" w:space="0" w:color="auto"/>
      </w:divBdr>
      <w:divsChild>
        <w:div w:id="337661009">
          <w:marLeft w:val="0"/>
          <w:marRight w:val="0"/>
          <w:marTop w:val="0"/>
          <w:marBottom w:val="0"/>
          <w:divBdr>
            <w:top w:val="none" w:sz="0" w:space="0" w:color="auto"/>
            <w:left w:val="none" w:sz="0" w:space="0" w:color="auto"/>
            <w:bottom w:val="none" w:sz="0" w:space="0" w:color="auto"/>
            <w:right w:val="none" w:sz="0" w:space="0" w:color="auto"/>
          </w:divBdr>
        </w:div>
      </w:divsChild>
    </w:div>
    <w:div w:id="1539471451">
      <w:marLeft w:val="3"/>
      <w:marRight w:val="0"/>
      <w:marTop w:val="120"/>
      <w:marBottom w:val="0"/>
      <w:divBdr>
        <w:top w:val="none" w:sz="0" w:space="0" w:color="auto"/>
        <w:left w:val="none" w:sz="0" w:space="0" w:color="auto"/>
        <w:bottom w:val="none" w:sz="0" w:space="0" w:color="auto"/>
        <w:right w:val="none" w:sz="0" w:space="0" w:color="auto"/>
      </w:divBdr>
      <w:divsChild>
        <w:div w:id="972559394">
          <w:marLeft w:val="0"/>
          <w:marRight w:val="0"/>
          <w:marTop w:val="0"/>
          <w:marBottom w:val="0"/>
          <w:divBdr>
            <w:top w:val="none" w:sz="0" w:space="0" w:color="auto"/>
            <w:left w:val="none" w:sz="0" w:space="0" w:color="auto"/>
            <w:bottom w:val="none" w:sz="0" w:space="0" w:color="auto"/>
            <w:right w:val="none" w:sz="0" w:space="0" w:color="auto"/>
          </w:divBdr>
        </w:div>
      </w:divsChild>
    </w:div>
    <w:div w:id="1540778600">
      <w:marLeft w:val="3"/>
      <w:marRight w:val="0"/>
      <w:marTop w:val="120"/>
      <w:marBottom w:val="0"/>
      <w:divBdr>
        <w:top w:val="none" w:sz="0" w:space="0" w:color="auto"/>
        <w:left w:val="none" w:sz="0" w:space="0" w:color="auto"/>
        <w:bottom w:val="none" w:sz="0" w:space="0" w:color="auto"/>
        <w:right w:val="none" w:sz="0" w:space="0" w:color="auto"/>
      </w:divBdr>
      <w:divsChild>
        <w:div w:id="863177721">
          <w:marLeft w:val="0"/>
          <w:marRight w:val="0"/>
          <w:marTop w:val="0"/>
          <w:marBottom w:val="0"/>
          <w:divBdr>
            <w:top w:val="none" w:sz="0" w:space="0" w:color="auto"/>
            <w:left w:val="none" w:sz="0" w:space="0" w:color="auto"/>
            <w:bottom w:val="none" w:sz="0" w:space="0" w:color="auto"/>
            <w:right w:val="none" w:sz="0" w:space="0" w:color="auto"/>
          </w:divBdr>
        </w:div>
      </w:divsChild>
    </w:div>
    <w:div w:id="1546722874">
      <w:marLeft w:val="3"/>
      <w:marRight w:val="0"/>
      <w:marTop w:val="120"/>
      <w:marBottom w:val="0"/>
      <w:divBdr>
        <w:top w:val="none" w:sz="0" w:space="0" w:color="auto"/>
        <w:left w:val="none" w:sz="0" w:space="0" w:color="auto"/>
        <w:bottom w:val="none" w:sz="0" w:space="0" w:color="auto"/>
        <w:right w:val="none" w:sz="0" w:space="0" w:color="auto"/>
      </w:divBdr>
      <w:divsChild>
        <w:div w:id="192159658">
          <w:marLeft w:val="0"/>
          <w:marRight w:val="0"/>
          <w:marTop w:val="0"/>
          <w:marBottom w:val="0"/>
          <w:divBdr>
            <w:top w:val="none" w:sz="0" w:space="0" w:color="auto"/>
            <w:left w:val="none" w:sz="0" w:space="0" w:color="auto"/>
            <w:bottom w:val="none" w:sz="0" w:space="0" w:color="auto"/>
            <w:right w:val="none" w:sz="0" w:space="0" w:color="auto"/>
          </w:divBdr>
        </w:div>
      </w:divsChild>
    </w:div>
    <w:div w:id="1553729314">
      <w:marLeft w:val="3"/>
      <w:marRight w:val="0"/>
      <w:marTop w:val="120"/>
      <w:marBottom w:val="0"/>
      <w:divBdr>
        <w:top w:val="none" w:sz="0" w:space="0" w:color="auto"/>
        <w:left w:val="none" w:sz="0" w:space="0" w:color="auto"/>
        <w:bottom w:val="none" w:sz="0" w:space="0" w:color="auto"/>
        <w:right w:val="none" w:sz="0" w:space="0" w:color="auto"/>
      </w:divBdr>
      <w:divsChild>
        <w:div w:id="158235539">
          <w:marLeft w:val="0"/>
          <w:marRight w:val="0"/>
          <w:marTop w:val="0"/>
          <w:marBottom w:val="0"/>
          <w:divBdr>
            <w:top w:val="none" w:sz="0" w:space="0" w:color="auto"/>
            <w:left w:val="none" w:sz="0" w:space="0" w:color="auto"/>
            <w:bottom w:val="none" w:sz="0" w:space="0" w:color="auto"/>
            <w:right w:val="none" w:sz="0" w:space="0" w:color="auto"/>
          </w:divBdr>
        </w:div>
      </w:divsChild>
    </w:div>
    <w:div w:id="1556814342">
      <w:marLeft w:val="3"/>
      <w:marRight w:val="0"/>
      <w:marTop w:val="120"/>
      <w:marBottom w:val="0"/>
      <w:divBdr>
        <w:top w:val="none" w:sz="0" w:space="0" w:color="auto"/>
        <w:left w:val="none" w:sz="0" w:space="0" w:color="auto"/>
        <w:bottom w:val="none" w:sz="0" w:space="0" w:color="auto"/>
        <w:right w:val="none" w:sz="0" w:space="0" w:color="auto"/>
      </w:divBdr>
      <w:divsChild>
        <w:div w:id="1894345698">
          <w:marLeft w:val="0"/>
          <w:marRight w:val="0"/>
          <w:marTop w:val="0"/>
          <w:marBottom w:val="0"/>
          <w:divBdr>
            <w:top w:val="none" w:sz="0" w:space="0" w:color="auto"/>
            <w:left w:val="none" w:sz="0" w:space="0" w:color="auto"/>
            <w:bottom w:val="none" w:sz="0" w:space="0" w:color="auto"/>
            <w:right w:val="none" w:sz="0" w:space="0" w:color="auto"/>
          </w:divBdr>
        </w:div>
      </w:divsChild>
    </w:div>
    <w:div w:id="1563560818">
      <w:marLeft w:val="3"/>
      <w:marRight w:val="0"/>
      <w:marTop w:val="120"/>
      <w:marBottom w:val="0"/>
      <w:divBdr>
        <w:top w:val="none" w:sz="0" w:space="0" w:color="auto"/>
        <w:left w:val="none" w:sz="0" w:space="0" w:color="auto"/>
        <w:bottom w:val="none" w:sz="0" w:space="0" w:color="auto"/>
        <w:right w:val="none" w:sz="0" w:space="0" w:color="auto"/>
      </w:divBdr>
      <w:divsChild>
        <w:div w:id="1895852422">
          <w:marLeft w:val="0"/>
          <w:marRight w:val="0"/>
          <w:marTop w:val="0"/>
          <w:marBottom w:val="0"/>
          <w:divBdr>
            <w:top w:val="none" w:sz="0" w:space="0" w:color="auto"/>
            <w:left w:val="none" w:sz="0" w:space="0" w:color="auto"/>
            <w:bottom w:val="none" w:sz="0" w:space="0" w:color="auto"/>
            <w:right w:val="none" w:sz="0" w:space="0" w:color="auto"/>
          </w:divBdr>
        </w:div>
      </w:divsChild>
    </w:div>
    <w:div w:id="1566068478">
      <w:marLeft w:val="3"/>
      <w:marRight w:val="0"/>
      <w:marTop w:val="120"/>
      <w:marBottom w:val="0"/>
      <w:divBdr>
        <w:top w:val="none" w:sz="0" w:space="0" w:color="auto"/>
        <w:left w:val="none" w:sz="0" w:space="0" w:color="auto"/>
        <w:bottom w:val="none" w:sz="0" w:space="0" w:color="auto"/>
        <w:right w:val="none" w:sz="0" w:space="0" w:color="auto"/>
      </w:divBdr>
      <w:divsChild>
        <w:div w:id="2018534579">
          <w:marLeft w:val="0"/>
          <w:marRight w:val="0"/>
          <w:marTop w:val="0"/>
          <w:marBottom w:val="0"/>
          <w:divBdr>
            <w:top w:val="none" w:sz="0" w:space="0" w:color="auto"/>
            <w:left w:val="none" w:sz="0" w:space="0" w:color="auto"/>
            <w:bottom w:val="none" w:sz="0" w:space="0" w:color="auto"/>
            <w:right w:val="none" w:sz="0" w:space="0" w:color="auto"/>
          </w:divBdr>
        </w:div>
      </w:divsChild>
    </w:div>
    <w:div w:id="1582443674">
      <w:marLeft w:val="4"/>
      <w:marRight w:val="0"/>
      <w:marTop w:val="0"/>
      <w:marBottom w:val="0"/>
      <w:divBdr>
        <w:top w:val="none" w:sz="0" w:space="0" w:color="auto"/>
        <w:left w:val="none" w:sz="0" w:space="0" w:color="auto"/>
        <w:bottom w:val="none" w:sz="0" w:space="0" w:color="auto"/>
        <w:right w:val="none" w:sz="0" w:space="0" w:color="auto"/>
      </w:divBdr>
      <w:divsChild>
        <w:div w:id="425351794">
          <w:marLeft w:val="0"/>
          <w:marRight w:val="0"/>
          <w:marTop w:val="0"/>
          <w:marBottom w:val="0"/>
          <w:divBdr>
            <w:top w:val="none" w:sz="0" w:space="0" w:color="auto"/>
            <w:left w:val="none" w:sz="0" w:space="0" w:color="auto"/>
            <w:bottom w:val="none" w:sz="0" w:space="0" w:color="auto"/>
            <w:right w:val="none" w:sz="0" w:space="0" w:color="auto"/>
          </w:divBdr>
        </w:div>
      </w:divsChild>
    </w:div>
    <w:div w:id="1588419845">
      <w:marLeft w:val="3"/>
      <w:marRight w:val="0"/>
      <w:marTop w:val="120"/>
      <w:marBottom w:val="0"/>
      <w:divBdr>
        <w:top w:val="none" w:sz="0" w:space="0" w:color="auto"/>
        <w:left w:val="none" w:sz="0" w:space="0" w:color="auto"/>
        <w:bottom w:val="none" w:sz="0" w:space="0" w:color="auto"/>
        <w:right w:val="none" w:sz="0" w:space="0" w:color="auto"/>
      </w:divBdr>
      <w:divsChild>
        <w:div w:id="410587963">
          <w:marLeft w:val="0"/>
          <w:marRight w:val="0"/>
          <w:marTop w:val="0"/>
          <w:marBottom w:val="0"/>
          <w:divBdr>
            <w:top w:val="none" w:sz="0" w:space="0" w:color="auto"/>
            <w:left w:val="none" w:sz="0" w:space="0" w:color="auto"/>
            <w:bottom w:val="none" w:sz="0" w:space="0" w:color="auto"/>
            <w:right w:val="none" w:sz="0" w:space="0" w:color="auto"/>
          </w:divBdr>
        </w:div>
      </w:divsChild>
    </w:div>
    <w:div w:id="1596132692">
      <w:marLeft w:val="3"/>
      <w:marRight w:val="0"/>
      <w:marTop w:val="120"/>
      <w:marBottom w:val="0"/>
      <w:divBdr>
        <w:top w:val="none" w:sz="0" w:space="0" w:color="auto"/>
        <w:left w:val="none" w:sz="0" w:space="0" w:color="auto"/>
        <w:bottom w:val="none" w:sz="0" w:space="0" w:color="auto"/>
        <w:right w:val="none" w:sz="0" w:space="0" w:color="auto"/>
      </w:divBdr>
      <w:divsChild>
        <w:div w:id="1635597245">
          <w:marLeft w:val="0"/>
          <w:marRight w:val="0"/>
          <w:marTop w:val="0"/>
          <w:marBottom w:val="0"/>
          <w:divBdr>
            <w:top w:val="none" w:sz="0" w:space="0" w:color="auto"/>
            <w:left w:val="none" w:sz="0" w:space="0" w:color="auto"/>
            <w:bottom w:val="none" w:sz="0" w:space="0" w:color="auto"/>
            <w:right w:val="none" w:sz="0" w:space="0" w:color="auto"/>
          </w:divBdr>
        </w:div>
      </w:divsChild>
    </w:div>
    <w:div w:id="1619022749">
      <w:marLeft w:val="3"/>
      <w:marRight w:val="0"/>
      <w:marTop w:val="120"/>
      <w:marBottom w:val="0"/>
      <w:divBdr>
        <w:top w:val="none" w:sz="0" w:space="0" w:color="auto"/>
        <w:left w:val="none" w:sz="0" w:space="0" w:color="auto"/>
        <w:bottom w:val="none" w:sz="0" w:space="0" w:color="auto"/>
        <w:right w:val="none" w:sz="0" w:space="0" w:color="auto"/>
      </w:divBdr>
      <w:divsChild>
        <w:div w:id="736977079">
          <w:marLeft w:val="0"/>
          <w:marRight w:val="0"/>
          <w:marTop w:val="0"/>
          <w:marBottom w:val="0"/>
          <w:divBdr>
            <w:top w:val="none" w:sz="0" w:space="0" w:color="auto"/>
            <w:left w:val="none" w:sz="0" w:space="0" w:color="auto"/>
            <w:bottom w:val="none" w:sz="0" w:space="0" w:color="auto"/>
            <w:right w:val="none" w:sz="0" w:space="0" w:color="auto"/>
          </w:divBdr>
        </w:div>
      </w:divsChild>
    </w:div>
    <w:div w:id="1622688002">
      <w:marLeft w:val="3"/>
      <w:marRight w:val="0"/>
      <w:marTop w:val="120"/>
      <w:marBottom w:val="0"/>
      <w:divBdr>
        <w:top w:val="none" w:sz="0" w:space="0" w:color="auto"/>
        <w:left w:val="none" w:sz="0" w:space="0" w:color="auto"/>
        <w:bottom w:val="none" w:sz="0" w:space="0" w:color="auto"/>
        <w:right w:val="none" w:sz="0" w:space="0" w:color="auto"/>
      </w:divBdr>
      <w:divsChild>
        <w:div w:id="488405009">
          <w:marLeft w:val="0"/>
          <w:marRight w:val="0"/>
          <w:marTop w:val="0"/>
          <w:marBottom w:val="0"/>
          <w:divBdr>
            <w:top w:val="none" w:sz="0" w:space="0" w:color="auto"/>
            <w:left w:val="none" w:sz="0" w:space="0" w:color="auto"/>
            <w:bottom w:val="none" w:sz="0" w:space="0" w:color="auto"/>
            <w:right w:val="none" w:sz="0" w:space="0" w:color="auto"/>
          </w:divBdr>
        </w:div>
      </w:divsChild>
    </w:div>
    <w:div w:id="1628049955">
      <w:marLeft w:val="3"/>
      <w:marRight w:val="0"/>
      <w:marTop w:val="120"/>
      <w:marBottom w:val="0"/>
      <w:divBdr>
        <w:top w:val="none" w:sz="0" w:space="0" w:color="auto"/>
        <w:left w:val="none" w:sz="0" w:space="0" w:color="auto"/>
        <w:bottom w:val="none" w:sz="0" w:space="0" w:color="auto"/>
        <w:right w:val="none" w:sz="0" w:space="0" w:color="auto"/>
      </w:divBdr>
      <w:divsChild>
        <w:div w:id="875657774">
          <w:marLeft w:val="0"/>
          <w:marRight w:val="0"/>
          <w:marTop w:val="0"/>
          <w:marBottom w:val="0"/>
          <w:divBdr>
            <w:top w:val="none" w:sz="0" w:space="0" w:color="auto"/>
            <w:left w:val="none" w:sz="0" w:space="0" w:color="auto"/>
            <w:bottom w:val="none" w:sz="0" w:space="0" w:color="auto"/>
            <w:right w:val="none" w:sz="0" w:space="0" w:color="auto"/>
          </w:divBdr>
        </w:div>
      </w:divsChild>
    </w:div>
    <w:div w:id="1629237916">
      <w:marLeft w:val="4"/>
      <w:marRight w:val="0"/>
      <w:marTop w:val="120"/>
      <w:marBottom w:val="0"/>
      <w:divBdr>
        <w:top w:val="none" w:sz="0" w:space="0" w:color="auto"/>
        <w:left w:val="none" w:sz="0" w:space="0" w:color="auto"/>
        <w:bottom w:val="none" w:sz="0" w:space="0" w:color="auto"/>
        <w:right w:val="none" w:sz="0" w:space="0" w:color="auto"/>
      </w:divBdr>
      <w:divsChild>
        <w:div w:id="1270772259">
          <w:marLeft w:val="0"/>
          <w:marRight w:val="0"/>
          <w:marTop w:val="0"/>
          <w:marBottom w:val="0"/>
          <w:divBdr>
            <w:top w:val="none" w:sz="0" w:space="0" w:color="auto"/>
            <w:left w:val="none" w:sz="0" w:space="0" w:color="auto"/>
            <w:bottom w:val="none" w:sz="0" w:space="0" w:color="auto"/>
            <w:right w:val="none" w:sz="0" w:space="0" w:color="auto"/>
          </w:divBdr>
        </w:div>
      </w:divsChild>
    </w:div>
    <w:div w:id="1637300500">
      <w:marLeft w:val="3"/>
      <w:marRight w:val="0"/>
      <w:marTop w:val="120"/>
      <w:marBottom w:val="0"/>
      <w:divBdr>
        <w:top w:val="none" w:sz="0" w:space="0" w:color="auto"/>
        <w:left w:val="none" w:sz="0" w:space="0" w:color="auto"/>
        <w:bottom w:val="none" w:sz="0" w:space="0" w:color="auto"/>
        <w:right w:val="none" w:sz="0" w:space="0" w:color="auto"/>
      </w:divBdr>
      <w:divsChild>
        <w:div w:id="1184711871">
          <w:marLeft w:val="0"/>
          <w:marRight w:val="0"/>
          <w:marTop w:val="0"/>
          <w:marBottom w:val="0"/>
          <w:divBdr>
            <w:top w:val="none" w:sz="0" w:space="0" w:color="auto"/>
            <w:left w:val="none" w:sz="0" w:space="0" w:color="auto"/>
            <w:bottom w:val="none" w:sz="0" w:space="0" w:color="auto"/>
            <w:right w:val="none" w:sz="0" w:space="0" w:color="auto"/>
          </w:divBdr>
        </w:div>
      </w:divsChild>
    </w:div>
    <w:div w:id="1640040141">
      <w:marLeft w:val="3"/>
      <w:marRight w:val="0"/>
      <w:marTop w:val="120"/>
      <w:marBottom w:val="0"/>
      <w:divBdr>
        <w:top w:val="none" w:sz="0" w:space="0" w:color="auto"/>
        <w:left w:val="none" w:sz="0" w:space="0" w:color="auto"/>
        <w:bottom w:val="none" w:sz="0" w:space="0" w:color="auto"/>
        <w:right w:val="none" w:sz="0" w:space="0" w:color="auto"/>
      </w:divBdr>
      <w:divsChild>
        <w:div w:id="728847265">
          <w:marLeft w:val="0"/>
          <w:marRight w:val="0"/>
          <w:marTop w:val="0"/>
          <w:marBottom w:val="0"/>
          <w:divBdr>
            <w:top w:val="none" w:sz="0" w:space="0" w:color="auto"/>
            <w:left w:val="none" w:sz="0" w:space="0" w:color="auto"/>
            <w:bottom w:val="none" w:sz="0" w:space="0" w:color="auto"/>
            <w:right w:val="none" w:sz="0" w:space="0" w:color="auto"/>
          </w:divBdr>
        </w:div>
      </w:divsChild>
    </w:div>
    <w:div w:id="1646544229">
      <w:marLeft w:val="4"/>
      <w:marRight w:val="0"/>
      <w:marTop w:val="120"/>
      <w:marBottom w:val="0"/>
      <w:divBdr>
        <w:top w:val="none" w:sz="0" w:space="0" w:color="auto"/>
        <w:left w:val="none" w:sz="0" w:space="0" w:color="auto"/>
        <w:bottom w:val="none" w:sz="0" w:space="0" w:color="auto"/>
        <w:right w:val="none" w:sz="0" w:space="0" w:color="auto"/>
      </w:divBdr>
      <w:divsChild>
        <w:div w:id="1287079159">
          <w:marLeft w:val="0"/>
          <w:marRight w:val="0"/>
          <w:marTop w:val="0"/>
          <w:marBottom w:val="0"/>
          <w:divBdr>
            <w:top w:val="none" w:sz="0" w:space="0" w:color="auto"/>
            <w:left w:val="none" w:sz="0" w:space="0" w:color="auto"/>
            <w:bottom w:val="none" w:sz="0" w:space="0" w:color="auto"/>
            <w:right w:val="none" w:sz="0" w:space="0" w:color="auto"/>
          </w:divBdr>
        </w:div>
      </w:divsChild>
    </w:div>
    <w:div w:id="1655450400">
      <w:marLeft w:val="4"/>
      <w:marRight w:val="0"/>
      <w:marTop w:val="60"/>
      <w:marBottom w:val="0"/>
      <w:divBdr>
        <w:top w:val="none" w:sz="0" w:space="0" w:color="auto"/>
        <w:left w:val="none" w:sz="0" w:space="0" w:color="auto"/>
        <w:bottom w:val="none" w:sz="0" w:space="0" w:color="auto"/>
        <w:right w:val="none" w:sz="0" w:space="0" w:color="auto"/>
      </w:divBdr>
      <w:divsChild>
        <w:div w:id="2118475939">
          <w:marLeft w:val="0"/>
          <w:marRight w:val="0"/>
          <w:marTop w:val="0"/>
          <w:marBottom w:val="0"/>
          <w:divBdr>
            <w:top w:val="none" w:sz="0" w:space="0" w:color="auto"/>
            <w:left w:val="none" w:sz="0" w:space="0" w:color="auto"/>
            <w:bottom w:val="none" w:sz="0" w:space="0" w:color="auto"/>
            <w:right w:val="none" w:sz="0" w:space="0" w:color="auto"/>
          </w:divBdr>
        </w:div>
      </w:divsChild>
    </w:div>
    <w:div w:id="1661346022">
      <w:marLeft w:val="3"/>
      <w:marRight w:val="0"/>
      <w:marTop w:val="120"/>
      <w:marBottom w:val="0"/>
      <w:divBdr>
        <w:top w:val="none" w:sz="0" w:space="0" w:color="auto"/>
        <w:left w:val="none" w:sz="0" w:space="0" w:color="auto"/>
        <w:bottom w:val="none" w:sz="0" w:space="0" w:color="auto"/>
        <w:right w:val="none" w:sz="0" w:space="0" w:color="auto"/>
      </w:divBdr>
      <w:divsChild>
        <w:div w:id="1098060924">
          <w:marLeft w:val="0"/>
          <w:marRight w:val="0"/>
          <w:marTop w:val="0"/>
          <w:marBottom w:val="0"/>
          <w:divBdr>
            <w:top w:val="none" w:sz="0" w:space="0" w:color="auto"/>
            <w:left w:val="none" w:sz="0" w:space="0" w:color="auto"/>
            <w:bottom w:val="none" w:sz="0" w:space="0" w:color="auto"/>
            <w:right w:val="none" w:sz="0" w:space="0" w:color="auto"/>
          </w:divBdr>
        </w:div>
      </w:divsChild>
    </w:div>
    <w:div w:id="1670136523">
      <w:marLeft w:val="4"/>
      <w:marRight w:val="0"/>
      <w:marTop w:val="120"/>
      <w:marBottom w:val="0"/>
      <w:divBdr>
        <w:top w:val="none" w:sz="0" w:space="0" w:color="auto"/>
        <w:left w:val="none" w:sz="0" w:space="0" w:color="auto"/>
        <w:bottom w:val="none" w:sz="0" w:space="0" w:color="auto"/>
        <w:right w:val="none" w:sz="0" w:space="0" w:color="auto"/>
      </w:divBdr>
      <w:divsChild>
        <w:div w:id="1067000780">
          <w:marLeft w:val="0"/>
          <w:marRight w:val="0"/>
          <w:marTop w:val="0"/>
          <w:marBottom w:val="0"/>
          <w:divBdr>
            <w:top w:val="none" w:sz="0" w:space="0" w:color="auto"/>
            <w:left w:val="none" w:sz="0" w:space="0" w:color="auto"/>
            <w:bottom w:val="none" w:sz="0" w:space="0" w:color="auto"/>
            <w:right w:val="none" w:sz="0" w:space="0" w:color="auto"/>
          </w:divBdr>
        </w:div>
      </w:divsChild>
    </w:div>
    <w:div w:id="1675524389">
      <w:marLeft w:val="4"/>
      <w:marRight w:val="0"/>
      <w:marTop w:val="120"/>
      <w:marBottom w:val="0"/>
      <w:divBdr>
        <w:top w:val="none" w:sz="0" w:space="0" w:color="auto"/>
        <w:left w:val="none" w:sz="0" w:space="0" w:color="auto"/>
        <w:bottom w:val="none" w:sz="0" w:space="0" w:color="auto"/>
        <w:right w:val="none" w:sz="0" w:space="0" w:color="auto"/>
      </w:divBdr>
      <w:divsChild>
        <w:div w:id="1044980914">
          <w:marLeft w:val="0"/>
          <w:marRight w:val="0"/>
          <w:marTop w:val="0"/>
          <w:marBottom w:val="0"/>
          <w:divBdr>
            <w:top w:val="none" w:sz="0" w:space="0" w:color="auto"/>
            <w:left w:val="none" w:sz="0" w:space="0" w:color="auto"/>
            <w:bottom w:val="none" w:sz="0" w:space="0" w:color="auto"/>
            <w:right w:val="none" w:sz="0" w:space="0" w:color="auto"/>
          </w:divBdr>
        </w:div>
      </w:divsChild>
    </w:div>
    <w:div w:id="1677884625">
      <w:marLeft w:val="3"/>
      <w:marRight w:val="0"/>
      <w:marTop w:val="120"/>
      <w:marBottom w:val="0"/>
      <w:divBdr>
        <w:top w:val="none" w:sz="0" w:space="0" w:color="auto"/>
        <w:left w:val="none" w:sz="0" w:space="0" w:color="auto"/>
        <w:bottom w:val="none" w:sz="0" w:space="0" w:color="auto"/>
        <w:right w:val="none" w:sz="0" w:space="0" w:color="auto"/>
      </w:divBdr>
      <w:divsChild>
        <w:div w:id="1799957850">
          <w:marLeft w:val="0"/>
          <w:marRight w:val="0"/>
          <w:marTop w:val="0"/>
          <w:marBottom w:val="0"/>
          <w:divBdr>
            <w:top w:val="none" w:sz="0" w:space="0" w:color="auto"/>
            <w:left w:val="none" w:sz="0" w:space="0" w:color="auto"/>
            <w:bottom w:val="none" w:sz="0" w:space="0" w:color="auto"/>
            <w:right w:val="none" w:sz="0" w:space="0" w:color="auto"/>
          </w:divBdr>
        </w:div>
      </w:divsChild>
    </w:div>
    <w:div w:id="1691030806">
      <w:marLeft w:val="0"/>
      <w:marRight w:val="0"/>
      <w:marTop w:val="0"/>
      <w:marBottom w:val="0"/>
      <w:divBdr>
        <w:top w:val="none" w:sz="0" w:space="0" w:color="auto"/>
        <w:left w:val="none" w:sz="0" w:space="0" w:color="auto"/>
        <w:bottom w:val="none" w:sz="0" w:space="0" w:color="auto"/>
        <w:right w:val="none" w:sz="0" w:space="0" w:color="auto"/>
      </w:divBdr>
      <w:divsChild>
        <w:div w:id="953904048">
          <w:marLeft w:val="0"/>
          <w:marRight w:val="0"/>
          <w:marTop w:val="0"/>
          <w:marBottom w:val="0"/>
          <w:divBdr>
            <w:top w:val="none" w:sz="0" w:space="0" w:color="auto"/>
            <w:left w:val="none" w:sz="0" w:space="0" w:color="auto"/>
            <w:bottom w:val="none" w:sz="0" w:space="0" w:color="auto"/>
            <w:right w:val="none" w:sz="0" w:space="0" w:color="auto"/>
          </w:divBdr>
          <w:divsChild>
            <w:div w:id="17475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638">
      <w:marLeft w:val="3"/>
      <w:marRight w:val="0"/>
      <w:marTop w:val="120"/>
      <w:marBottom w:val="0"/>
      <w:divBdr>
        <w:top w:val="none" w:sz="0" w:space="0" w:color="auto"/>
        <w:left w:val="none" w:sz="0" w:space="0" w:color="auto"/>
        <w:bottom w:val="none" w:sz="0" w:space="0" w:color="auto"/>
        <w:right w:val="none" w:sz="0" w:space="0" w:color="auto"/>
      </w:divBdr>
      <w:divsChild>
        <w:div w:id="1014457931">
          <w:marLeft w:val="0"/>
          <w:marRight w:val="0"/>
          <w:marTop w:val="0"/>
          <w:marBottom w:val="0"/>
          <w:divBdr>
            <w:top w:val="none" w:sz="0" w:space="0" w:color="auto"/>
            <w:left w:val="none" w:sz="0" w:space="0" w:color="auto"/>
            <w:bottom w:val="none" w:sz="0" w:space="0" w:color="auto"/>
            <w:right w:val="none" w:sz="0" w:space="0" w:color="auto"/>
          </w:divBdr>
        </w:div>
      </w:divsChild>
    </w:div>
    <w:div w:id="1700858197">
      <w:marLeft w:val="4"/>
      <w:marRight w:val="0"/>
      <w:marTop w:val="120"/>
      <w:marBottom w:val="0"/>
      <w:divBdr>
        <w:top w:val="none" w:sz="0" w:space="0" w:color="auto"/>
        <w:left w:val="none" w:sz="0" w:space="0" w:color="auto"/>
        <w:bottom w:val="none" w:sz="0" w:space="0" w:color="auto"/>
        <w:right w:val="none" w:sz="0" w:space="0" w:color="auto"/>
      </w:divBdr>
      <w:divsChild>
        <w:div w:id="102966394">
          <w:marLeft w:val="0"/>
          <w:marRight w:val="0"/>
          <w:marTop w:val="0"/>
          <w:marBottom w:val="0"/>
          <w:divBdr>
            <w:top w:val="none" w:sz="0" w:space="0" w:color="auto"/>
            <w:left w:val="none" w:sz="0" w:space="0" w:color="auto"/>
            <w:bottom w:val="none" w:sz="0" w:space="0" w:color="auto"/>
            <w:right w:val="none" w:sz="0" w:space="0" w:color="auto"/>
          </w:divBdr>
        </w:div>
      </w:divsChild>
    </w:div>
    <w:div w:id="1721132747">
      <w:marLeft w:val="3"/>
      <w:marRight w:val="0"/>
      <w:marTop w:val="120"/>
      <w:marBottom w:val="0"/>
      <w:divBdr>
        <w:top w:val="none" w:sz="0" w:space="0" w:color="auto"/>
        <w:left w:val="none" w:sz="0" w:space="0" w:color="auto"/>
        <w:bottom w:val="none" w:sz="0" w:space="0" w:color="auto"/>
        <w:right w:val="none" w:sz="0" w:space="0" w:color="auto"/>
      </w:divBdr>
      <w:divsChild>
        <w:div w:id="705646370">
          <w:marLeft w:val="0"/>
          <w:marRight w:val="0"/>
          <w:marTop w:val="0"/>
          <w:marBottom w:val="0"/>
          <w:divBdr>
            <w:top w:val="none" w:sz="0" w:space="0" w:color="auto"/>
            <w:left w:val="none" w:sz="0" w:space="0" w:color="auto"/>
            <w:bottom w:val="none" w:sz="0" w:space="0" w:color="auto"/>
            <w:right w:val="none" w:sz="0" w:space="0" w:color="auto"/>
          </w:divBdr>
        </w:div>
      </w:divsChild>
    </w:div>
    <w:div w:id="1724252940">
      <w:marLeft w:val="3"/>
      <w:marRight w:val="0"/>
      <w:marTop w:val="120"/>
      <w:marBottom w:val="0"/>
      <w:divBdr>
        <w:top w:val="none" w:sz="0" w:space="0" w:color="auto"/>
        <w:left w:val="none" w:sz="0" w:space="0" w:color="auto"/>
        <w:bottom w:val="none" w:sz="0" w:space="0" w:color="auto"/>
        <w:right w:val="none" w:sz="0" w:space="0" w:color="auto"/>
      </w:divBdr>
      <w:divsChild>
        <w:div w:id="140737974">
          <w:marLeft w:val="0"/>
          <w:marRight w:val="0"/>
          <w:marTop w:val="0"/>
          <w:marBottom w:val="0"/>
          <w:divBdr>
            <w:top w:val="none" w:sz="0" w:space="0" w:color="auto"/>
            <w:left w:val="none" w:sz="0" w:space="0" w:color="auto"/>
            <w:bottom w:val="none" w:sz="0" w:space="0" w:color="auto"/>
            <w:right w:val="none" w:sz="0" w:space="0" w:color="auto"/>
          </w:divBdr>
        </w:div>
      </w:divsChild>
    </w:div>
    <w:div w:id="1746681892">
      <w:marLeft w:val="3"/>
      <w:marRight w:val="0"/>
      <w:marTop w:val="120"/>
      <w:marBottom w:val="0"/>
      <w:divBdr>
        <w:top w:val="none" w:sz="0" w:space="0" w:color="auto"/>
        <w:left w:val="none" w:sz="0" w:space="0" w:color="auto"/>
        <w:bottom w:val="none" w:sz="0" w:space="0" w:color="auto"/>
        <w:right w:val="none" w:sz="0" w:space="0" w:color="auto"/>
      </w:divBdr>
      <w:divsChild>
        <w:div w:id="119304780">
          <w:marLeft w:val="0"/>
          <w:marRight w:val="0"/>
          <w:marTop w:val="0"/>
          <w:marBottom w:val="0"/>
          <w:divBdr>
            <w:top w:val="none" w:sz="0" w:space="0" w:color="auto"/>
            <w:left w:val="none" w:sz="0" w:space="0" w:color="auto"/>
            <w:bottom w:val="none" w:sz="0" w:space="0" w:color="auto"/>
            <w:right w:val="none" w:sz="0" w:space="0" w:color="auto"/>
          </w:divBdr>
        </w:div>
      </w:divsChild>
    </w:div>
    <w:div w:id="1752464843">
      <w:marLeft w:val="0"/>
      <w:marRight w:val="0"/>
      <w:marTop w:val="0"/>
      <w:marBottom w:val="0"/>
      <w:divBdr>
        <w:top w:val="none" w:sz="0" w:space="0" w:color="auto"/>
        <w:left w:val="none" w:sz="0" w:space="0" w:color="auto"/>
        <w:bottom w:val="none" w:sz="0" w:space="0" w:color="auto"/>
        <w:right w:val="none" w:sz="0" w:space="0" w:color="auto"/>
      </w:divBdr>
    </w:div>
    <w:div w:id="1779372468">
      <w:marLeft w:val="3"/>
      <w:marRight w:val="0"/>
      <w:marTop w:val="120"/>
      <w:marBottom w:val="0"/>
      <w:divBdr>
        <w:top w:val="none" w:sz="0" w:space="0" w:color="auto"/>
        <w:left w:val="none" w:sz="0" w:space="0" w:color="auto"/>
        <w:bottom w:val="none" w:sz="0" w:space="0" w:color="auto"/>
        <w:right w:val="none" w:sz="0" w:space="0" w:color="auto"/>
      </w:divBdr>
      <w:divsChild>
        <w:div w:id="677655038">
          <w:marLeft w:val="0"/>
          <w:marRight w:val="0"/>
          <w:marTop w:val="0"/>
          <w:marBottom w:val="0"/>
          <w:divBdr>
            <w:top w:val="none" w:sz="0" w:space="0" w:color="auto"/>
            <w:left w:val="none" w:sz="0" w:space="0" w:color="auto"/>
            <w:bottom w:val="none" w:sz="0" w:space="0" w:color="auto"/>
            <w:right w:val="none" w:sz="0" w:space="0" w:color="auto"/>
          </w:divBdr>
        </w:div>
      </w:divsChild>
    </w:div>
    <w:div w:id="1787121923">
      <w:marLeft w:val="3"/>
      <w:marRight w:val="0"/>
      <w:marTop w:val="120"/>
      <w:marBottom w:val="0"/>
      <w:divBdr>
        <w:top w:val="none" w:sz="0" w:space="0" w:color="auto"/>
        <w:left w:val="none" w:sz="0" w:space="0" w:color="auto"/>
        <w:bottom w:val="none" w:sz="0" w:space="0" w:color="auto"/>
        <w:right w:val="none" w:sz="0" w:space="0" w:color="auto"/>
      </w:divBdr>
      <w:divsChild>
        <w:div w:id="1998729025">
          <w:marLeft w:val="0"/>
          <w:marRight w:val="0"/>
          <w:marTop w:val="0"/>
          <w:marBottom w:val="0"/>
          <w:divBdr>
            <w:top w:val="none" w:sz="0" w:space="0" w:color="auto"/>
            <w:left w:val="none" w:sz="0" w:space="0" w:color="auto"/>
            <w:bottom w:val="none" w:sz="0" w:space="0" w:color="auto"/>
            <w:right w:val="none" w:sz="0" w:space="0" w:color="auto"/>
          </w:divBdr>
        </w:div>
      </w:divsChild>
    </w:div>
    <w:div w:id="1805736011">
      <w:marLeft w:val="0"/>
      <w:marRight w:val="0"/>
      <w:marTop w:val="0"/>
      <w:marBottom w:val="0"/>
      <w:divBdr>
        <w:top w:val="none" w:sz="0" w:space="0" w:color="auto"/>
        <w:left w:val="none" w:sz="0" w:space="0" w:color="auto"/>
        <w:bottom w:val="none" w:sz="0" w:space="0" w:color="auto"/>
        <w:right w:val="none" w:sz="0" w:space="0" w:color="auto"/>
      </w:divBdr>
    </w:div>
    <w:div w:id="1834446897">
      <w:marLeft w:val="3"/>
      <w:marRight w:val="0"/>
      <w:marTop w:val="120"/>
      <w:marBottom w:val="0"/>
      <w:divBdr>
        <w:top w:val="none" w:sz="0" w:space="0" w:color="auto"/>
        <w:left w:val="none" w:sz="0" w:space="0" w:color="auto"/>
        <w:bottom w:val="none" w:sz="0" w:space="0" w:color="auto"/>
        <w:right w:val="none" w:sz="0" w:space="0" w:color="auto"/>
      </w:divBdr>
      <w:divsChild>
        <w:div w:id="783156450">
          <w:marLeft w:val="0"/>
          <w:marRight w:val="0"/>
          <w:marTop w:val="0"/>
          <w:marBottom w:val="0"/>
          <w:divBdr>
            <w:top w:val="none" w:sz="0" w:space="0" w:color="auto"/>
            <w:left w:val="none" w:sz="0" w:space="0" w:color="auto"/>
            <w:bottom w:val="none" w:sz="0" w:space="0" w:color="auto"/>
            <w:right w:val="none" w:sz="0" w:space="0" w:color="auto"/>
          </w:divBdr>
        </w:div>
      </w:divsChild>
    </w:div>
    <w:div w:id="1840923065">
      <w:marLeft w:val="3"/>
      <w:marRight w:val="0"/>
      <w:marTop w:val="120"/>
      <w:marBottom w:val="0"/>
      <w:divBdr>
        <w:top w:val="none" w:sz="0" w:space="0" w:color="auto"/>
        <w:left w:val="none" w:sz="0" w:space="0" w:color="auto"/>
        <w:bottom w:val="none" w:sz="0" w:space="0" w:color="auto"/>
        <w:right w:val="none" w:sz="0" w:space="0" w:color="auto"/>
      </w:divBdr>
      <w:divsChild>
        <w:div w:id="1461345209">
          <w:marLeft w:val="0"/>
          <w:marRight w:val="0"/>
          <w:marTop w:val="0"/>
          <w:marBottom w:val="0"/>
          <w:divBdr>
            <w:top w:val="none" w:sz="0" w:space="0" w:color="auto"/>
            <w:left w:val="none" w:sz="0" w:space="0" w:color="auto"/>
            <w:bottom w:val="none" w:sz="0" w:space="0" w:color="auto"/>
            <w:right w:val="none" w:sz="0" w:space="0" w:color="auto"/>
          </w:divBdr>
        </w:div>
      </w:divsChild>
    </w:div>
    <w:div w:id="1841694921">
      <w:marLeft w:val="4"/>
      <w:marRight w:val="0"/>
      <w:marTop w:val="20"/>
      <w:marBottom w:val="0"/>
      <w:divBdr>
        <w:top w:val="none" w:sz="0" w:space="0" w:color="auto"/>
        <w:left w:val="none" w:sz="0" w:space="0" w:color="auto"/>
        <w:bottom w:val="none" w:sz="0" w:space="0" w:color="auto"/>
        <w:right w:val="none" w:sz="0" w:space="0" w:color="auto"/>
      </w:divBdr>
      <w:divsChild>
        <w:div w:id="1450779416">
          <w:marLeft w:val="0"/>
          <w:marRight w:val="0"/>
          <w:marTop w:val="0"/>
          <w:marBottom w:val="0"/>
          <w:divBdr>
            <w:top w:val="none" w:sz="0" w:space="0" w:color="auto"/>
            <w:left w:val="none" w:sz="0" w:space="0" w:color="auto"/>
            <w:bottom w:val="none" w:sz="0" w:space="0" w:color="auto"/>
            <w:right w:val="none" w:sz="0" w:space="0" w:color="auto"/>
          </w:divBdr>
        </w:div>
      </w:divsChild>
    </w:div>
    <w:div w:id="1857381217">
      <w:marLeft w:val="4"/>
      <w:marRight w:val="0"/>
      <w:marTop w:val="120"/>
      <w:marBottom w:val="0"/>
      <w:divBdr>
        <w:top w:val="none" w:sz="0" w:space="0" w:color="auto"/>
        <w:left w:val="none" w:sz="0" w:space="0" w:color="auto"/>
        <w:bottom w:val="none" w:sz="0" w:space="0" w:color="auto"/>
        <w:right w:val="none" w:sz="0" w:space="0" w:color="auto"/>
      </w:divBdr>
      <w:divsChild>
        <w:div w:id="1113668808">
          <w:marLeft w:val="0"/>
          <w:marRight w:val="0"/>
          <w:marTop w:val="0"/>
          <w:marBottom w:val="0"/>
          <w:divBdr>
            <w:top w:val="none" w:sz="0" w:space="0" w:color="auto"/>
            <w:left w:val="none" w:sz="0" w:space="0" w:color="auto"/>
            <w:bottom w:val="none" w:sz="0" w:space="0" w:color="auto"/>
            <w:right w:val="none" w:sz="0" w:space="0" w:color="auto"/>
          </w:divBdr>
        </w:div>
      </w:divsChild>
    </w:div>
    <w:div w:id="1864240895">
      <w:marLeft w:val="3"/>
      <w:marRight w:val="0"/>
      <w:marTop w:val="120"/>
      <w:marBottom w:val="0"/>
      <w:divBdr>
        <w:top w:val="none" w:sz="0" w:space="0" w:color="auto"/>
        <w:left w:val="none" w:sz="0" w:space="0" w:color="auto"/>
        <w:bottom w:val="none" w:sz="0" w:space="0" w:color="auto"/>
        <w:right w:val="none" w:sz="0" w:space="0" w:color="auto"/>
      </w:divBdr>
      <w:divsChild>
        <w:div w:id="1760101659">
          <w:marLeft w:val="0"/>
          <w:marRight w:val="0"/>
          <w:marTop w:val="0"/>
          <w:marBottom w:val="0"/>
          <w:divBdr>
            <w:top w:val="none" w:sz="0" w:space="0" w:color="auto"/>
            <w:left w:val="none" w:sz="0" w:space="0" w:color="auto"/>
            <w:bottom w:val="none" w:sz="0" w:space="0" w:color="auto"/>
            <w:right w:val="none" w:sz="0" w:space="0" w:color="auto"/>
          </w:divBdr>
        </w:div>
      </w:divsChild>
    </w:div>
    <w:div w:id="1869293293">
      <w:marLeft w:val="0"/>
      <w:marRight w:val="0"/>
      <w:marTop w:val="40"/>
      <w:marBottom w:val="0"/>
      <w:divBdr>
        <w:top w:val="none" w:sz="0" w:space="0" w:color="auto"/>
        <w:left w:val="none" w:sz="0" w:space="0" w:color="auto"/>
        <w:bottom w:val="none" w:sz="0" w:space="0" w:color="auto"/>
        <w:right w:val="none" w:sz="0" w:space="0" w:color="auto"/>
      </w:divBdr>
      <w:divsChild>
        <w:div w:id="778835806">
          <w:marLeft w:val="0"/>
          <w:marRight w:val="0"/>
          <w:marTop w:val="0"/>
          <w:marBottom w:val="0"/>
          <w:divBdr>
            <w:top w:val="none" w:sz="0" w:space="0" w:color="auto"/>
            <w:left w:val="none" w:sz="0" w:space="0" w:color="auto"/>
            <w:bottom w:val="none" w:sz="0" w:space="0" w:color="auto"/>
            <w:right w:val="none" w:sz="0" w:space="0" w:color="auto"/>
          </w:divBdr>
        </w:div>
      </w:divsChild>
    </w:div>
    <w:div w:id="1885412028">
      <w:marLeft w:val="3"/>
      <w:marRight w:val="0"/>
      <w:marTop w:val="120"/>
      <w:marBottom w:val="0"/>
      <w:divBdr>
        <w:top w:val="none" w:sz="0" w:space="0" w:color="auto"/>
        <w:left w:val="none" w:sz="0" w:space="0" w:color="auto"/>
        <w:bottom w:val="none" w:sz="0" w:space="0" w:color="auto"/>
        <w:right w:val="none" w:sz="0" w:space="0" w:color="auto"/>
      </w:divBdr>
      <w:divsChild>
        <w:div w:id="1507016518">
          <w:marLeft w:val="0"/>
          <w:marRight w:val="0"/>
          <w:marTop w:val="0"/>
          <w:marBottom w:val="0"/>
          <w:divBdr>
            <w:top w:val="none" w:sz="0" w:space="0" w:color="auto"/>
            <w:left w:val="none" w:sz="0" w:space="0" w:color="auto"/>
            <w:bottom w:val="none" w:sz="0" w:space="0" w:color="auto"/>
            <w:right w:val="none" w:sz="0" w:space="0" w:color="auto"/>
          </w:divBdr>
        </w:div>
      </w:divsChild>
    </w:div>
    <w:div w:id="1902405851">
      <w:marLeft w:val="0"/>
      <w:marRight w:val="0"/>
      <w:marTop w:val="0"/>
      <w:marBottom w:val="0"/>
      <w:divBdr>
        <w:top w:val="none" w:sz="0" w:space="0" w:color="auto"/>
        <w:left w:val="none" w:sz="0" w:space="0" w:color="auto"/>
        <w:bottom w:val="none" w:sz="0" w:space="0" w:color="auto"/>
        <w:right w:val="none" w:sz="0" w:space="0" w:color="auto"/>
      </w:divBdr>
      <w:divsChild>
        <w:div w:id="323121248">
          <w:marLeft w:val="0"/>
          <w:marRight w:val="0"/>
          <w:marTop w:val="0"/>
          <w:marBottom w:val="0"/>
          <w:divBdr>
            <w:top w:val="none" w:sz="0" w:space="0" w:color="auto"/>
            <w:left w:val="none" w:sz="0" w:space="0" w:color="auto"/>
            <w:bottom w:val="none" w:sz="0" w:space="0" w:color="auto"/>
            <w:right w:val="none" w:sz="0" w:space="0" w:color="auto"/>
          </w:divBdr>
          <w:divsChild>
            <w:div w:id="1694766559">
              <w:marLeft w:val="0"/>
              <w:marRight w:val="0"/>
              <w:marTop w:val="0"/>
              <w:marBottom w:val="0"/>
              <w:divBdr>
                <w:top w:val="none" w:sz="0" w:space="0" w:color="auto"/>
                <w:left w:val="none" w:sz="0" w:space="0" w:color="auto"/>
                <w:bottom w:val="none" w:sz="0" w:space="0" w:color="auto"/>
                <w:right w:val="none" w:sz="0" w:space="0" w:color="auto"/>
              </w:divBdr>
            </w:div>
            <w:div w:id="1990592656">
              <w:marLeft w:val="0"/>
              <w:marRight w:val="0"/>
              <w:marTop w:val="40"/>
              <w:marBottom w:val="0"/>
              <w:divBdr>
                <w:top w:val="none" w:sz="0" w:space="0" w:color="auto"/>
                <w:left w:val="none" w:sz="0" w:space="0" w:color="auto"/>
                <w:bottom w:val="none" w:sz="0" w:space="0" w:color="auto"/>
                <w:right w:val="none" w:sz="0" w:space="0" w:color="auto"/>
              </w:divBdr>
              <w:divsChild>
                <w:div w:id="5385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469">
          <w:marLeft w:val="0"/>
          <w:marRight w:val="0"/>
          <w:marTop w:val="0"/>
          <w:marBottom w:val="0"/>
          <w:divBdr>
            <w:top w:val="none" w:sz="0" w:space="0" w:color="auto"/>
            <w:left w:val="none" w:sz="0" w:space="0" w:color="auto"/>
            <w:bottom w:val="none" w:sz="0" w:space="0" w:color="auto"/>
            <w:right w:val="none" w:sz="0" w:space="0" w:color="auto"/>
          </w:divBdr>
          <w:divsChild>
            <w:div w:id="2120025531">
              <w:marLeft w:val="0"/>
              <w:marRight w:val="0"/>
              <w:marTop w:val="0"/>
              <w:marBottom w:val="0"/>
              <w:divBdr>
                <w:top w:val="none" w:sz="0" w:space="0" w:color="auto"/>
                <w:left w:val="none" w:sz="0" w:space="0" w:color="auto"/>
                <w:bottom w:val="none" w:sz="0" w:space="0" w:color="auto"/>
                <w:right w:val="none" w:sz="0" w:space="0" w:color="auto"/>
              </w:divBdr>
            </w:div>
            <w:div w:id="1205102094">
              <w:marLeft w:val="0"/>
              <w:marRight w:val="0"/>
              <w:marTop w:val="40"/>
              <w:marBottom w:val="0"/>
              <w:divBdr>
                <w:top w:val="none" w:sz="0" w:space="0" w:color="auto"/>
                <w:left w:val="none" w:sz="0" w:space="0" w:color="auto"/>
                <w:bottom w:val="none" w:sz="0" w:space="0" w:color="auto"/>
                <w:right w:val="none" w:sz="0" w:space="0" w:color="auto"/>
              </w:divBdr>
              <w:divsChild>
                <w:div w:id="1656302470">
                  <w:marLeft w:val="0"/>
                  <w:marRight w:val="0"/>
                  <w:marTop w:val="0"/>
                  <w:marBottom w:val="0"/>
                  <w:divBdr>
                    <w:top w:val="none" w:sz="0" w:space="0" w:color="auto"/>
                    <w:left w:val="none" w:sz="0" w:space="0" w:color="auto"/>
                    <w:bottom w:val="none" w:sz="0" w:space="0" w:color="auto"/>
                    <w:right w:val="none" w:sz="0" w:space="0" w:color="auto"/>
                  </w:divBdr>
                </w:div>
              </w:divsChild>
            </w:div>
            <w:div w:id="871304698">
              <w:marLeft w:val="0"/>
              <w:marRight w:val="0"/>
              <w:marTop w:val="40"/>
              <w:marBottom w:val="0"/>
              <w:divBdr>
                <w:top w:val="none" w:sz="0" w:space="0" w:color="auto"/>
                <w:left w:val="none" w:sz="0" w:space="0" w:color="auto"/>
                <w:bottom w:val="none" w:sz="0" w:space="0" w:color="auto"/>
                <w:right w:val="none" w:sz="0" w:space="0" w:color="auto"/>
              </w:divBdr>
              <w:divsChild>
                <w:div w:id="1136993300">
                  <w:marLeft w:val="0"/>
                  <w:marRight w:val="0"/>
                  <w:marTop w:val="0"/>
                  <w:marBottom w:val="0"/>
                  <w:divBdr>
                    <w:top w:val="none" w:sz="0" w:space="0" w:color="auto"/>
                    <w:left w:val="none" w:sz="0" w:space="0" w:color="auto"/>
                    <w:bottom w:val="none" w:sz="0" w:space="0" w:color="auto"/>
                    <w:right w:val="none" w:sz="0" w:space="0" w:color="auto"/>
                  </w:divBdr>
                </w:div>
              </w:divsChild>
            </w:div>
            <w:div w:id="1843620984">
              <w:marLeft w:val="0"/>
              <w:marRight w:val="0"/>
              <w:marTop w:val="40"/>
              <w:marBottom w:val="0"/>
              <w:divBdr>
                <w:top w:val="none" w:sz="0" w:space="0" w:color="auto"/>
                <w:left w:val="none" w:sz="0" w:space="0" w:color="auto"/>
                <w:bottom w:val="none" w:sz="0" w:space="0" w:color="auto"/>
                <w:right w:val="none" w:sz="0" w:space="0" w:color="auto"/>
              </w:divBdr>
              <w:divsChild>
                <w:div w:id="7170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5571">
          <w:marLeft w:val="0"/>
          <w:marRight w:val="0"/>
          <w:marTop w:val="0"/>
          <w:marBottom w:val="0"/>
          <w:divBdr>
            <w:top w:val="none" w:sz="0" w:space="0" w:color="auto"/>
            <w:left w:val="none" w:sz="0" w:space="0" w:color="auto"/>
            <w:bottom w:val="none" w:sz="0" w:space="0" w:color="auto"/>
            <w:right w:val="none" w:sz="0" w:space="0" w:color="auto"/>
          </w:divBdr>
        </w:div>
        <w:div w:id="452022220">
          <w:marLeft w:val="0"/>
          <w:marRight w:val="0"/>
          <w:marTop w:val="0"/>
          <w:marBottom w:val="0"/>
          <w:divBdr>
            <w:top w:val="none" w:sz="0" w:space="0" w:color="auto"/>
            <w:left w:val="none" w:sz="0" w:space="0" w:color="auto"/>
            <w:bottom w:val="none" w:sz="0" w:space="0" w:color="auto"/>
            <w:right w:val="none" w:sz="0" w:space="0" w:color="auto"/>
          </w:divBdr>
        </w:div>
      </w:divsChild>
    </w:div>
    <w:div w:id="1922593404">
      <w:marLeft w:val="3"/>
      <w:marRight w:val="0"/>
      <w:marTop w:val="120"/>
      <w:marBottom w:val="0"/>
      <w:divBdr>
        <w:top w:val="none" w:sz="0" w:space="0" w:color="auto"/>
        <w:left w:val="none" w:sz="0" w:space="0" w:color="auto"/>
        <w:bottom w:val="none" w:sz="0" w:space="0" w:color="auto"/>
        <w:right w:val="none" w:sz="0" w:space="0" w:color="auto"/>
      </w:divBdr>
      <w:divsChild>
        <w:div w:id="1279798972">
          <w:marLeft w:val="0"/>
          <w:marRight w:val="0"/>
          <w:marTop w:val="0"/>
          <w:marBottom w:val="0"/>
          <w:divBdr>
            <w:top w:val="none" w:sz="0" w:space="0" w:color="auto"/>
            <w:left w:val="none" w:sz="0" w:space="0" w:color="auto"/>
            <w:bottom w:val="none" w:sz="0" w:space="0" w:color="auto"/>
            <w:right w:val="none" w:sz="0" w:space="0" w:color="auto"/>
          </w:divBdr>
        </w:div>
      </w:divsChild>
    </w:div>
    <w:div w:id="1929457854">
      <w:marLeft w:val="4"/>
      <w:marRight w:val="0"/>
      <w:marTop w:val="60"/>
      <w:marBottom w:val="0"/>
      <w:divBdr>
        <w:top w:val="none" w:sz="0" w:space="0" w:color="auto"/>
        <w:left w:val="none" w:sz="0" w:space="0" w:color="auto"/>
        <w:bottom w:val="none" w:sz="0" w:space="0" w:color="auto"/>
        <w:right w:val="none" w:sz="0" w:space="0" w:color="auto"/>
      </w:divBdr>
      <w:divsChild>
        <w:div w:id="57553032">
          <w:marLeft w:val="0"/>
          <w:marRight w:val="0"/>
          <w:marTop w:val="0"/>
          <w:marBottom w:val="0"/>
          <w:divBdr>
            <w:top w:val="none" w:sz="0" w:space="0" w:color="auto"/>
            <w:left w:val="none" w:sz="0" w:space="0" w:color="auto"/>
            <w:bottom w:val="none" w:sz="0" w:space="0" w:color="auto"/>
            <w:right w:val="none" w:sz="0" w:space="0" w:color="auto"/>
          </w:divBdr>
        </w:div>
      </w:divsChild>
    </w:div>
    <w:div w:id="1954246055">
      <w:marLeft w:val="9"/>
      <w:marRight w:val="0"/>
      <w:marTop w:val="120"/>
      <w:marBottom w:val="0"/>
      <w:divBdr>
        <w:top w:val="none" w:sz="0" w:space="0" w:color="auto"/>
        <w:left w:val="none" w:sz="0" w:space="0" w:color="auto"/>
        <w:bottom w:val="none" w:sz="0" w:space="0" w:color="auto"/>
        <w:right w:val="none" w:sz="0" w:space="0" w:color="auto"/>
      </w:divBdr>
      <w:divsChild>
        <w:div w:id="1635020611">
          <w:marLeft w:val="0"/>
          <w:marRight w:val="0"/>
          <w:marTop w:val="0"/>
          <w:marBottom w:val="0"/>
          <w:divBdr>
            <w:top w:val="none" w:sz="0" w:space="0" w:color="auto"/>
            <w:left w:val="none" w:sz="0" w:space="0" w:color="auto"/>
            <w:bottom w:val="none" w:sz="0" w:space="0" w:color="auto"/>
            <w:right w:val="none" w:sz="0" w:space="0" w:color="auto"/>
          </w:divBdr>
        </w:div>
      </w:divsChild>
    </w:div>
    <w:div w:id="1954289074">
      <w:marLeft w:val="3"/>
      <w:marRight w:val="0"/>
      <w:marTop w:val="120"/>
      <w:marBottom w:val="0"/>
      <w:divBdr>
        <w:top w:val="none" w:sz="0" w:space="0" w:color="auto"/>
        <w:left w:val="none" w:sz="0" w:space="0" w:color="auto"/>
        <w:bottom w:val="none" w:sz="0" w:space="0" w:color="auto"/>
        <w:right w:val="none" w:sz="0" w:space="0" w:color="auto"/>
      </w:divBdr>
      <w:divsChild>
        <w:div w:id="1526747665">
          <w:marLeft w:val="0"/>
          <w:marRight w:val="0"/>
          <w:marTop w:val="0"/>
          <w:marBottom w:val="0"/>
          <w:divBdr>
            <w:top w:val="none" w:sz="0" w:space="0" w:color="auto"/>
            <w:left w:val="none" w:sz="0" w:space="0" w:color="auto"/>
            <w:bottom w:val="none" w:sz="0" w:space="0" w:color="auto"/>
            <w:right w:val="none" w:sz="0" w:space="0" w:color="auto"/>
          </w:divBdr>
        </w:div>
      </w:divsChild>
    </w:div>
    <w:div w:id="1970234115">
      <w:marLeft w:val="4"/>
      <w:marRight w:val="0"/>
      <w:marTop w:val="120"/>
      <w:marBottom w:val="0"/>
      <w:divBdr>
        <w:top w:val="none" w:sz="0" w:space="0" w:color="auto"/>
        <w:left w:val="none" w:sz="0" w:space="0" w:color="auto"/>
        <w:bottom w:val="none" w:sz="0" w:space="0" w:color="auto"/>
        <w:right w:val="none" w:sz="0" w:space="0" w:color="auto"/>
      </w:divBdr>
      <w:divsChild>
        <w:div w:id="1995836607">
          <w:marLeft w:val="0"/>
          <w:marRight w:val="0"/>
          <w:marTop w:val="0"/>
          <w:marBottom w:val="0"/>
          <w:divBdr>
            <w:top w:val="none" w:sz="0" w:space="0" w:color="auto"/>
            <w:left w:val="none" w:sz="0" w:space="0" w:color="auto"/>
            <w:bottom w:val="none" w:sz="0" w:space="0" w:color="auto"/>
            <w:right w:val="none" w:sz="0" w:space="0" w:color="auto"/>
          </w:divBdr>
        </w:div>
      </w:divsChild>
    </w:div>
    <w:div w:id="1970818891">
      <w:marLeft w:val="4"/>
      <w:marRight w:val="0"/>
      <w:marTop w:val="120"/>
      <w:marBottom w:val="0"/>
      <w:divBdr>
        <w:top w:val="none" w:sz="0" w:space="0" w:color="auto"/>
        <w:left w:val="none" w:sz="0" w:space="0" w:color="auto"/>
        <w:bottom w:val="none" w:sz="0" w:space="0" w:color="auto"/>
        <w:right w:val="none" w:sz="0" w:space="0" w:color="auto"/>
      </w:divBdr>
      <w:divsChild>
        <w:div w:id="646007683">
          <w:marLeft w:val="0"/>
          <w:marRight w:val="0"/>
          <w:marTop w:val="0"/>
          <w:marBottom w:val="0"/>
          <w:divBdr>
            <w:top w:val="none" w:sz="0" w:space="0" w:color="auto"/>
            <w:left w:val="none" w:sz="0" w:space="0" w:color="auto"/>
            <w:bottom w:val="none" w:sz="0" w:space="0" w:color="auto"/>
            <w:right w:val="none" w:sz="0" w:space="0" w:color="auto"/>
          </w:divBdr>
        </w:div>
      </w:divsChild>
    </w:div>
    <w:div w:id="1975672392">
      <w:marLeft w:val="4"/>
      <w:marRight w:val="0"/>
      <w:marTop w:val="60"/>
      <w:marBottom w:val="0"/>
      <w:divBdr>
        <w:top w:val="none" w:sz="0" w:space="0" w:color="auto"/>
        <w:left w:val="none" w:sz="0" w:space="0" w:color="auto"/>
        <w:bottom w:val="none" w:sz="0" w:space="0" w:color="auto"/>
        <w:right w:val="none" w:sz="0" w:space="0" w:color="auto"/>
      </w:divBdr>
      <w:divsChild>
        <w:div w:id="1780251032">
          <w:marLeft w:val="0"/>
          <w:marRight w:val="0"/>
          <w:marTop w:val="0"/>
          <w:marBottom w:val="0"/>
          <w:divBdr>
            <w:top w:val="none" w:sz="0" w:space="0" w:color="auto"/>
            <w:left w:val="none" w:sz="0" w:space="0" w:color="auto"/>
            <w:bottom w:val="none" w:sz="0" w:space="0" w:color="auto"/>
            <w:right w:val="none" w:sz="0" w:space="0" w:color="auto"/>
          </w:divBdr>
        </w:div>
      </w:divsChild>
    </w:div>
    <w:div w:id="1984197196">
      <w:marLeft w:val="3"/>
      <w:marRight w:val="0"/>
      <w:marTop w:val="120"/>
      <w:marBottom w:val="0"/>
      <w:divBdr>
        <w:top w:val="none" w:sz="0" w:space="0" w:color="auto"/>
        <w:left w:val="none" w:sz="0" w:space="0" w:color="auto"/>
        <w:bottom w:val="none" w:sz="0" w:space="0" w:color="auto"/>
        <w:right w:val="none" w:sz="0" w:space="0" w:color="auto"/>
      </w:divBdr>
      <w:divsChild>
        <w:div w:id="1879974430">
          <w:marLeft w:val="0"/>
          <w:marRight w:val="0"/>
          <w:marTop w:val="0"/>
          <w:marBottom w:val="0"/>
          <w:divBdr>
            <w:top w:val="none" w:sz="0" w:space="0" w:color="auto"/>
            <w:left w:val="none" w:sz="0" w:space="0" w:color="auto"/>
            <w:bottom w:val="none" w:sz="0" w:space="0" w:color="auto"/>
            <w:right w:val="none" w:sz="0" w:space="0" w:color="auto"/>
          </w:divBdr>
        </w:div>
      </w:divsChild>
    </w:div>
    <w:div w:id="1989820608">
      <w:marLeft w:val="3"/>
      <w:marRight w:val="0"/>
      <w:marTop w:val="120"/>
      <w:marBottom w:val="0"/>
      <w:divBdr>
        <w:top w:val="none" w:sz="0" w:space="0" w:color="auto"/>
        <w:left w:val="none" w:sz="0" w:space="0" w:color="auto"/>
        <w:bottom w:val="none" w:sz="0" w:space="0" w:color="auto"/>
        <w:right w:val="none" w:sz="0" w:space="0" w:color="auto"/>
      </w:divBdr>
      <w:divsChild>
        <w:div w:id="412943477">
          <w:marLeft w:val="0"/>
          <w:marRight w:val="0"/>
          <w:marTop w:val="0"/>
          <w:marBottom w:val="0"/>
          <w:divBdr>
            <w:top w:val="none" w:sz="0" w:space="0" w:color="auto"/>
            <w:left w:val="none" w:sz="0" w:space="0" w:color="auto"/>
            <w:bottom w:val="none" w:sz="0" w:space="0" w:color="auto"/>
            <w:right w:val="none" w:sz="0" w:space="0" w:color="auto"/>
          </w:divBdr>
        </w:div>
      </w:divsChild>
    </w:div>
    <w:div w:id="1997684098">
      <w:marLeft w:val="3"/>
      <w:marRight w:val="0"/>
      <w:marTop w:val="120"/>
      <w:marBottom w:val="0"/>
      <w:divBdr>
        <w:top w:val="none" w:sz="0" w:space="0" w:color="auto"/>
        <w:left w:val="none" w:sz="0" w:space="0" w:color="auto"/>
        <w:bottom w:val="none" w:sz="0" w:space="0" w:color="auto"/>
        <w:right w:val="none" w:sz="0" w:space="0" w:color="auto"/>
      </w:divBdr>
      <w:divsChild>
        <w:div w:id="2081058740">
          <w:marLeft w:val="0"/>
          <w:marRight w:val="0"/>
          <w:marTop w:val="0"/>
          <w:marBottom w:val="0"/>
          <w:divBdr>
            <w:top w:val="none" w:sz="0" w:space="0" w:color="auto"/>
            <w:left w:val="none" w:sz="0" w:space="0" w:color="auto"/>
            <w:bottom w:val="none" w:sz="0" w:space="0" w:color="auto"/>
            <w:right w:val="none" w:sz="0" w:space="0" w:color="auto"/>
          </w:divBdr>
        </w:div>
      </w:divsChild>
    </w:div>
    <w:div w:id="2000424462">
      <w:marLeft w:val="3"/>
      <w:marRight w:val="0"/>
      <w:marTop w:val="120"/>
      <w:marBottom w:val="0"/>
      <w:divBdr>
        <w:top w:val="none" w:sz="0" w:space="0" w:color="auto"/>
        <w:left w:val="none" w:sz="0" w:space="0" w:color="auto"/>
        <w:bottom w:val="none" w:sz="0" w:space="0" w:color="auto"/>
        <w:right w:val="none" w:sz="0" w:space="0" w:color="auto"/>
      </w:divBdr>
      <w:divsChild>
        <w:div w:id="284317465">
          <w:marLeft w:val="0"/>
          <w:marRight w:val="0"/>
          <w:marTop w:val="0"/>
          <w:marBottom w:val="0"/>
          <w:divBdr>
            <w:top w:val="none" w:sz="0" w:space="0" w:color="auto"/>
            <w:left w:val="none" w:sz="0" w:space="0" w:color="auto"/>
            <w:bottom w:val="none" w:sz="0" w:space="0" w:color="auto"/>
            <w:right w:val="none" w:sz="0" w:space="0" w:color="auto"/>
          </w:divBdr>
        </w:div>
      </w:divsChild>
    </w:div>
    <w:div w:id="2003199391">
      <w:marLeft w:val="9"/>
      <w:marRight w:val="0"/>
      <w:marTop w:val="0"/>
      <w:marBottom w:val="0"/>
      <w:divBdr>
        <w:top w:val="none" w:sz="0" w:space="0" w:color="auto"/>
        <w:left w:val="none" w:sz="0" w:space="0" w:color="auto"/>
        <w:bottom w:val="none" w:sz="0" w:space="0" w:color="auto"/>
        <w:right w:val="none" w:sz="0" w:space="0" w:color="auto"/>
      </w:divBdr>
      <w:divsChild>
        <w:div w:id="893584401">
          <w:marLeft w:val="0"/>
          <w:marRight w:val="0"/>
          <w:marTop w:val="0"/>
          <w:marBottom w:val="0"/>
          <w:divBdr>
            <w:top w:val="none" w:sz="0" w:space="0" w:color="auto"/>
            <w:left w:val="none" w:sz="0" w:space="0" w:color="auto"/>
            <w:bottom w:val="none" w:sz="0" w:space="0" w:color="auto"/>
            <w:right w:val="none" w:sz="0" w:space="0" w:color="auto"/>
          </w:divBdr>
        </w:div>
      </w:divsChild>
    </w:div>
    <w:div w:id="2003973526">
      <w:marLeft w:val="4"/>
      <w:marRight w:val="0"/>
      <w:marTop w:val="120"/>
      <w:marBottom w:val="0"/>
      <w:divBdr>
        <w:top w:val="none" w:sz="0" w:space="0" w:color="auto"/>
        <w:left w:val="none" w:sz="0" w:space="0" w:color="auto"/>
        <w:bottom w:val="none" w:sz="0" w:space="0" w:color="auto"/>
        <w:right w:val="none" w:sz="0" w:space="0" w:color="auto"/>
      </w:divBdr>
      <w:divsChild>
        <w:div w:id="1615557503">
          <w:marLeft w:val="0"/>
          <w:marRight w:val="0"/>
          <w:marTop w:val="0"/>
          <w:marBottom w:val="0"/>
          <w:divBdr>
            <w:top w:val="none" w:sz="0" w:space="0" w:color="auto"/>
            <w:left w:val="none" w:sz="0" w:space="0" w:color="auto"/>
            <w:bottom w:val="none" w:sz="0" w:space="0" w:color="auto"/>
            <w:right w:val="none" w:sz="0" w:space="0" w:color="auto"/>
          </w:divBdr>
        </w:div>
      </w:divsChild>
    </w:div>
    <w:div w:id="2008629668">
      <w:marLeft w:val="3"/>
      <w:marRight w:val="0"/>
      <w:marTop w:val="120"/>
      <w:marBottom w:val="0"/>
      <w:divBdr>
        <w:top w:val="none" w:sz="0" w:space="0" w:color="auto"/>
        <w:left w:val="none" w:sz="0" w:space="0" w:color="auto"/>
        <w:bottom w:val="none" w:sz="0" w:space="0" w:color="auto"/>
        <w:right w:val="none" w:sz="0" w:space="0" w:color="auto"/>
      </w:divBdr>
      <w:divsChild>
        <w:div w:id="1024600634">
          <w:marLeft w:val="0"/>
          <w:marRight w:val="0"/>
          <w:marTop w:val="0"/>
          <w:marBottom w:val="0"/>
          <w:divBdr>
            <w:top w:val="none" w:sz="0" w:space="0" w:color="auto"/>
            <w:left w:val="none" w:sz="0" w:space="0" w:color="auto"/>
            <w:bottom w:val="none" w:sz="0" w:space="0" w:color="auto"/>
            <w:right w:val="none" w:sz="0" w:space="0" w:color="auto"/>
          </w:divBdr>
        </w:div>
      </w:divsChild>
    </w:div>
    <w:div w:id="2009944126">
      <w:marLeft w:val="4"/>
      <w:marRight w:val="0"/>
      <w:marTop w:val="120"/>
      <w:marBottom w:val="0"/>
      <w:divBdr>
        <w:top w:val="none" w:sz="0" w:space="0" w:color="auto"/>
        <w:left w:val="none" w:sz="0" w:space="0" w:color="auto"/>
        <w:bottom w:val="none" w:sz="0" w:space="0" w:color="auto"/>
        <w:right w:val="none" w:sz="0" w:space="0" w:color="auto"/>
      </w:divBdr>
      <w:divsChild>
        <w:div w:id="709648624">
          <w:marLeft w:val="0"/>
          <w:marRight w:val="0"/>
          <w:marTop w:val="0"/>
          <w:marBottom w:val="0"/>
          <w:divBdr>
            <w:top w:val="none" w:sz="0" w:space="0" w:color="auto"/>
            <w:left w:val="none" w:sz="0" w:space="0" w:color="auto"/>
            <w:bottom w:val="none" w:sz="0" w:space="0" w:color="auto"/>
            <w:right w:val="none" w:sz="0" w:space="0" w:color="auto"/>
          </w:divBdr>
        </w:div>
      </w:divsChild>
    </w:div>
    <w:div w:id="2017151945">
      <w:marLeft w:val="3"/>
      <w:marRight w:val="0"/>
      <w:marTop w:val="120"/>
      <w:marBottom w:val="0"/>
      <w:divBdr>
        <w:top w:val="none" w:sz="0" w:space="0" w:color="auto"/>
        <w:left w:val="none" w:sz="0" w:space="0" w:color="auto"/>
        <w:bottom w:val="none" w:sz="0" w:space="0" w:color="auto"/>
        <w:right w:val="none" w:sz="0" w:space="0" w:color="auto"/>
      </w:divBdr>
      <w:divsChild>
        <w:div w:id="2038922165">
          <w:marLeft w:val="0"/>
          <w:marRight w:val="0"/>
          <w:marTop w:val="0"/>
          <w:marBottom w:val="0"/>
          <w:divBdr>
            <w:top w:val="none" w:sz="0" w:space="0" w:color="auto"/>
            <w:left w:val="none" w:sz="0" w:space="0" w:color="auto"/>
            <w:bottom w:val="none" w:sz="0" w:space="0" w:color="auto"/>
            <w:right w:val="none" w:sz="0" w:space="0" w:color="auto"/>
          </w:divBdr>
        </w:div>
      </w:divsChild>
    </w:div>
    <w:div w:id="2029797530">
      <w:marLeft w:val="4"/>
      <w:marRight w:val="0"/>
      <w:marTop w:val="120"/>
      <w:marBottom w:val="0"/>
      <w:divBdr>
        <w:top w:val="none" w:sz="0" w:space="0" w:color="auto"/>
        <w:left w:val="none" w:sz="0" w:space="0" w:color="auto"/>
        <w:bottom w:val="none" w:sz="0" w:space="0" w:color="auto"/>
        <w:right w:val="none" w:sz="0" w:space="0" w:color="auto"/>
      </w:divBdr>
      <w:divsChild>
        <w:div w:id="376508547">
          <w:marLeft w:val="0"/>
          <w:marRight w:val="0"/>
          <w:marTop w:val="0"/>
          <w:marBottom w:val="0"/>
          <w:divBdr>
            <w:top w:val="none" w:sz="0" w:space="0" w:color="auto"/>
            <w:left w:val="none" w:sz="0" w:space="0" w:color="auto"/>
            <w:bottom w:val="none" w:sz="0" w:space="0" w:color="auto"/>
            <w:right w:val="none" w:sz="0" w:space="0" w:color="auto"/>
          </w:divBdr>
        </w:div>
      </w:divsChild>
    </w:div>
    <w:div w:id="2034768299">
      <w:marLeft w:val="4"/>
      <w:marRight w:val="0"/>
      <w:marTop w:val="60"/>
      <w:marBottom w:val="0"/>
      <w:divBdr>
        <w:top w:val="none" w:sz="0" w:space="0" w:color="auto"/>
        <w:left w:val="none" w:sz="0" w:space="0" w:color="auto"/>
        <w:bottom w:val="none" w:sz="0" w:space="0" w:color="auto"/>
        <w:right w:val="none" w:sz="0" w:space="0" w:color="auto"/>
      </w:divBdr>
      <w:divsChild>
        <w:div w:id="1993949762">
          <w:marLeft w:val="0"/>
          <w:marRight w:val="0"/>
          <w:marTop w:val="0"/>
          <w:marBottom w:val="0"/>
          <w:divBdr>
            <w:top w:val="none" w:sz="0" w:space="0" w:color="auto"/>
            <w:left w:val="none" w:sz="0" w:space="0" w:color="auto"/>
            <w:bottom w:val="none" w:sz="0" w:space="0" w:color="auto"/>
            <w:right w:val="none" w:sz="0" w:space="0" w:color="auto"/>
          </w:divBdr>
        </w:div>
      </w:divsChild>
    </w:div>
    <w:div w:id="2039046538">
      <w:marLeft w:val="3"/>
      <w:marRight w:val="0"/>
      <w:marTop w:val="120"/>
      <w:marBottom w:val="0"/>
      <w:divBdr>
        <w:top w:val="none" w:sz="0" w:space="0" w:color="auto"/>
        <w:left w:val="none" w:sz="0" w:space="0" w:color="auto"/>
        <w:bottom w:val="none" w:sz="0" w:space="0" w:color="auto"/>
        <w:right w:val="none" w:sz="0" w:space="0" w:color="auto"/>
      </w:divBdr>
      <w:divsChild>
        <w:div w:id="2068336018">
          <w:marLeft w:val="0"/>
          <w:marRight w:val="0"/>
          <w:marTop w:val="0"/>
          <w:marBottom w:val="0"/>
          <w:divBdr>
            <w:top w:val="none" w:sz="0" w:space="0" w:color="auto"/>
            <w:left w:val="none" w:sz="0" w:space="0" w:color="auto"/>
            <w:bottom w:val="none" w:sz="0" w:space="0" w:color="auto"/>
            <w:right w:val="none" w:sz="0" w:space="0" w:color="auto"/>
          </w:divBdr>
        </w:div>
      </w:divsChild>
    </w:div>
    <w:div w:id="2047020893">
      <w:marLeft w:val="3"/>
      <w:marRight w:val="0"/>
      <w:marTop w:val="120"/>
      <w:marBottom w:val="0"/>
      <w:divBdr>
        <w:top w:val="none" w:sz="0" w:space="0" w:color="auto"/>
        <w:left w:val="none" w:sz="0" w:space="0" w:color="auto"/>
        <w:bottom w:val="none" w:sz="0" w:space="0" w:color="auto"/>
        <w:right w:val="none" w:sz="0" w:space="0" w:color="auto"/>
      </w:divBdr>
      <w:divsChild>
        <w:div w:id="2120221205">
          <w:marLeft w:val="0"/>
          <w:marRight w:val="0"/>
          <w:marTop w:val="0"/>
          <w:marBottom w:val="0"/>
          <w:divBdr>
            <w:top w:val="none" w:sz="0" w:space="0" w:color="auto"/>
            <w:left w:val="none" w:sz="0" w:space="0" w:color="auto"/>
            <w:bottom w:val="none" w:sz="0" w:space="0" w:color="auto"/>
            <w:right w:val="none" w:sz="0" w:space="0" w:color="auto"/>
          </w:divBdr>
        </w:div>
      </w:divsChild>
    </w:div>
    <w:div w:id="2060470259">
      <w:marLeft w:val="3"/>
      <w:marRight w:val="0"/>
      <w:marTop w:val="120"/>
      <w:marBottom w:val="0"/>
      <w:divBdr>
        <w:top w:val="none" w:sz="0" w:space="0" w:color="auto"/>
        <w:left w:val="none" w:sz="0" w:space="0" w:color="auto"/>
        <w:bottom w:val="none" w:sz="0" w:space="0" w:color="auto"/>
        <w:right w:val="none" w:sz="0" w:space="0" w:color="auto"/>
      </w:divBdr>
      <w:divsChild>
        <w:div w:id="144317555">
          <w:marLeft w:val="0"/>
          <w:marRight w:val="0"/>
          <w:marTop w:val="0"/>
          <w:marBottom w:val="0"/>
          <w:divBdr>
            <w:top w:val="none" w:sz="0" w:space="0" w:color="auto"/>
            <w:left w:val="none" w:sz="0" w:space="0" w:color="auto"/>
            <w:bottom w:val="none" w:sz="0" w:space="0" w:color="auto"/>
            <w:right w:val="none" w:sz="0" w:space="0" w:color="auto"/>
          </w:divBdr>
        </w:div>
      </w:divsChild>
    </w:div>
    <w:div w:id="2064063178">
      <w:marLeft w:val="3"/>
      <w:marRight w:val="0"/>
      <w:marTop w:val="120"/>
      <w:marBottom w:val="0"/>
      <w:divBdr>
        <w:top w:val="none" w:sz="0" w:space="0" w:color="auto"/>
        <w:left w:val="none" w:sz="0" w:space="0" w:color="auto"/>
        <w:bottom w:val="none" w:sz="0" w:space="0" w:color="auto"/>
        <w:right w:val="none" w:sz="0" w:space="0" w:color="auto"/>
      </w:divBdr>
      <w:divsChild>
        <w:div w:id="351884791">
          <w:marLeft w:val="0"/>
          <w:marRight w:val="0"/>
          <w:marTop w:val="0"/>
          <w:marBottom w:val="0"/>
          <w:divBdr>
            <w:top w:val="none" w:sz="0" w:space="0" w:color="auto"/>
            <w:left w:val="none" w:sz="0" w:space="0" w:color="auto"/>
            <w:bottom w:val="none" w:sz="0" w:space="0" w:color="auto"/>
            <w:right w:val="none" w:sz="0" w:space="0" w:color="auto"/>
          </w:divBdr>
        </w:div>
      </w:divsChild>
    </w:div>
    <w:div w:id="2072076228">
      <w:marLeft w:val="4"/>
      <w:marRight w:val="0"/>
      <w:marTop w:val="120"/>
      <w:marBottom w:val="0"/>
      <w:divBdr>
        <w:top w:val="none" w:sz="0" w:space="0" w:color="auto"/>
        <w:left w:val="none" w:sz="0" w:space="0" w:color="auto"/>
        <w:bottom w:val="none" w:sz="0" w:space="0" w:color="auto"/>
        <w:right w:val="none" w:sz="0" w:space="0" w:color="auto"/>
      </w:divBdr>
      <w:divsChild>
        <w:div w:id="1420442014">
          <w:marLeft w:val="0"/>
          <w:marRight w:val="0"/>
          <w:marTop w:val="0"/>
          <w:marBottom w:val="0"/>
          <w:divBdr>
            <w:top w:val="none" w:sz="0" w:space="0" w:color="auto"/>
            <w:left w:val="none" w:sz="0" w:space="0" w:color="auto"/>
            <w:bottom w:val="none" w:sz="0" w:space="0" w:color="auto"/>
            <w:right w:val="none" w:sz="0" w:space="0" w:color="auto"/>
          </w:divBdr>
        </w:div>
      </w:divsChild>
    </w:div>
    <w:div w:id="2077163875">
      <w:marLeft w:val="0"/>
      <w:marRight w:val="0"/>
      <w:marTop w:val="0"/>
      <w:marBottom w:val="0"/>
      <w:divBdr>
        <w:top w:val="none" w:sz="0" w:space="0" w:color="auto"/>
        <w:left w:val="none" w:sz="0" w:space="0" w:color="auto"/>
        <w:bottom w:val="none" w:sz="0" w:space="0" w:color="auto"/>
        <w:right w:val="none" w:sz="0" w:space="0" w:color="auto"/>
      </w:divBdr>
      <w:divsChild>
        <w:div w:id="1378895786">
          <w:marLeft w:val="0"/>
          <w:marRight w:val="0"/>
          <w:marTop w:val="0"/>
          <w:marBottom w:val="0"/>
          <w:divBdr>
            <w:top w:val="none" w:sz="0" w:space="0" w:color="auto"/>
            <w:left w:val="none" w:sz="0" w:space="0" w:color="auto"/>
            <w:bottom w:val="none" w:sz="0" w:space="0" w:color="auto"/>
            <w:right w:val="none" w:sz="0" w:space="0" w:color="auto"/>
          </w:divBdr>
        </w:div>
        <w:div w:id="1203008857">
          <w:marLeft w:val="0"/>
          <w:marRight w:val="0"/>
          <w:marTop w:val="0"/>
          <w:marBottom w:val="0"/>
          <w:divBdr>
            <w:top w:val="none" w:sz="0" w:space="0" w:color="auto"/>
            <w:left w:val="none" w:sz="0" w:space="0" w:color="auto"/>
            <w:bottom w:val="none" w:sz="0" w:space="0" w:color="auto"/>
            <w:right w:val="none" w:sz="0" w:space="0" w:color="auto"/>
          </w:divBdr>
        </w:div>
      </w:divsChild>
    </w:div>
    <w:div w:id="2079159295">
      <w:marLeft w:val="3"/>
      <w:marRight w:val="0"/>
      <w:marTop w:val="120"/>
      <w:marBottom w:val="0"/>
      <w:divBdr>
        <w:top w:val="none" w:sz="0" w:space="0" w:color="auto"/>
        <w:left w:val="none" w:sz="0" w:space="0" w:color="auto"/>
        <w:bottom w:val="none" w:sz="0" w:space="0" w:color="auto"/>
        <w:right w:val="none" w:sz="0" w:space="0" w:color="auto"/>
      </w:divBdr>
      <w:divsChild>
        <w:div w:id="1259555301">
          <w:marLeft w:val="0"/>
          <w:marRight w:val="0"/>
          <w:marTop w:val="0"/>
          <w:marBottom w:val="0"/>
          <w:divBdr>
            <w:top w:val="none" w:sz="0" w:space="0" w:color="auto"/>
            <w:left w:val="none" w:sz="0" w:space="0" w:color="auto"/>
            <w:bottom w:val="none" w:sz="0" w:space="0" w:color="auto"/>
            <w:right w:val="none" w:sz="0" w:space="0" w:color="auto"/>
          </w:divBdr>
        </w:div>
      </w:divsChild>
    </w:div>
    <w:div w:id="2105572616">
      <w:marLeft w:val="3"/>
      <w:marRight w:val="0"/>
      <w:marTop w:val="120"/>
      <w:marBottom w:val="0"/>
      <w:divBdr>
        <w:top w:val="none" w:sz="0" w:space="0" w:color="auto"/>
        <w:left w:val="none" w:sz="0" w:space="0" w:color="auto"/>
        <w:bottom w:val="none" w:sz="0" w:space="0" w:color="auto"/>
        <w:right w:val="none" w:sz="0" w:space="0" w:color="auto"/>
      </w:divBdr>
      <w:divsChild>
        <w:div w:id="1359433220">
          <w:marLeft w:val="0"/>
          <w:marRight w:val="0"/>
          <w:marTop w:val="0"/>
          <w:marBottom w:val="0"/>
          <w:divBdr>
            <w:top w:val="none" w:sz="0" w:space="0" w:color="auto"/>
            <w:left w:val="none" w:sz="0" w:space="0" w:color="auto"/>
            <w:bottom w:val="none" w:sz="0" w:space="0" w:color="auto"/>
            <w:right w:val="none" w:sz="0" w:space="0" w:color="auto"/>
          </w:divBdr>
        </w:div>
      </w:divsChild>
    </w:div>
    <w:div w:id="2115005763">
      <w:marLeft w:val="0"/>
      <w:marRight w:val="0"/>
      <w:marTop w:val="0"/>
      <w:marBottom w:val="0"/>
      <w:divBdr>
        <w:top w:val="none" w:sz="0" w:space="0" w:color="auto"/>
        <w:left w:val="none" w:sz="0" w:space="0" w:color="auto"/>
        <w:bottom w:val="none" w:sz="0" w:space="0" w:color="auto"/>
        <w:right w:val="none" w:sz="0" w:space="0" w:color="auto"/>
      </w:divBdr>
      <w:divsChild>
        <w:div w:id="1647785407">
          <w:marLeft w:val="0"/>
          <w:marRight w:val="0"/>
          <w:marTop w:val="0"/>
          <w:marBottom w:val="0"/>
          <w:divBdr>
            <w:top w:val="none" w:sz="0" w:space="0" w:color="auto"/>
            <w:left w:val="none" w:sz="0" w:space="0" w:color="auto"/>
            <w:bottom w:val="none" w:sz="0" w:space="0" w:color="auto"/>
            <w:right w:val="none" w:sz="0" w:space="0" w:color="auto"/>
          </w:divBdr>
        </w:div>
        <w:div w:id="913008884">
          <w:marLeft w:val="0"/>
          <w:marRight w:val="0"/>
          <w:marTop w:val="0"/>
          <w:marBottom w:val="0"/>
          <w:divBdr>
            <w:top w:val="none" w:sz="0" w:space="0" w:color="auto"/>
            <w:left w:val="none" w:sz="0" w:space="0" w:color="auto"/>
            <w:bottom w:val="none" w:sz="0" w:space="0" w:color="auto"/>
            <w:right w:val="none" w:sz="0" w:space="0" w:color="auto"/>
          </w:divBdr>
        </w:div>
      </w:divsChild>
    </w:div>
    <w:div w:id="2116123206">
      <w:marLeft w:val="3"/>
      <w:marRight w:val="0"/>
      <w:marTop w:val="120"/>
      <w:marBottom w:val="0"/>
      <w:divBdr>
        <w:top w:val="none" w:sz="0" w:space="0" w:color="auto"/>
        <w:left w:val="none" w:sz="0" w:space="0" w:color="auto"/>
        <w:bottom w:val="none" w:sz="0" w:space="0" w:color="auto"/>
        <w:right w:val="none" w:sz="0" w:space="0" w:color="auto"/>
      </w:divBdr>
      <w:divsChild>
        <w:div w:id="981421088">
          <w:marLeft w:val="0"/>
          <w:marRight w:val="0"/>
          <w:marTop w:val="0"/>
          <w:marBottom w:val="0"/>
          <w:divBdr>
            <w:top w:val="none" w:sz="0" w:space="0" w:color="auto"/>
            <w:left w:val="none" w:sz="0" w:space="0" w:color="auto"/>
            <w:bottom w:val="none" w:sz="0" w:space="0" w:color="auto"/>
            <w:right w:val="none" w:sz="0" w:space="0" w:color="auto"/>
          </w:divBdr>
        </w:div>
      </w:divsChild>
    </w:div>
    <w:div w:id="2130004229">
      <w:marLeft w:val="4"/>
      <w:marRight w:val="0"/>
      <w:marTop w:val="120"/>
      <w:marBottom w:val="0"/>
      <w:divBdr>
        <w:top w:val="none" w:sz="0" w:space="0" w:color="auto"/>
        <w:left w:val="none" w:sz="0" w:space="0" w:color="auto"/>
        <w:bottom w:val="none" w:sz="0" w:space="0" w:color="auto"/>
        <w:right w:val="none" w:sz="0" w:space="0" w:color="auto"/>
      </w:divBdr>
      <w:divsChild>
        <w:div w:id="1196623412">
          <w:marLeft w:val="0"/>
          <w:marRight w:val="0"/>
          <w:marTop w:val="0"/>
          <w:marBottom w:val="0"/>
          <w:divBdr>
            <w:top w:val="none" w:sz="0" w:space="0" w:color="auto"/>
            <w:left w:val="none" w:sz="0" w:space="0" w:color="auto"/>
            <w:bottom w:val="none" w:sz="0" w:space="0" w:color="auto"/>
            <w:right w:val="none" w:sz="0" w:space="0" w:color="auto"/>
          </w:divBdr>
        </w:div>
      </w:divsChild>
    </w:div>
    <w:div w:id="2132626424">
      <w:marLeft w:val="3"/>
      <w:marRight w:val="0"/>
      <w:marTop w:val="120"/>
      <w:marBottom w:val="0"/>
      <w:divBdr>
        <w:top w:val="none" w:sz="0" w:space="0" w:color="auto"/>
        <w:left w:val="none" w:sz="0" w:space="0" w:color="auto"/>
        <w:bottom w:val="none" w:sz="0" w:space="0" w:color="auto"/>
        <w:right w:val="none" w:sz="0" w:space="0" w:color="auto"/>
      </w:divBdr>
      <w:divsChild>
        <w:div w:id="1315142037">
          <w:marLeft w:val="0"/>
          <w:marRight w:val="0"/>
          <w:marTop w:val="0"/>
          <w:marBottom w:val="0"/>
          <w:divBdr>
            <w:top w:val="none" w:sz="0" w:space="0" w:color="auto"/>
            <w:left w:val="none" w:sz="0" w:space="0" w:color="auto"/>
            <w:bottom w:val="none" w:sz="0" w:space="0" w:color="auto"/>
            <w:right w:val="none" w:sz="0" w:space="0" w:color="auto"/>
          </w:divBdr>
        </w:div>
      </w:divsChild>
    </w:div>
    <w:div w:id="2143227060">
      <w:marLeft w:val="4"/>
      <w:marRight w:val="0"/>
      <w:marTop w:val="60"/>
      <w:marBottom w:val="0"/>
      <w:divBdr>
        <w:top w:val="none" w:sz="0" w:space="0" w:color="auto"/>
        <w:left w:val="none" w:sz="0" w:space="0" w:color="auto"/>
        <w:bottom w:val="none" w:sz="0" w:space="0" w:color="auto"/>
        <w:right w:val="none" w:sz="0" w:space="0" w:color="auto"/>
      </w:divBdr>
      <w:divsChild>
        <w:div w:id="2263782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0001803901/000119312521260654/d552255dex993.htm" TargetMode="External"/><Relationship Id="rId21" Type="http://schemas.openxmlformats.org/officeDocument/2006/relationships/hyperlink" Target="https://www.sec.gov/Archives/edgar/data/0001803901/000119312521260654/d552255dex991.htm" TargetMode="External"/><Relationship Id="rId42" Type="http://schemas.openxmlformats.org/officeDocument/2006/relationships/hyperlink" Target="https://www.sec.gov/Archives/edgar/data/0001803901/000095017021001074/talk-20210630ex10_14.htm" TargetMode="External"/><Relationship Id="rId47" Type="http://schemas.openxmlformats.org/officeDocument/2006/relationships/hyperlink" Target="https://www.sec.gov/Archives/edgar/data/0001803901/000119312521197353/d136958dex105.htm" TargetMode="External"/><Relationship Id="rId63" Type="http://schemas.openxmlformats.org/officeDocument/2006/relationships/hyperlink" Target="https://www.sec.gov/Archives/edgar/data/0001803901/000119312521197353/d136958dex211.htm" TargetMode="External"/><Relationship Id="rId68" Type="http://schemas.openxmlformats.org/officeDocument/2006/relationships/hyperlink" Target="talk-ex31_1.htm" TargetMode="External"/><Relationship Id="rId2" Type="http://schemas.openxmlformats.org/officeDocument/2006/relationships/settings" Target="settings.xml"/><Relationship Id="rId16" Type="http://schemas.openxmlformats.org/officeDocument/2006/relationships/hyperlink" Target="https://www.sec.gov/Archives/edgar/data/0001803901/000119312520161434/d846732dex43.htm" TargetMode="External"/><Relationship Id="rId29" Type="http://schemas.openxmlformats.org/officeDocument/2006/relationships/hyperlink" Target="https://www.sec.gov/Archives/edgar/data/0001803901/000119312521197353/d136958dex102.htm" TargetMode="External"/><Relationship Id="rId11" Type="http://schemas.openxmlformats.org/officeDocument/2006/relationships/hyperlink" Target="https://www.sec.gov/Archives/edgar/data/1803901/000119312521197385/d182715dex32.htm" TargetMode="External"/><Relationship Id="rId24" Type="http://schemas.openxmlformats.org/officeDocument/2006/relationships/hyperlink" Target="https://www.sec.gov/Archives/edgar/data/0001803901/000119312521260654/d552255dex992.htm" TargetMode="External"/><Relationship Id="rId32" Type="http://schemas.openxmlformats.org/officeDocument/2006/relationships/hyperlink" Target="https://www.sec.gov/Archives/edgar/data/0001803901/000119312521197353/d136958dex103.htm" TargetMode="External"/><Relationship Id="rId37" Type="http://schemas.openxmlformats.org/officeDocument/2006/relationships/hyperlink" Target="https://www.sec.gov/Archives/edgar/data/0001803901/000119312521197353/d136958dex109.htm" TargetMode="External"/><Relationship Id="rId40" Type="http://schemas.openxmlformats.org/officeDocument/2006/relationships/hyperlink" Target="https://www.sec.gov/Archives/edgar/data/0001803901/000119312521106573/d119648dex1019.htm" TargetMode="External"/><Relationship Id="rId45" Type="http://schemas.openxmlformats.org/officeDocument/2006/relationships/hyperlink" Target="https://www.sec.gov/Archives/edgar/data/0001803901/000119312521197353/d136958dex104.htm" TargetMode="External"/><Relationship Id="rId53" Type="http://schemas.openxmlformats.org/officeDocument/2006/relationships/hyperlink" Target="talk-ex10_17.htm" TargetMode="External"/><Relationship Id="rId58" Type="http://schemas.openxmlformats.org/officeDocument/2006/relationships/hyperlink" Target="talk-ex10_19.htm" TargetMode="External"/><Relationship Id="rId66" Type="http://schemas.openxmlformats.org/officeDocument/2006/relationships/hyperlink" Target="talk-ex23_1.htm" TargetMode="External"/><Relationship Id="rId74" Type="http://schemas.openxmlformats.org/officeDocument/2006/relationships/hyperlink" Target="talk-ex32_2.htm" TargetMode="External"/><Relationship Id="rId5" Type="http://schemas.openxmlformats.org/officeDocument/2006/relationships/image" Target="file:///E:\projects\LLMs\new_data_collection\data_new\htm\Talkspace,%20Inc\img103122621_1.jpg" TargetMode="External"/><Relationship Id="rId61" Type="http://schemas.openxmlformats.org/officeDocument/2006/relationships/hyperlink" Target="talk-ex10_21.htm" TargetMode="External"/><Relationship Id="rId19" Type="http://schemas.openxmlformats.org/officeDocument/2006/relationships/hyperlink" Target="talk-ex4_4.htm" TargetMode="External"/><Relationship Id="rId14" Type="http://schemas.openxmlformats.org/officeDocument/2006/relationships/hyperlink" Target="https://www.sec.gov/Archives/edgar/data/0001803901/000119312520166711/d937996dex41.htm" TargetMode="External"/><Relationship Id="rId22" Type="http://schemas.openxmlformats.org/officeDocument/2006/relationships/hyperlink" Target="https://www.sec.gov/Archives/edgar/data/0001803901/000119312521260654/d552255dex991.htm" TargetMode="External"/><Relationship Id="rId27" Type="http://schemas.openxmlformats.org/officeDocument/2006/relationships/hyperlink" Target="https://www.sec.gov/Archives/edgar/data/0001803901/000119312521197353/d136958dex101.htm" TargetMode="External"/><Relationship Id="rId30" Type="http://schemas.openxmlformats.org/officeDocument/2006/relationships/hyperlink" Target="https://www.sec.gov/Archives/edgar/data/0001803901/000119312521197353/d136958dex102.htm" TargetMode="External"/><Relationship Id="rId35" Type="http://schemas.openxmlformats.org/officeDocument/2006/relationships/hyperlink" Target="https://www.sec.gov/Archives/edgar/data/0001803901/000119312521197353/d136958dex107b.htm" TargetMode="External"/><Relationship Id="rId43" Type="http://schemas.openxmlformats.org/officeDocument/2006/relationships/hyperlink" Target="https://www.sec.gov/Archives/edgar/data/0001803901/000095017021005127/talk-ex10_1.htm" TargetMode="External"/><Relationship Id="rId48" Type="http://schemas.openxmlformats.org/officeDocument/2006/relationships/hyperlink" Target="https://www.sec.gov/Archives/edgar/data/0001803901/000119312521197353/d136958dex105.htm" TargetMode="External"/><Relationship Id="rId56" Type="http://schemas.openxmlformats.org/officeDocument/2006/relationships/hyperlink" Target="talk-ex10_18.htm" TargetMode="External"/><Relationship Id="rId64" Type="http://schemas.openxmlformats.org/officeDocument/2006/relationships/hyperlink" Target="https://www.sec.gov/Archives/edgar/data/0001803901/000119312521197353/d136958dex211.htm" TargetMode="External"/><Relationship Id="rId69" Type="http://schemas.openxmlformats.org/officeDocument/2006/relationships/hyperlink" Target="talk-ex31_2.htm" TargetMode="External"/><Relationship Id="rId8" Type="http://schemas.openxmlformats.org/officeDocument/2006/relationships/hyperlink" Target="https://www.sec.gov/Archives/edgar/data/1803901/000119312521025013/d119648ds4.htm" TargetMode="External"/><Relationship Id="rId51" Type="http://schemas.openxmlformats.org/officeDocument/2006/relationships/hyperlink" Target="talk-ex10_16.htm" TargetMode="External"/><Relationship Id="rId72" Type="http://schemas.openxmlformats.org/officeDocument/2006/relationships/hyperlink" Target="talk-ex32_1.htm" TargetMode="External"/><Relationship Id="rId3" Type="http://schemas.openxmlformats.org/officeDocument/2006/relationships/webSettings" Target="webSettings.xml"/><Relationship Id="rId12" Type="http://schemas.openxmlformats.org/officeDocument/2006/relationships/hyperlink" Target="https://www.sec.gov/Archives/edgar/data/1803901/000119312521197385/d182715dex32.htm" TargetMode="External"/><Relationship Id="rId17" Type="http://schemas.openxmlformats.org/officeDocument/2006/relationships/hyperlink" Target="https://www.sec.gov/Archives/edgar/data/0001803901/000119312521167533/d119648dex45.htm" TargetMode="External"/><Relationship Id="rId25" Type="http://schemas.openxmlformats.org/officeDocument/2006/relationships/hyperlink" Target="https://www.sec.gov/Archives/edgar/data/0001803901/000119312521260654/d552255dex993.htm" TargetMode="External"/><Relationship Id="rId33" Type="http://schemas.openxmlformats.org/officeDocument/2006/relationships/hyperlink" Target="https://www.sec.gov/Archives/edgar/data/0001803901/000119312521197353/d136958dex107a.htm" TargetMode="External"/><Relationship Id="rId38" Type="http://schemas.openxmlformats.org/officeDocument/2006/relationships/hyperlink" Target="https://www.sec.gov/Archives/edgar/data/0001803901/000119312521197353/d136958dex109.htm" TargetMode="External"/><Relationship Id="rId46" Type="http://schemas.openxmlformats.org/officeDocument/2006/relationships/hyperlink" Target="https://www.sec.gov/Archives/edgar/data/0001803901/000119312521197353/d136958dex104.htm" TargetMode="External"/><Relationship Id="rId59" Type="http://schemas.openxmlformats.org/officeDocument/2006/relationships/hyperlink" Target="talk-ex10_20.htm" TargetMode="External"/><Relationship Id="rId67" Type="http://schemas.openxmlformats.org/officeDocument/2006/relationships/hyperlink" Target="talk-ex31_1.htm" TargetMode="External"/><Relationship Id="rId20" Type="http://schemas.openxmlformats.org/officeDocument/2006/relationships/hyperlink" Target="talk-ex4_4.htm" TargetMode="External"/><Relationship Id="rId41" Type="http://schemas.openxmlformats.org/officeDocument/2006/relationships/hyperlink" Target="https://www.sec.gov/Archives/edgar/data/0001803901/000095017021001074/talk-20210630ex10_14.htm" TargetMode="External"/><Relationship Id="rId54" Type="http://schemas.openxmlformats.org/officeDocument/2006/relationships/hyperlink" Target="talk-ex10_17.htm" TargetMode="External"/><Relationship Id="rId62" Type="http://schemas.openxmlformats.org/officeDocument/2006/relationships/hyperlink" Target="talk-ex10_21.htm" TargetMode="External"/><Relationship Id="rId70" Type="http://schemas.openxmlformats.org/officeDocument/2006/relationships/hyperlink" Target="talk-ex31_2.htm"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E:\projects\LLMs\new_data_collection\data_new\htm\Talkspace,%20Inc\img103122621_2.jpg" TargetMode="External"/><Relationship Id="rId15" Type="http://schemas.openxmlformats.org/officeDocument/2006/relationships/hyperlink" Target="https://www.sec.gov/Archives/edgar/data/0001803901/000119312520161434/d846732dex43.htm" TargetMode="External"/><Relationship Id="rId23" Type="http://schemas.openxmlformats.org/officeDocument/2006/relationships/hyperlink" Target="https://www.sec.gov/Archives/edgar/data/0001803901/000119312521260654/d552255dex992.htm" TargetMode="External"/><Relationship Id="rId28" Type="http://schemas.openxmlformats.org/officeDocument/2006/relationships/hyperlink" Target="https://www.sec.gov/Archives/edgar/data/0001803901/000119312521197353/d136958dex101.htm" TargetMode="External"/><Relationship Id="rId36" Type="http://schemas.openxmlformats.org/officeDocument/2006/relationships/hyperlink" Target="https://www.sec.gov/Archives/edgar/data/0001803901/000119312521197353/d136958dex107b.htm" TargetMode="External"/><Relationship Id="rId49" Type="http://schemas.openxmlformats.org/officeDocument/2006/relationships/hyperlink" Target="https://www.sec.gov/Archives/edgar/data/0001803901/000119312521197353/d136958dex106.htm" TargetMode="External"/><Relationship Id="rId57" Type="http://schemas.openxmlformats.org/officeDocument/2006/relationships/hyperlink" Target="talk-ex10_19.htm" TargetMode="External"/><Relationship Id="rId10" Type="http://schemas.openxmlformats.org/officeDocument/2006/relationships/hyperlink" Target="https://www.sec.gov/Archives/edgar/data/1803901/000119312521197385/d182715dex31.htm" TargetMode="External"/><Relationship Id="rId31" Type="http://schemas.openxmlformats.org/officeDocument/2006/relationships/hyperlink" Target="https://www.sec.gov/Archives/edgar/data/0001803901/000119312521197353/d136958dex103.htm" TargetMode="External"/><Relationship Id="rId44" Type="http://schemas.openxmlformats.org/officeDocument/2006/relationships/hyperlink" Target="https://www.sec.gov/Archives/edgar/data/0001803901/000095017021005127/talk-ex10_1.htm" TargetMode="External"/><Relationship Id="rId52" Type="http://schemas.openxmlformats.org/officeDocument/2006/relationships/hyperlink" Target="talk-ex10_16.htm" TargetMode="External"/><Relationship Id="rId60" Type="http://schemas.openxmlformats.org/officeDocument/2006/relationships/hyperlink" Target="talk-ex10_20.htm" TargetMode="External"/><Relationship Id="rId65" Type="http://schemas.openxmlformats.org/officeDocument/2006/relationships/hyperlink" Target="talk-ex23_1.htm" TargetMode="External"/><Relationship Id="rId73" Type="http://schemas.openxmlformats.org/officeDocument/2006/relationships/hyperlink" Target="talk-ex32_2.htm" TargetMode="External"/><Relationship Id="rId4" Type="http://schemas.openxmlformats.org/officeDocument/2006/relationships/image" Target="file:///E:\projects\LLMs\new_data_collection\data_new\htm\Talkspace,%20Inc\img103122621_0.jpg" TargetMode="External"/><Relationship Id="rId9" Type="http://schemas.openxmlformats.org/officeDocument/2006/relationships/hyperlink" Target="https://www.sec.gov/Archives/edgar/data/1803901/000119312521197385/d182715dex31.htm" TargetMode="External"/><Relationship Id="rId13" Type="http://schemas.openxmlformats.org/officeDocument/2006/relationships/hyperlink" Target="https://www.sec.gov/Archives/edgar/data/0001803901/000119312520166711/d937996dex41.htm" TargetMode="External"/><Relationship Id="rId18" Type="http://schemas.openxmlformats.org/officeDocument/2006/relationships/hyperlink" Target="https://www.sec.gov/Archives/edgar/data/0001803901/000119312521167533/d119648dex45.htm" TargetMode="External"/><Relationship Id="rId39" Type="http://schemas.openxmlformats.org/officeDocument/2006/relationships/hyperlink" Target="https://www.sec.gov/Archives/edgar/data/0001803901/000119312521106573/d119648dex1019.htm" TargetMode="External"/><Relationship Id="rId34" Type="http://schemas.openxmlformats.org/officeDocument/2006/relationships/hyperlink" Target="https://www.sec.gov/Archives/edgar/data/0001803901/000119312521197353/d136958dex107a.htm" TargetMode="External"/><Relationship Id="rId50" Type="http://schemas.openxmlformats.org/officeDocument/2006/relationships/hyperlink" Target="https://www.sec.gov/Archives/edgar/data/0001803901/000119312521197353/d136958dex106.htm" TargetMode="External"/><Relationship Id="rId55" Type="http://schemas.openxmlformats.org/officeDocument/2006/relationships/hyperlink" Target="talk-ex10_18.htm" TargetMode="External"/><Relationship Id="rId76" Type="http://schemas.openxmlformats.org/officeDocument/2006/relationships/theme" Target="theme/theme1.xml"/><Relationship Id="rId7" Type="http://schemas.openxmlformats.org/officeDocument/2006/relationships/hyperlink" Target="https://www.sec.gov/Archives/edgar/data/1803901/000119312521025013/d119648ds4.htm" TargetMode="External"/><Relationship Id="rId71" Type="http://schemas.openxmlformats.org/officeDocument/2006/relationships/hyperlink" Target="talk-ex32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87841</Words>
  <Characters>500695</Characters>
  <Application>Microsoft Office Word</Application>
  <DocSecurity>0</DocSecurity>
  <Lines>4172</Lines>
  <Paragraphs>1174</Paragraphs>
  <ScaleCrop>false</ScaleCrop>
  <Company/>
  <LinksUpToDate>false</LinksUpToDate>
  <CharactersWithSpaces>587362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