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3639B">
      <w:pPr>
        <w:divId w:val="1551576022"/>
        <w:rPr>
          <w:rFonts w:eastAsia="Times New Roman"/>
          <w:vanish/>
        </w:rPr>
      </w:pPr>
      <w:r>
        <w:rPr>
          <w:rFonts w:eastAsia="Times New Roman"/>
          <w:vanish/>
        </w:rPr>
        <w:t>false0001803901--12-31Q30001803901us-gaap:ConvertiblePreferredStockMember2021-12-310001803901us-gaap:CommonStockMember2021-12-310001803901us-gaap:EmployeeStockOptionMember2022-07-012022-09-3000018039012022-01-012022-03-310001803901</w:t>
      </w:r>
      <w:r>
        <w:rPr>
          <w:rFonts w:eastAsia="Times New Roman"/>
          <w:vanish/>
        </w:rPr>
        <w:t>talk:ClinicalOperationsMember2021-07-012021-09-300001803901talk:BtwobrevenueMember2022-01-012022-09-300001803901us-gaap:FairValueInputsLevel3Membertalk:PrivatePlacementWarrantMember2021-12-310001803901us-gaap:RetainedEarningsMember2022-03-310001803901talk:</w:t>
      </w:r>
      <w:r>
        <w:rPr>
          <w:rFonts w:eastAsia="Times New Roman"/>
          <w:vanish/>
        </w:rPr>
        <w:t>BtwobrevenueMember2021-01-012021-09-300001803901us-gaap:ConvertiblePreferredStockMember2021-03-310001803901us-gaap:SellingAndMarketingExpenseMember2021-07-012021-09-300001803901us-gaap:CommonStockMember2021-09-300001803901us-gaap:RetainedEarningsMember2021</w:t>
      </w:r>
      <w:r>
        <w:rPr>
          <w:rFonts w:eastAsia="Times New Roman"/>
          <w:vanish/>
        </w:rPr>
        <w:t>-03-310001803901talk:PrivatePlacementWarrantMember2022-07-012022-09-300001803901talk:PrivatePlacementWarrantMember2022-07-012022-09-300001803901us-gaap:CommonStockMember2021-07-012021-09-300001803901us-gaap:CommonStockMember2021-03-310001803901us-gaap:Comm</w:t>
      </w:r>
      <w:r>
        <w:rPr>
          <w:rFonts w:eastAsia="Times New Roman"/>
          <w:vanish/>
        </w:rPr>
        <w:t>onStockMember2021-06-300001803901us-gaap:EmployeeStockOptionMember2022-01-012022-09-3000018039012020-12-310001803901us-gaap:ConvertiblePreferredStockMember2022-06-300001803901us-gaap:RetainedEarningsMember2022-01-012022-03-310001803901us-gaap:CommonStockMe</w:t>
      </w:r>
      <w:r>
        <w:rPr>
          <w:rFonts w:eastAsia="Times New Roman"/>
          <w:vanish/>
        </w:rPr>
        <w:t>mber2022-01-012022-03-310001803901talk:BtwobrevenueMember2022-07-012022-09-3000018039012022-11-040001803901talk:ClinicalOperationsMember2022-07-012022-09-300001803901us-gaap:ResearchAndDevelopmentExpenseMember2022-07-012022-09-300001803901us-gaap:CommonSto</w:t>
      </w:r>
      <w:r>
        <w:rPr>
          <w:rFonts w:eastAsia="Times New Roman"/>
          <w:vanish/>
        </w:rPr>
        <w:t>ckMember2022-09-300001803901us-gaap:ResearchAndDevelopmentExpenseMember2021-01-012021-09-300001803901us-gaap:AdditionalPaidInCapitalMember2021-07-012021-09-300001803901us-gaap:RetainedEarningsMember2020-12-310001803901us-gaap:AdditionalPaidInCapitalMember2</w:t>
      </w:r>
      <w:r>
        <w:rPr>
          <w:rFonts w:eastAsia="Times New Roman"/>
          <w:vanish/>
        </w:rPr>
        <w:t>021-06-300001803901us-gaap:AdditionalPaidInCapitalMember2020-12-310001803901us-gaap:RestrictedStockUnitsRSUMember2022-07-012022-09-300001803901us-gaap:EmployeeStockOptionMember2021-07-012021-09-300001803901us-gaap:CommonStockMember2022-04-012022-06-3000018</w:t>
      </w:r>
      <w:r>
        <w:rPr>
          <w:rFonts w:eastAsia="Times New Roman"/>
          <w:vanish/>
        </w:rPr>
        <w:t>03901us-gaap:CommonStockMember2022-01-012022-09-300001803901us-gaap:RetainedEarningsMember2021-09-300001803901talk:BtwocrevenueMember2022-01-012022-09-300001803901us-gaap:CommonStockMember2020-12-310001803901talk:PublicWarrantMember2022-09-300001803901us-g</w:t>
      </w:r>
      <w:r>
        <w:rPr>
          <w:rFonts w:eastAsia="Times New Roman"/>
          <w:vanish/>
        </w:rPr>
        <w:t>aap:RetainedEarningsMember2021-12-310001803901talk:ClinicalOperationsMember2021-01-012021-09-300001803901talk:BtwocrevenueMember2022-07-012022-09-300001803901talk:PrivatePlacementWarrantMember2022-01-012022-09-300001803901us-gaap:RetainedEarningsMember2022</w:t>
      </w:r>
      <w:r>
        <w:rPr>
          <w:rFonts w:eastAsia="Times New Roman"/>
          <w:vanish/>
        </w:rPr>
        <w:t>-04-012022-06-300001803901us-gaap:EmployeeStockOptionMember2021-01-012021-09-300001803901us-gaap:GeneralAndAdministrativeExpenseMember2021-01-012021-09-300001803901talk:PrivatePlacementWarrantMember2022-01-012022-09-300001803901us-gaap:FairValueInputsLevel</w:t>
      </w:r>
      <w:r>
        <w:rPr>
          <w:rFonts w:eastAsia="Times New Roman"/>
          <w:vanish/>
        </w:rPr>
        <w:t>3Membertalk:PrivatePlacementWarrantMember2022-09-3000018039012021-06-3000018039012021-07-012021-09-300001803901us-gaap:ResearchAndDevelopmentExpenseMember2022-01-012022-09-300001803901us-gaap:CommonStockMember2021-04-012021-06-300001803901us-gaap:FairValue</w:t>
      </w:r>
      <w:r>
        <w:rPr>
          <w:rFonts w:eastAsia="Times New Roman"/>
          <w:vanish/>
        </w:rPr>
        <w:t>InputsLevel3Membertalk:PrivatePlacementWarrantMember2022-07-012022-09-300001803901us-gaap:SellingAndMarketingExpenseMember2021-01-012021-09-300001803901us-gaap:RetainedEarningsMember2021-06-3000018039012022-04-012022-06-300001803901us-gaap:RetainedEarnings</w:t>
      </w:r>
      <w:r>
        <w:rPr>
          <w:rFonts w:eastAsia="Times New Roman"/>
          <w:vanish/>
        </w:rPr>
        <w:t>Member2022-06-3000018039012021-12-310001803901talk:BtwobrevenueMember2021-07-012021-09-300001803901us-gaap:ResearchAndDevelopmentExpenseMember2021-07-012021-09-300001803901us-gaap:FairValueInputsLevel3Membertalk:PrivatePlacementWarrantMember2022-06-3000018</w:t>
      </w:r>
      <w:r>
        <w:rPr>
          <w:rFonts w:eastAsia="Times New Roman"/>
          <w:vanish/>
        </w:rPr>
        <w:t>03901us-gaap:AdditionalPaidInCapitalMember2021-04-012021-06-3000018039012022-09-300001803901talk:PrivatePlacementWarrantMember2022-09-300001803901us-gaap:CommonStockMember2022-07-012022-09-300001803901talk:PublicWarrantMember2021-01-012021-09-300001803901u</w:t>
      </w:r>
      <w:r>
        <w:rPr>
          <w:rFonts w:eastAsia="Times New Roman"/>
          <w:vanish/>
        </w:rPr>
        <w:t>s-gaap:AdditionalPaidInCapitalMember2021-01-012021-03-310001803901us-gaap:AdditionalPaidInCapitalMember2022-04-012022-06-300001803901talk:PrivatePlacementWarrantMember2021-07-012021-09-300001803901us-gaap:RestrictedStockUnitsRSUMember2022-01-012022-09-3000</w:t>
      </w:r>
      <w:r>
        <w:rPr>
          <w:rFonts w:eastAsia="Times New Roman"/>
          <w:vanish/>
        </w:rPr>
        <w:t>01803901us-gaap:RetainedEarningsMember2021-01-012021-03-310001803901us-gaap:AdditionalPaidInCapitalMember2021-12-310001803901us-gaap:CommonStockMember2021-01-012021-03-310001803901us-gaap:GeneralAndAdministrativeExpenseMember2022-07-012022-09-3000018039012</w:t>
      </w:r>
      <w:r>
        <w:rPr>
          <w:rFonts w:eastAsia="Times New Roman"/>
          <w:vanish/>
        </w:rPr>
        <w:t>021-04-012021-06-300001803901us-gaap:WarrantMember2022-01-012022-09-300001803901talk:HealthPlansAndEapCustomersMember2022-09-3000018039012021-03-310001803901us-gaap:ConvertiblePreferredStockMember2021-04-012021-06-300001803901us-gaap:CommonStockMember2022-</w:t>
      </w:r>
      <w:r>
        <w:rPr>
          <w:rFonts w:eastAsia="Times New Roman"/>
          <w:vanish/>
        </w:rPr>
        <w:t>03-310001803901talk:PrivatePlacementWarrantMember2021-01-012021-09-300001803901talk:PublicWarrantMember2021-07-012021-09-300001803901us-gaap:AdditionalPaidInCapitalMember2022-01-012022-03-310001803901us-gaap:GeneralAndAdministrativeExpenseMember2021-07-012</w:t>
      </w:r>
      <w:r>
        <w:rPr>
          <w:rFonts w:eastAsia="Times New Roman"/>
          <w:vanish/>
        </w:rPr>
        <w:t>021-09-300001803901us-gaap:AdditionalPaidInCapitalMember2021-03-3100018039012022-06-3000018039012021-09-300001803901talk:BtwocrevenueMember2021-01-012021-09-300001803901us-gaap:FairValueInputsLevel3Membertalk:PrivatePlacementWarrantMember2022-01-012022-09-</w:t>
      </w:r>
      <w:r>
        <w:rPr>
          <w:rFonts w:eastAsia="Times New Roman"/>
          <w:vanish/>
        </w:rPr>
        <w:t>3000018039012022-03-310001803901us-gaap:RetainedEarningsMember2021-07-012021-09-300001803901us-gaap:AdditionalPaidInCapitalMember2021-09-300001803901us-gaap:SellingAndMarketingExpenseMember2022-01-012022-09-300001803901us-gaap:AdditionalPaidInCapitalMember</w:t>
      </w:r>
      <w:r>
        <w:rPr>
          <w:rFonts w:eastAsia="Times New Roman"/>
          <w:vanish/>
        </w:rPr>
        <w:t>2022-09-300001803901us-gaap:RecourseMember2022-01-012022-09-3000018039012021-01-012021-09-300001803901us-gaap:ConvertiblePreferredStockMember2022-03-310001803901talk:VariableInterestEntityMember2022-09-300001803901us-gaap:SellingAndMarketingExpenseMember20</w:t>
      </w:r>
      <w:r>
        <w:rPr>
          <w:rFonts w:eastAsia="Times New Roman"/>
          <w:vanish/>
        </w:rPr>
        <w:t>22-07-012022-09-300001803901us-gaap:RetainedEarningsMember2021-04-012021-06-300001803901us-gaap:RetainedEarningsMember2022-07-012022-09-300001803901talk:PrivatePlacementWarrantMember2021-01-012021-09-3000018039012022-07-012022-09-300001803901us-gaap:Genera</w:t>
      </w:r>
      <w:r>
        <w:rPr>
          <w:rFonts w:eastAsia="Times New Roman"/>
          <w:vanish/>
        </w:rPr>
        <w:t>lAndAdministrativeExpenseMember2022-01-012022-09-300001803901us-gaap:AdditionalPaidInCapitalMember2022-06-300001803901us-gaap:CommonStockMember2022-06-300001803901talk:PublicWarrantMember2022-07-012022-09-3000018039012022-01-012022-09-3000018039012021-01-0</w:t>
      </w:r>
      <w:r>
        <w:rPr>
          <w:rFonts w:eastAsia="Times New Roman"/>
          <w:vanish/>
        </w:rPr>
        <w:t>12021-03-310001803901talk:PrivatePlacementWarrantMember2021-12-310001803901us-gaap:AdditionalPaidInCapitalMember2022-03-310001803901talk:PublicWarrantMember2022-01-012022-09-300001803901talk:PrivatePlacementWarrantMember2021-07-012021-09-300001803901us-gaa</w:t>
      </w:r>
      <w:r>
        <w:rPr>
          <w:rFonts w:eastAsia="Times New Roman"/>
          <w:vanish/>
        </w:rPr>
        <w:t>p:ConvertiblePreferredStockMember2021-06-300001803901us-gaap:ConvertiblePreferredStockMember2020-12-310001803901talk:ClinicalOperationsMember2022-01-012022-09-300001803901talk:PublicWarrantMember2021-12-310001803901us-gaap:AdditionalPaidInCapitalMember2022</w:t>
      </w:r>
      <w:r>
        <w:rPr>
          <w:rFonts w:eastAsia="Times New Roman"/>
          <w:vanish/>
        </w:rPr>
        <w:t>-07-012022-09-300001803901us-gaap:RetainedEarningsMember2022-09-300001803901talk:BtwocrevenueMember2021-07-012021-09-30iso4217:USDxbrli:sharesxbrli:sharesiso4217:USD</w: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b/>
          <w:bCs/>
          <w:sz w:val="36"/>
          <w:szCs w:val="36"/>
        </w:rPr>
        <w:t>UNITED STATE</w:t>
      </w:r>
      <w:r>
        <w:rPr>
          <w:b/>
          <w:bCs/>
          <w:sz w:val="36"/>
          <w:szCs w:val="36"/>
        </w:rPr>
        <w:t>S</w:t>
      </w:r>
    </w:p>
    <w:p w:rsidR="00000000" w:rsidRDefault="0043639B">
      <w:pPr>
        <w:pStyle w:val="a3"/>
        <w:spacing w:before="0" w:beforeAutospacing="0" w:after="0" w:afterAutospacing="0"/>
        <w:jc w:val="center"/>
        <w:rPr>
          <w:sz w:val="20"/>
          <w:szCs w:val="20"/>
        </w:rPr>
      </w:pPr>
      <w:r>
        <w:rPr>
          <w:b/>
          <w:bCs/>
          <w:sz w:val="36"/>
          <w:szCs w:val="36"/>
        </w:rPr>
        <w:t>SECURITIES AND EXCHANGE</w:t>
      </w:r>
      <w:r>
        <w:rPr>
          <w:b/>
          <w:bCs/>
          <w:sz w:val="36"/>
          <w:szCs w:val="36"/>
        </w:rPr>
        <w:t xml:space="preserve"> COMMISSIO</w:t>
      </w:r>
      <w:r>
        <w:rPr>
          <w:b/>
          <w:bCs/>
          <w:sz w:val="36"/>
          <w:szCs w:val="36"/>
        </w:rPr>
        <w:t>N</w:t>
      </w:r>
    </w:p>
    <w:p w:rsidR="00000000" w:rsidRDefault="0043639B">
      <w:pPr>
        <w:pStyle w:val="a3"/>
        <w:spacing w:before="0" w:beforeAutospacing="0" w:after="0" w:afterAutospacing="0"/>
        <w:jc w:val="center"/>
        <w:rPr>
          <w:sz w:val="20"/>
          <w:szCs w:val="20"/>
        </w:rPr>
      </w:pPr>
      <w:r>
        <w:rPr>
          <w:b/>
          <w:bCs/>
        </w:rPr>
        <w:t>WASHINGTON, D.C. 2054</w:t>
      </w:r>
      <w:r>
        <w:rPr>
          <w:b/>
          <w:bCs/>
        </w:rPr>
        <w:t>9</w:t>
      </w:r>
    </w:p>
    <w:p w:rsidR="00000000" w:rsidRDefault="0043639B">
      <w:pPr>
        <w:pStyle w:val="a3"/>
        <w:pBdr>
          <w:bottom w:val="single" w:sz="4" w:space="1" w:color="auto"/>
        </w:pBdr>
        <w:spacing w:before="60" w:beforeAutospacing="0" w:after="120" w:afterAutospacing="0"/>
        <w:ind w:left="4762" w:right="4762"/>
        <w:jc w:val="center"/>
        <w:rPr>
          <w:sz w:val="20"/>
          <w:szCs w:val="20"/>
        </w:rPr>
      </w:pPr>
      <w:r>
        <w:rPr>
          <w:sz w:val="20"/>
          <w:szCs w:val="20"/>
        </w:rPr>
        <w:t> </w:t>
      </w:r>
    </w:p>
    <w:p w:rsidR="00000000" w:rsidRDefault="0043639B">
      <w:pPr>
        <w:pStyle w:val="a3"/>
        <w:spacing w:before="12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43639B">
      <w:pPr>
        <w:pStyle w:val="a3"/>
        <w:pBdr>
          <w:bottom w:val="single" w:sz="4" w:space="1" w:color="auto"/>
        </w:pBdr>
        <w:spacing w:before="60" w:beforeAutospacing="0" w:after="120" w:afterAutospacing="0"/>
        <w:ind w:left="4762" w:right="4762"/>
        <w:jc w:val="center"/>
        <w:rPr>
          <w:sz w:val="20"/>
          <w:szCs w:val="20"/>
        </w:rPr>
      </w:pPr>
      <w:r>
        <w:rPr>
          <w:sz w:val="20"/>
          <w:szCs w:val="20"/>
        </w:rPr>
        <w:t> </w:t>
      </w:r>
    </w:p>
    <w:p w:rsidR="00000000" w:rsidRDefault="0043639B">
      <w:pPr>
        <w:pStyle w:val="a3"/>
        <w:spacing w:before="90" w:beforeAutospacing="0" w:after="0" w:afterAutospacing="0"/>
        <w:rPr>
          <w:sz w:val="20"/>
          <w:szCs w:val="20"/>
        </w:rPr>
      </w:pPr>
      <w:r>
        <w:rPr>
          <w:b/>
          <w:bCs/>
          <w:sz w:val="16"/>
          <w:szCs w:val="16"/>
        </w:rPr>
        <w:t>(Mark One</w:t>
      </w:r>
      <w:r>
        <w:rPr>
          <w:b/>
          <w:bCs/>
          <w:sz w:val="16"/>
          <w:szCs w:val="16"/>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43639B">
            <w:pPr>
              <w:rPr>
                <w:sz w:val="20"/>
                <w:szCs w:val="20"/>
              </w:rPr>
            </w:pPr>
          </w:p>
        </w:tc>
        <w:tc>
          <w:tcPr>
            <w:tcW w:w="4800" w:type="pct"/>
            <w:vAlign w:val="center"/>
            <w:hideMark/>
          </w:tcPr>
          <w:p w:rsidR="00000000" w:rsidRDefault="0043639B">
            <w:pPr>
              <w:rPr>
                <w:rFonts w:eastAsia="Times New Roman"/>
                <w:sz w:val="20"/>
                <w:szCs w:val="20"/>
              </w:rPr>
            </w:pPr>
          </w:p>
        </w:tc>
      </w:tr>
      <w:tr w:rsidR="00000000">
        <w:trPr>
          <w:trHeight w:val="200"/>
          <w:tblCellSpacing w:w="15" w:type="dxa"/>
        </w:trPr>
        <w:tc>
          <w:tcPr>
            <w:tcW w:w="0" w:type="auto"/>
            <w:tcMar>
              <w:top w:w="15" w:type="dxa"/>
              <w:left w:w="14" w:type="dxa"/>
              <w:bottom w:w="15" w:type="dxa"/>
              <w:right w:w="14" w:type="dxa"/>
            </w:tcMar>
            <w:hideMark/>
          </w:tcPr>
          <w:p w:rsidR="00000000" w:rsidRDefault="0043639B">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tcMar>
              <w:top w:w="15" w:type="dxa"/>
              <w:left w:w="14" w:type="dxa"/>
              <w:bottom w:w="15" w:type="dxa"/>
              <w:right w:w="14" w:type="dxa"/>
            </w:tcMar>
            <w:hideMark/>
          </w:tcPr>
          <w:p w:rsidR="00000000" w:rsidRDefault="0043639B">
            <w:pPr>
              <w:pStyle w:val="a3"/>
              <w:spacing w:before="0" w:beforeAutospacing="0" w:after="0" w:afterAutospacing="0"/>
              <w:rPr>
                <w:sz w:val="20"/>
                <w:szCs w:val="20"/>
              </w:rPr>
            </w:pPr>
            <w:r>
              <w:rPr>
                <w:b/>
                <w:bCs/>
                <w:sz w:val="20"/>
                <w:szCs w:val="20"/>
              </w:rPr>
              <w:t>QUARTERLY REPORT PURSUANT TO SECTION 13 OR 15(d) OF THE SECURITIES EXCHANGE ACT OF 193</w:t>
            </w:r>
            <w:r>
              <w:rPr>
                <w:b/>
                <w:bCs/>
                <w:sz w:val="20"/>
                <w:szCs w:val="20"/>
              </w:rPr>
              <w:t>4</w:t>
            </w:r>
          </w:p>
        </w:tc>
      </w:tr>
    </w:tbl>
    <w:p w:rsidR="00000000" w:rsidRDefault="0043639B">
      <w:pPr>
        <w:pStyle w:val="a3"/>
        <w:spacing w:before="120" w:beforeAutospacing="0" w:after="0" w:afterAutospacing="0"/>
        <w:jc w:val="center"/>
        <w:rPr>
          <w:sz w:val="20"/>
          <w:szCs w:val="20"/>
        </w:rPr>
      </w:pPr>
      <w:r>
        <w:rPr>
          <w:b/>
          <w:bCs/>
          <w:sz w:val="20"/>
          <w:szCs w:val="20"/>
        </w:rPr>
        <w:t>For the quarterly period ended</w:t>
      </w:r>
      <w:r>
        <w:rPr>
          <w:b/>
          <w:bCs/>
          <w:sz w:val="20"/>
          <w:szCs w:val="20"/>
        </w:rPr>
        <w:t xml:space="preserve"> </w:t>
      </w:r>
      <w:r>
        <w:rPr>
          <w:b/>
          <w:bCs/>
          <w:sz w:val="20"/>
          <w:szCs w:val="20"/>
        </w:rPr>
        <w:t>September 30,</w:t>
      </w:r>
      <w:r>
        <w:rPr>
          <w:b/>
          <w:bCs/>
          <w:sz w:val="20"/>
          <w:szCs w:val="20"/>
        </w:rPr>
        <w:t xml:space="preserve"> </w:t>
      </w:r>
      <w:r>
        <w:rPr>
          <w:b/>
          <w:bCs/>
          <w:sz w:val="20"/>
          <w:szCs w:val="20"/>
        </w:rPr>
        <w:t>202</w:t>
      </w:r>
      <w:r>
        <w:rPr>
          <w:b/>
          <w:bCs/>
          <w:sz w:val="20"/>
          <w:szCs w:val="20"/>
        </w:rPr>
        <w:t>2</w:t>
      </w:r>
    </w:p>
    <w:p w:rsidR="00000000" w:rsidRDefault="0043639B">
      <w:pPr>
        <w:pStyle w:val="a3"/>
        <w:spacing w:before="120" w:beforeAutospacing="0" w:after="0" w:afterAutospacing="0"/>
        <w:jc w:val="center"/>
        <w:rPr>
          <w:sz w:val="20"/>
          <w:szCs w:val="20"/>
        </w:rPr>
      </w:pPr>
      <w:r>
        <w:rPr>
          <w:b/>
          <w:bCs/>
          <w:sz w:val="20"/>
          <w:szCs w:val="20"/>
        </w:rPr>
        <w:t>O</w:t>
      </w:r>
      <w:r>
        <w:rPr>
          <w:b/>
          <w:bCs/>
          <w:sz w:val="20"/>
          <w:szCs w:val="20"/>
        </w:rPr>
        <w:t>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2"/>
        <w:gridCol w:w="7934"/>
      </w:tblGrid>
      <w:tr w:rsidR="00000000">
        <w:trPr>
          <w:tblCellSpacing w:w="15" w:type="dxa"/>
        </w:trPr>
        <w:tc>
          <w:tcPr>
            <w:tcW w:w="199" w:type="pct"/>
            <w:vAlign w:val="center"/>
            <w:hideMark/>
          </w:tcPr>
          <w:p w:rsidR="00000000" w:rsidRDefault="0043639B">
            <w:pPr>
              <w:rPr>
                <w:sz w:val="20"/>
                <w:szCs w:val="20"/>
              </w:rPr>
            </w:pPr>
          </w:p>
        </w:tc>
        <w:tc>
          <w:tcPr>
            <w:tcW w:w="4800" w:type="pct"/>
            <w:vAlign w:val="center"/>
            <w:hideMark/>
          </w:tcPr>
          <w:p w:rsidR="00000000" w:rsidRDefault="0043639B">
            <w:pPr>
              <w:rPr>
                <w:rFonts w:eastAsia="Times New Roman"/>
                <w:sz w:val="20"/>
                <w:szCs w:val="20"/>
              </w:rPr>
            </w:pPr>
          </w:p>
        </w:tc>
      </w:tr>
      <w:tr w:rsidR="00000000">
        <w:trPr>
          <w:trHeight w:val="200"/>
          <w:tblCellSpacing w:w="15" w:type="dxa"/>
        </w:trPr>
        <w:tc>
          <w:tcPr>
            <w:tcW w:w="0" w:type="auto"/>
            <w:tcMar>
              <w:top w:w="15" w:type="dxa"/>
              <w:left w:w="14" w:type="dxa"/>
              <w:bottom w:w="15" w:type="dxa"/>
              <w:right w:w="14" w:type="dxa"/>
            </w:tcMar>
            <w:hideMark/>
          </w:tcPr>
          <w:p w:rsidR="00000000" w:rsidRDefault="0043639B">
            <w:pPr>
              <w:pStyle w:val="a3"/>
              <w:spacing w:before="120" w:beforeAutospacing="0" w:after="0" w:afterAutospacing="0"/>
              <w:rPr>
                <w:sz w:val="20"/>
                <w:szCs w:val="20"/>
              </w:rPr>
            </w:pPr>
            <w:r>
              <w:rPr>
                <w:rFonts w:ascii="Segoe UI Symbol" w:hAnsi="Segoe UI Symbol" w:cs="Segoe UI Symbol"/>
                <w:b/>
                <w:bCs/>
                <w:sz w:val="20"/>
                <w:szCs w:val="20"/>
              </w:rPr>
              <w:t>☐</w:t>
            </w:r>
          </w:p>
        </w:tc>
        <w:tc>
          <w:tcPr>
            <w:tcW w:w="0" w:type="auto"/>
            <w:tcMar>
              <w:top w:w="15" w:type="dxa"/>
              <w:left w:w="14" w:type="dxa"/>
              <w:bottom w:w="15" w:type="dxa"/>
              <w:right w:w="14" w:type="dxa"/>
            </w:tcMar>
            <w:hideMark/>
          </w:tcPr>
          <w:p w:rsidR="00000000" w:rsidRDefault="0043639B">
            <w:pPr>
              <w:pStyle w:val="a3"/>
              <w:spacing w:before="120" w:beforeAutospacing="0" w:after="0" w:afterAutospacing="0"/>
              <w:rPr>
                <w:sz w:val="20"/>
                <w:szCs w:val="20"/>
              </w:rPr>
            </w:pPr>
            <w:r>
              <w:rPr>
                <w:b/>
                <w:bCs/>
                <w:sz w:val="20"/>
                <w:szCs w:val="20"/>
              </w:rPr>
              <w:t>TRANSITION REPORT PURSUANT TO SECTION 13 OR 15(d) OF THE SECURITIES EXCHANGE ACT OF 193</w:t>
            </w:r>
            <w:r>
              <w:rPr>
                <w:b/>
                <w:bCs/>
                <w:sz w:val="20"/>
                <w:szCs w:val="20"/>
              </w:rPr>
              <w:t>4</w:t>
            </w:r>
          </w:p>
        </w:tc>
      </w:tr>
    </w:tbl>
    <w:p w:rsidR="00000000" w:rsidRDefault="0043639B">
      <w:pPr>
        <w:pStyle w:val="a3"/>
        <w:spacing w:before="120" w:beforeAutospacing="0" w:after="0" w:afterAutospacing="0"/>
        <w:jc w:val="center"/>
        <w:rPr>
          <w:sz w:val="20"/>
          <w:szCs w:val="20"/>
        </w:rPr>
      </w:pPr>
      <w:r>
        <w:rPr>
          <w:b/>
          <w:bCs/>
          <w:sz w:val="20"/>
          <w:szCs w:val="20"/>
        </w:rPr>
        <w:t>For the transition period from</w:t>
      </w:r>
      <w:r>
        <w:rPr>
          <w:b/>
          <w:bCs/>
          <w:sz w:val="20"/>
          <w:szCs w:val="20"/>
        </w:rPr>
        <w:t xml:space="preserve"> </w:t>
      </w:r>
      <w:r>
        <w:rPr>
          <w:b/>
          <w:bCs/>
          <w:sz w:val="20"/>
          <w:szCs w:val="20"/>
        </w:rPr>
        <w:t>t</w:t>
      </w:r>
      <w:r>
        <w:rPr>
          <w:b/>
          <w:bCs/>
          <w:sz w:val="20"/>
          <w:szCs w:val="20"/>
        </w:rPr>
        <w:t>o</w:t>
      </w:r>
      <w:r>
        <w:rPr>
          <w:b/>
          <w:bCs/>
          <w:sz w:val="20"/>
          <w:szCs w:val="20"/>
        </w:rPr>
        <w:t xml:space="preserve"> </w:t>
      </w:r>
    </w:p>
    <w:p w:rsidR="00000000" w:rsidRDefault="0043639B">
      <w:pPr>
        <w:pStyle w:val="a3"/>
        <w:spacing w:before="120" w:beforeAutospacing="0" w:after="0" w:afterAutospacing="0"/>
        <w:jc w:val="center"/>
        <w:rPr>
          <w:sz w:val="20"/>
          <w:szCs w:val="20"/>
        </w:rPr>
      </w:pPr>
      <w:r>
        <w:rPr>
          <w:b/>
          <w:bCs/>
          <w:sz w:val="20"/>
          <w:szCs w:val="20"/>
        </w:rPr>
        <w:t>Commission File Number:</w:t>
      </w:r>
      <w:r>
        <w:rPr>
          <w:b/>
          <w:bCs/>
          <w:sz w:val="20"/>
          <w:szCs w:val="20"/>
        </w:rPr>
        <w:t xml:space="preserve"> </w:t>
      </w:r>
      <w:r>
        <w:rPr>
          <w:b/>
          <w:bCs/>
          <w:sz w:val="20"/>
          <w:szCs w:val="20"/>
        </w:rPr>
        <w:t>001-3931</w:t>
      </w:r>
      <w:r>
        <w:rPr>
          <w:b/>
          <w:bCs/>
          <w:sz w:val="20"/>
          <w:szCs w:val="20"/>
        </w:rPr>
        <w:t>4</w:t>
      </w:r>
    </w:p>
    <w:p w:rsidR="00000000" w:rsidRDefault="0043639B">
      <w:pPr>
        <w:pStyle w:val="a3"/>
        <w:pBdr>
          <w:bottom w:val="single" w:sz="4" w:space="1" w:color="auto"/>
        </w:pBdr>
        <w:spacing w:before="60" w:beforeAutospacing="0" w:after="120" w:afterAutospacing="0"/>
        <w:ind w:left="4762" w:right="4762"/>
        <w:jc w:val="center"/>
        <w:rPr>
          <w:sz w:val="20"/>
          <w:szCs w:val="20"/>
        </w:rPr>
      </w:pPr>
      <w:r>
        <w:rPr>
          <w:sz w:val="20"/>
          <w:szCs w:val="20"/>
        </w:rPr>
        <w:t> </w:t>
      </w:r>
    </w:p>
    <w:p w:rsidR="00000000" w:rsidRDefault="0043639B">
      <w:pPr>
        <w:pStyle w:val="a3"/>
        <w:spacing w:before="0" w:beforeAutospacing="0" w:after="0" w:afterAutospacing="0"/>
        <w:jc w:val="center"/>
        <w:rPr>
          <w:sz w:val="20"/>
          <w:szCs w:val="20"/>
        </w:rPr>
      </w:pPr>
      <w:r>
        <w:rPr>
          <w:b/>
          <w:bCs/>
          <w:sz w:val="36"/>
          <w:szCs w:val="36"/>
        </w:rPr>
        <w:t>TALKSPACE, INC</w:t>
      </w:r>
      <w:r>
        <w:rPr>
          <w:b/>
          <w:bCs/>
          <w:sz w:val="36"/>
          <w:szCs w:val="36"/>
        </w:rPr>
        <w:t>.</w:t>
      </w:r>
    </w:p>
    <w:p w:rsidR="00000000" w:rsidRDefault="0043639B">
      <w:pPr>
        <w:pStyle w:val="a3"/>
        <w:spacing w:before="0" w:beforeAutospacing="0" w:after="0" w:afterAutospacing="0"/>
        <w:jc w:val="center"/>
        <w:rPr>
          <w:sz w:val="20"/>
          <w:szCs w:val="20"/>
        </w:rPr>
      </w:pPr>
      <w:r>
        <w:rPr>
          <w:b/>
          <w:bCs/>
          <w:sz w:val="20"/>
          <w:szCs w:val="20"/>
        </w:rPr>
        <w:t>(Exact Name of Registrant as Specified in its Charter</w:t>
      </w:r>
      <w:r>
        <w:rPr>
          <w:b/>
          <w:bCs/>
          <w:sz w:val="20"/>
          <w:szCs w:val="20"/>
        </w:rPr>
        <w:t>)</w:t>
      </w:r>
    </w:p>
    <w:p w:rsidR="00000000" w:rsidRDefault="0043639B">
      <w:pPr>
        <w:pStyle w:val="a3"/>
        <w:pBdr>
          <w:bottom w:val="single" w:sz="4" w:space="1" w:color="auto"/>
        </w:pBdr>
        <w:spacing w:before="60" w:beforeAutospacing="0" w:after="0" w:afterAutospacing="0"/>
        <w:ind w:left="4762" w:right="4762"/>
        <w:jc w:val="center"/>
        <w:rPr>
          <w:sz w:val="20"/>
          <w:szCs w:val="20"/>
        </w:rPr>
      </w:pPr>
      <w:r>
        <w:rPr>
          <w:sz w:val="20"/>
          <w:szCs w:val="20"/>
        </w:rPr>
        <w:t> </w:t>
      </w:r>
    </w:p>
    <w:p w:rsidR="00000000" w:rsidRDefault="0043639B">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53"/>
        <w:gridCol w:w="4153"/>
      </w:tblGrid>
      <w:tr w:rsidR="00000000">
        <w:trPr>
          <w:tblCellSpacing w:w="15" w:type="dxa"/>
        </w:trPr>
        <w:tc>
          <w:tcPr>
            <w:tcW w:w="2500" w:type="pct"/>
            <w:vAlign w:val="center"/>
            <w:hideMark/>
          </w:tcPr>
          <w:p w:rsidR="00000000" w:rsidRDefault="0043639B">
            <w:pPr>
              <w:rPr>
                <w:sz w:val="20"/>
                <w:szCs w:val="20"/>
              </w:rPr>
            </w:pPr>
          </w:p>
        </w:tc>
        <w:tc>
          <w:tcPr>
            <w:tcW w:w="2500" w:type="pct"/>
            <w:vAlign w:val="center"/>
            <w:hideMark/>
          </w:tcPr>
          <w:p w:rsidR="00000000" w:rsidRDefault="0043639B">
            <w:pPr>
              <w:rPr>
                <w:rFonts w:eastAsia="Times New Roman"/>
                <w:sz w:val="20"/>
                <w:szCs w:val="20"/>
              </w:rPr>
            </w:pPr>
          </w:p>
        </w:tc>
      </w:tr>
      <w:tr w:rsidR="00000000">
        <w:trPr>
          <w:trHeight w:val="180"/>
          <w:tblCellSpacing w:w="15" w:type="dxa"/>
        </w:trPr>
        <w:tc>
          <w:tcPr>
            <w:tcW w:w="0" w:type="auto"/>
            <w:tcMar>
              <w:top w:w="15" w:type="dxa"/>
              <w:left w:w="15" w:type="dxa"/>
              <w:bottom w:w="15" w:type="dxa"/>
              <w:right w:w="14" w:type="dxa"/>
            </w:tcMar>
            <w:vAlign w:val="bottom"/>
            <w:hideMark/>
          </w:tcPr>
          <w:p w:rsidR="00000000" w:rsidRDefault="0043639B">
            <w:pPr>
              <w:pStyle w:val="a3"/>
              <w:spacing w:before="0" w:beforeAutospacing="0" w:after="0" w:afterAutospacing="0"/>
              <w:jc w:val="center"/>
              <w:rPr>
                <w:sz w:val="20"/>
                <w:szCs w:val="20"/>
              </w:rPr>
            </w:pPr>
            <w:r>
              <w:rPr>
                <w:b/>
                <w:bCs/>
                <w:sz w:val="18"/>
                <w:szCs w:val="18"/>
              </w:rPr>
              <w:t>Delawar</w:t>
            </w:r>
            <w:r>
              <w:rPr>
                <w:b/>
                <w:bCs/>
                <w:sz w:val="18"/>
                <w:szCs w:val="18"/>
              </w:rPr>
              <w:t>e</w:t>
            </w:r>
          </w:p>
        </w:tc>
        <w:tc>
          <w:tcPr>
            <w:tcW w:w="0" w:type="auto"/>
            <w:tcMar>
              <w:top w:w="15" w:type="dxa"/>
              <w:left w:w="15" w:type="dxa"/>
              <w:bottom w:w="15" w:type="dxa"/>
              <w:right w:w="14" w:type="dxa"/>
            </w:tcMar>
            <w:vAlign w:val="bottom"/>
            <w:hideMark/>
          </w:tcPr>
          <w:p w:rsidR="00000000" w:rsidRDefault="0043639B">
            <w:pPr>
              <w:pStyle w:val="a3"/>
              <w:spacing w:before="0" w:beforeAutospacing="0" w:after="0" w:afterAutospacing="0"/>
              <w:jc w:val="center"/>
              <w:rPr>
                <w:sz w:val="20"/>
                <w:szCs w:val="20"/>
              </w:rPr>
            </w:pPr>
            <w:r>
              <w:rPr>
                <w:b/>
                <w:bCs/>
                <w:sz w:val="18"/>
                <w:szCs w:val="18"/>
              </w:rPr>
              <w:t>84-463660</w:t>
            </w:r>
            <w:r>
              <w:rPr>
                <w:b/>
                <w:bCs/>
                <w:sz w:val="18"/>
                <w:szCs w:val="18"/>
              </w:rPr>
              <w:t>4</w:t>
            </w:r>
          </w:p>
        </w:tc>
      </w:tr>
      <w:tr w:rsidR="00000000">
        <w:trPr>
          <w:trHeight w:val="140"/>
          <w:tblCellSpacing w:w="15" w:type="dxa"/>
        </w:trPr>
        <w:tc>
          <w:tcPr>
            <w:tcW w:w="0" w:type="auto"/>
            <w:tcMar>
              <w:top w:w="15" w:type="dxa"/>
              <w:left w:w="15" w:type="dxa"/>
              <w:bottom w:w="15" w:type="dxa"/>
              <w:right w:w="14" w:type="dxa"/>
            </w:tcMar>
            <w:vAlign w:val="bottom"/>
            <w:hideMark/>
          </w:tcPr>
          <w:p w:rsidR="00000000" w:rsidRDefault="0043639B">
            <w:pPr>
              <w:pStyle w:val="a3"/>
              <w:spacing w:before="0" w:beforeAutospacing="0" w:after="0" w:afterAutospacing="0"/>
              <w:jc w:val="center"/>
              <w:rPr>
                <w:sz w:val="14"/>
                <w:szCs w:val="14"/>
              </w:rPr>
            </w:pPr>
            <w:r>
              <w:rPr>
                <w:b/>
                <w:bCs/>
                <w:sz w:val="14"/>
                <w:szCs w:val="14"/>
              </w:rPr>
              <w:t>(State or other jurisdiction o</w:t>
            </w:r>
            <w:r>
              <w:rPr>
                <w:b/>
                <w:bCs/>
                <w:sz w:val="14"/>
                <w:szCs w:val="14"/>
              </w:rPr>
              <w:t>f</w:t>
            </w:r>
          </w:p>
          <w:p w:rsidR="00000000" w:rsidRDefault="0043639B">
            <w:pPr>
              <w:pStyle w:val="a3"/>
              <w:spacing w:before="0" w:beforeAutospacing="0" w:after="15" w:afterAutospacing="0"/>
              <w:jc w:val="center"/>
              <w:rPr>
                <w:sz w:val="14"/>
                <w:szCs w:val="14"/>
              </w:rPr>
            </w:pPr>
            <w:r>
              <w:rPr>
                <w:b/>
                <w:bCs/>
                <w:sz w:val="14"/>
                <w:szCs w:val="14"/>
              </w:rPr>
              <w:t>incorporation or organization</w:t>
            </w:r>
            <w:r>
              <w:rPr>
                <w:b/>
                <w:bCs/>
                <w:sz w:val="14"/>
                <w:szCs w:val="14"/>
              </w:rPr>
              <w:t>)</w:t>
            </w:r>
          </w:p>
        </w:tc>
        <w:tc>
          <w:tcPr>
            <w:tcW w:w="0" w:type="auto"/>
            <w:tcMar>
              <w:top w:w="15" w:type="dxa"/>
              <w:left w:w="15" w:type="dxa"/>
              <w:bottom w:w="15" w:type="dxa"/>
              <w:right w:w="14" w:type="dxa"/>
            </w:tcMar>
            <w:vAlign w:val="bottom"/>
            <w:hideMark/>
          </w:tcPr>
          <w:p w:rsidR="00000000" w:rsidRDefault="0043639B">
            <w:pPr>
              <w:pStyle w:val="a3"/>
              <w:spacing w:before="0" w:beforeAutospacing="0" w:after="0" w:afterAutospacing="0"/>
              <w:jc w:val="center"/>
              <w:rPr>
                <w:sz w:val="14"/>
                <w:szCs w:val="14"/>
              </w:rPr>
            </w:pPr>
            <w:r>
              <w:rPr>
                <w:b/>
                <w:bCs/>
                <w:sz w:val="14"/>
                <w:szCs w:val="14"/>
              </w:rPr>
              <w:t>(I.R.S. Employer</w:t>
            </w:r>
            <w:r>
              <w:rPr>
                <w:b/>
                <w:bCs/>
                <w:sz w:val="14"/>
                <w:szCs w:val="14"/>
              </w:rPr>
              <w:br/>
              <w:t>Identification No.</w:t>
            </w:r>
            <w:r>
              <w:rPr>
                <w:b/>
                <w:bCs/>
                <w:sz w:val="14"/>
                <w:szCs w:val="14"/>
              </w:rPr>
              <w:t>)</w:t>
            </w:r>
          </w:p>
        </w:tc>
      </w:tr>
      <w:tr w:rsidR="00000000">
        <w:trPr>
          <w:trHeight w:val="180"/>
          <w:tblCellSpacing w:w="15" w:type="dxa"/>
        </w:trPr>
        <w:tc>
          <w:tcPr>
            <w:tcW w:w="0" w:type="auto"/>
            <w:tcMar>
              <w:top w:w="15" w:type="dxa"/>
              <w:left w:w="15" w:type="dxa"/>
              <w:bottom w:w="15" w:type="dxa"/>
              <w:right w:w="14" w:type="dxa"/>
            </w:tcMar>
            <w:vAlign w:val="bottom"/>
            <w:hideMark/>
          </w:tcPr>
          <w:p w:rsidR="00000000" w:rsidRDefault="0043639B">
            <w:pPr>
              <w:pStyle w:val="a3"/>
              <w:spacing w:before="0" w:beforeAutospacing="0" w:after="15" w:afterAutospacing="0"/>
              <w:jc w:val="center"/>
              <w:rPr>
                <w:sz w:val="18"/>
                <w:szCs w:val="18"/>
              </w:rPr>
            </w:pPr>
            <w:r>
              <w:rPr>
                <w:b/>
                <w:bCs/>
                <w:sz w:val="18"/>
                <w:szCs w:val="18"/>
              </w:rPr>
              <w:t>Not applicabl</w:t>
            </w:r>
            <w:r>
              <w:rPr>
                <w:b/>
                <w:bCs/>
                <w:sz w:val="18"/>
                <w:szCs w:val="18"/>
              </w:rPr>
              <w:t>e</w:t>
            </w:r>
          </w:p>
        </w:tc>
        <w:tc>
          <w:tcPr>
            <w:tcW w:w="0" w:type="auto"/>
            <w:tcMar>
              <w:top w:w="15" w:type="dxa"/>
              <w:left w:w="15" w:type="dxa"/>
              <w:bottom w:w="15" w:type="dxa"/>
              <w:right w:w="14" w:type="dxa"/>
            </w:tcMar>
            <w:vAlign w:val="bottom"/>
            <w:hideMark/>
          </w:tcPr>
          <w:p w:rsidR="00000000" w:rsidRDefault="0043639B">
            <w:pPr>
              <w:pStyle w:val="a3"/>
              <w:spacing w:before="0" w:beforeAutospacing="0" w:after="15" w:afterAutospacing="0"/>
              <w:jc w:val="center"/>
              <w:rPr>
                <w:sz w:val="18"/>
                <w:szCs w:val="18"/>
              </w:rPr>
            </w:pPr>
            <w:r>
              <w:rPr>
                <w:b/>
                <w:bCs/>
                <w:sz w:val="18"/>
                <w:szCs w:val="18"/>
              </w:rPr>
              <w:t>Not applicabl</w:t>
            </w:r>
            <w:r>
              <w:rPr>
                <w:b/>
                <w:bCs/>
                <w:sz w:val="18"/>
                <w:szCs w:val="18"/>
              </w:rPr>
              <w:t>e</w:t>
            </w:r>
          </w:p>
        </w:tc>
      </w:tr>
      <w:tr w:rsidR="00000000">
        <w:trPr>
          <w:trHeight w:val="140"/>
          <w:tblCellSpacing w:w="15" w:type="dxa"/>
        </w:trPr>
        <w:tc>
          <w:tcPr>
            <w:tcW w:w="0" w:type="auto"/>
            <w:tcMar>
              <w:top w:w="15" w:type="dxa"/>
              <w:left w:w="15" w:type="dxa"/>
              <w:bottom w:w="15" w:type="dxa"/>
              <w:right w:w="14" w:type="dxa"/>
            </w:tcMar>
            <w:vAlign w:val="bottom"/>
            <w:hideMark/>
          </w:tcPr>
          <w:p w:rsidR="00000000" w:rsidRDefault="0043639B">
            <w:pPr>
              <w:pStyle w:val="a3"/>
              <w:spacing w:before="0" w:beforeAutospacing="0" w:after="0" w:afterAutospacing="0"/>
              <w:jc w:val="center"/>
              <w:rPr>
                <w:sz w:val="14"/>
                <w:szCs w:val="14"/>
              </w:rPr>
            </w:pPr>
            <w:r>
              <w:rPr>
                <w:b/>
                <w:bCs/>
                <w:sz w:val="14"/>
                <w:szCs w:val="14"/>
              </w:rPr>
              <w:t>(Address of principal executive offices</w:t>
            </w:r>
            <w:r>
              <w:rPr>
                <w:b/>
                <w:bCs/>
                <w:sz w:val="14"/>
                <w:szCs w:val="14"/>
              </w:rPr>
              <w:t>)</w:t>
            </w:r>
          </w:p>
        </w:tc>
        <w:tc>
          <w:tcPr>
            <w:tcW w:w="0" w:type="auto"/>
            <w:tcMar>
              <w:top w:w="15" w:type="dxa"/>
              <w:left w:w="15" w:type="dxa"/>
              <w:bottom w:w="15" w:type="dxa"/>
              <w:right w:w="14" w:type="dxa"/>
            </w:tcMar>
            <w:vAlign w:val="bottom"/>
            <w:hideMark/>
          </w:tcPr>
          <w:p w:rsidR="00000000" w:rsidRDefault="0043639B">
            <w:pPr>
              <w:pStyle w:val="a3"/>
              <w:spacing w:before="0" w:beforeAutospacing="0" w:after="0" w:afterAutospacing="0"/>
              <w:jc w:val="center"/>
              <w:rPr>
                <w:sz w:val="14"/>
                <w:szCs w:val="14"/>
              </w:rPr>
            </w:pPr>
            <w:r>
              <w:rPr>
                <w:b/>
                <w:bCs/>
                <w:sz w:val="14"/>
                <w:szCs w:val="14"/>
              </w:rPr>
              <w:t>(Zip Code</w:t>
            </w:r>
            <w:r>
              <w:rPr>
                <w:b/>
                <w:bCs/>
                <w:sz w:val="14"/>
                <w:szCs w:val="14"/>
              </w:rPr>
              <w:t>)</w:t>
            </w:r>
          </w:p>
        </w:tc>
      </w:tr>
    </w:tbl>
    <w:p w:rsidR="00000000" w:rsidRDefault="0043639B">
      <w:pPr>
        <w:pStyle w:val="a3"/>
        <w:spacing w:before="80" w:beforeAutospacing="0" w:after="0" w:afterAutospacing="0"/>
        <w:jc w:val="center"/>
        <w:rPr>
          <w:sz w:val="20"/>
          <w:szCs w:val="20"/>
        </w:rPr>
      </w:pPr>
      <w:r>
        <w:rPr>
          <w:b/>
          <w:bCs/>
          <w:sz w:val="20"/>
          <w:szCs w:val="20"/>
        </w:rPr>
        <w:t>(</w:t>
      </w:r>
      <w:r>
        <w:rPr>
          <w:b/>
          <w:bCs/>
          <w:sz w:val="20"/>
          <w:szCs w:val="20"/>
        </w:rPr>
        <w:t>21</w:t>
      </w:r>
      <w:r>
        <w:rPr>
          <w:b/>
          <w:bCs/>
          <w:sz w:val="20"/>
          <w:szCs w:val="20"/>
        </w:rPr>
        <w:t>2</w:t>
      </w:r>
      <w:r>
        <w:rPr>
          <w:b/>
          <w:bCs/>
          <w:sz w:val="20"/>
          <w:szCs w:val="20"/>
        </w:rPr>
        <w:t>)</w:t>
      </w:r>
      <w:r>
        <w:rPr>
          <w:b/>
          <w:bCs/>
          <w:sz w:val="20"/>
          <w:szCs w:val="20"/>
        </w:rPr>
        <w:t xml:space="preserve"> </w:t>
      </w:r>
      <w:r>
        <w:rPr>
          <w:b/>
          <w:bCs/>
          <w:sz w:val="20"/>
          <w:szCs w:val="20"/>
        </w:rPr>
        <w:t>284-720</w:t>
      </w:r>
      <w:r>
        <w:rPr>
          <w:b/>
          <w:bCs/>
          <w:sz w:val="20"/>
          <w:szCs w:val="20"/>
        </w:rPr>
        <w:t>6</w:t>
      </w:r>
    </w:p>
    <w:p w:rsidR="00000000" w:rsidRDefault="0043639B">
      <w:pPr>
        <w:pStyle w:val="a3"/>
        <w:spacing w:before="80" w:beforeAutospacing="0" w:after="0" w:afterAutospacing="0"/>
        <w:jc w:val="center"/>
        <w:rPr>
          <w:sz w:val="20"/>
          <w:szCs w:val="20"/>
        </w:rPr>
      </w:pPr>
      <w:r>
        <w:rPr>
          <w:b/>
          <w:bCs/>
          <w:sz w:val="20"/>
          <w:szCs w:val="20"/>
        </w:rPr>
        <w:t>(Registrant’s telephone number, including area code</w:t>
      </w:r>
      <w:r>
        <w:rPr>
          <w:b/>
          <w:bCs/>
          <w:sz w:val="20"/>
          <w:szCs w:val="20"/>
        </w:rPr>
        <w:t>)</w:t>
      </w:r>
    </w:p>
    <w:p w:rsidR="00000000" w:rsidRDefault="0043639B">
      <w:pPr>
        <w:pStyle w:val="a3"/>
        <w:spacing w:before="80" w:beforeAutospacing="0" w:after="0" w:afterAutospacing="0"/>
        <w:jc w:val="center"/>
        <w:rPr>
          <w:sz w:val="20"/>
          <w:szCs w:val="20"/>
        </w:rPr>
      </w:pPr>
      <w:r>
        <w:rPr>
          <w:b/>
          <w:bCs/>
          <w:sz w:val="20"/>
          <w:szCs w:val="20"/>
        </w:rPr>
        <w:t>N/</w:t>
      </w:r>
      <w:r>
        <w:rPr>
          <w:b/>
          <w:bCs/>
          <w:sz w:val="20"/>
          <w:szCs w:val="20"/>
        </w:rPr>
        <w:t>A</w:t>
      </w:r>
    </w:p>
    <w:p w:rsidR="00000000" w:rsidRDefault="0043639B">
      <w:pPr>
        <w:pStyle w:val="a3"/>
        <w:spacing w:before="0" w:beforeAutospacing="0" w:after="0" w:afterAutospacing="0"/>
        <w:jc w:val="center"/>
        <w:rPr>
          <w:sz w:val="20"/>
          <w:szCs w:val="20"/>
        </w:rPr>
      </w:pPr>
      <w:r>
        <w:rPr>
          <w:b/>
          <w:bCs/>
          <w:sz w:val="20"/>
          <w:szCs w:val="20"/>
        </w:rPr>
        <w:t>(Former name, former address and former fiscal year, if changed since last report</w:t>
      </w:r>
      <w:r>
        <w:rPr>
          <w:b/>
          <w:bCs/>
          <w:sz w:val="20"/>
          <w:szCs w:val="20"/>
        </w:rPr>
        <w:t>)</w:t>
      </w:r>
      <w:r>
        <w:rPr>
          <w:b/>
          <w:bCs/>
          <w:sz w:val="20"/>
          <w:szCs w:val="20"/>
        </w:rPr>
        <w:t xml:space="preserve"> </w:t>
      </w:r>
    </w:p>
    <w:p w:rsidR="00000000" w:rsidRDefault="0043639B">
      <w:pPr>
        <w:pStyle w:val="a3"/>
        <w:pBdr>
          <w:bottom w:val="single" w:sz="4" w:space="1" w:color="auto"/>
        </w:pBdr>
        <w:spacing w:before="60" w:beforeAutospacing="0" w:after="0" w:afterAutospacing="0"/>
        <w:ind w:left="4762" w:right="4762"/>
        <w:jc w:val="center"/>
        <w:rPr>
          <w:sz w:val="20"/>
          <w:szCs w:val="20"/>
        </w:rPr>
      </w:pPr>
      <w:r>
        <w:rPr>
          <w:sz w:val="20"/>
          <w:szCs w:val="20"/>
        </w:rPr>
        <w:t> </w:t>
      </w:r>
    </w:p>
    <w:p w:rsidR="00000000" w:rsidRDefault="0043639B">
      <w:pPr>
        <w:pStyle w:val="a3"/>
        <w:spacing w:before="80" w:beforeAutospacing="0" w:after="0" w:afterAutospacing="0"/>
        <w:ind w:firstLine="653"/>
        <w:rPr>
          <w:sz w:val="20"/>
          <w:szCs w:val="20"/>
        </w:rPr>
      </w:pPr>
      <w:r>
        <w:rPr>
          <w:sz w:val="18"/>
          <w:szCs w:val="18"/>
        </w:rPr>
        <w:t>Securities registered pursuant to Section 12(b) of the Act</w:t>
      </w:r>
      <w:r>
        <w:rPr>
          <w:sz w:val="18"/>
          <w:szCs w:val="18"/>
        </w:rPr>
        <w:t>:</w:t>
      </w:r>
      <w:r>
        <w:rPr>
          <w:sz w:val="18"/>
          <w:szCs w:val="18"/>
        </w:rPr>
        <w:t xml:space="preserve"> </w:t>
      </w:r>
    </w:p>
    <w:p w:rsidR="00000000" w:rsidRDefault="0043639B">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32"/>
        <w:gridCol w:w="112"/>
        <w:gridCol w:w="1249"/>
        <w:gridCol w:w="111"/>
        <w:gridCol w:w="3702"/>
      </w:tblGrid>
      <w:tr w:rsidR="00000000">
        <w:trPr>
          <w:tblCellSpacing w:w="15" w:type="dxa"/>
        </w:trPr>
        <w:tc>
          <w:tcPr>
            <w:tcW w:w="1899" w:type="pct"/>
            <w:vAlign w:val="center"/>
            <w:hideMark/>
          </w:tcPr>
          <w:p w:rsidR="00000000" w:rsidRDefault="0043639B">
            <w:pPr>
              <w:rPr>
                <w:sz w:val="20"/>
                <w:szCs w:val="20"/>
              </w:rPr>
            </w:pPr>
          </w:p>
        </w:tc>
        <w:tc>
          <w:tcPr>
            <w:tcW w:w="50" w:type="pct"/>
            <w:vAlign w:val="center"/>
            <w:hideMark/>
          </w:tcPr>
          <w:p w:rsidR="00000000" w:rsidRDefault="0043639B">
            <w:pPr>
              <w:rPr>
                <w:rFonts w:eastAsia="Times New Roman"/>
                <w:sz w:val="20"/>
                <w:szCs w:val="20"/>
              </w:rPr>
            </w:pPr>
          </w:p>
        </w:tc>
        <w:tc>
          <w:tcPr>
            <w:tcW w:w="7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2250" w:type="pct"/>
            <w:vAlign w:val="center"/>
            <w:hideMark/>
          </w:tcPr>
          <w:p w:rsidR="00000000" w:rsidRDefault="0043639B">
            <w:pPr>
              <w:rPr>
                <w:rFonts w:eastAsia="Times New Roman"/>
                <w:sz w:val="20"/>
                <w:szCs w:val="20"/>
              </w:rPr>
            </w:pPr>
          </w:p>
        </w:tc>
      </w:tr>
      <w:tr w:rsidR="00000000">
        <w:trPr>
          <w:trHeight w:val="160"/>
          <w:tblCellSpacing w:w="15" w:type="dxa"/>
        </w:trPr>
        <w:tc>
          <w:tcPr>
            <w:tcW w:w="0" w:type="auto"/>
            <w:tcBorders>
              <w:bottom w:val="single" w:sz="4" w:space="0" w:color="auto"/>
            </w:tcBorders>
            <w:vAlign w:val="bottom"/>
            <w:hideMark/>
          </w:tcPr>
          <w:p w:rsidR="00000000" w:rsidRDefault="0043639B">
            <w:pPr>
              <w:pStyle w:val="a3"/>
              <w:spacing w:before="0" w:beforeAutospacing="0" w:after="0" w:afterAutospacing="0"/>
              <w:jc w:val="center"/>
              <w:rPr>
                <w:sz w:val="16"/>
                <w:szCs w:val="16"/>
              </w:rPr>
            </w:pPr>
            <w:r>
              <w:rPr>
                <w:b/>
                <w:bCs/>
                <w:sz w:val="16"/>
                <w:szCs w:val="16"/>
              </w:rPr>
              <w:t>Title of each clas</w:t>
            </w:r>
            <w:r>
              <w:rPr>
                <w:b/>
                <w:bCs/>
                <w:sz w:val="16"/>
                <w:szCs w:val="16"/>
              </w:rPr>
              <w:t>s</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43639B">
            <w:pPr>
              <w:pStyle w:val="a3"/>
              <w:spacing w:before="0" w:beforeAutospacing="0" w:after="0" w:afterAutospacing="0"/>
              <w:jc w:val="center"/>
              <w:rPr>
                <w:sz w:val="16"/>
                <w:szCs w:val="16"/>
              </w:rPr>
            </w:pPr>
            <w:r>
              <w:rPr>
                <w:b/>
                <w:bCs/>
                <w:sz w:val="16"/>
                <w:szCs w:val="16"/>
              </w:rPr>
              <w:t>Tradin</w:t>
            </w:r>
            <w:r>
              <w:rPr>
                <w:b/>
                <w:bCs/>
                <w:sz w:val="16"/>
                <w:szCs w:val="16"/>
              </w:rPr>
              <w:t>g</w:t>
            </w:r>
          </w:p>
          <w:p w:rsidR="00000000" w:rsidRDefault="0043639B">
            <w:pPr>
              <w:pStyle w:val="a3"/>
              <w:spacing w:before="0" w:beforeAutospacing="0" w:after="0" w:afterAutospacing="0"/>
              <w:jc w:val="center"/>
              <w:rPr>
                <w:sz w:val="16"/>
                <w:szCs w:val="16"/>
              </w:rPr>
            </w:pPr>
            <w:r>
              <w:rPr>
                <w:b/>
                <w:bCs/>
                <w:sz w:val="16"/>
                <w:szCs w:val="16"/>
              </w:rPr>
              <w:t>Symbol(s</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tcBorders>
              <w:bottom w:val="single" w:sz="4" w:space="0" w:color="auto"/>
            </w:tcBorders>
            <w:vAlign w:val="bottom"/>
            <w:hideMark/>
          </w:tcPr>
          <w:p w:rsidR="00000000" w:rsidRDefault="0043639B">
            <w:pPr>
              <w:pStyle w:val="a3"/>
              <w:spacing w:before="0" w:beforeAutospacing="0" w:after="0" w:afterAutospacing="0"/>
              <w:jc w:val="center"/>
              <w:rPr>
                <w:sz w:val="16"/>
                <w:szCs w:val="16"/>
              </w:rPr>
            </w:pPr>
            <w:r>
              <w:rPr>
                <w:b/>
                <w:bCs/>
                <w:sz w:val="16"/>
                <w:szCs w:val="16"/>
              </w:rPr>
              <w:t>Name of each exchange on which registere</w:t>
            </w:r>
            <w:r>
              <w:rPr>
                <w:b/>
                <w:bCs/>
                <w:sz w:val="16"/>
                <w:szCs w:val="16"/>
              </w:rPr>
              <w:t>d</w:t>
            </w:r>
          </w:p>
        </w:tc>
      </w:tr>
      <w:tr w:rsidR="00000000">
        <w:trPr>
          <w:trHeight w:val="180"/>
          <w:tblCellSpacing w:w="15" w:type="dxa"/>
        </w:trPr>
        <w:tc>
          <w:tcPr>
            <w:tcW w:w="0" w:type="auto"/>
            <w:hideMark/>
          </w:tcPr>
          <w:p w:rsidR="00000000" w:rsidRDefault="0043639B">
            <w:pPr>
              <w:pStyle w:val="a3"/>
              <w:spacing w:before="0" w:beforeAutospacing="0" w:after="0" w:afterAutospacing="0"/>
              <w:rPr>
                <w:sz w:val="20"/>
                <w:szCs w:val="20"/>
              </w:rPr>
            </w:pPr>
            <w:r>
              <w:rPr>
                <w:b/>
                <w:bCs/>
                <w:sz w:val="18"/>
                <w:szCs w:val="18"/>
              </w:rPr>
              <w:t>Common stock, par value $0.0001 per shar</w:t>
            </w:r>
            <w:r>
              <w:rPr>
                <w:b/>
                <w:bCs/>
                <w:sz w:val="18"/>
                <w:szCs w:val="18"/>
              </w:rPr>
              <w:t>e</w:t>
            </w:r>
          </w:p>
        </w:tc>
        <w:tc>
          <w:tcPr>
            <w:tcW w:w="0" w:type="auto"/>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20"/>
                <w:szCs w:val="20"/>
              </w:rPr>
            </w:pPr>
            <w:r>
              <w:rPr>
                <w:b/>
                <w:bCs/>
                <w:sz w:val="18"/>
                <w:szCs w:val="18"/>
              </w:rPr>
              <w:t>TAL</w:t>
            </w:r>
            <w:r>
              <w:rPr>
                <w:b/>
                <w:bCs/>
                <w:sz w:val="18"/>
                <w:szCs w:val="18"/>
              </w:rPr>
              <w:t>K</w:t>
            </w:r>
          </w:p>
        </w:tc>
        <w:tc>
          <w:tcPr>
            <w:tcW w:w="0" w:type="auto"/>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20"/>
                <w:szCs w:val="20"/>
              </w:rPr>
            </w:pPr>
            <w:r>
              <w:rPr>
                <w:b/>
                <w:bCs/>
                <w:sz w:val="18"/>
                <w:szCs w:val="18"/>
              </w:rPr>
              <w:t>Nasdaq Stock Marke</w:t>
            </w:r>
            <w:r>
              <w:rPr>
                <w:b/>
                <w:bCs/>
                <w:sz w:val="18"/>
                <w:szCs w:val="18"/>
              </w:rPr>
              <w:t>t</w:t>
            </w:r>
            <w:r>
              <w:rPr>
                <w:b/>
                <w:bCs/>
                <w:sz w:val="18"/>
                <w:szCs w:val="18"/>
              </w:rPr>
              <w:t xml:space="preserve">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20"/>
                <w:szCs w:val="20"/>
              </w:rPr>
            </w:pPr>
            <w:r>
              <w:rPr>
                <w:b/>
                <w:bCs/>
                <w:sz w:val="18"/>
                <w:szCs w:val="18"/>
              </w:rPr>
              <w:t>Warrants to purchase common stoc</w:t>
            </w:r>
            <w:r>
              <w:rPr>
                <w:b/>
                <w:bCs/>
                <w:sz w:val="18"/>
                <w:szCs w:val="18"/>
              </w:rPr>
              <w:t>k</w:t>
            </w:r>
          </w:p>
        </w:tc>
        <w:tc>
          <w:tcPr>
            <w:tcW w:w="0" w:type="auto"/>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20"/>
                <w:szCs w:val="20"/>
              </w:rPr>
            </w:pPr>
            <w:r>
              <w:rPr>
                <w:b/>
                <w:bCs/>
                <w:sz w:val="18"/>
                <w:szCs w:val="18"/>
              </w:rPr>
              <w:t>TALK</w:t>
            </w:r>
            <w:r>
              <w:rPr>
                <w:b/>
                <w:bCs/>
                <w:sz w:val="18"/>
                <w:szCs w:val="18"/>
              </w:rPr>
              <w:t>W</w:t>
            </w:r>
          </w:p>
        </w:tc>
        <w:tc>
          <w:tcPr>
            <w:tcW w:w="0" w:type="auto"/>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20"/>
                <w:szCs w:val="20"/>
              </w:rPr>
            </w:pPr>
            <w:r>
              <w:rPr>
                <w:b/>
                <w:bCs/>
                <w:sz w:val="18"/>
                <w:szCs w:val="18"/>
              </w:rPr>
              <w:t>Nasdaq Stock Market</w:t>
            </w:r>
            <w:r>
              <w:rPr>
                <w:b/>
                <w:bCs/>
                <w:sz w:val="18"/>
                <w:szCs w:val="18"/>
              </w:rPr>
              <w:t xml:space="preserve"> </w:t>
            </w:r>
          </w:p>
        </w:tc>
      </w:tr>
    </w:tbl>
    <w:p w:rsidR="00000000" w:rsidRDefault="0043639B">
      <w:pPr>
        <w:pStyle w:val="a3"/>
        <w:spacing w:before="120" w:beforeAutospacing="0" w:after="0" w:afterAutospacing="0"/>
        <w:ind w:firstLine="653"/>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uch reports), and (2) has been subject to such filing requirements for the past 90 days.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43639B">
      <w:pPr>
        <w:pStyle w:val="a3"/>
        <w:spacing w:before="80" w:beforeAutospacing="0" w:after="0" w:afterAutospacing="0"/>
        <w:ind w:firstLine="653"/>
        <w:rPr>
          <w:sz w:val="20"/>
          <w:szCs w:val="20"/>
        </w:rPr>
      </w:pPr>
      <w:r>
        <w:rPr>
          <w:sz w:val="18"/>
          <w:szCs w:val="18"/>
        </w:rPr>
        <w:t>Indicate by check mark whether the registrant has submitted electronically every Interactive Data File required to be submitted pursuant to Rule 405 of Regu</w:t>
      </w:r>
      <w:r>
        <w:rPr>
          <w:sz w:val="18"/>
          <w:szCs w:val="18"/>
        </w:rPr>
        <w:t>lation S-T (§232.405 of this chapter) during the preceding 12 months (or for such shorter period that the registrant was required to submit such files).</w:t>
      </w:r>
      <w:r>
        <w:rPr>
          <w:sz w:val="18"/>
          <w:szCs w:val="18"/>
        </w:rPr>
        <w:t xml:space="preserve"> </w:t>
      </w:r>
      <w:r>
        <w:rPr>
          <w:sz w:val="18"/>
          <w:szCs w:val="18"/>
        </w:rPr>
        <w:t>Ye</w:t>
      </w:r>
      <w:r>
        <w:rPr>
          <w:sz w:val="18"/>
          <w:szCs w:val="18"/>
        </w:rPr>
        <w:t>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43639B">
      <w:pPr>
        <w:pStyle w:val="a3"/>
        <w:spacing w:before="80" w:beforeAutospacing="0" w:after="0" w:afterAutospacing="0"/>
        <w:ind w:firstLine="653"/>
        <w:rPr>
          <w:sz w:val="20"/>
          <w:szCs w:val="20"/>
        </w:rPr>
      </w:pPr>
      <w:r>
        <w:rPr>
          <w:sz w:val="18"/>
          <w:szCs w:val="18"/>
        </w:rPr>
        <w:lastRenderedPageBreak/>
        <w:t>Indicate by check mark whether the registrant is a large accelerated filer, an accelerated f</w:t>
      </w:r>
      <w:r>
        <w:rPr>
          <w:sz w:val="18"/>
          <w:szCs w:val="18"/>
        </w:rPr>
        <w:t>iler, a non-accelerated filer, a smaller reporting company, or an emerging growth company. See the definitions of “large accelerated filer,” “accelerated filer,” “smaller reporting company,” and “emerging growth company” in Rule 12b-2 of the Exchange Act</w:t>
      </w:r>
      <w:r>
        <w:rPr>
          <w:sz w:val="18"/>
          <w:szCs w:val="18"/>
        </w:rPr>
        <w:t>.</w:t>
      </w:r>
    </w:p>
    <w:p w:rsidR="00000000" w:rsidRDefault="0043639B">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4"/>
        <w:gridCol w:w="107"/>
        <w:gridCol w:w="4317"/>
        <w:gridCol w:w="191"/>
        <w:gridCol w:w="1689"/>
        <w:gridCol w:w="108"/>
        <w:gridCol w:w="230"/>
      </w:tblGrid>
      <w:tr w:rsidR="00000000">
        <w:trPr>
          <w:tblCellSpacing w:w="15" w:type="dxa"/>
        </w:trPr>
        <w:tc>
          <w:tcPr>
            <w:tcW w:w="1006" w:type="pct"/>
            <w:vAlign w:val="center"/>
            <w:hideMark/>
          </w:tcPr>
          <w:p w:rsidR="00000000" w:rsidRDefault="0043639B">
            <w:pPr>
              <w:rPr>
                <w:sz w:val="20"/>
                <w:szCs w:val="20"/>
              </w:rPr>
            </w:pPr>
          </w:p>
        </w:tc>
        <w:tc>
          <w:tcPr>
            <w:tcW w:w="50" w:type="pct"/>
            <w:vAlign w:val="center"/>
            <w:hideMark/>
          </w:tcPr>
          <w:p w:rsidR="00000000" w:rsidRDefault="0043639B">
            <w:pPr>
              <w:rPr>
                <w:rFonts w:eastAsia="Times New Roman"/>
                <w:sz w:val="20"/>
                <w:szCs w:val="20"/>
              </w:rPr>
            </w:pPr>
          </w:p>
        </w:tc>
        <w:tc>
          <w:tcPr>
            <w:tcW w:w="2659" w:type="pct"/>
            <w:vAlign w:val="center"/>
            <w:hideMark/>
          </w:tcPr>
          <w:p w:rsidR="00000000" w:rsidRDefault="0043639B">
            <w:pPr>
              <w:rPr>
                <w:rFonts w:eastAsia="Times New Roman"/>
                <w:sz w:val="20"/>
                <w:szCs w:val="20"/>
              </w:rPr>
            </w:pPr>
          </w:p>
        </w:tc>
        <w:tc>
          <w:tcPr>
            <w:tcW w:w="102" w:type="pct"/>
            <w:vAlign w:val="center"/>
            <w:hideMark/>
          </w:tcPr>
          <w:p w:rsidR="00000000" w:rsidRDefault="0043639B">
            <w:pPr>
              <w:rPr>
                <w:rFonts w:eastAsia="Times New Roman"/>
                <w:sz w:val="20"/>
                <w:szCs w:val="20"/>
              </w:rPr>
            </w:pPr>
          </w:p>
        </w:tc>
        <w:tc>
          <w:tcPr>
            <w:tcW w:w="1031"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100" w:type="pct"/>
            <w:vAlign w:val="center"/>
            <w:hideMark/>
          </w:tcPr>
          <w:p w:rsidR="00000000" w:rsidRDefault="0043639B">
            <w:pPr>
              <w:rPr>
                <w:rFonts w:eastAsia="Times New Roman"/>
                <w:sz w:val="20"/>
                <w:szCs w:val="20"/>
              </w:rPr>
            </w:pPr>
          </w:p>
        </w:tc>
      </w:tr>
      <w:tr w:rsidR="00000000">
        <w:trPr>
          <w:trHeight w:val="216"/>
          <w:tblCellSpacing w:w="15" w:type="dxa"/>
        </w:trPr>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20"/>
                <w:szCs w:val="20"/>
              </w:rPr>
            </w:pPr>
            <w:r>
              <w:rPr>
                <w:sz w:val="18"/>
                <w:szCs w:val="18"/>
              </w:rPr>
              <w:t>Large accelerated file</w:t>
            </w:r>
            <w:r>
              <w:rPr>
                <w:sz w:val="18"/>
                <w:szCs w:val="18"/>
              </w:rPr>
              <w:t>r</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Accelerated file</w:t>
            </w:r>
            <w:r>
              <w:rPr>
                <w:sz w:val="18"/>
                <w:szCs w:val="18"/>
              </w:rPr>
              <w:t>r</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rFonts w:ascii="Segoe UI Symbol" w:hAnsi="Segoe UI Symbol" w:cs="Segoe UI Symbol"/>
                <w:sz w:val="18"/>
                <w:szCs w:val="18"/>
              </w:rPr>
              <w:t>☐</w:t>
            </w:r>
          </w:p>
        </w:tc>
      </w:tr>
      <w:tr w:rsidR="00000000">
        <w:trPr>
          <w:trHeight w:val="72"/>
          <w:tblCellSpacing w:w="15" w:type="dxa"/>
        </w:trPr>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43639B">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43639B">
            <w:pPr>
              <w:pStyle w:val="a3"/>
              <w:spacing w:before="0" w:beforeAutospacing="0" w:after="0" w:afterAutospacing="0"/>
              <w:rPr>
                <w:sz w:val="4"/>
                <w:szCs w:val="4"/>
              </w:rPr>
            </w:pPr>
            <w:r>
              <w:rPr>
                <w:sz w:val="4"/>
                <w:szCs w:val="4"/>
              </w:rPr>
              <w:t> </w:t>
            </w:r>
          </w:p>
        </w:tc>
        <w:tc>
          <w:tcPr>
            <w:tcW w:w="0" w:type="auto"/>
            <w:gridSpan w:val="2"/>
            <w:tcMar>
              <w:top w:w="14" w:type="dxa"/>
              <w:left w:w="15" w:type="dxa"/>
              <w:bottom w:w="15" w:type="dxa"/>
              <w:right w:w="14" w:type="dxa"/>
            </w:tcMar>
            <w:hideMark/>
          </w:tcPr>
          <w:p w:rsidR="00000000" w:rsidRDefault="0043639B">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Non-accelerated file</w:t>
            </w:r>
            <w:r>
              <w:rPr>
                <w:sz w:val="18"/>
                <w:szCs w:val="18"/>
              </w:rPr>
              <w:t>r</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Smaller reporting compan</w:t>
            </w:r>
            <w:r>
              <w:rPr>
                <w:sz w:val="18"/>
                <w:szCs w:val="18"/>
              </w:rPr>
              <w:t>y</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20"/>
                <w:szCs w:val="20"/>
              </w:rPr>
            </w:pPr>
            <w:r>
              <w:rPr>
                <w:rFonts w:ascii="Segoe UI Symbol" w:hAnsi="Segoe UI Symbol" w:cs="Segoe UI Symbol"/>
                <w:sz w:val="18"/>
                <w:szCs w:val="18"/>
              </w:rPr>
              <w:t>☐</w:t>
            </w:r>
          </w:p>
        </w:tc>
      </w:tr>
      <w:tr w:rsidR="00000000">
        <w:trPr>
          <w:tblCellSpacing w:w="15" w:type="dxa"/>
        </w:trPr>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4"/>
                <w:szCs w:val="4"/>
              </w:rPr>
            </w:pPr>
            <w:r>
              <w:rPr>
                <w:sz w:val="4"/>
                <w:szCs w:val="4"/>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4"/>
                <w:szCs w:val="4"/>
              </w:rPr>
            </w:pPr>
            <w:r>
              <w:rPr>
                <w:sz w:val="4"/>
                <w:szCs w:val="4"/>
              </w:rPr>
              <w:t> </w:t>
            </w:r>
          </w:p>
        </w:tc>
      </w:tr>
      <w:tr w:rsidR="00000000">
        <w:trPr>
          <w:trHeight w:val="180"/>
          <w:tblCellSpacing w:w="15" w:type="dxa"/>
        </w:trPr>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Emerging growth compan</w:t>
            </w:r>
            <w:r>
              <w:rPr>
                <w:sz w:val="18"/>
                <w:szCs w:val="18"/>
              </w:rPr>
              <w:t>y</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20"/>
                <w:szCs w:val="20"/>
              </w:rPr>
            </w:pPr>
            <w:r>
              <w:rPr>
                <w:rFonts w:ascii="Segoe UI Symbol" w:hAnsi="Segoe UI Symbol" w:cs="Segoe UI Symbol"/>
                <w:sz w:val="18"/>
                <w:szCs w:val="18"/>
              </w:rPr>
              <w:t>☐</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18"/>
                <w:szCs w:val="18"/>
              </w:rPr>
            </w:pPr>
            <w:r>
              <w:rPr>
                <w:sz w:val="18"/>
                <w:szCs w:val="18"/>
              </w:rPr>
              <w:t> </w:t>
            </w:r>
          </w:p>
        </w:tc>
      </w:tr>
    </w:tbl>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ind w:firstLine="653"/>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18"/>
          <w:szCs w:val="18"/>
        </w:rPr>
        <w:t>☐</w:t>
      </w:r>
    </w:p>
    <w:p w:rsidR="00000000" w:rsidRDefault="0043639B">
      <w:pPr>
        <w:pStyle w:val="a3"/>
        <w:spacing w:before="80" w:beforeAutospacing="0" w:after="0" w:afterAutospacing="0"/>
        <w:ind w:firstLine="653"/>
        <w:rPr>
          <w:sz w:val="20"/>
          <w:szCs w:val="20"/>
        </w:rPr>
      </w:pPr>
      <w:r>
        <w:rPr>
          <w:sz w:val="18"/>
          <w:szCs w:val="18"/>
        </w:rPr>
        <w:t>Ind</w:t>
      </w:r>
      <w:r>
        <w:rPr>
          <w:sz w:val="18"/>
          <w:szCs w:val="18"/>
        </w:rPr>
        <w:t>icate by check mark whether the registrant is a shell company (as defined in Rule 12b-2 of the Exchange Act). Yes</w:t>
      </w:r>
      <w:r>
        <w:rPr>
          <w:sz w:val="18"/>
          <w:szCs w:val="18"/>
        </w:rPr>
        <w:t xml:space="preserve"> </w:t>
      </w:r>
      <w:r>
        <w:rPr>
          <w:rFonts w:ascii="Segoe UI Symbol" w:hAnsi="Segoe UI Symbol" w:cs="Segoe UI Symbol"/>
          <w:sz w:val="18"/>
          <w:szCs w:val="18"/>
        </w:rPr>
        <w:t>☐</w:t>
      </w:r>
      <w:r>
        <w:rPr>
          <w:sz w:val="18"/>
          <w:szCs w:val="18"/>
        </w:rPr>
        <w:t xml:space="preserve"> No </w:t>
      </w:r>
      <w:r>
        <w:rPr>
          <w:rFonts w:ascii="Segoe UI Symbol" w:hAnsi="Segoe UI Symbol" w:cs="Segoe UI Symbol"/>
          <w:sz w:val="18"/>
          <w:szCs w:val="18"/>
        </w:rPr>
        <w:t>☒</w:t>
      </w:r>
    </w:p>
    <w:p w:rsidR="00000000" w:rsidRDefault="0043639B">
      <w:pPr>
        <w:pStyle w:val="a3"/>
        <w:spacing w:before="240" w:beforeAutospacing="0" w:after="0" w:afterAutospacing="0"/>
        <w:ind w:firstLine="653"/>
        <w:rPr>
          <w:sz w:val="20"/>
          <w:szCs w:val="20"/>
        </w:rPr>
      </w:pPr>
      <w:r>
        <w:rPr>
          <w:sz w:val="18"/>
          <w:szCs w:val="18"/>
        </w:rPr>
        <w:t>As of November 4, 2022, the regis</w:t>
      </w:r>
      <w:r>
        <w:rPr>
          <w:sz w:val="18"/>
          <w:szCs w:val="18"/>
        </w:rPr>
        <w:t>t</w:t>
      </w:r>
      <w:r>
        <w:rPr>
          <w:sz w:val="18"/>
          <w:szCs w:val="18"/>
        </w:rPr>
        <w:t>rant had</w:t>
      </w:r>
      <w:r>
        <w:rPr>
          <w:sz w:val="18"/>
          <w:szCs w:val="18"/>
        </w:rPr>
        <w:t xml:space="preserve"> </w:t>
      </w:r>
      <w:r>
        <w:rPr>
          <w:sz w:val="18"/>
          <w:szCs w:val="18"/>
        </w:rPr>
        <w:t>159,149,88</w:t>
      </w:r>
      <w:r>
        <w:rPr>
          <w:sz w:val="18"/>
          <w:szCs w:val="18"/>
        </w:rPr>
        <w:t>4</w:t>
      </w:r>
      <w:r>
        <w:rPr>
          <w:sz w:val="18"/>
          <w:szCs w:val="18"/>
        </w:rPr>
        <w:t xml:space="preserve"> shares of </w:t>
      </w:r>
      <w:r>
        <w:rPr>
          <w:sz w:val="18"/>
          <w:szCs w:val="18"/>
        </w:rPr>
        <w:t>c</w:t>
      </w:r>
      <w:r>
        <w:rPr>
          <w:sz w:val="18"/>
          <w:szCs w:val="18"/>
        </w:rPr>
        <w:t>ommon stock, $0.0001 par value per share, outstanding</w:t>
      </w:r>
      <w:r>
        <w:rPr>
          <w:sz w:val="18"/>
          <w:szCs w:val="18"/>
        </w:rPr>
        <w:t>.</w:t>
      </w:r>
    </w:p>
    <w:p w:rsidR="00000000" w:rsidRDefault="0043639B">
      <w:pPr>
        <w:pStyle w:val="a3"/>
        <w:pBdr>
          <w:bottom w:val="double" w:sz="6" w:space="1" w:color="auto"/>
        </w:pBdr>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line="20" w:lineRule="atLeast"/>
        <w:jc w:val="center"/>
        <w:rPr>
          <w:sz w:val="20"/>
          <w:szCs w:val="20"/>
        </w:rPr>
      </w:pPr>
      <w:r>
        <w:rPr>
          <w:sz w:val="20"/>
          <w:szCs w:val="20"/>
        </w:rPr>
        <w:t> </w:t>
      </w:r>
    </w:p>
    <w:p w:rsidR="00000000" w:rsidRDefault="0043639B">
      <w:pPr>
        <w:pStyle w:val="a3"/>
        <w:pBdr>
          <w:top w:val="single" w:sz="8" w:space="1" w:color="auto"/>
        </w:pBdr>
        <w:spacing w:before="0" w:beforeAutospacing="0" w:after="0" w:afterAutospacing="0" w:line="20" w:lineRule="atLeast"/>
        <w:jc w:val="center"/>
        <w:rPr>
          <w:sz w:val="20"/>
          <w:szCs w:val="20"/>
        </w:rPr>
      </w:pPr>
      <w:r>
        <w:rPr>
          <w:sz w:val="20"/>
          <w:szCs w:val="20"/>
        </w:rPr>
        <w:t> </w:t>
      </w:r>
    </w:p>
    <w:p w:rsidR="00000000" w:rsidRDefault="0043639B">
      <w:pPr>
        <w:pStyle w:val="a3"/>
        <w:spacing w:before="0" w:beforeAutospacing="0" w:after="0" w:afterAutospacing="0"/>
        <w:rPr>
          <w:sz w:val="20"/>
          <w:szCs w:val="20"/>
        </w:rPr>
      </w:pPr>
      <w:r>
        <w:rPr>
          <w:sz w:val="20"/>
          <w:szCs w:val="20"/>
        </w:rPr>
        <w:t> </w:t>
      </w:r>
    </w:p>
    <w:p w:rsidR="00000000" w:rsidRDefault="0043639B">
      <w:pPr>
        <w:rPr>
          <w:rFonts w:eastAsia="Times New Roman"/>
        </w:rPr>
      </w:pPr>
      <w:r>
        <w:rPr>
          <w:rFonts w:eastAsia="Times New Roman"/>
        </w:rPr>
        <w:pict>
          <v:rect id="_x0000_i1025"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0" w:beforeAutospacing="0" w:after="0" w:afterAutospacing="0"/>
        <w:jc w:val="center"/>
        <w:rPr>
          <w:sz w:val="20"/>
          <w:szCs w:val="20"/>
        </w:rPr>
      </w:pPr>
      <w:r>
        <w:rPr>
          <w:b/>
          <w:bCs/>
          <w:sz w:val="20"/>
          <w:szCs w:val="20"/>
        </w:rPr>
        <w:t>Table of Content</w:t>
      </w:r>
      <w:r>
        <w:rPr>
          <w:b/>
          <w:bCs/>
          <w:sz w:val="20"/>
          <w:szCs w:val="20"/>
        </w:rPr>
        <w:t>s</w:t>
      </w:r>
    </w:p>
    <w:p w:rsidR="00000000" w:rsidRDefault="0043639B">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70"/>
        <w:gridCol w:w="6813"/>
        <w:gridCol w:w="623"/>
      </w:tblGrid>
      <w:tr w:rsidR="00000000">
        <w:trPr>
          <w:tblCellSpacing w:w="15" w:type="dxa"/>
        </w:trPr>
        <w:tc>
          <w:tcPr>
            <w:tcW w:w="504" w:type="pct"/>
            <w:vAlign w:val="center"/>
            <w:hideMark/>
          </w:tcPr>
          <w:p w:rsidR="00000000" w:rsidRDefault="0043639B">
            <w:pPr>
              <w:rPr>
                <w:sz w:val="20"/>
                <w:szCs w:val="20"/>
              </w:rPr>
            </w:pPr>
          </w:p>
        </w:tc>
        <w:tc>
          <w:tcPr>
            <w:tcW w:w="4141" w:type="pct"/>
            <w:vAlign w:val="center"/>
            <w:hideMark/>
          </w:tcPr>
          <w:p w:rsidR="00000000" w:rsidRDefault="0043639B">
            <w:pPr>
              <w:rPr>
                <w:rFonts w:eastAsia="Times New Roman"/>
                <w:sz w:val="20"/>
                <w:szCs w:val="20"/>
              </w:rPr>
            </w:pPr>
          </w:p>
        </w:tc>
        <w:tc>
          <w:tcPr>
            <w:tcW w:w="353" w:type="pct"/>
            <w:vAlign w:val="center"/>
            <w:hideMark/>
          </w:tcPr>
          <w:p w:rsidR="00000000" w:rsidRDefault="0043639B">
            <w:pPr>
              <w:rPr>
                <w:rFonts w:eastAsia="Times New Roman"/>
                <w:sz w:val="20"/>
                <w:szCs w:val="20"/>
              </w:rPr>
            </w:pPr>
          </w:p>
        </w:tc>
      </w:tr>
      <w:tr w:rsidR="00000000">
        <w:trPr>
          <w:trHeight w:val="16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ind w:left="137"/>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ind w:left="137"/>
              <w:rPr>
                <w:sz w:val="16"/>
                <w:szCs w:val="16"/>
              </w:rPr>
            </w:pPr>
            <w:r>
              <w:rPr>
                <w:b/>
                <w:bCs/>
                <w:sz w:val="16"/>
                <w:szCs w:val="16"/>
              </w:rPr>
              <w:t>Pag</w:t>
            </w:r>
            <w:r>
              <w:rPr>
                <w:b/>
                <w:bCs/>
                <w:sz w:val="16"/>
                <w:szCs w:val="16"/>
              </w:rPr>
              <w:t>e</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b/>
                <w:bCs/>
                <w:sz w:val="20"/>
                <w:szCs w:val="20"/>
              </w:rPr>
              <w:t>PART I</w:t>
            </w:r>
            <w:r>
              <w:rPr>
                <w:b/>
                <w:bCs/>
                <w:sz w:val="20"/>
                <w:szCs w:val="20"/>
              </w:rPr>
              <w:t>.</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b/>
                <w:bCs/>
                <w:sz w:val="20"/>
                <w:szCs w:val="20"/>
              </w:rPr>
              <w:t>FINANCIAL INFORMATIO</w:t>
            </w:r>
            <w:r>
              <w:rPr>
                <w:b/>
                <w:bCs/>
                <w:sz w:val="20"/>
                <w:szCs w:val="20"/>
              </w:rPr>
              <w:t>N</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i_item1" w:history="1">
              <w:r>
                <w:rPr>
                  <w:rStyle w:val="a4"/>
                  <w:sz w:val="20"/>
                  <w:szCs w:val="20"/>
                </w:rPr>
                <w:t>Financial Statements (Unaudited</w:t>
              </w:r>
              <w:r>
                <w:rPr>
                  <w:rStyle w:val="a4"/>
                  <w:sz w:val="20"/>
                  <w:szCs w:val="20"/>
                </w:rPr>
                <w:t>)</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balance_sheet" w:history="1">
              <w:r>
                <w:rPr>
                  <w:rStyle w:val="a4"/>
                  <w:sz w:val="20"/>
                  <w:szCs w:val="20"/>
                </w:rPr>
                <w:t>Condensed Consolidated Balance Sheets as of September 30, 2022 (unaudited) and December 31,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statements_operations" w:history="1">
              <w:r>
                <w:rPr>
                  <w:rStyle w:val="a4"/>
                  <w:sz w:val="20"/>
                  <w:szCs w:val="20"/>
                </w:rPr>
                <w:t xml:space="preserve">Condensed Consolidated Statements of Operations (unaudited) for the three </w:t>
              </w:r>
              <w:r>
                <w:rPr>
                  <w:rStyle w:val="a4"/>
                  <w:sz w:val="20"/>
                  <w:szCs w:val="20"/>
                </w:rPr>
                <w:t>and nine months ended September 30,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statements_equity" w:history="1">
              <w:r>
                <w:rPr>
                  <w:rStyle w:val="a4"/>
                  <w:sz w:val="20"/>
                  <w:szCs w:val="20"/>
                </w:rPr>
                <w:t>Condensed Consolidated Statements of Stockholder’s Equity (Deficit) (unaudited) for the three and nine months ended September 30,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8</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jc w:val="both"/>
              <w:rPr>
                <w:sz w:val="20"/>
                <w:szCs w:val="20"/>
              </w:rPr>
            </w:pPr>
            <w:hyperlink w:anchor="statements_cash_flows" w:history="1">
              <w:r>
                <w:rPr>
                  <w:rStyle w:val="a4"/>
                  <w:sz w:val="20"/>
                  <w:szCs w:val="20"/>
                </w:rPr>
                <w:t>Condensed Consolidated Statements of Cash Flows (unaudited) for the nine months ended September 30, 2022 and 202</w:t>
              </w:r>
              <w:r>
                <w:rPr>
                  <w:rStyle w:val="a4"/>
                  <w:sz w:val="20"/>
                  <w:szCs w:val="20"/>
                </w:rPr>
                <w:t>1</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ind w:left="137"/>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notes_financial_statements" w:history="1">
              <w:r>
                <w:rPr>
                  <w:rStyle w:val="a4"/>
                  <w:sz w:val="20"/>
                  <w:szCs w:val="20"/>
                </w:rPr>
                <w:t>Notes to Unaudited Condensed Consolidated Financial Statement</w:t>
              </w:r>
              <w:r>
                <w:rPr>
                  <w:rStyle w:val="a4"/>
                  <w:sz w:val="20"/>
                  <w:szCs w:val="20"/>
                </w:rPr>
                <w:t>s</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1</w:t>
            </w:r>
            <w:r>
              <w:rPr>
                <w:sz w:val="20"/>
                <w:szCs w:val="20"/>
              </w:rPr>
              <w:t>0</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i_item2" w:history="1">
              <w:r>
                <w:rPr>
                  <w:rStyle w:val="a4"/>
                  <w:sz w:val="20"/>
                  <w:szCs w:val="20"/>
                </w:rPr>
                <w:t>Management’s Discussion and Analysis of Financial Condition and Results of Operation</w:t>
              </w:r>
              <w:r>
                <w:rPr>
                  <w:rStyle w:val="a4"/>
                  <w:sz w:val="20"/>
                  <w:szCs w:val="20"/>
                </w:rPr>
                <w:t>s</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1</w:t>
            </w:r>
            <w:r>
              <w:rPr>
                <w:sz w:val="20"/>
                <w:szCs w:val="20"/>
              </w:rPr>
              <w:t>7</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i_item3" w:history="1">
              <w:r>
                <w:rPr>
                  <w:rStyle w:val="a4"/>
                  <w:sz w:val="20"/>
                  <w:szCs w:val="20"/>
                </w:rPr>
                <w:t>Quantitative and Qualit</w:t>
              </w:r>
              <w:r>
                <w:rPr>
                  <w:rStyle w:val="a4"/>
                  <w:sz w:val="20"/>
                  <w:szCs w:val="20"/>
                </w:rPr>
                <w:t>ative Disclosures About Market Ris</w:t>
              </w:r>
              <w:r>
                <w:rPr>
                  <w:rStyle w:val="a4"/>
                  <w:sz w:val="20"/>
                  <w:szCs w:val="20"/>
                </w:rPr>
                <w:t>k</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2</w:t>
            </w:r>
            <w:r>
              <w:rPr>
                <w:sz w:val="20"/>
                <w:szCs w:val="20"/>
              </w:rPr>
              <w:t>5</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20"/>
                <w:szCs w:val="20"/>
              </w:rPr>
            </w:pPr>
            <w:hyperlink w:anchor="i_item4" w:history="1">
              <w:r>
                <w:rPr>
                  <w:rStyle w:val="a4"/>
                  <w:sz w:val="20"/>
                  <w:szCs w:val="20"/>
                </w:rPr>
                <w:t>Controls and Procedure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2</w:t>
            </w:r>
            <w:r>
              <w:rPr>
                <w:sz w:val="20"/>
                <w:szCs w:val="20"/>
              </w:rPr>
              <w:t>6</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b/>
                <w:bCs/>
                <w:sz w:val="20"/>
                <w:szCs w:val="20"/>
              </w:rPr>
              <w:t>PART II</w:t>
            </w:r>
            <w:r>
              <w:rPr>
                <w:b/>
                <w:bCs/>
                <w:sz w:val="20"/>
                <w:szCs w:val="20"/>
              </w:rPr>
              <w:t>.</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b/>
                <w:bCs/>
                <w:sz w:val="20"/>
                <w:szCs w:val="20"/>
              </w:rPr>
              <w:t>OTHER INFORMATIO</w:t>
            </w:r>
            <w:r>
              <w:rPr>
                <w:b/>
                <w:bCs/>
                <w:sz w:val="20"/>
                <w:szCs w:val="20"/>
              </w:rPr>
              <w:t>N</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Item 1</w:t>
            </w:r>
            <w:r>
              <w:rPr>
                <w:sz w:val="20"/>
                <w:szCs w:val="20"/>
              </w:rPr>
              <w:t>.</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ii_item1" w:history="1">
              <w:r>
                <w:rPr>
                  <w:rStyle w:val="a4"/>
                  <w:sz w:val="20"/>
                  <w:szCs w:val="20"/>
                </w:rPr>
                <w:t>Legal Proceeding</w:t>
              </w:r>
              <w:r>
                <w:rPr>
                  <w:rStyle w:val="a4"/>
                  <w:sz w:val="20"/>
                  <w:szCs w:val="20"/>
                </w:rPr>
                <w:t>s</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Item 1A</w:t>
            </w:r>
            <w:r>
              <w:rPr>
                <w:sz w:val="20"/>
                <w:szCs w:val="20"/>
              </w:rPr>
              <w:t>.</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risk_factors" w:history="1">
              <w:r>
                <w:rPr>
                  <w:rStyle w:val="a4"/>
                  <w:sz w:val="20"/>
                  <w:szCs w:val="20"/>
                </w:rPr>
                <w:t>Risk Factor</w:t>
              </w:r>
              <w:r>
                <w:rPr>
                  <w:rStyle w:val="a4"/>
                  <w:sz w:val="20"/>
                  <w:szCs w:val="20"/>
                </w:rPr>
                <w:t>s</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Item 2</w:t>
            </w:r>
            <w:r>
              <w:rPr>
                <w:sz w:val="20"/>
                <w:szCs w:val="20"/>
              </w:rPr>
              <w:t>.</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ii_item2" w:history="1">
              <w:r>
                <w:rPr>
                  <w:rStyle w:val="a4"/>
                  <w:sz w:val="20"/>
                  <w:szCs w:val="20"/>
                </w:rPr>
                <w:t>Unregistered Sales of Equity Securities and Use of Proceed</w:t>
              </w:r>
              <w:r>
                <w:rPr>
                  <w:rStyle w:val="a4"/>
                  <w:sz w:val="20"/>
                  <w:szCs w:val="20"/>
                </w:rPr>
                <w:t>s</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Item 3</w:t>
            </w:r>
            <w:r>
              <w:rPr>
                <w:sz w:val="20"/>
                <w:szCs w:val="20"/>
              </w:rPr>
              <w:t>.</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ii_item3" w:history="1">
              <w:r>
                <w:rPr>
                  <w:rStyle w:val="a4"/>
                  <w:sz w:val="20"/>
                  <w:szCs w:val="20"/>
                </w:rPr>
                <w:t>Defaults Upon Senior Securitie</w:t>
              </w:r>
              <w:r>
                <w:rPr>
                  <w:rStyle w:val="a4"/>
                  <w:sz w:val="20"/>
                  <w:szCs w:val="20"/>
                </w:rPr>
                <w:t>s</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Item 4</w:t>
            </w:r>
            <w:r>
              <w:rPr>
                <w:sz w:val="20"/>
                <w:szCs w:val="20"/>
              </w:rPr>
              <w:t>.</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ii_item4" w:history="1">
              <w:r>
                <w:rPr>
                  <w:rStyle w:val="a4"/>
                  <w:sz w:val="20"/>
                  <w:szCs w:val="20"/>
                </w:rPr>
                <w:t>Mine Safety Disclosure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Item 5</w:t>
            </w:r>
            <w:r>
              <w:rPr>
                <w:sz w:val="20"/>
                <w:szCs w:val="20"/>
              </w:rPr>
              <w:t>.</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ii_item5" w:history="1">
              <w:r>
                <w:rPr>
                  <w:rStyle w:val="a4"/>
                  <w:sz w:val="20"/>
                  <w:szCs w:val="20"/>
                </w:rPr>
                <w:t>Other Informatio</w:t>
              </w:r>
              <w:r>
                <w:rPr>
                  <w:rStyle w:val="a4"/>
                  <w:sz w:val="20"/>
                  <w:szCs w:val="20"/>
                </w:rPr>
                <w:t>n</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2</w:t>
            </w:r>
            <w:r>
              <w:rPr>
                <w:sz w:val="20"/>
                <w:szCs w:val="20"/>
              </w:rPr>
              <w:t>9</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Item 6</w:t>
            </w:r>
            <w:r>
              <w:rPr>
                <w:sz w:val="20"/>
                <w:szCs w:val="20"/>
              </w:rPr>
              <w:t>.</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ii_item6" w:history="1">
              <w:r>
                <w:rPr>
                  <w:rStyle w:val="a4"/>
                  <w:sz w:val="20"/>
                  <w:szCs w:val="20"/>
                </w:rPr>
                <w:t>Exhibit</w:t>
              </w:r>
              <w:r>
                <w:rPr>
                  <w:rStyle w:val="a4"/>
                  <w:sz w:val="20"/>
                  <w:szCs w:val="20"/>
                </w:rPr>
                <w:t>s</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3</w:t>
            </w:r>
            <w:r>
              <w:rPr>
                <w:sz w:val="20"/>
                <w:szCs w:val="20"/>
              </w:rPr>
              <w:t>0</w:t>
            </w:r>
          </w:p>
        </w:tc>
      </w:tr>
      <w:tr w:rsidR="00000000">
        <w:trPr>
          <w:trHeight w:val="200"/>
          <w:tblCellSpacing w:w="15" w:type="dxa"/>
        </w:trPr>
        <w:tc>
          <w:tcPr>
            <w:tcW w:w="0" w:type="auto"/>
            <w:gridSpan w:val="2"/>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hyperlink w:anchor="signatures" w:history="1">
              <w:r>
                <w:rPr>
                  <w:rStyle w:val="a4"/>
                  <w:sz w:val="20"/>
                  <w:szCs w:val="20"/>
                </w:rPr>
                <w:t>Signature</w:t>
              </w:r>
              <w:r>
                <w:rPr>
                  <w:rStyle w:val="a4"/>
                  <w:sz w:val="20"/>
                  <w:szCs w:val="20"/>
                </w:rPr>
                <w:t>s</w:t>
              </w:r>
            </w:hyperlink>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jc w:val="right"/>
              <w:rPr>
                <w:sz w:val="20"/>
                <w:szCs w:val="20"/>
              </w:rPr>
            </w:pPr>
            <w:r>
              <w:rPr>
                <w:sz w:val="20"/>
                <w:szCs w:val="20"/>
              </w:rPr>
              <w:t>3</w:t>
            </w:r>
            <w:r>
              <w:rPr>
                <w:sz w:val="20"/>
                <w:szCs w:val="20"/>
              </w:rPr>
              <w:t>1</w:t>
            </w:r>
          </w:p>
        </w:tc>
      </w:tr>
    </w:tbl>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2</w:t>
      </w:r>
    </w:p>
    <w:p w:rsidR="00000000" w:rsidRDefault="0043639B">
      <w:pPr>
        <w:rPr>
          <w:rFonts w:eastAsia="Times New Roman"/>
        </w:rPr>
      </w:pPr>
      <w:r>
        <w:rPr>
          <w:rFonts w:eastAsia="Times New Roman"/>
        </w:rPr>
        <w:pict>
          <v:rect id="_x0000_i1026" style="width:0;height:1.5pt" o:hralign="center" o:hrstd="t" o:hr="t" fillcolor="#a0a0a0" stroked="f"/>
        </w:pic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b/>
          <w:bCs/>
          <w:caps/>
        </w:rPr>
        <w:t>basis of presentatio</w:t>
      </w:r>
      <w:r>
        <w:rPr>
          <w:b/>
          <w:bCs/>
          <w:caps/>
        </w:rPr>
        <w:t>n</w:t>
      </w:r>
    </w:p>
    <w:p w:rsidR="00000000" w:rsidRDefault="0043639B">
      <w:pPr>
        <w:pStyle w:val="a3"/>
        <w:spacing w:before="0" w:beforeAutospacing="0" w:afterAutospacing="0"/>
        <w:jc w:val="center"/>
        <w:rPr>
          <w:sz w:val="20"/>
          <w:szCs w:val="20"/>
        </w:rPr>
      </w:pPr>
      <w:r>
        <w:rPr>
          <w:sz w:val="20"/>
          <w:szCs w:val="20"/>
        </w:rPr>
        <w:t> </w:t>
      </w:r>
    </w:p>
    <w:p w:rsidR="00000000" w:rsidRDefault="0043639B">
      <w:pPr>
        <w:pStyle w:val="a3"/>
        <w:spacing w:before="0" w:beforeAutospacing="0" w:after="0" w:afterAutospacing="0"/>
        <w:jc w:val="both"/>
        <w:rPr>
          <w:sz w:val="20"/>
          <w:szCs w:val="20"/>
        </w:rPr>
      </w:pPr>
      <w:r>
        <w:rPr>
          <w:sz w:val="20"/>
          <w:szCs w:val="20"/>
        </w:rPr>
        <w:t>As used in this Quarterly Report, unless the context otherwise requires, references to</w:t>
      </w:r>
      <w:r>
        <w:rPr>
          <w:sz w:val="20"/>
          <w:szCs w:val="20"/>
        </w:rPr>
        <w:t>:</w:t>
      </w:r>
      <w:r>
        <w:rPr>
          <w:sz w:val="20"/>
          <w:szCs w:val="20"/>
        </w:rPr>
        <w:t xml:space="preserve"> </w:t>
      </w:r>
    </w:p>
    <w:p w:rsidR="00000000" w:rsidRDefault="0043639B">
      <w:pPr>
        <w:jc w:val="both"/>
        <w:divId w:val="1694769730"/>
        <w:rPr>
          <w:rFonts w:eastAsia="Times New Roman"/>
        </w:rPr>
      </w:pPr>
      <w:r>
        <w:rPr>
          <w:rFonts w:eastAsia="Times New Roman"/>
          <w:sz w:val="20"/>
          <w:szCs w:val="20"/>
        </w:rPr>
        <w:t>•</w:t>
      </w:r>
    </w:p>
    <w:p w:rsidR="00000000" w:rsidRDefault="0043639B">
      <w:pPr>
        <w:jc w:val="both"/>
        <w:divId w:val="1277836768"/>
        <w:rPr>
          <w:rFonts w:eastAsia="Times New Roman"/>
        </w:rPr>
      </w:pPr>
      <w:r>
        <w:rPr>
          <w:rFonts w:eastAsia="Times New Roman"/>
          <w:sz w:val="20"/>
          <w:szCs w:val="20"/>
        </w:rPr>
        <w:t>“</w:t>
      </w:r>
      <w:r>
        <w:rPr>
          <w:rFonts w:eastAsia="Times New Roman"/>
          <w:b/>
          <w:bCs/>
          <w:i/>
          <w:iCs/>
          <w:sz w:val="20"/>
          <w:szCs w:val="20"/>
        </w:rPr>
        <w:t>2021 Pla</w:t>
      </w:r>
      <w:r>
        <w:rPr>
          <w:rFonts w:eastAsia="Times New Roman"/>
          <w:b/>
          <w:bCs/>
          <w:i/>
          <w:iCs/>
          <w:sz w:val="20"/>
          <w:szCs w:val="20"/>
        </w:rPr>
        <w:t>n</w:t>
      </w:r>
      <w:r>
        <w:rPr>
          <w:rFonts w:eastAsia="Times New Roman"/>
          <w:sz w:val="20"/>
          <w:szCs w:val="20"/>
        </w:rPr>
        <w:t xml:space="preserve">” </w:t>
      </w:r>
      <w:r>
        <w:rPr>
          <w:rFonts w:eastAsia="Times New Roman"/>
          <w:sz w:val="20"/>
          <w:szCs w:val="20"/>
        </w:rPr>
        <w:t>are to the Talkspace, Inc. 2021 Incentive Award Plan;</w:t>
      </w:r>
      <w:r>
        <w:rPr>
          <w:rFonts w:eastAsia="Times New Roman"/>
          <w:sz w:val="20"/>
          <w:szCs w:val="20"/>
        </w:rPr>
        <w:t xml:space="preserve"> </w:t>
      </w:r>
    </w:p>
    <w:p w:rsidR="00000000" w:rsidRDefault="0043639B">
      <w:pPr>
        <w:jc w:val="both"/>
        <w:divId w:val="211501803"/>
        <w:rPr>
          <w:rFonts w:eastAsia="Times New Roman"/>
        </w:rPr>
      </w:pPr>
      <w:r>
        <w:rPr>
          <w:rFonts w:eastAsia="Times New Roman"/>
          <w:sz w:val="20"/>
          <w:szCs w:val="20"/>
        </w:rPr>
        <w:t>•</w:t>
      </w:r>
    </w:p>
    <w:p w:rsidR="00000000" w:rsidRDefault="0043639B">
      <w:pPr>
        <w:jc w:val="both"/>
        <w:divId w:val="1449934823"/>
        <w:rPr>
          <w:rFonts w:eastAsia="Times New Roman"/>
        </w:rPr>
      </w:pPr>
      <w:r>
        <w:rPr>
          <w:rFonts w:eastAsia="Times New Roman"/>
          <w:sz w:val="20"/>
          <w:szCs w:val="20"/>
        </w:rPr>
        <w:t>“</w:t>
      </w:r>
      <w:r>
        <w:rPr>
          <w:rFonts w:eastAsia="Times New Roman"/>
          <w:b/>
          <w:bCs/>
          <w:i/>
          <w:iCs/>
          <w:sz w:val="20"/>
          <w:szCs w:val="20"/>
        </w:rPr>
        <w:t>Business Combinatio</w:t>
      </w:r>
      <w:r>
        <w:rPr>
          <w:rFonts w:eastAsia="Times New Roman"/>
          <w:b/>
          <w:bCs/>
          <w:i/>
          <w:iCs/>
          <w:sz w:val="20"/>
          <w:szCs w:val="20"/>
        </w:rPr>
        <w:t>n</w:t>
      </w:r>
      <w:r>
        <w:rPr>
          <w:rFonts w:eastAsia="Times New Roman"/>
          <w:sz w:val="20"/>
          <w:szCs w:val="20"/>
        </w:rPr>
        <w:t>” are to, together, (i) the First Merger and (ii) the Second Merger;</w:t>
      </w:r>
      <w:r>
        <w:rPr>
          <w:rFonts w:eastAsia="Times New Roman"/>
          <w:sz w:val="20"/>
          <w:szCs w:val="20"/>
        </w:rPr>
        <w:t xml:space="preserve"> </w:t>
      </w:r>
    </w:p>
    <w:p w:rsidR="00000000" w:rsidRDefault="0043639B">
      <w:pPr>
        <w:jc w:val="both"/>
        <w:divId w:val="625623806"/>
        <w:rPr>
          <w:rFonts w:eastAsia="Times New Roman"/>
        </w:rPr>
      </w:pPr>
      <w:r>
        <w:rPr>
          <w:rFonts w:eastAsia="Times New Roman"/>
          <w:sz w:val="20"/>
          <w:szCs w:val="20"/>
        </w:rPr>
        <w:t>•</w:t>
      </w:r>
    </w:p>
    <w:p w:rsidR="00000000" w:rsidRDefault="0043639B">
      <w:pPr>
        <w:jc w:val="both"/>
        <w:divId w:val="1386611473"/>
        <w:rPr>
          <w:rFonts w:eastAsia="Times New Roman"/>
        </w:rPr>
      </w:pPr>
      <w:r>
        <w:rPr>
          <w:rFonts w:eastAsia="Times New Roman"/>
          <w:sz w:val="20"/>
          <w:szCs w:val="20"/>
        </w:rPr>
        <w:t>“</w:t>
      </w:r>
      <w:r>
        <w:rPr>
          <w:rFonts w:eastAsia="Times New Roman"/>
          <w:b/>
          <w:bCs/>
          <w:i/>
          <w:iCs/>
          <w:sz w:val="20"/>
          <w:szCs w:val="20"/>
        </w:rPr>
        <w:t>2021 ESPP</w:t>
      </w:r>
      <w:r>
        <w:rPr>
          <w:rFonts w:eastAsia="Times New Roman"/>
          <w:b/>
          <w:bCs/>
          <w:i/>
          <w:iCs/>
          <w:sz w:val="20"/>
          <w:szCs w:val="20"/>
        </w:rPr>
        <w:t>”</w:t>
      </w:r>
      <w:r>
        <w:rPr>
          <w:rFonts w:eastAsia="Times New Roman"/>
          <w:sz w:val="20"/>
          <w:szCs w:val="20"/>
        </w:rPr>
        <w:t xml:space="preserve"> </w:t>
      </w:r>
      <w:r>
        <w:rPr>
          <w:rFonts w:eastAsia="Times New Roman"/>
          <w:sz w:val="20"/>
          <w:szCs w:val="20"/>
        </w:rPr>
        <w:t>are to the Talkspace, Inc. 2021 Employee Stock Purchase Plan;</w:t>
      </w:r>
      <w:r>
        <w:rPr>
          <w:rFonts w:eastAsia="Times New Roman"/>
          <w:sz w:val="20"/>
          <w:szCs w:val="20"/>
        </w:rPr>
        <w:t xml:space="preserve"> </w:t>
      </w:r>
    </w:p>
    <w:p w:rsidR="00000000" w:rsidRDefault="0043639B">
      <w:pPr>
        <w:jc w:val="both"/>
        <w:divId w:val="551042771"/>
        <w:rPr>
          <w:rFonts w:eastAsia="Times New Roman"/>
        </w:rPr>
      </w:pPr>
      <w:r>
        <w:rPr>
          <w:rFonts w:eastAsia="Times New Roman"/>
          <w:sz w:val="20"/>
          <w:szCs w:val="20"/>
        </w:rPr>
        <w:t>•</w:t>
      </w:r>
    </w:p>
    <w:p w:rsidR="00000000" w:rsidRDefault="0043639B">
      <w:pPr>
        <w:jc w:val="both"/>
        <w:divId w:val="899439970"/>
        <w:rPr>
          <w:rFonts w:eastAsia="Times New Roman"/>
        </w:rPr>
      </w:pPr>
      <w:r>
        <w:rPr>
          <w:rFonts w:eastAsia="Times New Roman"/>
          <w:sz w:val="20"/>
          <w:szCs w:val="20"/>
        </w:rPr>
        <w:t>“</w:t>
      </w:r>
      <w:r>
        <w:rPr>
          <w:rFonts w:eastAsia="Times New Roman"/>
          <w:b/>
          <w:bCs/>
          <w:i/>
          <w:iCs/>
          <w:sz w:val="20"/>
          <w:szCs w:val="20"/>
        </w:rPr>
        <w:t>Exchange Ac</w:t>
      </w:r>
      <w:r>
        <w:rPr>
          <w:rFonts w:eastAsia="Times New Roman"/>
          <w:b/>
          <w:bCs/>
          <w:i/>
          <w:iCs/>
          <w:sz w:val="20"/>
          <w:szCs w:val="20"/>
        </w:rPr>
        <w:t>t</w:t>
      </w:r>
      <w:r>
        <w:rPr>
          <w:rFonts w:eastAsia="Times New Roman"/>
          <w:sz w:val="20"/>
          <w:szCs w:val="20"/>
        </w:rPr>
        <w:t>” are to the Securities Exchange Act of 1934, as amended;</w:t>
      </w:r>
      <w:r>
        <w:rPr>
          <w:rFonts w:eastAsia="Times New Roman"/>
          <w:sz w:val="20"/>
          <w:szCs w:val="20"/>
        </w:rPr>
        <w:t xml:space="preserve"> </w:t>
      </w:r>
    </w:p>
    <w:p w:rsidR="00000000" w:rsidRDefault="0043639B">
      <w:pPr>
        <w:jc w:val="both"/>
        <w:divId w:val="462311292"/>
        <w:rPr>
          <w:rFonts w:eastAsia="Times New Roman"/>
        </w:rPr>
      </w:pPr>
      <w:r>
        <w:rPr>
          <w:rFonts w:eastAsia="Times New Roman"/>
          <w:sz w:val="20"/>
          <w:szCs w:val="20"/>
        </w:rPr>
        <w:t>•</w:t>
      </w:r>
    </w:p>
    <w:p w:rsidR="00000000" w:rsidRDefault="0043639B">
      <w:pPr>
        <w:jc w:val="both"/>
        <w:divId w:val="987174921"/>
        <w:rPr>
          <w:rFonts w:eastAsia="Times New Roman"/>
        </w:rPr>
      </w:pPr>
      <w:r>
        <w:rPr>
          <w:rFonts w:eastAsia="Times New Roman"/>
          <w:sz w:val="20"/>
          <w:szCs w:val="20"/>
        </w:rPr>
        <w:t>“</w:t>
      </w:r>
      <w:r>
        <w:rPr>
          <w:rFonts w:eastAsia="Times New Roman"/>
          <w:b/>
          <w:bCs/>
          <w:i/>
          <w:iCs/>
          <w:sz w:val="20"/>
          <w:szCs w:val="20"/>
        </w:rPr>
        <w:t>First Merge</w:t>
      </w:r>
      <w:r>
        <w:rPr>
          <w:rFonts w:eastAsia="Times New Roman"/>
          <w:b/>
          <w:bCs/>
          <w:i/>
          <w:iCs/>
          <w:sz w:val="20"/>
          <w:szCs w:val="20"/>
        </w:rPr>
        <w:t>r</w:t>
      </w:r>
      <w:r>
        <w:rPr>
          <w:rFonts w:eastAsia="Times New Roman"/>
          <w:sz w:val="20"/>
          <w:szCs w:val="20"/>
        </w:rPr>
        <w:t>” are to the merger of First Merger Sub with and into Old Talkspace;</w:t>
      </w:r>
      <w:r>
        <w:rPr>
          <w:rFonts w:eastAsia="Times New Roman"/>
          <w:sz w:val="20"/>
          <w:szCs w:val="20"/>
        </w:rPr>
        <w:t xml:space="preserve"> </w:t>
      </w:r>
    </w:p>
    <w:p w:rsidR="00000000" w:rsidRDefault="0043639B">
      <w:pPr>
        <w:jc w:val="both"/>
        <w:divId w:val="1206797318"/>
        <w:rPr>
          <w:rFonts w:eastAsia="Times New Roman"/>
        </w:rPr>
      </w:pPr>
      <w:r>
        <w:rPr>
          <w:rFonts w:eastAsia="Times New Roman"/>
          <w:sz w:val="20"/>
          <w:szCs w:val="20"/>
        </w:rPr>
        <w:t>•</w:t>
      </w:r>
    </w:p>
    <w:p w:rsidR="00000000" w:rsidRDefault="0043639B">
      <w:pPr>
        <w:jc w:val="both"/>
        <w:divId w:val="1898658862"/>
        <w:rPr>
          <w:rFonts w:eastAsia="Times New Roman"/>
        </w:rPr>
      </w:pPr>
      <w:r>
        <w:rPr>
          <w:rFonts w:eastAsia="Times New Roman"/>
          <w:sz w:val="20"/>
          <w:szCs w:val="20"/>
        </w:rPr>
        <w:t>“</w:t>
      </w:r>
      <w:r>
        <w:rPr>
          <w:rFonts w:eastAsia="Times New Roman"/>
          <w:b/>
          <w:bCs/>
          <w:i/>
          <w:iCs/>
          <w:sz w:val="20"/>
          <w:szCs w:val="20"/>
        </w:rPr>
        <w:t>First Merger Su</w:t>
      </w:r>
      <w:r>
        <w:rPr>
          <w:rFonts w:eastAsia="Times New Roman"/>
          <w:b/>
          <w:bCs/>
          <w:i/>
          <w:iCs/>
          <w:sz w:val="20"/>
          <w:szCs w:val="20"/>
        </w:rPr>
        <w:t>b</w:t>
      </w:r>
      <w:r>
        <w:rPr>
          <w:rFonts w:eastAsia="Times New Roman"/>
          <w:sz w:val="20"/>
          <w:szCs w:val="20"/>
        </w:rPr>
        <w:t>” are to Tailwi</w:t>
      </w:r>
      <w:r>
        <w:rPr>
          <w:rFonts w:eastAsia="Times New Roman"/>
          <w:sz w:val="20"/>
          <w:szCs w:val="20"/>
        </w:rPr>
        <w:t>nd Merger Sub I, Inc.;</w:t>
      </w:r>
      <w:r>
        <w:rPr>
          <w:rFonts w:eastAsia="Times New Roman"/>
          <w:sz w:val="20"/>
          <w:szCs w:val="20"/>
        </w:rPr>
        <w:t xml:space="preserve"> </w:t>
      </w:r>
    </w:p>
    <w:p w:rsidR="00000000" w:rsidRDefault="0043639B">
      <w:pPr>
        <w:jc w:val="both"/>
        <w:divId w:val="790784289"/>
        <w:rPr>
          <w:rFonts w:eastAsia="Times New Roman"/>
        </w:rPr>
      </w:pPr>
      <w:r>
        <w:rPr>
          <w:rFonts w:eastAsia="Times New Roman"/>
          <w:sz w:val="20"/>
          <w:szCs w:val="20"/>
        </w:rPr>
        <w:t>•</w:t>
      </w:r>
    </w:p>
    <w:p w:rsidR="00000000" w:rsidRDefault="0043639B">
      <w:pPr>
        <w:jc w:val="both"/>
        <w:divId w:val="890923397"/>
        <w:rPr>
          <w:rFonts w:eastAsia="Times New Roman"/>
        </w:rPr>
      </w:pPr>
      <w:r>
        <w:rPr>
          <w:rFonts w:eastAsia="Times New Roman"/>
          <w:sz w:val="20"/>
          <w:szCs w:val="20"/>
        </w:rPr>
        <w:t>“</w:t>
      </w:r>
      <w:r>
        <w:rPr>
          <w:rFonts w:eastAsia="Times New Roman"/>
          <w:b/>
          <w:bCs/>
          <w:i/>
          <w:iCs/>
          <w:sz w:val="20"/>
          <w:szCs w:val="20"/>
        </w:rPr>
        <w:t>HE</w:t>
      </w:r>
      <w:r>
        <w:rPr>
          <w:rFonts w:eastAsia="Times New Roman"/>
          <w:b/>
          <w:bCs/>
          <w:i/>
          <w:iCs/>
          <w:sz w:val="20"/>
          <w:szCs w:val="20"/>
        </w:rPr>
        <w:t>C</w:t>
      </w:r>
      <w:r>
        <w:rPr>
          <w:rFonts w:eastAsia="Times New Roman"/>
          <w:sz w:val="20"/>
          <w:szCs w:val="20"/>
        </w:rPr>
        <w:t>” are to Hudson Executive Investment Corp., a Delaware corporation</w:t>
      </w:r>
      <w:r>
        <w:rPr>
          <w:rFonts w:eastAsia="Times New Roman"/>
          <w:sz w:val="20"/>
          <w:szCs w:val="20"/>
        </w:rPr>
        <w:t>;</w:t>
      </w:r>
    </w:p>
    <w:p w:rsidR="00000000" w:rsidRDefault="0043639B">
      <w:pPr>
        <w:jc w:val="both"/>
        <w:divId w:val="1366828832"/>
        <w:rPr>
          <w:rFonts w:eastAsia="Times New Roman"/>
        </w:rPr>
      </w:pPr>
      <w:r>
        <w:rPr>
          <w:rFonts w:eastAsia="Times New Roman"/>
          <w:sz w:val="20"/>
          <w:szCs w:val="20"/>
        </w:rPr>
        <w:t>•</w:t>
      </w:r>
    </w:p>
    <w:p w:rsidR="00000000" w:rsidRDefault="0043639B">
      <w:pPr>
        <w:jc w:val="both"/>
        <w:divId w:val="1325621557"/>
        <w:rPr>
          <w:rFonts w:eastAsia="Times New Roman"/>
        </w:rPr>
      </w:pPr>
      <w:r>
        <w:rPr>
          <w:rFonts w:eastAsia="Times New Roman"/>
          <w:sz w:val="20"/>
          <w:szCs w:val="20"/>
        </w:rPr>
        <w:t>“</w:t>
      </w:r>
      <w:r>
        <w:rPr>
          <w:rFonts w:eastAsia="Times New Roman"/>
          <w:b/>
          <w:bCs/>
          <w:i/>
          <w:iCs/>
          <w:sz w:val="20"/>
          <w:szCs w:val="20"/>
        </w:rPr>
        <w:t>HEC Forward Purchase Agreemen</w:t>
      </w:r>
      <w:r>
        <w:rPr>
          <w:rFonts w:eastAsia="Times New Roman"/>
          <w:b/>
          <w:bCs/>
          <w:i/>
          <w:iCs/>
          <w:sz w:val="20"/>
          <w:szCs w:val="20"/>
        </w:rPr>
        <w:t>t</w:t>
      </w:r>
      <w:r>
        <w:rPr>
          <w:rFonts w:eastAsia="Times New Roman"/>
          <w:sz w:val="20"/>
          <w:szCs w:val="20"/>
        </w:rPr>
        <w:t>” are to the forward purchase agreement, entered into as of June 8, 2020, by and between HEC and HEC Fund, as amended by that</w:t>
      </w:r>
      <w:r>
        <w:rPr>
          <w:rFonts w:eastAsia="Times New Roman"/>
          <w:sz w:val="20"/>
          <w:szCs w:val="20"/>
        </w:rPr>
        <w:t xml:space="preserve"> certain First Amendment to Forward Purchase Agreement, dated January 12, 2021;</w:t>
      </w:r>
      <w:r>
        <w:rPr>
          <w:rFonts w:eastAsia="Times New Roman"/>
          <w:sz w:val="20"/>
          <w:szCs w:val="20"/>
        </w:rPr>
        <w:t xml:space="preserve"> </w:t>
      </w:r>
    </w:p>
    <w:p w:rsidR="00000000" w:rsidRDefault="0043639B">
      <w:pPr>
        <w:jc w:val="both"/>
        <w:divId w:val="599220693"/>
        <w:rPr>
          <w:rFonts w:eastAsia="Times New Roman"/>
        </w:rPr>
      </w:pPr>
      <w:r>
        <w:rPr>
          <w:rFonts w:eastAsia="Times New Roman"/>
          <w:sz w:val="20"/>
          <w:szCs w:val="20"/>
        </w:rPr>
        <w:t>•</w:t>
      </w:r>
    </w:p>
    <w:p w:rsidR="00000000" w:rsidRDefault="0043639B">
      <w:pPr>
        <w:jc w:val="both"/>
        <w:divId w:val="416512359"/>
        <w:rPr>
          <w:rFonts w:eastAsia="Times New Roman"/>
        </w:rPr>
      </w:pPr>
      <w:r>
        <w:rPr>
          <w:rFonts w:eastAsia="Times New Roman"/>
          <w:sz w:val="20"/>
          <w:szCs w:val="20"/>
        </w:rPr>
        <w:t>“</w:t>
      </w:r>
      <w:r>
        <w:rPr>
          <w:rFonts w:eastAsia="Times New Roman"/>
          <w:b/>
          <w:bCs/>
          <w:i/>
          <w:iCs/>
          <w:sz w:val="20"/>
          <w:szCs w:val="20"/>
        </w:rPr>
        <w:t>HEC Fun</w:t>
      </w:r>
      <w:r>
        <w:rPr>
          <w:rFonts w:eastAsia="Times New Roman"/>
          <w:b/>
          <w:bCs/>
          <w:i/>
          <w:iCs/>
          <w:sz w:val="20"/>
          <w:szCs w:val="20"/>
        </w:rPr>
        <w:t>d</w:t>
      </w:r>
      <w:r>
        <w:rPr>
          <w:rFonts w:eastAsia="Times New Roman"/>
          <w:sz w:val="20"/>
          <w:szCs w:val="20"/>
        </w:rPr>
        <w:t>” are to HEC Master Fund LP, a Delaware limited partnership;</w:t>
      </w:r>
      <w:r>
        <w:rPr>
          <w:rFonts w:eastAsia="Times New Roman"/>
          <w:sz w:val="20"/>
          <w:szCs w:val="20"/>
        </w:rPr>
        <w:t xml:space="preserve"> </w:t>
      </w:r>
    </w:p>
    <w:p w:rsidR="00000000" w:rsidRDefault="0043639B">
      <w:pPr>
        <w:jc w:val="both"/>
        <w:divId w:val="1290473596"/>
        <w:rPr>
          <w:rFonts w:eastAsia="Times New Roman"/>
        </w:rPr>
      </w:pPr>
      <w:r>
        <w:rPr>
          <w:rFonts w:eastAsia="Times New Roman"/>
          <w:sz w:val="20"/>
          <w:szCs w:val="20"/>
        </w:rPr>
        <w:t>•</w:t>
      </w:r>
    </w:p>
    <w:p w:rsidR="00000000" w:rsidRDefault="0043639B">
      <w:pPr>
        <w:jc w:val="both"/>
        <w:divId w:val="1462266496"/>
        <w:rPr>
          <w:rFonts w:eastAsia="Times New Roman"/>
        </w:rPr>
      </w:pPr>
      <w:r>
        <w:rPr>
          <w:rFonts w:eastAsia="Times New Roman"/>
          <w:sz w:val="20"/>
          <w:szCs w:val="20"/>
        </w:rPr>
        <w:t>“</w:t>
      </w:r>
      <w:r>
        <w:rPr>
          <w:rFonts w:eastAsia="Times New Roman"/>
          <w:b/>
          <w:bCs/>
          <w:i/>
          <w:iCs/>
          <w:sz w:val="20"/>
          <w:szCs w:val="20"/>
        </w:rPr>
        <w:t>HEC IP</w:t>
      </w:r>
      <w:r>
        <w:rPr>
          <w:rFonts w:eastAsia="Times New Roman"/>
          <w:b/>
          <w:bCs/>
          <w:i/>
          <w:iCs/>
          <w:sz w:val="20"/>
          <w:szCs w:val="20"/>
        </w:rPr>
        <w:t>O</w:t>
      </w:r>
      <w:r>
        <w:rPr>
          <w:rFonts w:eastAsia="Times New Roman"/>
          <w:sz w:val="20"/>
          <w:szCs w:val="20"/>
        </w:rPr>
        <w:t>” are to the initial public offering by HEC which closed on June 11, 2020;</w:t>
      </w:r>
      <w:r>
        <w:rPr>
          <w:rFonts w:eastAsia="Times New Roman"/>
          <w:sz w:val="20"/>
          <w:szCs w:val="20"/>
        </w:rPr>
        <w:t xml:space="preserve"> </w:t>
      </w:r>
    </w:p>
    <w:p w:rsidR="00000000" w:rsidRDefault="0043639B">
      <w:pPr>
        <w:jc w:val="both"/>
        <w:divId w:val="526213509"/>
        <w:rPr>
          <w:rFonts w:eastAsia="Times New Roman"/>
        </w:rPr>
      </w:pPr>
      <w:r>
        <w:rPr>
          <w:rFonts w:eastAsia="Times New Roman"/>
          <w:sz w:val="20"/>
          <w:szCs w:val="20"/>
        </w:rPr>
        <w:t>•</w:t>
      </w:r>
    </w:p>
    <w:p w:rsidR="00000000" w:rsidRDefault="0043639B">
      <w:pPr>
        <w:jc w:val="both"/>
        <w:divId w:val="2057075458"/>
        <w:rPr>
          <w:rFonts w:eastAsia="Times New Roman"/>
        </w:rPr>
      </w:pPr>
      <w:r>
        <w:rPr>
          <w:rFonts w:eastAsia="Times New Roman"/>
          <w:sz w:val="20"/>
          <w:szCs w:val="20"/>
        </w:rPr>
        <w:t>“</w:t>
      </w:r>
      <w:r>
        <w:rPr>
          <w:rFonts w:eastAsia="Times New Roman"/>
          <w:b/>
          <w:bCs/>
          <w:i/>
          <w:iCs/>
          <w:sz w:val="20"/>
          <w:szCs w:val="20"/>
        </w:rPr>
        <w:t>Old Talkspac</w:t>
      </w:r>
      <w:r>
        <w:rPr>
          <w:rFonts w:eastAsia="Times New Roman"/>
          <w:b/>
          <w:bCs/>
          <w:i/>
          <w:iCs/>
          <w:sz w:val="20"/>
          <w:szCs w:val="20"/>
        </w:rPr>
        <w:t>e</w:t>
      </w:r>
      <w:r>
        <w:rPr>
          <w:rFonts w:eastAsia="Times New Roman"/>
          <w:sz w:val="20"/>
          <w:szCs w:val="20"/>
        </w:rPr>
        <w:t>” are to Groop Internet Platform, Inc. (d/b/a “Talkspace”), a Delaware corporation;</w:t>
      </w:r>
      <w:r>
        <w:rPr>
          <w:rFonts w:eastAsia="Times New Roman"/>
          <w:sz w:val="20"/>
          <w:szCs w:val="20"/>
        </w:rPr>
        <w:t xml:space="preserve"> </w:t>
      </w:r>
    </w:p>
    <w:p w:rsidR="00000000" w:rsidRDefault="0043639B">
      <w:pPr>
        <w:jc w:val="both"/>
        <w:divId w:val="118038733"/>
        <w:rPr>
          <w:rFonts w:eastAsia="Times New Roman"/>
        </w:rPr>
      </w:pPr>
      <w:r>
        <w:rPr>
          <w:rFonts w:eastAsia="Times New Roman"/>
          <w:sz w:val="20"/>
          <w:szCs w:val="20"/>
        </w:rPr>
        <w:t>•</w:t>
      </w:r>
    </w:p>
    <w:p w:rsidR="00000000" w:rsidRDefault="0043639B">
      <w:pPr>
        <w:jc w:val="both"/>
        <w:divId w:val="1334911485"/>
        <w:rPr>
          <w:rFonts w:eastAsia="Times New Roman"/>
        </w:rPr>
      </w:pPr>
      <w:r>
        <w:rPr>
          <w:rFonts w:eastAsia="Times New Roman"/>
          <w:sz w:val="20"/>
          <w:szCs w:val="20"/>
        </w:rPr>
        <w:t>“</w:t>
      </w:r>
      <w:r>
        <w:rPr>
          <w:rFonts w:eastAsia="Times New Roman"/>
          <w:b/>
          <w:bCs/>
          <w:i/>
          <w:iCs/>
          <w:sz w:val="20"/>
          <w:szCs w:val="20"/>
        </w:rPr>
        <w:t>Private Placement Warrant</w:t>
      </w:r>
      <w:r>
        <w:rPr>
          <w:rFonts w:eastAsia="Times New Roman"/>
          <w:b/>
          <w:bCs/>
          <w:i/>
          <w:iCs/>
          <w:sz w:val="20"/>
          <w:szCs w:val="20"/>
        </w:rPr>
        <w:t>s</w:t>
      </w:r>
      <w:r>
        <w:rPr>
          <w:rFonts w:eastAsia="Times New Roman"/>
          <w:sz w:val="20"/>
          <w:szCs w:val="20"/>
        </w:rPr>
        <w:t xml:space="preserve">” are to the warrants issued by HEC to the Sponsor in a private placement simultaneously with the closing of the HEC IPO and the </w:t>
      </w:r>
      <w:r>
        <w:rPr>
          <w:rFonts w:eastAsia="Times New Roman"/>
          <w:sz w:val="20"/>
          <w:szCs w:val="20"/>
        </w:rPr>
        <w:t>warrants originally sold as part of the units in the HEC Forward Purchase;</w:t>
      </w:r>
      <w:r>
        <w:rPr>
          <w:rFonts w:eastAsia="Times New Roman"/>
          <w:sz w:val="20"/>
          <w:szCs w:val="20"/>
        </w:rPr>
        <w:t xml:space="preserve"> </w:t>
      </w:r>
    </w:p>
    <w:p w:rsidR="00000000" w:rsidRDefault="0043639B">
      <w:pPr>
        <w:jc w:val="both"/>
        <w:divId w:val="602540425"/>
        <w:rPr>
          <w:rFonts w:eastAsia="Times New Roman"/>
        </w:rPr>
      </w:pPr>
      <w:r>
        <w:rPr>
          <w:rFonts w:eastAsia="Times New Roman"/>
          <w:sz w:val="20"/>
          <w:szCs w:val="20"/>
        </w:rPr>
        <w:t>•</w:t>
      </w:r>
    </w:p>
    <w:p w:rsidR="00000000" w:rsidRDefault="0043639B">
      <w:pPr>
        <w:jc w:val="both"/>
        <w:divId w:val="2043431779"/>
        <w:rPr>
          <w:rFonts w:eastAsia="Times New Roman"/>
        </w:rPr>
      </w:pPr>
      <w:r>
        <w:rPr>
          <w:rFonts w:eastAsia="Times New Roman"/>
          <w:sz w:val="20"/>
          <w:szCs w:val="20"/>
        </w:rPr>
        <w:t>“</w:t>
      </w:r>
      <w:r>
        <w:rPr>
          <w:rFonts w:eastAsia="Times New Roman"/>
          <w:b/>
          <w:bCs/>
          <w:i/>
          <w:iCs/>
          <w:sz w:val="20"/>
          <w:szCs w:val="20"/>
        </w:rPr>
        <w:t>Public Warrant</w:t>
      </w:r>
      <w:r>
        <w:rPr>
          <w:rFonts w:eastAsia="Times New Roman"/>
          <w:b/>
          <w:bCs/>
          <w:i/>
          <w:iCs/>
          <w:sz w:val="20"/>
          <w:szCs w:val="20"/>
        </w:rPr>
        <w:t>s</w:t>
      </w:r>
      <w:r>
        <w:rPr>
          <w:rFonts w:eastAsia="Times New Roman"/>
          <w:sz w:val="20"/>
          <w:szCs w:val="20"/>
        </w:rPr>
        <w:t>” are to the warrants originally sold as part of the units in the HEC IPO (whether they were purchased in the HEC IPO or thereafter in the open market);</w:t>
      </w:r>
      <w:r>
        <w:rPr>
          <w:rFonts w:eastAsia="Times New Roman"/>
          <w:sz w:val="20"/>
          <w:szCs w:val="20"/>
        </w:rPr>
        <w:t xml:space="preserve"> </w:t>
      </w:r>
    </w:p>
    <w:p w:rsidR="00000000" w:rsidRDefault="0043639B">
      <w:pPr>
        <w:jc w:val="both"/>
        <w:divId w:val="519780766"/>
        <w:rPr>
          <w:rFonts w:eastAsia="Times New Roman"/>
        </w:rPr>
      </w:pPr>
      <w:r>
        <w:rPr>
          <w:rFonts w:eastAsia="Times New Roman"/>
          <w:sz w:val="20"/>
          <w:szCs w:val="20"/>
        </w:rPr>
        <w:t>•</w:t>
      </w:r>
    </w:p>
    <w:p w:rsidR="00000000" w:rsidRDefault="0043639B">
      <w:pPr>
        <w:jc w:val="both"/>
        <w:divId w:val="1429815575"/>
        <w:rPr>
          <w:rFonts w:eastAsia="Times New Roman"/>
        </w:rPr>
      </w:pPr>
      <w:r>
        <w:rPr>
          <w:rFonts w:eastAsia="Times New Roman"/>
          <w:sz w:val="20"/>
          <w:szCs w:val="20"/>
        </w:rPr>
        <w:t>“</w:t>
      </w:r>
      <w:r>
        <w:rPr>
          <w:rFonts w:eastAsia="Times New Roman"/>
          <w:b/>
          <w:bCs/>
          <w:i/>
          <w:iCs/>
          <w:sz w:val="20"/>
          <w:szCs w:val="20"/>
        </w:rPr>
        <w:t>SE</w:t>
      </w:r>
      <w:r>
        <w:rPr>
          <w:rFonts w:eastAsia="Times New Roman"/>
          <w:b/>
          <w:bCs/>
          <w:i/>
          <w:iCs/>
          <w:sz w:val="20"/>
          <w:szCs w:val="20"/>
        </w:rPr>
        <w:t>C</w:t>
      </w:r>
      <w:r>
        <w:rPr>
          <w:rFonts w:eastAsia="Times New Roman"/>
          <w:sz w:val="20"/>
          <w:szCs w:val="20"/>
        </w:rPr>
        <w:t xml:space="preserve">” </w:t>
      </w:r>
      <w:r>
        <w:rPr>
          <w:rFonts w:eastAsia="Times New Roman"/>
          <w:sz w:val="20"/>
          <w:szCs w:val="20"/>
        </w:rPr>
        <w:t>are to the United States Securities and Exchange Commission;</w:t>
      </w:r>
      <w:r>
        <w:rPr>
          <w:rFonts w:eastAsia="Times New Roman"/>
          <w:sz w:val="20"/>
          <w:szCs w:val="20"/>
        </w:rPr>
        <w:t xml:space="preserve"> </w:t>
      </w:r>
    </w:p>
    <w:p w:rsidR="00000000" w:rsidRDefault="0043639B">
      <w:pPr>
        <w:jc w:val="both"/>
        <w:divId w:val="340548150"/>
        <w:rPr>
          <w:rFonts w:eastAsia="Times New Roman"/>
        </w:rPr>
      </w:pPr>
      <w:r>
        <w:rPr>
          <w:rFonts w:eastAsia="Times New Roman"/>
          <w:sz w:val="20"/>
          <w:szCs w:val="20"/>
        </w:rPr>
        <w:t>•</w:t>
      </w:r>
    </w:p>
    <w:p w:rsidR="00000000" w:rsidRDefault="0043639B">
      <w:pPr>
        <w:jc w:val="both"/>
        <w:divId w:val="2051371103"/>
        <w:rPr>
          <w:rFonts w:eastAsia="Times New Roman"/>
        </w:rPr>
      </w:pPr>
      <w:r>
        <w:rPr>
          <w:rFonts w:eastAsia="Times New Roman"/>
          <w:sz w:val="20"/>
          <w:szCs w:val="20"/>
        </w:rPr>
        <w:t>“</w:t>
      </w:r>
      <w:r>
        <w:rPr>
          <w:rFonts w:eastAsia="Times New Roman"/>
          <w:b/>
          <w:bCs/>
          <w:i/>
          <w:iCs/>
          <w:sz w:val="20"/>
          <w:szCs w:val="20"/>
        </w:rPr>
        <w:t>Second Merger Su</w:t>
      </w:r>
      <w:r>
        <w:rPr>
          <w:rFonts w:eastAsia="Times New Roman"/>
          <w:b/>
          <w:bCs/>
          <w:i/>
          <w:iCs/>
          <w:sz w:val="20"/>
          <w:szCs w:val="20"/>
        </w:rPr>
        <w:t>b</w:t>
      </w:r>
      <w:r>
        <w:rPr>
          <w:rFonts w:eastAsia="Times New Roman"/>
          <w:sz w:val="20"/>
          <w:szCs w:val="20"/>
        </w:rPr>
        <w:t>” are to Tailwind Merger Sub II, LLC;</w:t>
      </w:r>
      <w:r>
        <w:rPr>
          <w:rFonts w:eastAsia="Times New Roman"/>
          <w:sz w:val="20"/>
          <w:szCs w:val="20"/>
        </w:rPr>
        <w:t xml:space="preserve"> </w:t>
      </w:r>
    </w:p>
    <w:p w:rsidR="00000000" w:rsidRDefault="0043639B">
      <w:pPr>
        <w:jc w:val="both"/>
        <w:divId w:val="1124278065"/>
        <w:rPr>
          <w:rFonts w:eastAsia="Times New Roman"/>
        </w:rPr>
      </w:pPr>
      <w:r>
        <w:rPr>
          <w:rFonts w:eastAsia="Times New Roman"/>
          <w:sz w:val="20"/>
          <w:szCs w:val="20"/>
        </w:rPr>
        <w:t>•</w:t>
      </w:r>
    </w:p>
    <w:p w:rsidR="00000000" w:rsidRDefault="0043639B">
      <w:pPr>
        <w:jc w:val="both"/>
        <w:divId w:val="1887638805"/>
        <w:rPr>
          <w:rFonts w:eastAsia="Times New Roman"/>
        </w:rPr>
      </w:pPr>
      <w:r>
        <w:rPr>
          <w:rFonts w:eastAsia="Times New Roman"/>
          <w:sz w:val="20"/>
          <w:szCs w:val="20"/>
        </w:rPr>
        <w:t>“</w:t>
      </w:r>
      <w:r>
        <w:rPr>
          <w:rFonts w:eastAsia="Times New Roman"/>
          <w:b/>
          <w:bCs/>
          <w:i/>
          <w:iCs/>
          <w:sz w:val="20"/>
          <w:szCs w:val="20"/>
        </w:rPr>
        <w:t>Sponso</w:t>
      </w:r>
      <w:r>
        <w:rPr>
          <w:rFonts w:eastAsia="Times New Roman"/>
          <w:b/>
          <w:bCs/>
          <w:i/>
          <w:iCs/>
          <w:sz w:val="20"/>
          <w:szCs w:val="20"/>
        </w:rPr>
        <w:t>r</w:t>
      </w:r>
      <w:r>
        <w:rPr>
          <w:rFonts w:eastAsia="Times New Roman"/>
          <w:sz w:val="20"/>
          <w:szCs w:val="20"/>
        </w:rPr>
        <w:t>” are to HEC Sponsor LLC, a Delaware limited liability company;</w:t>
      </w:r>
      <w:r>
        <w:rPr>
          <w:rFonts w:eastAsia="Times New Roman"/>
          <w:sz w:val="20"/>
          <w:szCs w:val="20"/>
        </w:rPr>
        <w:t xml:space="preserve"> </w:t>
      </w:r>
    </w:p>
    <w:p w:rsidR="00000000" w:rsidRDefault="0043639B">
      <w:pPr>
        <w:jc w:val="both"/>
        <w:divId w:val="263001797"/>
        <w:rPr>
          <w:rFonts w:eastAsia="Times New Roman"/>
        </w:rPr>
      </w:pPr>
      <w:r>
        <w:rPr>
          <w:rFonts w:eastAsia="Times New Roman"/>
          <w:sz w:val="20"/>
          <w:szCs w:val="20"/>
        </w:rPr>
        <w:t>•</w:t>
      </w:r>
    </w:p>
    <w:p w:rsidR="00000000" w:rsidRDefault="0043639B">
      <w:pPr>
        <w:jc w:val="both"/>
        <w:divId w:val="929394309"/>
        <w:rPr>
          <w:rFonts w:eastAsia="Times New Roman"/>
        </w:rPr>
      </w:pPr>
      <w:r>
        <w:rPr>
          <w:rFonts w:eastAsia="Times New Roman"/>
          <w:sz w:val="20"/>
          <w:szCs w:val="20"/>
        </w:rPr>
        <w:t>“</w:t>
      </w:r>
      <w:r>
        <w:rPr>
          <w:rFonts w:eastAsia="Times New Roman"/>
          <w:b/>
          <w:bCs/>
          <w:i/>
          <w:iCs/>
          <w:sz w:val="20"/>
          <w:szCs w:val="20"/>
        </w:rPr>
        <w:t>Warrant Agreemen</w:t>
      </w:r>
      <w:r>
        <w:rPr>
          <w:rFonts w:eastAsia="Times New Roman"/>
          <w:b/>
          <w:bCs/>
          <w:i/>
          <w:iCs/>
          <w:sz w:val="20"/>
          <w:szCs w:val="20"/>
        </w:rPr>
        <w:t>t</w:t>
      </w:r>
      <w:r>
        <w:rPr>
          <w:rFonts w:eastAsia="Times New Roman"/>
          <w:sz w:val="20"/>
          <w:szCs w:val="20"/>
        </w:rPr>
        <w:t xml:space="preserve">” </w:t>
      </w:r>
      <w:r>
        <w:rPr>
          <w:rFonts w:eastAsia="Times New Roman"/>
          <w:sz w:val="20"/>
          <w:szCs w:val="20"/>
        </w:rPr>
        <w:t>are to that certain Warrant Agreement, dated as of June 8, 2020, by and between HEC and Continental Stock Transfer &amp; Trust Company.</w:t>
      </w:r>
      <w:r>
        <w:rPr>
          <w:rFonts w:eastAsia="Times New Roman"/>
          <w:sz w:val="20"/>
          <w:szCs w:val="20"/>
        </w:rPr>
        <w:t xml:space="preserve"> </w:t>
      </w:r>
    </w:p>
    <w:p w:rsidR="00000000" w:rsidRDefault="0043639B">
      <w:pPr>
        <w:pStyle w:val="a3"/>
        <w:spacing w:before="0" w:beforeAutospacing="0" w:after="0" w:afterAutospacing="0"/>
        <w:rPr>
          <w:sz w:val="20"/>
          <w:szCs w:val="20"/>
        </w:rPr>
      </w:pPr>
      <w:r>
        <w:rPr>
          <w:sz w:val="20"/>
          <w:szCs w:val="20"/>
        </w:rPr>
        <w:lastRenderedPageBreak/>
        <w:t> </w:t>
      </w:r>
    </w:p>
    <w:p w:rsidR="00000000" w:rsidRDefault="0043639B">
      <w:pPr>
        <w:pStyle w:val="a3"/>
        <w:spacing w:before="0" w:beforeAutospacing="0" w:after="0" w:afterAutospacing="0"/>
        <w:jc w:val="center"/>
        <w:rPr>
          <w:sz w:val="20"/>
          <w:szCs w:val="20"/>
        </w:rPr>
      </w:pPr>
      <w:r>
        <w:rPr>
          <w:sz w:val="20"/>
          <w:szCs w:val="20"/>
        </w:rPr>
        <w:t>3</w:t>
      </w:r>
    </w:p>
    <w:p w:rsidR="00000000" w:rsidRDefault="0043639B">
      <w:pPr>
        <w:rPr>
          <w:rFonts w:eastAsia="Times New Roman"/>
        </w:rPr>
      </w:pPr>
      <w:r>
        <w:rPr>
          <w:rFonts w:eastAsia="Times New Roman"/>
        </w:rPr>
        <w:pict>
          <v:rect id="_x0000_i1027" style="width:0;height:1.5pt" o:hralign="center" o:hrstd="t" o:hr="t" fillcolor="#a0a0a0" stroked="f"/>
        </w:pic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240" w:afterAutospacing="0"/>
        <w:ind w:hanging="874"/>
        <w:jc w:val="center"/>
        <w:rPr>
          <w:sz w:val="20"/>
          <w:szCs w:val="20"/>
        </w:rPr>
      </w:pPr>
      <w:r>
        <w:rPr>
          <w:b/>
          <w:bCs/>
          <w:caps/>
        </w:rPr>
        <w:t>FORWARD-LOOKING STATEMENT</w:t>
      </w:r>
      <w:r>
        <w:rPr>
          <w:b/>
          <w:bCs/>
          <w:caps/>
        </w:rPr>
        <w:t>S</w:t>
      </w:r>
    </w:p>
    <w:p w:rsidR="00000000" w:rsidRDefault="0043639B">
      <w:pPr>
        <w:pStyle w:val="a3"/>
        <w:spacing w:before="0" w:beforeAutospacing="0" w:after="0" w:afterAutospacing="0"/>
        <w:jc w:val="both"/>
        <w:rPr>
          <w:sz w:val="20"/>
          <w:szCs w:val="20"/>
        </w:rPr>
      </w:pPr>
      <w:r>
        <w:rPr>
          <w:sz w:val="20"/>
          <w:szCs w:val="20"/>
        </w:rPr>
        <w:t>This Quarterly Report on Form 10-Q (the “Quarterly Re</w:t>
      </w:r>
      <w:r>
        <w:rPr>
          <w:sz w:val="20"/>
          <w:szCs w:val="20"/>
        </w:rPr>
        <w:t xml:space="preserve">port”) contains forward-looking statements. We intend such forward-looking statements to be covered by the safe harbor provisions for forward-looking statements contained in Section 27A of the Securities Act of 1933, as amended (the “Securities Act”), and </w:t>
      </w:r>
      <w:r>
        <w:rPr>
          <w:sz w:val="20"/>
          <w:szCs w:val="20"/>
        </w:rPr>
        <w:t>Section 21E of the Securities Exchange Act of 1934, as amended (the “Exchange Act”). All statements other than statements of historical facts contained in this Quarterly Report may be forward-looking statements. In some cases, you can identify forward-look</w:t>
      </w:r>
      <w:r>
        <w:rPr>
          <w:sz w:val="20"/>
          <w:szCs w:val="20"/>
        </w:rPr>
        <w:t>ing statements by terms such as “may,” “will,” “should,” “expects,” “plans,” “anticipates,” “could,” “intends,” “targets,” “projects,” “contemplates,” “believes,” “estimates,” “forecasts,” “predicts,” “potential” or “continue” or the negative of these term</w:t>
      </w:r>
      <w:r>
        <w:rPr>
          <w:sz w:val="20"/>
          <w:szCs w:val="20"/>
        </w:rPr>
        <w:t>s or other similar expressions. Forward-looking statements contained in this Quarterly Report include, but are not limited to, statements regarding our future results of operations and financial position, industry and business trends, stock-based compensat</w:t>
      </w:r>
      <w:r>
        <w:rPr>
          <w:sz w:val="20"/>
          <w:szCs w:val="20"/>
        </w:rPr>
        <w:t>ion, revenue recognition, business strategy, plans and market growth</w:t>
      </w:r>
      <w:r>
        <w:rPr>
          <w:sz w:val="20"/>
          <w:szCs w:val="20"/>
        </w:rPr>
        <w:t>.</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sz w:val="20"/>
          <w:szCs w:val="20"/>
        </w:rPr>
        <w:t>The forward-looking statements in this Quarterly Report and other such statements we publicly make from time-to-time are only predictions. We base these forward-looking statements larg</w:t>
      </w:r>
      <w:r>
        <w:rPr>
          <w:sz w:val="20"/>
          <w:szCs w:val="20"/>
        </w:rPr>
        <w:t xml:space="preserve">ely on our current expectations and projections about future events and financial trends that we believe may affect our business, financial condition, and results of operations. Forward-looking statements involve known and unknown risks, uncertainties and </w:t>
      </w:r>
      <w:r>
        <w:rPr>
          <w:sz w:val="20"/>
          <w:szCs w:val="20"/>
        </w:rPr>
        <w:t>other important factors that may cause our actual results, performance or achievements to be materially different from any future results, performance or achievements expressed or implied by the forward-looking statements, including, but not limited to: we</w:t>
      </w:r>
      <w:r>
        <w:rPr>
          <w:sz w:val="20"/>
          <w:szCs w:val="20"/>
        </w:rPr>
        <w:t xml:space="preserve"> have a history of losses, which we expect to continue, and we may never achieve or sustain profitability; our business and the markets we operate in are new and rapidly evolving which makes it difficult to evaluate our future prospects and the risks and c</w:t>
      </w:r>
      <w:r>
        <w:rPr>
          <w:sz w:val="20"/>
          <w:szCs w:val="20"/>
        </w:rPr>
        <w:t>hallenges we may encounter; we may not grow at the rates we historically have achieved or at all; the virtual behavioral health market is immature and volatile, and if it does not develop, if it develops more slowly than we expect, if it encounters negativ</w:t>
      </w:r>
      <w:r>
        <w:rPr>
          <w:sz w:val="20"/>
          <w:szCs w:val="20"/>
        </w:rPr>
        <w:t>e publicity or if our services are not competitive, the growth of our business will be harmed; the outbreak of the novel coronavirus (COVID-19) and its impact on business and economic conditions; a deterioration in general economic conditions as a result o</w:t>
      </w:r>
      <w:r>
        <w:rPr>
          <w:sz w:val="20"/>
          <w:szCs w:val="20"/>
        </w:rPr>
        <w:t>f inflation, increased interest rates or otherwise could affect the decision making of our customers related to our products and services which in turn could adversely affect our business, results of operations and financial condition, and the extent and d</w:t>
      </w:r>
      <w:r>
        <w:rPr>
          <w:sz w:val="20"/>
          <w:szCs w:val="20"/>
        </w:rPr>
        <w:t>uration of those effects are uncertain; we operate in a competitive industry, and if we are not able to compete effectively, our business, financial condition and results of operations will be harmed; if growth in the number of clients and members or provi</w:t>
      </w:r>
      <w:r>
        <w:rPr>
          <w:sz w:val="20"/>
          <w:szCs w:val="20"/>
        </w:rPr>
        <w:t>ders on our platform decreases, or the number of products or services that we are able to sell to our clients and members decreases, due to legal, economic or business developments, our business, financial condition and results of operations will be harmed</w:t>
      </w:r>
      <w:r>
        <w:rPr>
          <w:sz w:val="20"/>
          <w:szCs w:val="20"/>
        </w:rPr>
        <w:t>; we may be unsuccessful in achieving broad market education and changing consumer purchasing habits; our growth depends in part on the success of our strategic relationships with third parties that we provide services to; our virtual behavioral healthcare</w:t>
      </w:r>
      <w:r>
        <w:rPr>
          <w:sz w:val="20"/>
          <w:szCs w:val="20"/>
        </w:rPr>
        <w:t xml:space="preserve"> strategies depend on our ability to maintain and expand our network of therapists, psychiatrists and other providers; developments affecting spending by the healthcare industry could adversely affect our business; our business could be adversely affected </w:t>
      </w:r>
      <w:r>
        <w:rPr>
          <w:sz w:val="20"/>
          <w:szCs w:val="20"/>
        </w:rPr>
        <w:t>by legal challenges to our business model or by actions restricting our ability to provide the full range of our services in certain jurisdictions; we are dependent on our relationships with affiliated professional entities, which we do not own, to provide</w:t>
      </w:r>
      <w:r>
        <w:rPr>
          <w:sz w:val="20"/>
          <w:szCs w:val="20"/>
        </w:rPr>
        <w:t xml:space="preserve"> physician and other professional services, and our business, financial condition and our ability to operate in certain jurisdictions would be adversely affected if those relationships were disrupted or if our arrangements with our providers or clients are</w:t>
      </w:r>
      <w:r>
        <w:rPr>
          <w:sz w:val="20"/>
          <w:szCs w:val="20"/>
        </w:rPr>
        <w:t xml:space="preserve"> found to violate state laws prohibiting the corporate practice of medicine or fee splitting; the impact on us of recent healthcare legislation and other changes in the healthcare industry and in healthcare spending is currently unknown, but may adversely </w:t>
      </w:r>
      <w:r>
        <w:rPr>
          <w:sz w:val="20"/>
          <w:szCs w:val="20"/>
        </w:rPr>
        <w:t>affect our business, financial condition and results of operations; changes in consumer sentiment or laws, rules or regulations regarding the use of cookies and other tracking technologies and other privacy matters could have a material adverse effect on o</w:t>
      </w:r>
      <w:r>
        <w:rPr>
          <w:sz w:val="20"/>
          <w:szCs w:val="20"/>
        </w:rPr>
        <w:t>ur ability to generate net revenues and could adversely affect our ability to collect proprietary data on consumer behavior; our use and disclosure of personal information, including PHI, personal data, and other health information, is subject to state, fe</w:t>
      </w:r>
      <w:r>
        <w:rPr>
          <w:sz w:val="20"/>
          <w:szCs w:val="20"/>
        </w:rPr>
        <w:t xml:space="preserve">deral or other privacy and security regulations; any failure to protect, enforce or defend our intellectual property rights could impair our ability to protect our technology and our brand; legal proceedings could cause us to incur </w:t>
      </w:r>
      <w:r>
        <w:rPr>
          <w:sz w:val="20"/>
          <w:szCs w:val="20"/>
        </w:rPr>
        <w:lastRenderedPageBreak/>
        <w:t xml:space="preserve">unforeseen expenses and </w:t>
      </w:r>
      <w:r>
        <w:rPr>
          <w:sz w:val="20"/>
          <w:szCs w:val="20"/>
        </w:rPr>
        <w:t>could occupy a significant amount of our management’s time and attention; and the other important factors discussed in Part I, Item 1A, “Risk Factors” of the Company’s Annual Report on Form 10-K for the fiscal year ended December 31, 2021 and described fro</w:t>
      </w:r>
      <w:r>
        <w:rPr>
          <w:sz w:val="20"/>
          <w:szCs w:val="20"/>
        </w:rPr>
        <w:t>m time to time in our futur</w:t>
      </w:r>
      <w:r>
        <w:rPr>
          <w:sz w:val="20"/>
          <w:szCs w:val="20"/>
        </w:rPr>
        <w:t>e</w:t>
      </w:r>
      <w:r>
        <w:rPr>
          <w:sz w:val="20"/>
          <w:szCs w:val="20"/>
        </w:rPr>
        <w:t xml:space="preserve"> </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4</w:t>
      </w:r>
    </w:p>
    <w:p w:rsidR="00000000" w:rsidRDefault="0043639B">
      <w:pPr>
        <w:rPr>
          <w:rFonts w:eastAsia="Times New Roman"/>
        </w:rPr>
      </w:pPr>
      <w:r>
        <w:rPr>
          <w:rFonts w:eastAsia="Times New Roman"/>
        </w:rPr>
        <w:pict>
          <v:rect id="_x0000_i1028" style="width:0;height:1.5pt" o:hralign="center" o:hrstd="t" o:hr="t" fillcolor="#a0a0a0" stroked="f"/>
        </w:pic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both"/>
        <w:rPr>
          <w:sz w:val="20"/>
          <w:szCs w:val="20"/>
        </w:rPr>
      </w:pPr>
      <w:r>
        <w:rPr>
          <w:sz w:val="20"/>
          <w:szCs w:val="20"/>
        </w:rPr>
        <w:t>reports filed with the SEC. The forward-looking statements in this Quarterly Report are based upon information available to us as of the date of this Quarterly Report, and while we believe such information forms a reas</w:t>
      </w:r>
      <w:r>
        <w:rPr>
          <w:sz w:val="20"/>
          <w:szCs w:val="20"/>
        </w:rPr>
        <w:t>onable basis for such statements, such information may be limited or incomplete, and our statements should not be read to indicate that we have conducted an exhaustive inquiry into, or review of, all potentially available relevant information. These statem</w:t>
      </w:r>
      <w:r>
        <w:rPr>
          <w:sz w:val="20"/>
          <w:szCs w:val="20"/>
        </w:rPr>
        <w:t>ents are inherently uncertain, and investors are cautioned not to unduly rely upon these statements</w:t>
      </w:r>
      <w:r>
        <w:rPr>
          <w:sz w:val="20"/>
          <w:szCs w:val="20"/>
        </w:rPr>
        <w:t>.</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sz w:val="20"/>
          <w:szCs w:val="20"/>
        </w:rPr>
        <w:t>You should read this Quarterly Report and the risk factors discussed in Part I, Item 1A, “Risk Factors” of the Company’s Annual Report on Form 10-K for t</w:t>
      </w:r>
      <w:r>
        <w:rPr>
          <w:sz w:val="20"/>
          <w:szCs w:val="20"/>
        </w:rPr>
        <w:t>he fiscal year ended December 31, 2021 with the understanding that our actual future results, levels of activity, performance and achievements may be materially different from what we expect. We qualify all of our forward-looking statements by these cautio</w:t>
      </w:r>
      <w:r>
        <w:rPr>
          <w:sz w:val="20"/>
          <w:szCs w:val="20"/>
        </w:rPr>
        <w:t>nary statements. These forward-looking statements speak only as of the date of this Quarterly Report. Except as required by applicable law, we do not plan to publicly update or revise any forward-looking statements contained in this Quarterly Report or any</w:t>
      </w:r>
      <w:r>
        <w:rPr>
          <w:sz w:val="20"/>
          <w:szCs w:val="20"/>
        </w:rPr>
        <w:t xml:space="preserve"> forward-looking statements we may publicly make from time-to-time, whether as a result of any new information, future events or otherwise</w:t>
      </w:r>
      <w:r>
        <w:rPr>
          <w:sz w:val="20"/>
          <w:szCs w:val="20"/>
        </w:rPr>
        <w:t>.</w:t>
      </w:r>
    </w:p>
    <w:p w:rsidR="00000000" w:rsidRDefault="0043639B">
      <w:pPr>
        <w:pStyle w:val="a3"/>
        <w:spacing w:before="0" w:beforeAutospacing="0" w:after="0" w:afterAutospacing="0"/>
        <w:jc w:val="center"/>
        <w:rPr>
          <w:sz w:val="20"/>
          <w:szCs w:val="20"/>
        </w:rPr>
      </w:pPr>
      <w:r>
        <w:rPr>
          <w:sz w:val="20"/>
          <w:szCs w:val="20"/>
        </w:rPr>
        <w:t>5</w:t>
      </w:r>
    </w:p>
    <w:p w:rsidR="00000000" w:rsidRDefault="0043639B">
      <w:pPr>
        <w:rPr>
          <w:rFonts w:eastAsia="Times New Roman"/>
        </w:rPr>
      </w:pPr>
      <w:r>
        <w:rPr>
          <w:rFonts w:eastAsia="Times New Roman"/>
        </w:rPr>
        <w:pict>
          <v:rect id="_x0000_i1029"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0" w:beforeAutospacing="0" w:after="0" w:afterAutospacing="0"/>
        <w:jc w:val="center"/>
        <w:rPr>
          <w:sz w:val="20"/>
          <w:szCs w:val="20"/>
        </w:rPr>
      </w:pPr>
      <w:r>
        <w:rPr>
          <w:b/>
          <w:bCs/>
          <w:sz w:val="20"/>
          <w:szCs w:val="20"/>
        </w:rPr>
        <w:t>PART I—FINANCIAL INFORMATIO</w:t>
      </w:r>
      <w:r>
        <w:rPr>
          <w:b/>
          <w:bCs/>
          <w:sz w:val="20"/>
          <w:szCs w:val="20"/>
        </w:rPr>
        <w:t>N</w:t>
      </w:r>
    </w:p>
    <w:p w:rsidR="00000000" w:rsidRDefault="0043639B">
      <w:pPr>
        <w:pStyle w:val="a3"/>
        <w:spacing w:before="360" w:beforeAutospacing="0" w:after="0" w:afterAutospacing="0"/>
        <w:rPr>
          <w:sz w:val="20"/>
          <w:szCs w:val="20"/>
        </w:rPr>
      </w:pPr>
      <w:r>
        <w:rPr>
          <w:b/>
          <w:bCs/>
          <w:sz w:val="20"/>
          <w:szCs w:val="20"/>
        </w:rPr>
        <w:t xml:space="preserve">Item </w:t>
      </w:r>
      <w:r>
        <w:rPr>
          <w:b/>
          <w:bCs/>
          <w:sz w:val="20"/>
          <w:szCs w:val="20"/>
        </w:rPr>
        <w:t>1</w:t>
      </w:r>
      <w:r>
        <w:rPr>
          <w:b/>
          <w:bCs/>
          <w:sz w:val="20"/>
          <w:szCs w:val="20"/>
        </w:rPr>
        <w:t>. Financial Statements</w:t>
      </w:r>
      <w:r>
        <w:rPr>
          <w:b/>
          <w:bCs/>
          <w:sz w:val="20"/>
          <w:szCs w:val="20"/>
        </w:rPr>
        <w:t>.</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43639B">
      <w:pPr>
        <w:pStyle w:val="a3"/>
        <w:spacing w:before="0" w:beforeAutospacing="0" w:after="0" w:afterAutospacing="0"/>
        <w:jc w:val="center"/>
        <w:rPr>
          <w:sz w:val="20"/>
          <w:szCs w:val="20"/>
        </w:rPr>
      </w:pPr>
      <w:r>
        <w:rPr>
          <w:b/>
          <w:bCs/>
          <w:sz w:val="20"/>
          <w:szCs w:val="20"/>
        </w:rPr>
        <w:t>CONDENSED CONSOLIDA</w:t>
      </w:r>
      <w:r>
        <w:rPr>
          <w:b/>
          <w:bCs/>
          <w:sz w:val="20"/>
          <w:szCs w:val="20"/>
        </w:rPr>
        <w:t>T</w:t>
      </w:r>
      <w:r>
        <w:rPr>
          <w:b/>
          <w:bCs/>
          <w:sz w:val="20"/>
          <w:szCs w:val="20"/>
        </w:rPr>
        <w:t>ED BALANCE SHEET</w:t>
      </w:r>
      <w:r>
        <w:rPr>
          <w:b/>
          <w:bCs/>
          <w:sz w:val="20"/>
          <w:szCs w:val="20"/>
        </w:rPr>
        <w:t>S</w:t>
      </w:r>
      <w:r>
        <w:rPr>
          <w:b/>
          <w:bCs/>
          <w:sz w:val="20"/>
          <w:szCs w:val="20"/>
        </w:rPr>
        <w:t xml:space="preserve"> </w:t>
      </w:r>
    </w:p>
    <w:p w:rsidR="00000000" w:rsidRDefault="0043639B">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08"/>
        <w:gridCol w:w="123"/>
        <w:gridCol w:w="160"/>
        <w:gridCol w:w="1031"/>
        <w:gridCol w:w="127"/>
        <w:gridCol w:w="123"/>
        <w:gridCol w:w="160"/>
        <w:gridCol w:w="1032"/>
        <w:gridCol w:w="142"/>
      </w:tblGrid>
      <w:tr w:rsidR="00000000">
        <w:trPr>
          <w:tblCellSpacing w:w="15" w:type="dxa"/>
        </w:trPr>
        <w:tc>
          <w:tcPr>
            <w:tcW w:w="3365" w:type="pct"/>
            <w:vAlign w:val="center"/>
            <w:hideMark/>
          </w:tcPr>
          <w:p w:rsidR="00000000" w:rsidRDefault="0043639B">
            <w:pPr>
              <w:rPr>
                <w:sz w:val="20"/>
                <w:szCs w:val="20"/>
              </w:rPr>
            </w:pPr>
          </w:p>
        </w:tc>
        <w:tc>
          <w:tcPr>
            <w:tcW w:w="75"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4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75"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4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trHeight w:val="160"/>
          <w:tblCellSpacing w:w="15" w:type="dxa"/>
        </w:trPr>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center"/>
            <w:hideMark/>
          </w:tcPr>
          <w:p w:rsidR="00000000" w:rsidRDefault="0043639B">
            <w:pPr>
              <w:pStyle w:val="a3"/>
              <w:spacing w:before="0" w:beforeAutospacing="0" w:after="0" w:afterAutospacing="0"/>
              <w:rPr>
                <w:sz w:val="18"/>
                <w:szCs w:val="18"/>
              </w:rPr>
            </w:pPr>
            <w:r>
              <w:rPr>
                <w:i/>
                <w:iCs/>
                <w:sz w:val="18"/>
                <w:szCs w:val="18"/>
              </w:rPr>
              <w:t>(U.S. dollars in thousands, except share and per share data</w:t>
            </w:r>
            <w:r>
              <w:rPr>
                <w:i/>
                <w:iCs/>
                <w:sz w:val="18"/>
                <w:szCs w:val="18"/>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sz w:val="16"/>
                <w:szCs w:val="16"/>
              </w:rPr>
              <w:t>(Unaudited</w:t>
            </w:r>
            <w:r>
              <w:rPr>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ASSET</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rsidR="00000000" w:rsidRDefault="0043639B">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CURRENT ASSETS</w:t>
            </w: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rsidR="00000000" w:rsidRDefault="0043639B">
            <w:pPr>
              <w:pStyle w:val="a3"/>
              <w:spacing w:before="0" w:beforeAutospacing="0" w:after="0" w:afterAutospacing="0"/>
              <w:jc w:val="center"/>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center"/>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center"/>
              <w:rPr>
                <w:sz w:val="20"/>
                <w:szCs w:val="20"/>
              </w:rPr>
            </w:pPr>
            <w:r>
              <w:rPr>
                <w:rFonts w:ascii="Tahoma" w:hAnsi="Tahoma" w:cs="Tahoma"/>
                <w:sz w:val="20"/>
                <w:szCs w:val="20"/>
              </w:rPr>
              <w:t>﻿</w:t>
            </w:r>
          </w:p>
        </w:tc>
        <w:tc>
          <w:tcPr>
            <w:tcW w:w="0" w:type="auto"/>
            <w:vAlign w:val="bottom"/>
            <w:hideMark/>
          </w:tcPr>
          <w:p w:rsidR="00000000" w:rsidRDefault="0043639B">
            <w:pPr>
              <w:pStyle w:val="a3"/>
              <w:spacing w:before="0" w:beforeAutospacing="0" w:after="0" w:afterAutospacing="0"/>
              <w:jc w:val="center"/>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152,63</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198,25</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 xml:space="preserve">Accounts receivable, net of reserves of </w:t>
            </w:r>
            <w:r>
              <w:rPr>
                <w:sz w:val="20"/>
                <w:szCs w:val="20"/>
              </w:rPr>
              <w:t>$</w:t>
            </w:r>
            <w:r>
              <w:rPr>
                <w:sz w:val="20"/>
                <w:szCs w:val="20"/>
              </w:rPr>
              <w:t>3,29</w:t>
            </w:r>
            <w:r>
              <w:rPr>
                <w:sz w:val="20"/>
                <w:szCs w:val="20"/>
              </w:rPr>
              <w:t>4</w:t>
            </w:r>
            <w:r>
              <w:rPr>
                <w:sz w:val="20"/>
                <w:szCs w:val="20"/>
              </w:rPr>
              <w:t xml:space="preserve"> and </w:t>
            </w:r>
            <w:r>
              <w:rPr>
                <w:sz w:val="20"/>
                <w:szCs w:val="20"/>
              </w:rPr>
              <w:t>$</w:t>
            </w:r>
            <w:r>
              <w:rPr>
                <w:sz w:val="20"/>
                <w:szCs w:val="20"/>
              </w:rPr>
              <w:t>4,91</w:t>
            </w:r>
            <w:r>
              <w:rPr>
                <w:sz w:val="20"/>
                <w:szCs w:val="20"/>
              </w:rPr>
              <w:t>8</w:t>
            </w:r>
            <w:r>
              <w:rPr>
                <w:sz w:val="20"/>
                <w:szCs w:val="20"/>
              </w:rPr>
              <w:t> as of September 30, 2022 and December 31, 2021, respectivel</w:t>
            </w:r>
            <w:r>
              <w:rPr>
                <w:sz w:val="20"/>
                <w:szCs w:val="20"/>
              </w:rPr>
              <w:t>y</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8,69</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5,51</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Other current asset</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4,60</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9,56</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u w:val="single"/>
              </w:rPr>
              <w:t>Total current asset</w:t>
            </w:r>
            <w:r>
              <w:rPr>
                <w:sz w:val="20"/>
                <w:szCs w:val="20"/>
                <w:u w:val="single"/>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165,93</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213,33</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Property and equipment, ne</w:t>
            </w:r>
            <w:r>
              <w:rPr>
                <w:sz w:val="20"/>
                <w:szCs w:val="20"/>
              </w:rPr>
              <w:t>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84</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62</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Intangible assets, ne</w:t>
            </w:r>
            <w:r>
              <w:rPr>
                <w:sz w:val="20"/>
                <w:szCs w:val="20"/>
              </w:rPr>
              <w:t>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2,71</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3,43</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Goodwil</w:t>
            </w:r>
            <w:r>
              <w:rPr>
                <w:sz w:val="20"/>
                <w:szCs w:val="20"/>
              </w:rPr>
              <w:t>l</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6,13</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Other long-term asset</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u w:val="single"/>
              </w:rPr>
              <w:t>Total asset</w:t>
            </w:r>
            <w:r>
              <w:rPr>
                <w:sz w:val="20"/>
                <w:szCs w:val="20"/>
                <w:u w:val="single"/>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175,63</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223,60</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LIABILITIES AND STOCKHOLDERS’ EQUIT</w:t>
            </w:r>
            <w:r>
              <w:rPr>
                <w:sz w:val="20"/>
                <w:szCs w:val="20"/>
              </w:rPr>
              <w:t>Y</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CURRENT LIABILITIES</w:t>
            </w: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rPr>
                <w:sz w:val="20"/>
                <w:szCs w:val="20"/>
              </w:rPr>
            </w:pPr>
            <w:r>
              <w:rPr>
                <w:rFonts w:ascii="Tahoma" w:hAnsi="Tahoma" w:cs="Tahoma"/>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Accounts payabl</w:t>
            </w:r>
            <w:r>
              <w:rPr>
                <w:sz w:val="20"/>
                <w:szCs w:val="20"/>
              </w:rPr>
              <w:t>e</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10,36</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7,42</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Deferred revenue</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5,45</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7,18</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13,20</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12,56</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u w:val="single"/>
              </w:rPr>
              <w:t>Total current liabilitie</w:t>
            </w:r>
            <w:r>
              <w:rPr>
                <w:sz w:val="20"/>
                <w:szCs w:val="20"/>
                <w:u w:val="single"/>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29,02</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27,17</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lastRenderedPageBreak/>
              <w:t>Warrant liabilitie</w:t>
            </w:r>
            <w:r>
              <w:rPr>
                <w:sz w:val="20"/>
                <w:szCs w:val="20"/>
              </w:rPr>
              <w:t>s</w:t>
            </w:r>
          </w:p>
        </w:tc>
        <w:tc>
          <w:tcPr>
            <w:tcW w:w="0" w:type="auto"/>
            <w:vAlign w:val="bottom"/>
            <w:hideMark/>
          </w:tcPr>
          <w:p w:rsidR="00000000" w:rsidRDefault="0043639B">
            <w:pPr>
              <w:pStyle w:val="a3"/>
              <w:spacing w:before="0" w:beforeAutospacing="0" w:after="0" w:afterAutospacing="0"/>
              <w:rPr>
                <w:sz w:val="6"/>
                <w:szCs w:val="6"/>
              </w:rPr>
            </w:pPr>
            <w:r>
              <w:rPr>
                <w:sz w:val="6"/>
                <w:szCs w:val="6"/>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3,64</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4,07</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Other long-term liabilitie</w:t>
            </w:r>
            <w:r>
              <w:rPr>
                <w:sz w:val="20"/>
                <w:szCs w:val="20"/>
              </w:rPr>
              <w:t>s</w:t>
            </w:r>
          </w:p>
        </w:tc>
        <w:tc>
          <w:tcPr>
            <w:tcW w:w="0" w:type="auto"/>
            <w:vAlign w:val="bottom"/>
            <w:hideMark/>
          </w:tcPr>
          <w:p w:rsidR="00000000" w:rsidRDefault="0043639B">
            <w:pPr>
              <w:pStyle w:val="a3"/>
              <w:spacing w:before="0" w:beforeAutospacing="0" w:after="0" w:afterAutospacing="0"/>
              <w:rPr>
                <w:sz w:val="6"/>
                <w:szCs w:val="6"/>
              </w:rPr>
            </w:pPr>
            <w:r>
              <w:rPr>
                <w:sz w:val="6"/>
                <w:szCs w:val="6"/>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28</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u w:val="single"/>
              </w:rPr>
              <w:t>Total liabilitie</w:t>
            </w:r>
            <w:r>
              <w:rPr>
                <w:sz w:val="20"/>
                <w:szCs w:val="20"/>
                <w:u w:val="single"/>
              </w:rPr>
              <w:t>s</w:t>
            </w:r>
          </w:p>
        </w:tc>
        <w:tc>
          <w:tcPr>
            <w:tcW w:w="0" w:type="auto"/>
            <w:vAlign w:val="bottom"/>
            <w:hideMark/>
          </w:tcPr>
          <w:p w:rsidR="00000000" w:rsidRDefault="0043639B">
            <w:pPr>
              <w:pStyle w:val="a3"/>
              <w:spacing w:before="0" w:beforeAutospacing="0" w:after="0" w:afterAutospacing="0"/>
              <w:rPr>
                <w:sz w:val="6"/>
                <w:szCs w:val="6"/>
              </w:rPr>
            </w:pPr>
            <w:r>
              <w:rPr>
                <w:sz w:val="6"/>
                <w:szCs w:val="6"/>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32,96</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31,33</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Commitments and contingencies (Note 5</w:t>
            </w:r>
            <w:r>
              <w:rPr>
                <w:sz w:val="20"/>
                <w:szCs w:val="20"/>
              </w:rPr>
              <w:t>)</w:t>
            </w:r>
          </w:p>
        </w:tc>
        <w:tc>
          <w:tcPr>
            <w:tcW w:w="0" w:type="auto"/>
            <w:vAlign w:val="bottom"/>
            <w:hideMark/>
          </w:tcPr>
          <w:p w:rsidR="00000000" w:rsidRDefault="0043639B">
            <w:pPr>
              <w:pStyle w:val="a3"/>
              <w:spacing w:before="0" w:beforeAutospacing="0" w:after="0" w:afterAutospacing="0"/>
              <w:rPr>
                <w:sz w:val="6"/>
                <w:szCs w:val="6"/>
              </w:rPr>
            </w:pPr>
            <w:r>
              <w:rPr>
                <w:sz w:val="6"/>
                <w:szCs w:val="6"/>
              </w:rPr>
              <w:t> </w:t>
            </w:r>
          </w:p>
        </w:tc>
        <w:tc>
          <w:tcPr>
            <w:tcW w:w="0" w:type="auto"/>
            <w:gridSpan w:val="2"/>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STOCKHOLDERS’ EQUITY</w:t>
            </w: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rFonts w:ascii="Tahoma" w:hAnsi="Tahoma" w:cs="Tahoma"/>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 xml:space="preserve">Common stock of </w:t>
            </w:r>
            <w:r>
              <w:rPr>
                <w:sz w:val="20"/>
                <w:szCs w:val="20"/>
              </w:rPr>
              <w:t>$</w:t>
            </w:r>
            <w:r>
              <w:rPr>
                <w:sz w:val="20"/>
                <w:szCs w:val="20"/>
              </w:rPr>
              <w:t>0.000</w:t>
            </w:r>
            <w:r>
              <w:rPr>
                <w:sz w:val="20"/>
                <w:szCs w:val="20"/>
              </w:rPr>
              <w:t>1</w:t>
            </w:r>
            <w:r>
              <w:rPr>
                <w:sz w:val="20"/>
                <w:szCs w:val="20"/>
              </w:rPr>
              <w:t> par value — Authorized:</w:t>
            </w:r>
            <w:r>
              <w:rPr>
                <w:sz w:val="20"/>
                <w:szCs w:val="20"/>
              </w:rPr>
              <w:t xml:space="preserve"> </w:t>
            </w:r>
            <w:r>
              <w:rPr>
                <w:sz w:val="20"/>
                <w:szCs w:val="20"/>
              </w:rPr>
              <w:t>1,000,000,00</w:t>
            </w:r>
            <w:r>
              <w:rPr>
                <w:sz w:val="20"/>
                <w:szCs w:val="20"/>
              </w:rPr>
              <w:t>0</w:t>
            </w:r>
            <w:r>
              <w:rPr>
                <w:sz w:val="20"/>
                <w:szCs w:val="20"/>
              </w:rPr>
              <w:t> </w:t>
            </w:r>
            <w:r>
              <w:rPr>
                <w:sz w:val="20"/>
                <w:szCs w:val="20"/>
              </w:rPr>
              <w:t>shares at September 30, 2022 and December 31, 2021; Issued and outstanding:</w:t>
            </w:r>
            <w:r>
              <w:rPr>
                <w:sz w:val="20"/>
                <w:szCs w:val="20"/>
              </w:rPr>
              <w:t xml:space="preserve"> </w:t>
            </w:r>
            <w:r>
              <w:rPr>
                <w:sz w:val="20"/>
                <w:szCs w:val="20"/>
              </w:rPr>
              <w:t>158,991,01</w:t>
            </w:r>
            <w:r>
              <w:rPr>
                <w:sz w:val="20"/>
                <w:szCs w:val="20"/>
              </w:rPr>
              <w:t>9</w:t>
            </w:r>
            <w:r>
              <w:rPr>
                <w:sz w:val="20"/>
                <w:szCs w:val="20"/>
              </w:rPr>
              <w:t> and</w:t>
            </w:r>
            <w:r>
              <w:rPr>
                <w:sz w:val="20"/>
                <w:szCs w:val="20"/>
              </w:rPr>
              <w:t xml:space="preserve"> </w:t>
            </w:r>
            <w:r>
              <w:rPr>
                <w:sz w:val="20"/>
                <w:szCs w:val="20"/>
              </w:rPr>
              <w:t>152,862,44</w:t>
            </w:r>
            <w:r>
              <w:rPr>
                <w:sz w:val="20"/>
                <w:szCs w:val="20"/>
              </w:rPr>
              <w:t>7</w:t>
            </w:r>
            <w:r>
              <w:rPr>
                <w:sz w:val="20"/>
                <w:szCs w:val="20"/>
              </w:rPr>
              <w:t> shares at September 30, 2022 and December 31, 2021, respectivel</w:t>
            </w:r>
            <w:r>
              <w:rPr>
                <w:sz w:val="20"/>
                <w:szCs w:val="20"/>
              </w:rPr>
              <w:t>y</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Additional paid-in capita</w:t>
            </w:r>
            <w:r>
              <w:rPr>
                <w:sz w:val="20"/>
                <w:szCs w:val="20"/>
              </w:rPr>
              <w:t>l</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375,54</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363,78</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Accumulated defici</w:t>
            </w:r>
            <w:r>
              <w:rPr>
                <w:sz w:val="20"/>
                <w:szCs w:val="20"/>
              </w:rPr>
              <w:t>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232,89</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171,53</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u w:val="single"/>
              </w:rPr>
              <w:t>Total stockholders’ equit</w:t>
            </w:r>
            <w:r>
              <w:rPr>
                <w:sz w:val="20"/>
                <w:szCs w:val="20"/>
                <w:u w:val="single"/>
              </w:rPr>
              <w:t>y</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142,66</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192,27</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u w:val="single"/>
              </w:rPr>
              <w:t>Total liabilities and stockholders’ equit</w:t>
            </w:r>
            <w:r>
              <w:rPr>
                <w:sz w:val="20"/>
                <w:szCs w:val="20"/>
                <w:u w:val="single"/>
              </w:rPr>
              <w:t>y</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175,63</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223,60</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bl>
    <w:p w:rsidR="00000000" w:rsidRDefault="0043639B">
      <w:pPr>
        <w:pStyle w:val="a3"/>
        <w:spacing w:before="60" w:beforeAutospacing="0" w:after="0" w:afterAutospacing="0"/>
        <w:rPr>
          <w:sz w:val="20"/>
          <w:szCs w:val="20"/>
        </w:rPr>
      </w:pPr>
      <w:r>
        <w:rPr>
          <w:sz w:val="20"/>
          <w:szCs w:val="20"/>
        </w:rPr>
        <w:t> </w:t>
      </w:r>
    </w:p>
    <w:p w:rsidR="00000000" w:rsidRDefault="0043639B">
      <w:pPr>
        <w:pStyle w:val="a3"/>
        <w:spacing w:before="240" w:beforeAutospacing="0" w:after="0" w:afterAutospacing="0"/>
        <w:jc w:val="center"/>
        <w:rPr>
          <w:sz w:val="20"/>
          <w:szCs w:val="20"/>
        </w:rPr>
      </w:pPr>
      <w:r>
        <w:rPr>
          <w:sz w:val="20"/>
          <w:szCs w:val="20"/>
        </w:rPr>
        <w:t>The accompanying notes are an integral part of the condensed consolidated financial statements</w:t>
      </w:r>
      <w:r>
        <w:rPr>
          <w:sz w:val="20"/>
          <w:szCs w:val="20"/>
        </w:rPr>
        <w:t>.</w:t>
      </w:r>
    </w:p>
    <w:p w:rsidR="00000000" w:rsidRDefault="0043639B">
      <w:pPr>
        <w:pStyle w:val="a3"/>
        <w:spacing w:before="0" w:beforeAutospacing="0" w:after="0" w:afterAutospacing="0"/>
        <w:jc w:val="center"/>
        <w:rPr>
          <w:sz w:val="20"/>
          <w:szCs w:val="20"/>
        </w:rPr>
      </w:pPr>
      <w:r>
        <w:rPr>
          <w:sz w:val="20"/>
          <w:szCs w:val="20"/>
        </w:rPr>
        <w:t> </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6</w:t>
      </w:r>
    </w:p>
    <w:p w:rsidR="00000000" w:rsidRDefault="0043639B">
      <w:pPr>
        <w:rPr>
          <w:rFonts w:eastAsia="Times New Roman"/>
        </w:rPr>
      </w:pPr>
      <w:r>
        <w:rPr>
          <w:rFonts w:eastAsia="Times New Roman"/>
        </w:rPr>
        <w:pict>
          <v:rect id="_x0000_i1030"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43639B">
      <w:pPr>
        <w:pStyle w:val="a3"/>
        <w:spacing w:before="0" w:beforeAutospacing="0" w:after="0" w:afterAutospacing="0"/>
        <w:jc w:val="center"/>
        <w:rPr>
          <w:sz w:val="20"/>
          <w:szCs w:val="20"/>
        </w:rPr>
      </w:pPr>
      <w:r>
        <w:rPr>
          <w:b/>
          <w:bCs/>
          <w:sz w:val="20"/>
          <w:szCs w:val="20"/>
        </w:rPr>
        <w:t>CONDENSED CONSOLIDATED STATEMENTS O</w:t>
      </w:r>
      <w:r>
        <w:rPr>
          <w:b/>
          <w:bCs/>
          <w:sz w:val="20"/>
          <w:szCs w:val="20"/>
        </w:rPr>
        <w:t>F</w:t>
      </w:r>
      <w:r>
        <w:rPr>
          <w:b/>
          <w:bCs/>
          <w:sz w:val="20"/>
          <w:szCs w:val="20"/>
        </w:rPr>
        <w:t xml:space="preserve"> OPERATION</w:t>
      </w:r>
      <w:r>
        <w:rPr>
          <w:b/>
          <w:bCs/>
          <w:sz w:val="20"/>
          <w:szCs w:val="20"/>
        </w:rPr>
        <w:t>S</w:t>
      </w:r>
    </w:p>
    <w:p w:rsidR="00000000" w:rsidRDefault="0043639B">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43639B">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63"/>
        <w:gridCol w:w="110"/>
        <w:gridCol w:w="160"/>
        <w:gridCol w:w="1060"/>
        <w:gridCol w:w="127"/>
        <w:gridCol w:w="110"/>
        <w:gridCol w:w="160"/>
        <w:gridCol w:w="1060"/>
        <w:gridCol w:w="127"/>
        <w:gridCol w:w="110"/>
        <w:gridCol w:w="160"/>
        <w:gridCol w:w="1060"/>
        <w:gridCol w:w="127"/>
        <w:gridCol w:w="110"/>
        <w:gridCol w:w="160"/>
        <w:gridCol w:w="960"/>
        <w:gridCol w:w="142"/>
      </w:tblGrid>
      <w:tr w:rsidR="00000000">
        <w:trPr>
          <w:tblCellSpacing w:w="15" w:type="dxa"/>
        </w:trPr>
        <w:tc>
          <w:tcPr>
            <w:tcW w:w="2074" w:type="pct"/>
            <w:vAlign w:val="center"/>
            <w:hideMark/>
          </w:tcPr>
          <w:p w:rsidR="00000000" w:rsidRDefault="0043639B">
            <w:pPr>
              <w:rPr>
                <w:sz w:val="20"/>
                <w:szCs w:val="20"/>
              </w:rPr>
            </w:pPr>
          </w:p>
        </w:tc>
        <w:tc>
          <w:tcPr>
            <w:tcW w:w="7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55"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7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6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7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55"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7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6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trHeight w:val="160"/>
          <w:tblCellSpacing w:w="15" w:type="dxa"/>
        </w:trPr>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gridSpan w:val="6"/>
            <w:vAlign w:val="center"/>
            <w:hideMark/>
          </w:tcPr>
          <w:p w:rsidR="00000000" w:rsidRDefault="0043639B">
            <w:pPr>
              <w:pStyle w:val="a3"/>
              <w:spacing w:before="0" w:beforeAutospacing="0" w:after="0" w:afterAutospacing="0"/>
              <w:jc w:val="center"/>
              <w:rPr>
                <w:sz w:val="16"/>
                <w:szCs w:val="16"/>
              </w:rPr>
            </w:pPr>
            <w:r>
              <w:rPr>
                <w:b/>
                <w:bCs/>
                <w:sz w:val="16"/>
                <w:szCs w:val="16"/>
              </w:rPr>
              <w:t>Three Months Ende</w:t>
            </w:r>
            <w:r>
              <w:rPr>
                <w:b/>
                <w:bCs/>
                <w:sz w:val="16"/>
                <w:szCs w:val="16"/>
              </w:rPr>
              <w:t>d</w:t>
            </w:r>
          </w:p>
        </w:tc>
        <w:tc>
          <w:tcPr>
            <w:tcW w:w="0" w:type="auto"/>
            <w:vAlign w:val="center"/>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gridSpan w:val="6"/>
            <w:vAlign w:val="center"/>
            <w:hideMark/>
          </w:tcPr>
          <w:p w:rsidR="00000000" w:rsidRDefault="0043639B">
            <w:pPr>
              <w:pStyle w:val="a3"/>
              <w:spacing w:before="0" w:beforeAutospacing="0" w:after="0" w:afterAutospacing="0"/>
              <w:jc w:val="center"/>
              <w:rPr>
                <w:sz w:val="16"/>
                <w:szCs w:val="16"/>
              </w:rPr>
            </w:pPr>
            <w:r>
              <w:rPr>
                <w:b/>
                <w:bCs/>
                <w:sz w:val="16"/>
                <w:szCs w:val="16"/>
              </w:rPr>
              <w:t>Nine Months Ende</w:t>
            </w:r>
            <w:r>
              <w:rPr>
                <w:b/>
                <w:bCs/>
                <w:sz w:val="16"/>
                <w:szCs w:val="16"/>
              </w:rPr>
              <w:t>d</w:t>
            </w:r>
          </w:p>
        </w:tc>
        <w:tc>
          <w:tcPr>
            <w:tcW w:w="0" w:type="auto"/>
            <w:vAlign w:val="center"/>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gridSpan w:val="6"/>
            <w:vAlign w:val="center"/>
            <w:hideMark/>
          </w:tcPr>
          <w:p w:rsidR="00000000" w:rsidRDefault="0043639B">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center"/>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gridSpan w:val="6"/>
            <w:vAlign w:val="center"/>
            <w:hideMark/>
          </w:tcPr>
          <w:p w:rsidR="00000000" w:rsidRDefault="0043639B">
            <w:pPr>
              <w:pStyle w:val="a3"/>
              <w:spacing w:before="0" w:beforeAutospacing="0" w:after="0" w:afterAutospacing="0"/>
              <w:jc w:val="center"/>
              <w:rPr>
                <w:sz w:val="16"/>
                <w:szCs w:val="16"/>
              </w:rPr>
            </w:pPr>
            <w:r>
              <w:rPr>
                <w:b/>
                <w:bCs/>
                <w:sz w:val="16"/>
                <w:szCs w:val="16"/>
              </w:rPr>
              <w:t>September 30</w:t>
            </w:r>
            <w:r>
              <w:rPr>
                <w:b/>
                <w:bCs/>
                <w:sz w:val="16"/>
                <w:szCs w:val="16"/>
              </w:rPr>
              <w:t>,</w:t>
            </w:r>
          </w:p>
        </w:tc>
        <w:tc>
          <w:tcPr>
            <w:tcW w:w="0" w:type="auto"/>
            <w:vAlign w:val="center"/>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center"/>
            <w:hideMark/>
          </w:tcPr>
          <w:p w:rsidR="00000000" w:rsidRDefault="0043639B">
            <w:pPr>
              <w:pStyle w:val="a3"/>
              <w:spacing w:before="0" w:beforeAutospacing="0" w:after="0" w:afterAutospacing="0"/>
              <w:rPr>
                <w:sz w:val="18"/>
                <w:szCs w:val="18"/>
              </w:rPr>
            </w:pPr>
            <w:r>
              <w:rPr>
                <w:i/>
                <w:iCs/>
                <w:sz w:val="18"/>
                <w:szCs w:val="18"/>
              </w:rPr>
              <w:t>(U.S. dollars in thousands, except share and per share data</w:t>
            </w:r>
            <w:r>
              <w:rPr>
                <w:i/>
                <w:iCs/>
                <w:sz w:val="18"/>
                <w:szCs w:val="18"/>
              </w:rPr>
              <w:t>)</w:t>
            </w:r>
          </w:p>
        </w:tc>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Revenue</w:t>
            </w:r>
            <w:r>
              <w:rPr>
                <w:sz w:val="20"/>
                <w:szCs w:val="20"/>
              </w:rPr>
              <w:t>s</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29,33</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26,35</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89,32</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84,49</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Cost of revenue</w:t>
            </w:r>
            <w:r>
              <w:rPr>
                <w:sz w:val="20"/>
                <w:szCs w:val="20"/>
              </w:rPr>
              <w:t>s</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14,73</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12,18</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45,16</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33,69</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Gross profi</w:t>
            </w:r>
            <w:r>
              <w:rPr>
                <w:sz w:val="20"/>
                <w:szCs w:val="20"/>
              </w:rPr>
              <w:t>t</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14,59</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14,17</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44,16</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50,80</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Operating expenses</w:t>
            </w:r>
            <w:r>
              <w:rPr>
                <w:sz w:val="20"/>
                <w:szCs w:val="20"/>
              </w:rPr>
              <w:t>:</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Research and development, ne</w:t>
            </w:r>
            <w:r>
              <w:rPr>
                <w:sz w:val="20"/>
                <w:szCs w:val="20"/>
              </w:rPr>
              <w:t>t</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6,18</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4,27</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16,79</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12,02</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Clinical operation</w:t>
            </w:r>
            <w:r>
              <w:rPr>
                <w:sz w:val="20"/>
                <w:szCs w:val="20"/>
              </w:rPr>
              <w:t>s</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2,22</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1,89</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6,31</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5,88</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18,37</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26,43</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58,71</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75,12</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7,66</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6,79</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24,46</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23,11</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Total operating expense</w:t>
            </w:r>
            <w:r>
              <w:rPr>
                <w:sz w:val="20"/>
                <w:szCs w:val="20"/>
              </w:rPr>
              <w:t>s</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34,44</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39,39</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106,29</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116,14</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Operating (loss</w:t>
            </w:r>
            <w:r>
              <w:rPr>
                <w:sz w:val="20"/>
                <w:szCs w:val="20"/>
              </w:rPr>
              <w:t>)</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19,85</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25,22</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62,12</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65,34</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Financial income, ne</w:t>
            </w:r>
            <w:r>
              <w:rPr>
                <w:sz w:val="20"/>
                <w:szCs w:val="20"/>
              </w:rPr>
              <w:t>t</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1,88</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26,74</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88</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23,70</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(Loss) income before taxes on incom</w:t>
            </w:r>
            <w:r>
              <w:rPr>
                <w:sz w:val="20"/>
                <w:szCs w:val="20"/>
              </w:rPr>
              <w:t>e</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17,96</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1,51</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61,23</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41,64</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Taxes on incom</w:t>
            </w:r>
            <w:r>
              <w:rPr>
                <w:sz w:val="20"/>
                <w:szCs w:val="20"/>
              </w:rPr>
              <w:t>e</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12</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Net (loss) incom</w:t>
            </w:r>
            <w:r>
              <w:rPr>
                <w:sz w:val="20"/>
                <w:szCs w:val="20"/>
              </w:rPr>
              <w:t>e</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17,98</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1,50</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61,36</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41,67</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Net (loss) income per share</w:t>
            </w:r>
            <w:r>
              <w:rPr>
                <w:sz w:val="20"/>
                <w:szCs w:val="20"/>
              </w:rPr>
              <w:t>:</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Basi</w:t>
            </w:r>
            <w:r>
              <w:rPr>
                <w:sz w:val="20"/>
                <w:szCs w:val="20"/>
              </w:rPr>
              <w:t>c</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0.1</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0.0</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0.3</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0.6</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Dilute</w:t>
            </w:r>
            <w:r>
              <w:rPr>
                <w:sz w:val="20"/>
                <w:szCs w:val="20"/>
              </w:rPr>
              <w:t>d</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0.1</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0.0</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0.3</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0.6</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Weighted average number of common shares</w:t>
            </w:r>
            <w:r>
              <w:rPr>
                <w:sz w:val="20"/>
                <w:szCs w:val="20"/>
              </w:rPr>
              <w:t>:</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Basi</w:t>
            </w:r>
            <w:r>
              <w:rPr>
                <w:sz w:val="20"/>
                <w:szCs w:val="20"/>
              </w:rPr>
              <w:t>c</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158,330,68</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152,267,87</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156,056,90</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64,638,18</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Dilute</w:t>
            </w:r>
            <w:r>
              <w:rPr>
                <w:sz w:val="20"/>
                <w:szCs w:val="20"/>
              </w:rPr>
              <w:t>d</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158,330,68</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165,179,01</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156,056,90</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64,638,18</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bl>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240" w:beforeAutospacing="0" w:after="0" w:afterAutospacing="0"/>
        <w:jc w:val="center"/>
        <w:rPr>
          <w:sz w:val="20"/>
          <w:szCs w:val="20"/>
        </w:rPr>
      </w:pPr>
      <w:r>
        <w:rPr>
          <w:sz w:val="20"/>
          <w:szCs w:val="20"/>
        </w:rPr>
        <w:t>The accompanying notes are an integral part of the condensed consolidated financial statements</w:t>
      </w:r>
      <w:r>
        <w:rPr>
          <w:sz w:val="20"/>
          <w:szCs w:val="20"/>
        </w:rPr>
        <w:t>.</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7</w:t>
      </w:r>
    </w:p>
    <w:p w:rsidR="00000000" w:rsidRDefault="0043639B">
      <w:pPr>
        <w:rPr>
          <w:rFonts w:eastAsia="Times New Roman"/>
        </w:rPr>
      </w:pPr>
      <w:r>
        <w:rPr>
          <w:rFonts w:eastAsia="Times New Roman"/>
        </w:rPr>
        <w:pict>
          <v:rect id="_x0000_i1031"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0" w:beforeAutospacing="0" w:after="0" w:afterAutospacing="0"/>
        <w:jc w:val="center"/>
        <w:rPr>
          <w:sz w:val="20"/>
          <w:szCs w:val="20"/>
        </w:rPr>
      </w:pPr>
      <w:r>
        <w:rPr>
          <w:b/>
          <w:bCs/>
          <w:sz w:val="18"/>
          <w:szCs w:val="18"/>
        </w:rPr>
        <w:t>TALKSPACE, INC</w:t>
      </w:r>
      <w:r>
        <w:rPr>
          <w:b/>
          <w:bCs/>
          <w:sz w:val="18"/>
          <w:szCs w:val="18"/>
        </w:rPr>
        <w:t>.</w:t>
      </w:r>
    </w:p>
    <w:p w:rsidR="00000000" w:rsidRDefault="0043639B">
      <w:pPr>
        <w:pStyle w:val="a3"/>
        <w:spacing w:before="0" w:beforeAutospacing="0" w:after="0" w:afterAutospacing="0"/>
        <w:jc w:val="center"/>
        <w:rPr>
          <w:sz w:val="20"/>
          <w:szCs w:val="20"/>
        </w:rPr>
      </w:pPr>
      <w:r>
        <w:rPr>
          <w:b/>
          <w:bCs/>
          <w:sz w:val="18"/>
          <w:szCs w:val="18"/>
        </w:rPr>
        <w:t xml:space="preserve">CONDENSED CONSOLIDATED STATEMENTS </w:t>
      </w:r>
      <w:r>
        <w:rPr>
          <w:b/>
          <w:bCs/>
          <w:sz w:val="18"/>
          <w:szCs w:val="18"/>
        </w:rPr>
        <w:t>O</w:t>
      </w:r>
      <w:r>
        <w:rPr>
          <w:b/>
          <w:bCs/>
          <w:sz w:val="18"/>
          <w:szCs w:val="18"/>
        </w:rPr>
        <w:t>F CHANGES IN STOCKHOLDERS’ EQUITY (DEFICIT) (Unaudited</w:t>
      </w:r>
      <w:r>
        <w:rPr>
          <w:b/>
          <w:bCs/>
          <w:sz w:val="18"/>
          <w:szCs w:val="18"/>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110"/>
        <w:gridCol w:w="105"/>
        <w:gridCol w:w="930"/>
        <w:gridCol w:w="120"/>
        <w:gridCol w:w="110"/>
        <w:gridCol w:w="150"/>
        <w:gridCol w:w="705"/>
        <w:gridCol w:w="120"/>
        <w:gridCol w:w="115"/>
        <w:gridCol w:w="105"/>
        <w:gridCol w:w="960"/>
        <w:gridCol w:w="115"/>
        <w:gridCol w:w="115"/>
        <w:gridCol w:w="151"/>
        <w:gridCol w:w="398"/>
        <w:gridCol w:w="115"/>
        <w:gridCol w:w="115"/>
        <w:gridCol w:w="150"/>
        <w:gridCol w:w="645"/>
        <w:gridCol w:w="120"/>
        <w:gridCol w:w="115"/>
        <w:gridCol w:w="150"/>
        <w:gridCol w:w="705"/>
        <w:gridCol w:w="120"/>
        <w:gridCol w:w="115"/>
        <w:gridCol w:w="150"/>
        <w:gridCol w:w="705"/>
        <w:gridCol w:w="135"/>
      </w:tblGrid>
      <w:tr w:rsidR="00000000">
        <w:trPr>
          <w:tblCellSpacing w:w="15" w:type="dxa"/>
        </w:trPr>
        <w:tc>
          <w:tcPr>
            <w:tcW w:w="1399" w:type="pct"/>
            <w:vAlign w:val="center"/>
            <w:hideMark/>
          </w:tcPr>
          <w:p w:rsidR="00000000" w:rsidRDefault="0043639B">
            <w:pPr>
              <w:rPr>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0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33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2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354"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345"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38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315"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tblCellSpacing w:w="15" w:type="dxa"/>
        </w:trPr>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gridSpan w:val="2"/>
            <w:vAlign w:val="bottom"/>
            <w:hideMark/>
          </w:tcPr>
          <w:p w:rsidR="00000000" w:rsidRDefault="0043639B">
            <w:pPr>
              <w:pStyle w:val="a3"/>
              <w:spacing w:before="0" w:beforeAutospacing="0" w:after="0" w:afterAutospacing="0"/>
              <w:rPr>
                <w:sz w:val="22"/>
                <w:szCs w:val="22"/>
              </w:rPr>
            </w:pPr>
            <w:r>
              <w:rPr>
                <w:sz w:val="22"/>
                <w:szCs w:val="22"/>
              </w:rPr>
              <w:t> </w:t>
            </w:r>
          </w:p>
        </w:tc>
        <w:tc>
          <w:tcPr>
            <w:tcW w:w="0" w:type="auto"/>
            <w:vAlign w:val="bottom"/>
            <w:hideMark/>
          </w:tcPr>
          <w:p w:rsidR="00000000" w:rsidRDefault="0043639B">
            <w:pPr>
              <w:pStyle w:val="a3"/>
              <w:spacing w:before="0" w:beforeAutospacing="0" w:after="0" w:afterAutospacing="0"/>
              <w:rPr>
                <w:sz w:val="22"/>
                <w:szCs w:val="22"/>
              </w:rPr>
            </w:pPr>
            <w:r>
              <w:rPr>
                <w:sz w:val="22"/>
                <w:szCs w:val="22"/>
              </w:rPr>
              <w:t> </w:t>
            </w:r>
          </w:p>
        </w:tc>
      </w:tr>
      <w:tr w:rsidR="00000000">
        <w:trPr>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i/>
                <w:iCs/>
                <w:sz w:val="16"/>
                <w:szCs w:val="16"/>
              </w:rPr>
              <w:t>(U.S. dollars in thousands, except share and per share data</w:t>
            </w:r>
            <w:r>
              <w:rPr>
                <w:i/>
                <w:iCs/>
                <w:sz w:val="16"/>
                <w:szCs w:val="16"/>
              </w:rPr>
              <w:t>)</w:t>
            </w:r>
          </w:p>
        </w:tc>
        <w:tc>
          <w:tcPr>
            <w:tcW w:w="0" w:type="auto"/>
            <w:vAlign w:val="bottom"/>
            <w:hideMark/>
          </w:tcPr>
          <w:p w:rsidR="00000000" w:rsidRDefault="0043639B">
            <w:pPr>
              <w:pStyle w:val="a3"/>
              <w:spacing w:before="0" w:beforeAutospacing="0" w:after="0" w:afterAutospacing="0"/>
              <w:rPr>
                <w:sz w:val="14"/>
                <w:szCs w:val="14"/>
              </w:rPr>
            </w:pPr>
            <w:r>
              <w:rPr>
                <w:sz w:val="14"/>
                <w:szCs w:val="14"/>
              </w:rPr>
              <w:t> </w:t>
            </w:r>
          </w:p>
        </w:tc>
        <w:tc>
          <w:tcPr>
            <w:tcW w:w="0" w:type="auto"/>
            <w:gridSpan w:val="6"/>
            <w:vAlign w:val="bottom"/>
            <w:hideMark/>
          </w:tcPr>
          <w:p w:rsidR="00000000" w:rsidRDefault="0043639B">
            <w:pPr>
              <w:pStyle w:val="a3"/>
              <w:spacing w:before="0" w:beforeAutospacing="0" w:after="0" w:afterAutospacing="0"/>
              <w:jc w:val="center"/>
              <w:rPr>
                <w:sz w:val="12"/>
                <w:szCs w:val="12"/>
              </w:rPr>
            </w:pPr>
            <w:r>
              <w:rPr>
                <w:b/>
                <w:bCs/>
                <w:sz w:val="12"/>
                <w:szCs w:val="12"/>
              </w:rPr>
              <w:t>Convertible Preferred Stoc</w:t>
            </w:r>
            <w:r>
              <w:rPr>
                <w:b/>
                <w:bCs/>
                <w:sz w:val="12"/>
                <w:szCs w:val="12"/>
              </w:rPr>
              <w:t>k</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6"/>
            <w:vAlign w:val="bottom"/>
            <w:hideMark/>
          </w:tcPr>
          <w:p w:rsidR="00000000" w:rsidRDefault="0043639B">
            <w:pPr>
              <w:pStyle w:val="a3"/>
              <w:spacing w:before="0" w:beforeAutospacing="0" w:after="0" w:afterAutospacing="0"/>
              <w:jc w:val="center"/>
              <w:rPr>
                <w:sz w:val="12"/>
                <w:szCs w:val="12"/>
              </w:rPr>
            </w:pPr>
            <w:r>
              <w:rPr>
                <w:b/>
                <w:bCs/>
                <w:sz w:val="12"/>
                <w:szCs w:val="12"/>
              </w:rPr>
              <w:t>Common Stoc</w:t>
            </w:r>
            <w:r>
              <w:rPr>
                <w:b/>
                <w:bCs/>
                <w:sz w:val="12"/>
                <w:szCs w:val="12"/>
              </w:rPr>
              <w:t>k</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r>
      <w:tr w:rsidR="00000000">
        <w:trPr>
          <w:trHeight w:val="140"/>
          <w:tblCellSpacing w:w="15" w:type="dxa"/>
        </w:trPr>
        <w:tc>
          <w:tcPr>
            <w:tcW w:w="0" w:type="auto"/>
            <w:hideMark/>
          </w:tcPr>
          <w:p w:rsidR="00000000" w:rsidRDefault="0043639B">
            <w:pPr>
              <w:pStyle w:val="a3"/>
              <w:spacing w:before="0" w:beforeAutospacing="0" w:after="0" w:afterAutospacing="0"/>
              <w:rPr>
                <w:sz w:val="14"/>
                <w:szCs w:val="14"/>
              </w:rPr>
            </w:pPr>
            <w:r>
              <w:rPr>
                <w:b/>
                <w:bCs/>
                <w:sz w:val="14"/>
                <w:szCs w:val="14"/>
                <w:u w:val="single"/>
              </w:rPr>
              <w:t>Three and Nine Months Ended September 30, 202</w:t>
            </w:r>
            <w:r>
              <w:rPr>
                <w:b/>
                <w:bCs/>
                <w:sz w:val="14"/>
                <w:szCs w:val="14"/>
                <w:u w:val="single"/>
              </w:rPr>
              <w:t>2</w:t>
            </w:r>
          </w:p>
        </w:tc>
        <w:tc>
          <w:tcPr>
            <w:tcW w:w="0" w:type="auto"/>
            <w:vAlign w:val="bottom"/>
            <w:hideMark/>
          </w:tcPr>
          <w:p w:rsidR="00000000" w:rsidRDefault="0043639B">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Number of Shares</w:t>
            </w:r>
            <w:r>
              <w:rPr>
                <w:b/>
                <w:bCs/>
                <w:sz w:val="12"/>
                <w:szCs w:val="12"/>
              </w:rPr>
              <w:br/>
              <w:t>Outstandin</w:t>
            </w:r>
            <w:r>
              <w:rPr>
                <w:b/>
                <w:bCs/>
                <w:sz w:val="12"/>
                <w:szCs w:val="12"/>
              </w:rPr>
              <w:t>g</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Number of Shares</w:t>
            </w:r>
            <w:r>
              <w:rPr>
                <w:b/>
                <w:bCs/>
                <w:sz w:val="12"/>
                <w:szCs w:val="12"/>
              </w:rPr>
              <w:br/>
              <w:t>Outstandin</w:t>
            </w:r>
            <w:r>
              <w:rPr>
                <w:b/>
                <w:bCs/>
                <w:sz w:val="12"/>
                <w:szCs w:val="12"/>
              </w:rPr>
              <w:t>g</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Additional paid-in</w:t>
            </w:r>
            <w:r>
              <w:rPr>
                <w:b/>
                <w:bCs/>
                <w:sz w:val="12"/>
                <w:szCs w:val="12"/>
              </w:rPr>
              <w:br/>
              <w:t>capita</w:t>
            </w:r>
            <w:r>
              <w:rPr>
                <w:b/>
                <w:bCs/>
                <w:sz w:val="12"/>
                <w:szCs w:val="12"/>
              </w:rPr>
              <w:t>l</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Accumulated</w:t>
            </w:r>
            <w:r>
              <w:rPr>
                <w:b/>
                <w:bCs/>
                <w:sz w:val="12"/>
                <w:szCs w:val="12"/>
              </w:rPr>
              <w:br/>
              <w:t>defici</w:t>
            </w:r>
            <w:r>
              <w:rPr>
                <w:b/>
                <w:bCs/>
                <w:sz w:val="12"/>
                <w:szCs w:val="12"/>
              </w:rPr>
              <w:t>t</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Tota</w:t>
            </w:r>
            <w:r>
              <w:rPr>
                <w:b/>
                <w:bCs/>
                <w:sz w:val="12"/>
                <w:szCs w:val="12"/>
              </w:rPr>
              <w:t>l</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Balance as of December 31, 202</w:t>
            </w:r>
            <w:r>
              <w:rPr>
                <w:sz w:val="18"/>
                <w:szCs w:val="18"/>
              </w:rPr>
              <w:t>1</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152,862,44</w:t>
            </w:r>
            <w:r>
              <w:rPr>
                <w:sz w:val="18"/>
                <w:szCs w:val="18"/>
              </w:rPr>
              <w:t>7</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363,78</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171,53</w:t>
            </w:r>
            <w:r>
              <w:rPr>
                <w:sz w:val="18"/>
                <w:szCs w:val="18"/>
              </w:rPr>
              <w:t>0</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192,27</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2,164,87</w:t>
            </w:r>
            <w:r>
              <w:rPr>
                <w:sz w:val="18"/>
                <w:szCs w:val="18"/>
              </w:rPr>
              <w:t>0</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2,06</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2,06</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Restricted stock units vested, net of ta</w:t>
            </w:r>
            <w:r>
              <w:rPr>
                <w:sz w:val="18"/>
                <w:szCs w:val="18"/>
              </w:rPr>
              <w:t>x</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77,33</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6</w:t>
            </w:r>
            <w:r>
              <w:rPr>
                <w:sz w:val="18"/>
                <w:szCs w:val="18"/>
              </w:rPr>
              <w:t>7</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6</w:t>
            </w:r>
            <w:r>
              <w:rPr>
                <w:sz w:val="18"/>
                <w:szCs w:val="18"/>
              </w:rPr>
              <w:t>7</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2,36</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2,36</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20,36</w:t>
            </w:r>
            <w:r>
              <w:rPr>
                <w:sz w:val="18"/>
                <w:szCs w:val="18"/>
              </w:rPr>
              <w:t>0</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20,36</w:t>
            </w:r>
            <w:r>
              <w:rPr>
                <w:sz w:val="18"/>
                <w:szCs w:val="18"/>
              </w:rPr>
              <w:t>0</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Balance as of March 31, 2022 (unaudited</w:t>
            </w: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155,104,65</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368,15</w:t>
            </w:r>
            <w:r>
              <w:rPr>
                <w:sz w:val="18"/>
                <w:szCs w:val="18"/>
              </w:rPr>
              <w:t>2</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191,89</w:t>
            </w:r>
            <w:r>
              <w:rPr>
                <w:sz w:val="18"/>
                <w:szCs w:val="18"/>
              </w:rPr>
              <w:t>0</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176,27</w:t>
            </w:r>
            <w:r>
              <w:rPr>
                <w:sz w:val="18"/>
                <w:szCs w:val="18"/>
              </w:rPr>
              <w:t>7</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1,092,51</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28</w:t>
            </w:r>
            <w:r>
              <w:rPr>
                <w:sz w:val="18"/>
                <w:szCs w:val="18"/>
              </w:rPr>
              <w:t>6</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28</w:t>
            </w:r>
            <w:r>
              <w:rPr>
                <w:sz w:val="18"/>
                <w:szCs w:val="18"/>
              </w:rPr>
              <w:t>6</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Restricted stock units vested, net of ta</w:t>
            </w:r>
            <w:r>
              <w:rPr>
                <w:sz w:val="18"/>
                <w:szCs w:val="18"/>
              </w:rPr>
              <w:t>x</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1,175,44</w:t>
            </w:r>
            <w:r>
              <w:rPr>
                <w:sz w:val="18"/>
                <w:szCs w:val="18"/>
              </w:rPr>
              <w:t>6</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12</w:t>
            </w:r>
            <w:r>
              <w:rPr>
                <w:sz w:val="18"/>
                <w:szCs w:val="18"/>
              </w:rPr>
              <w:t>6</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12</w:t>
            </w:r>
            <w:r>
              <w:rPr>
                <w:sz w:val="18"/>
                <w:szCs w:val="18"/>
              </w:rPr>
              <w:t>6</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3,83</w:t>
            </w:r>
            <w:r>
              <w:rPr>
                <w:sz w:val="18"/>
                <w:szCs w:val="18"/>
              </w:rPr>
              <w:t>9</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3,83</w:t>
            </w:r>
            <w:r>
              <w:rPr>
                <w:sz w:val="18"/>
                <w:szCs w:val="18"/>
              </w:rPr>
              <w:t>9</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23,02</w:t>
            </w:r>
            <w:r>
              <w:rPr>
                <w:sz w:val="18"/>
                <w:szCs w:val="18"/>
              </w:rPr>
              <w:t>2</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23,02</w:t>
            </w:r>
            <w:r>
              <w:rPr>
                <w:sz w:val="18"/>
                <w:szCs w:val="18"/>
              </w:rPr>
              <w:t>2</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Balance as of June 30, 2022 (unaudited</w:t>
            </w: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157,372,61</w:t>
            </w:r>
            <w:r>
              <w:rPr>
                <w:sz w:val="18"/>
                <w:szCs w:val="18"/>
              </w:rPr>
              <w:t>6</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372,15</w:t>
            </w:r>
            <w:r>
              <w:rPr>
                <w:sz w:val="18"/>
                <w:szCs w:val="18"/>
              </w:rPr>
              <w:t>1</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214,91</w:t>
            </w:r>
            <w:r>
              <w:rPr>
                <w:sz w:val="18"/>
                <w:szCs w:val="18"/>
              </w:rPr>
              <w:t>2</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157,25</w:t>
            </w:r>
            <w:r>
              <w:rPr>
                <w:sz w:val="18"/>
                <w:szCs w:val="18"/>
              </w:rPr>
              <w:t>4</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893,19</w:t>
            </w:r>
            <w:r>
              <w:rPr>
                <w:sz w:val="18"/>
                <w:szCs w:val="18"/>
              </w:rPr>
              <w:t>4</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34</w:t>
            </w:r>
            <w:r>
              <w:rPr>
                <w:sz w:val="18"/>
                <w:szCs w:val="18"/>
              </w:rPr>
              <w:t>7</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34</w:t>
            </w:r>
            <w:r>
              <w:rPr>
                <w:sz w:val="18"/>
                <w:szCs w:val="18"/>
              </w:rPr>
              <w:t>7</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Restricted stock units vested, net of ta</w:t>
            </w:r>
            <w:r>
              <w:rPr>
                <w:sz w:val="18"/>
                <w:szCs w:val="18"/>
              </w:rPr>
              <w:t>x</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725,20</w:t>
            </w:r>
            <w:r>
              <w:rPr>
                <w:sz w:val="18"/>
                <w:szCs w:val="18"/>
              </w:rPr>
              <w:t>9</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12</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12</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3,17</w:t>
            </w:r>
            <w:r>
              <w:rPr>
                <w:sz w:val="18"/>
                <w:szCs w:val="18"/>
              </w:rPr>
              <w:t>9</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3,17</w:t>
            </w:r>
            <w:r>
              <w:rPr>
                <w:sz w:val="18"/>
                <w:szCs w:val="18"/>
              </w:rPr>
              <w:t>9</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17,98</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17,98</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Balance as of September 30, 2022 (unaudited</w:t>
            </w: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158,991,01</w:t>
            </w:r>
            <w:r>
              <w:rPr>
                <w:sz w:val="18"/>
                <w:szCs w:val="18"/>
              </w:rPr>
              <w:t>9</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375,54</w:t>
            </w:r>
            <w:r>
              <w:rPr>
                <w:sz w:val="18"/>
                <w:szCs w:val="18"/>
              </w:rPr>
              <w:t>9</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232,89</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142,66</w:t>
            </w:r>
            <w:r>
              <w:rPr>
                <w:sz w:val="18"/>
                <w:szCs w:val="18"/>
              </w:rPr>
              <w:t>9</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2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 </w:t>
            </w:r>
          </w:p>
        </w:tc>
        <w:tc>
          <w:tcPr>
            <w:tcW w:w="0" w:type="auto"/>
            <w:hideMark/>
          </w:tcPr>
          <w:p w:rsidR="00000000" w:rsidRDefault="0043639B">
            <w:pPr>
              <w:pStyle w:val="a3"/>
              <w:spacing w:before="0" w:beforeAutospacing="0" w:after="0" w:afterAutospacing="0"/>
              <w:rPr>
                <w:sz w:val="18"/>
                <w:szCs w:val="18"/>
              </w:rPr>
            </w:pPr>
            <w:r>
              <w:rPr>
                <w:sz w:val="18"/>
                <w:szCs w:val="18"/>
              </w:rPr>
              <w:t> </w:t>
            </w:r>
          </w:p>
        </w:tc>
        <w:tc>
          <w:tcPr>
            <w:tcW w:w="0" w:type="auto"/>
            <w:gridSpan w:val="6"/>
            <w:vAlign w:val="bottom"/>
            <w:hideMark/>
          </w:tcPr>
          <w:p w:rsidR="00000000" w:rsidRDefault="0043639B">
            <w:pPr>
              <w:pStyle w:val="a3"/>
              <w:spacing w:before="0" w:beforeAutospacing="0" w:after="0" w:afterAutospacing="0"/>
              <w:jc w:val="center"/>
              <w:rPr>
                <w:sz w:val="12"/>
                <w:szCs w:val="12"/>
              </w:rPr>
            </w:pPr>
            <w:r>
              <w:rPr>
                <w:b/>
                <w:bCs/>
                <w:sz w:val="12"/>
                <w:szCs w:val="12"/>
              </w:rPr>
              <w:t>Convertible Preferred Stoc</w:t>
            </w:r>
            <w:r>
              <w:rPr>
                <w:b/>
                <w:bCs/>
                <w:sz w:val="12"/>
                <w:szCs w:val="12"/>
              </w:rPr>
              <w:t>k</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6"/>
            <w:vAlign w:val="bottom"/>
            <w:hideMark/>
          </w:tcPr>
          <w:p w:rsidR="00000000" w:rsidRDefault="0043639B">
            <w:pPr>
              <w:pStyle w:val="a3"/>
              <w:spacing w:before="0" w:beforeAutospacing="0" w:after="0" w:afterAutospacing="0"/>
              <w:jc w:val="center"/>
              <w:rPr>
                <w:sz w:val="12"/>
                <w:szCs w:val="12"/>
              </w:rPr>
            </w:pPr>
            <w:r>
              <w:rPr>
                <w:b/>
                <w:bCs/>
                <w:sz w:val="12"/>
                <w:szCs w:val="12"/>
              </w:rPr>
              <w:t>Common Stoc</w:t>
            </w:r>
            <w:r>
              <w:rPr>
                <w:b/>
                <w:bCs/>
                <w:sz w:val="12"/>
                <w:szCs w:val="12"/>
              </w:rPr>
              <w:t>k</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r>
      <w:tr w:rsidR="00000000">
        <w:trPr>
          <w:trHeight w:val="140"/>
          <w:tblCellSpacing w:w="15" w:type="dxa"/>
        </w:trPr>
        <w:tc>
          <w:tcPr>
            <w:tcW w:w="0" w:type="auto"/>
            <w:hideMark/>
          </w:tcPr>
          <w:p w:rsidR="00000000" w:rsidRDefault="0043639B">
            <w:pPr>
              <w:pStyle w:val="a3"/>
              <w:spacing w:before="0" w:beforeAutospacing="0" w:after="0" w:afterAutospacing="0"/>
              <w:rPr>
                <w:sz w:val="14"/>
                <w:szCs w:val="14"/>
              </w:rPr>
            </w:pPr>
            <w:r>
              <w:rPr>
                <w:b/>
                <w:bCs/>
                <w:sz w:val="14"/>
                <w:szCs w:val="14"/>
                <w:u w:val="single"/>
              </w:rPr>
              <w:t>Three and Nine Months Ended September 30, 202</w:t>
            </w:r>
            <w:r>
              <w:rPr>
                <w:b/>
                <w:bCs/>
                <w:sz w:val="14"/>
                <w:szCs w:val="14"/>
                <w:u w:val="single"/>
              </w:rPr>
              <w:t>1</w:t>
            </w:r>
          </w:p>
        </w:tc>
        <w:tc>
          <w:tcPr>
            <w:tcW w:w="0" w:type="auto"/>
            <w:vAlign w:val="bottom"/>
            <w:hideMark/>
          </w:tcPr>
          <w:p w:rsidR="00000000" w:rsidRDefault="0043639B">
            <w:pPr>
              <w:pStyle w:val="a3"/>
              <w:spacing w:before="0" w:beforeAutospacing="0" w:after="0" w:afterAutospacing="0"/>
              <w:rPr>
                <w:sz w:val="14"/>
                <w:szCs w:val="14"/>
              </w:rPr>
            </w:pPr>
            <w:r>
              <w:rPr>
                <w:sz w:val="14"/>
                <w:szCs w:val="14"/>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Number of Shares</w:t>
            </w:r>
            <w:r>
              <w:rPr>
                <w:b/>
                <w:bCs/>
                <w:sz w:val="12"/>
                <w:szCs w:val="12"/>
              </w:rPr>
              <w:br/>
              <w:t>Outstandin</w:t>
            </w:r>
            <w:r>
              <w:rPr>
                <w:b/>
                <w:bCs/>
                <w:sz w:val="12"/>
                <w:szCs w:val="12"/>
              </w:rPr>
              <w:t>g</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Number of Shares</w:t>
            </w:r>
            <w:r>
              <w:rPr>
                <w:b/>
                <w:bCs/>
                <w:sz w:val="12"/>
                <w:szCs w:val="12"/>
              </w:rPr>
              <w:br/>
              <w:t>Outstandin</w:t>
            </w:r>
            <w:r>
              <w:rPr>
                <w:b/>
                <w:bCs/>
                <w:sz w:val="12"/>
                <w:szCs w:val="12"/>
              </w:rPr>
              <w:t>g</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Amoun</w:t>
            </w:r>
            <w:r>
              <w:rPr>
                <w:b/>
                <w:bCs/>
                <w:sz w:val="12"/>
                <w:szCs w:val="12"/>
              </w:rPr>
              <w:t>t</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Additional paid-in</w:t>
            </w:r>
            <w:r>
              <w:rPr>
                <w:b/>
                <w:bCs/>
                <w:sz w:val="12"/>
                <w:szCs w:val="12"/>
              </w:rPr>
              <w:br/>
              <w:t>capita</w:t>
            </w:r>
            <w:r>
              <w:rPr>
                <w:b/>
                <w:bCs/>
                <w:sz w:val="12"/>
                <w:szCs w:val="12"/>
              </w:rPr>
              <w:t>l</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Accumulated</w:t>
            </w:r>
            <w:r>
              <w:rPr>
                <w:b/>
                <w:bCs/>
                <w:sz w:val="12"/>
                <w:szCs w:val="12"/>
              </w:rPr>
              <w:br/>
              <w:t>defici</w:t>
            </w:r>
            <w:r>
              <w:rPr>
                <w:b/>
                <w:bCs/>
                <w:sz w:val="12"/>
                <w:szCs w:val="12"/>
              </w:rPr>
              <w:t>t</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c>
          <w:tcPr>
            <w:tcW w:w="0" w:type="auto"/>
            <w:vAlign w:val="bottom"/>
            <w:hideMark/>
          </w:tcPr>
          <w:p w:rsidR="00000000" w:rsidRDefault="0043639B">
            <w:pPr>
              <w:pStyle w:val="a3"/>
              <w:spacing w:before="0" w:beforeAutospacing="0" w:after="0" w:afterAutospacing="0"/>
              <w:rPr>
                <w:sz w:val="12"/>
                <w:szCs w:val="12"/>
              </w:rPr>
            </w:pPr>
            <w:r>
              <w:rPr>
                <w:sz w:val="12"/>
                <w:szCs w:val="12"/>
              </w:rPr>
              <w:t> </w:t>
            </w:r>
          </w:p>
        </w:tc>
        <w:tc>
          <w:tcPr>
            <w:tcW w:w="0" w:type="auto"/>
            <w:gridSpan w:val="2"/>
            <w:vAlign w:val="bottom"/>
            <w:hideMark/>
          </w:tcPr>
          <w:p w:rsidR="00000000" w:rsidRDefault="0043639B">
            <w:pPr>
              <w:pStyle w:val="a3"/>
              <w:spacing w:before="0" w:beforeAutospacing="0" w:after="0" w:afterAutospacing="0"/>
              <w:jc w:val="center"/>
              <w:rPr>
                <w:sz w:val="12"/>
                <w:szCs w:val="12"/>
              </w:rPr>
            </w:pPr>
            <w:r>
              <w:rPr>
                <w:b/>
                <w:bCs/>
                <w:sz w:val="12"/>
                <w:szCs w:val="12"/>
              </w:rPr>
              <w:t>Tota</w:t>
            </w:r>
            <w:r>
              <w:rPr>
                <w:b/>
                <w:bCs/>
                <w:sz w:val="12"/>
                <w:szCs w:val="12"/>
              </w:rPr>
              <w:t>l</w:t>
            </w:r>
          </w:p>
        </w:tc>
        <w:tc>
          <w:tcPr>
            <w:tcW w:w="0" w:type="auto"/>
            <w:vAlign w:val="bottom"/>
            <w:hideMark/>
          </w:tcPr>
          <w:p w:rsidR="00000000" w:rsidRDefault="0043639B">
            <w:pPr>
              <w:pStyle w:val="a3"/>
              <w:spacing w:before="0" w:beforeAutospacing="0" w:after="0" w:afterAutospacing="0"/>
              <w:jc w:val="center"/>
              <w:rPr>
                <w:sz w:val="12"/>
                <w:szCs w:val="12"/>
              </w:rPr>
            </w:pPr>
            <w:r>
              <w:rPr>
                <w:sz w:val="12"/>
                <w:szCs w:val="12"/>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Balance as of December 31, 202</w:t>
            </w:r>
            <w:r>
              <w:rPr>
                <w:sz w:val="18"/>
                <w:szCs w:val="18"/>
              </w:rPr>
              <w:t>0</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94,582,55</w:t>
            </w:r>
            <w:r>
              <w:rPr>
                <w:sz w:val="18"/>
                <w:szCs w:val="18"/>
              </w:rPr>
              <w:t>0</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111,28</w:t>
            </w:r>
            <w:r>
              <w:rPr>
                <w:sz w:val="18"/>
                <w:szCs w:val="18"/>
              </w:rPr>
              <w:t>2</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13,413,43</w:t>
            </w:r>
            <w:r>
              <w:rPr>
                <w:sz w:val="18"/>
                <w:szCs w:val="18"/>
              </w:rPr>
              <w:t>1</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9,88</w:t>
            </w:r>
            <w:r>
              <w:rPr>
                <w:sz w:val="18"/>
                <w:szCs w:val="18"/>
              </w:rPr>
              <w:t>9</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108,78</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98,89</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684,92</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79</w:t>
            </w:r>
            <w:r>
              <w:rPr>
                <w:sz w:val="18"/>
                <w:szCs w:val="18"/>
              </w:rPr>
              <w:t>7</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79</w:t>
            </w:r>
            <w:r>
              <w:rPr>
                <w:sz w:val="18"/>
                <w:szCs w:val="18"/>
              </w:rPr>
              <w:t>7</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1,51</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1,51</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Issuance of warrant</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12</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12</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12,73</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12,73</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Balance as of March 31, 2021 (unaudited</w:t>
            </w: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94,582,55</w:t>
            </w:r>
            <w:r>
              <w:rPr>
                <w:sz w:val="18"/>
                <w:szCs w:val="18"/>
              </w:rPr>
              <w:t>0</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111,28</w:t>
            </w:r>
            <w:r>
              <w:rPr>
                <w:sz w:val="18"/>
                <w:szCs w:val="18"/>
              </w:rPr>
              <w:t>2</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14,098,35</w:t>
            </w:r>
            <w:r>
              <w:rPr>
                <w:sz w:val="18"/>
                <w:szCs w:val="18"/>
              </w:rPr>
              <w:t>4</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12,32</w:t>
            </w:r>
            <w:r>
              <w:rPr>
                <w:sz w:val="18"/>
                <w:szCs w:val="18"/>
              </w:rPr>
              <w:t>4</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121,52</w:t>
            </w:r>
            <w:r>
              <w:rPr>
                <w:sz w:val="18"/>
                <w:szCs w:val="18"/>
              </w:rPr>
              <w:t>6</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109,20</w:t>
            </w:r>
            <w:r>
              <w:rPr>
                <w:sz w:val="18"/>
                <w:szCs w:val="18"/>
              </w:rPr>
              <w:t>1</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2,617,90</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1,12</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1,12</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15,19</w:t>
            </w:r>
            <w:r>
              <w:rPr>
                <w:sz w:val="18"/>
                <w:szCs w:val="18"/>
              </w:rPr>
              <w:t>6</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15,19</w:t>
            </w:r>
            <w:r>
              <w:rPr>
                <w:sz w:val="18"/>
                <w:szCs w:val="18"/>
              </w:rPr>
              <w:t>6</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Common stock issued related to exercise of warrant</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98,87</w:t>
            </w:r>
            <w:r>
              <w:rPr>
                <w:sz w:val="18"/>
                <w:szCs w:val="18"/>
              </w:rPr>
              <w:t>1</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60</w:t>
            </w:r>
            <w:r>
              <w:rPr>
                <w:sz w:val="18"/>
                <w:szCs w:val="18"/>
              </w:rPr>
              <w:t>9</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60</w:t>
            </w:r>
            <w:r>
              <w:rPr>
                <w:sz w:val="18"/>
                <w:szCs w:val="18"/>
              </w:rPr>
              <w:t>9</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Acquisition of warrant</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27,94</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27,94</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Preferred stock conversio</w:t>
            </w:r>
            <w:r>
              <w:rPr>
                <w:sz w:val="18"/>
                <w:szCs w:val="18"/>
              </w:rPr>
              <w:t>n</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94,582,55</w:t>
            </w:r>
            <w:r>
              <w:rPr>
                <w:sz w:val="18"/>
                <w:szCs w:val="18"/>
              </w:rPr>
              <w:t>0</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111,28</w:t>
            </w:r>
            <w:r>
              <w:rPr>
                <w:sz w:val="18"/>
                <w:szCs w:val="18"/>
              </w:rPr>
              <w:t>2</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94,582,55</w:t>
            </w:r>
            <w:r>
              <w:rPr>
                <w:sz w:val="18"/>
                <w:szCs w:val="18"/>
              </w:rPr>
              <w:t>0</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w:t>
            </w:r>
            <w:r>
              <w:rPr>
                <w:sz w:val="18"/>
                <w:szCs w:val="18"/>
              </w:rPr>
              <w:t>0</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111,27</w:t>
            </w:r>
            <w:r>
              <w:rPr>
                <w:sz w:val="18"/>
                <w:szCs w:val="18"/>
              </w:rPr>
              <w:t>2</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111,28</w:t>
            </w:r>
            <w:r>
              <w:rPr>
                <w:sz w:val="18"/>
                <w:szCs w:val="18"/>
              </w:rPr>
              <w:t>2</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Issuance of common stock in connection with</w:t>
            </w:r>
            <w:r>
              <w:rPr>
                <w:sz w:val="18"/>
                <w:szCs w:val="18"/>
              </w:rPr>
              <w:br/>
            </w:r>
            <w:r>
              <w:rPr>
                <w:sz w:val="18"/>
                <w:szCs w:val="18"/>
              </w:rPr>
              <w:t>Business Combination and PIPE offering, ne</w:t>
            </w:r>
            <w:r>
              <w:rPr>
                <w:sz w:val="18"/>
                <w:szCs w:val="18"/>
              </w:rPr>
              <w:t>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40,858,05</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4</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185,73</w:t>
            </w:r>
            <w:r>
              <w:rPr>
                <w:sz w:val="18"/>
                <w:szCs w:val="18"/>
              </w:rPr>
              <w:t>9</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185,74</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Net los</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30,44</w:t>
            </w:r>
            <w:r>
              <w:rPr>
                <w:sz w:val="18"/>
                <w:szCs w:val="18"/>
              </w:rPr>
              <w:t>1</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30,44</w:t>
            </w:r>
            <w:r>
              <w:rPr>
                <w:sz w:val="18"/>
                <w:szCs w:val="18"/>
              </w:rPr>
              <w:t>1</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Balance as of June 30, 2021 (unaudited</w:t>
            </w: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152,255,73</w:t>
            </w:r>
            <w:r>
              <w:rPr>
                <w:sz w:val="18"/>
                <w:szCs w:val="18"/>
              </w:rPr>
              <w:t>6</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354,21</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151,96</w:t>
            </w:r>
            <w:r>
              <w:rPr>
                <w:sz w:val="18"/>
                <w:szCs w:val="18"/>
              </w:rPr>
              <w:t>7</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202,26</w:t>
            </w:r>
            <w:r>
              <w:rPr>
                <w:sz w:val="18"/>
                <w:szCs w:val="18"/>
              </w:rPr>
              <w:t>1</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Exercise of stock option</w:t>
            </w:r>
            <w:r>
              <w:rPr>
                <w:sz w:val="18"/>
                <w:szCs w:val="18"/>
              </w:rPr>
              <w:t>s</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37,56</w:t>
            </w:r>
            <w:r>
              <w:rPr>
                <w:sz w:val="18"/>
                <w:szCs w:val="18"/>
              </w:rPr>
              <w:t>2</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4</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4</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Stock-based compensatio</w:t>
            </w:r>
            <w:r>
              <w:rPr>
                <w:sz w:val="18"/>
                <w:szCs w:val="18"/>
              </w:rPr>
              <w:t>n</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3,87</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3,87</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Net incom</w:t>
            </w:r>
            <w:r>
              <w:rPr>
                <w:sz w:val="18"/>
                <w:szCs w:val="18"/>
              </w:rPr>
              <w:t>e</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w:t>
            </w: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1,50</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1,50</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Issuance costs in connection with Business</w:t>
            </w:r>
            <w:r>
              <w:rPr>
                <w:sz w:val="18"/>
                <w:szCs w:val="18"/>
              </w:rPr>
              <w:br/>
            </w:r>
            <w:r>
              <w:rPr>
                <w:sz w:val="18"/>
                <w:szCs w:val="18"/>
              </w:rPr>
              <w:t>Combination and PIPE offerin</w:t>
            </w:r>
            <w:r>
              <w:rPr>
                <w:sz w:val="18"/>
                <w:szCs w:val="18"/>
              </w:rPr>
              <w:t>g</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80</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80</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Balance as of September 30, 2021 (unaudited</w:t>
            </w: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18"/>
                <w:szCs w:val="18"/>
              </w:rPr>
            </w:pPr>
            <w:r>
              <w:rPr>
                <w:sz w:val="18"/>
                <w:szCs w:val="18"/>
              </w:rPr>
              <w:t>-</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152,293,29</w:t>
            </w:r>
            <w:r>
              <w:rPr>
                <w:sz w:val="18"/>
                <w:szCs w:val="18"/>
              </w:rPr>
              <w:t>8</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1</w:t>
            </w:r>
            <w:r>
              <w:rPr>
                <w:sz w:val="18"/>
                <w:szCs w:val="18"/>
              </w:rPr>
              <w:t>5</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357,33</w:t>
            </w:r>
            <w:r>
              <w:rPr>
                <w:sz w:val="18"/>
                <w:szCs w:val="18"/>
              </w:rPr>
              <w:t>0</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w:t>
            </w:r>
            <w:r>
              <w:rPr>
                <w:sz w:val="18"/>
                <w:szCs w:val="18"/>
              </w:rPr>
              <w:t>150,46</w:t>
            </w:r>
            <w:r>
              <w:rPr>
                <w:sz w:val="18"/>
                <w:szCs w:val="18"/>
              </w:rPr>
              <w:t>2</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rPr>
                <w:sz w:val="18"/>
                <w:szCs w:val="18"/>
              </w:rPr>
            </w:pPr>
            <w:r>
              <w:rPr>
                <w:sz w:val="18"/>
                <w:szCs w:val="18"/>
              </w:rPr>
              <w:t> </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w:t>
            </w:r>
          </w:p>
        </w:tc>
        <w:tc>
          <w:tcPr>
            <w:tcW w:w="0" w:type="auto"/>
            <w:vAlign w:val="bottom"/>
            <w:hideMark/>
          </w:tcPr>
          <w:p w:rsidR="00000000" w:rsidRDefault="0043639B">
            <w:pPr>
              <w:pStyle w:val="a3"/>
              <w:spacing w:before="0" w:beforeAutospacing="0" w:after="0" w:afterAutospacing="0"/>
              <w:jc w:val="right"/>
              <w:rPr>
                <w:sz w:val="20"/>
                <w:szCs w:val="20"/>
              </w:rPr>
            </w:pPr>
            <w:r>
              <w:rPr>
                <w:sz w:val="18"/>
                <w:szCs w:val="18"/>
              </w:rPr>
              <w:t>206,88</w:t>
            </w:r>
            <w:r>
              <w:rPr>
                <w:sz w:val="18"/>
                <w:szCs w:val="18"/>
              </w:rPr>
              <w:t>3</w:t>
            </w:r>
          </w:p>
        </w:tc>
        <w:tc>
          <w:tcPr>
            <w:tcW w:w="0" w:type="auto"/>
            <w:noWrap/>
            <w:vAlign w:val="bottom"/>
            <w:hideMark/>
          </w:tcPr>
          <w:p w:rsidR="00000000" w:rsidRDefault="0043639B">
            <w:pPr>
              <w:pStyle w:val="a3"/>
              <w:spacing w:before="0" w:beforeAutospacing="0" w:after="0" w:afterAutospacing="0"/>
              <w:rPr>
                <w:sz w:val="18"/>
                <w:szCs w:val="18"/>
              </w:rPr>
            </w:pPr>
            <w:r>
              <w:rPr>
                <w:sz w:val="18"/>
                <w:szCs w:val="18"/>
              </w:rPr>
              <w:t> </w:t>
            </w:r>
          </w:p>
        </w:tc>
      </w:tr>
    </w:tbl>
    <w:p w:rsidR="00000000" w:rsidRDefault="0043639B">
      <w:pPr>
        <w:pStyle w:val="a3"/>
        <w:spacing w:before="120" w:beforeAutospacing="0" w:after="0" w:afterAutospacing="0"/>
        <w:rPr>
          <w:sz w:val="20"/>
          <w:szCs w:val="20"/>
        </w:rPr>
      </w:pPr>
      <w:r>
        <w:rPr>
          <w:sz w:val="15"/>
          <w:szCs w:val="15"/>
        </w:rPr>
        <w:t>*) Represents an amount lower than $</w:t>
      </w:r>
      <w:r>
        <w:rPr>
          <w:sz w:val="15"/>
          <w:szCs w:val="15"/>
        </w:rPr>
        <w:t>1</w:t>
      </w:r>
    </w:p>
    <w:p w:rsidR="00000000" w:rsidRDefault="0043639B">
      <w:pPr>
        <w:pStyle w:val="a3"/>
        <w:spacing w:before="0" w:beforeAutospacing="0" w:after="0" w:afterAutospacing="0"/>
        <w:jc w:val="center"/>
        <w:rPr>
          <w:sz w:val="20"/>
          <w:szCs w:val="20"/>
        </w:rPr>
      </w:pPr>
      <w:r>
        <w:rPr>
          <w:sz w:val="18"/>
          <w:szCs w:val="18"/>
        </w:rPr>
        <w:t>The accompanying notes are an integral part of the condensed consolidated financial statements</w:t>
      </w:r>
      <w:r>
        <w:rPr>
          <w:sz w:val="18"/>
          <w:szCs w:val="18"/>
        </w:rPr>
        <w:t>.</w:t>
      </w:r>
    </w:p>
    <w:p w:rsidR="00000000" w:rsidRDefault="0043639B">
      <w:pPr>
        <w:pStyle w:val="a3"/>
        <w:spacing w:before="0" w:beforeAutospacing="0" w:after="0" w:afterAutospacing="0"/>
        <w:jc w:val="center"/>
        <w:rPr>
          <w:sz w:val="20"/>
          <w:szCs w:val="20"/>
        </w:rPr>
      </w:pPr>
      <w:r>
        <w:rPr>
          <w:sz w:val="20"/>
          <w:szCs w:val="20"/>
        </w:rPr>
        <w:t>8</w:t>
      </w:r>
    </w:p>
    <w:p w:rsidR="00000000" w:rsidRDefault="0043639B">
      <w:pPr>
        <w:rPr>
          <w:rFonts w:eastAsia="Times New Roman"/>
        </w:rPr>
      </w:pPr>
      <w:r>
        <w:rPr>
          <w:rFonts w:eastAsia="Times New Roman"/>
        </w:rPr>
        <w:pict>
          <v:rect id="_x0000_i1032"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43639B">
      <w:pPr>
        <w:pStyle w:val="a3"/>
        <w:spacing w:before="0" w:beforeAutospacing="0" w:after="0" w:afterAutospacing="0"/>
        <w:jc w:val="center"/>
        <w:rPr>
          <w:sz w:val="20"/>
          <w:szCs w:val="20"/>
        </w:rPr>
      </w:pPr>
      <w:r>
        <w:rPr>
          <w:b/>
          <w:bCs/>
          <w:sz w:val="20"/>
          <w:szCs w:val="20"/>
        </w:rPr>
        <w:t>CONDENSED CONSOLIDATED ST</w:t>
      </w:r>
      <w:r>
        <w:rPr>
          <w:b/>
          <w:bCs/>
          <w:sz w:val="20"/>
          <w:szCs w:val="20"/>
        </w:rPr>
        <w:t>A</w:t>
      </w:r>
      <w:r>
        <w:rPr>
          <w:b/>
          <w:bCs/>
          <w:sz w:val="20"/>
          <w:szCs w:val="20"/>
        </w:rPr>
        <w:t>TEMENTS OF CASH FLOW</w:t>
      </w:r>
      <w:r>
        <w:rPr>
          <w:b/>
          <w:bCs/>
          <w:sz w:val="20"/>
          <w:szCs w:val="20"/>
        </w:rPr>
        <w:t>S</w:t>
      </w:r>
      <w:r>
        <w:rPr>
          <w:b/>
          <w:bCs/>
          <w:sz w:val="20"/>
          <w:szCs w:val="20"/>
        </w:rPr>
        <w:t xml:space="preserve"> </w:t>
      </w:r>
    </w:p>
    <w:p w:rsidR="00000000" w:rsidRDefault="0043639B">
      <w:pPr>
        <w:pStyle w:val="a3"/>
        <w:spacing w:before="0" w:beforeAutospacing="0" w:after="0" w:afterAutospacing="0"/>
        <w:jc w:val="center"/>
        <w:rPr>
          <w:sz w:val="20"/>
          <w:szCs w:val="20"/>
        </w:rPr>
      </w:pPr>
      <w:r>
        <w:rPr>
          <w:b/>
          <w:bCs/>
          <w:sz w:val="20"/>
          <w:szCs w:val="20"/>
        </w:rPr>
        <w:t>(Unaudited</w:t>
      </w:r>
      <w:r>
        <w:rPr>
          <w:b/>
          <w:bCs/>
          <w:sz w:val="20"/>
          <w:szCs w:val="20"/>
        </w:rPr>
        <w:t>)</w:t>
      </w:r>
    </w:p>
    <w:p w:rsidR="00000000" w:rsidRDefault="0043639B">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86"/>
        <w:gridCol w:w="138"/>
        <w:gridCol w:w="160"/>
        <w:gridCol w:w="1068"/>
        <w:gridCol w:w="127"/>
        <w:gridCol w:w="139"/>
        <w:gridCol w:w="160"/>
        <w:gridCol w:w="1086"/>
        <w:gridCol w:w="142"/>
      </w:tblGrid>
      <w:tr w:rsidR="00000000">
        <w:trPr>
          <w:tblCellSpacing w:w="15" w:type="dxa"/>
        </w:trPr>
        <w:tc>
          <w:tcPr>
            <w:tcW w:w="3289" w:type="pct"/>
            <w:vAlign w:val="center"/>
            <w:hideMark/>
          </w:tcPr>
          <w:p w:rsidR="00000000" w:rsidRDefault="0043639B">
            <w:pPr>
              <w:rPr>
                <w:sz w:val="20"/>
                <w:szCs w:val="20"/>
              </w:rPr>
            </w:pPr>
          </w:p>
        </w:tc>
        <w:tc>
          <w:tcPr>
            <w:tcW w:w="84"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65"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84"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76"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Nine Months Ended</w:t>
            </w:r>
            <w:r>
              <w:rPr>
                <w:b/>
                <w:bCs/>
                <w:sz w:val="16"/>
                <w:szCs w:val="16"/>
              </w:rPr>
              <w:br/>
              <w:t>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180"/>
          <w:tblCellSpacing w:w="15" w:type="dxa"/>
        </w:trPr>
        <w:tc>
          <w:tcPr>
            <w:tcW w:w="0" w:type="auto"/>
            <w:vAlign w:val="bottom"/>
            <w:hideMark/>
          </w:tcPr>
          <w:p w:rsidR="00000000" w:rsidRDefault="0043639B">
            <w:pPr>
              <w:pStyle w:val="a3"/>
              <w:spacing w:before="0" w:beforeAutospacing="0" w:after="0" w:afterAutospacing="0"/>
              <w:rPr>
                <w:sz w:val="18"/>
                <w:szCs w:val="18"/>
              </w:rPr>
            </w:pPr>
            <w:r>
              <w:rPr>
                <w:i/>
                <w:iCs/>
                <w:sz w:val="18"/>
                <w:szCs w:val="18"/>
              </w:rPr>
              <w:t>(U.S. dollars in thousands</w:t>
            </w:r>
            <w:r>
              <w:rPr>
                <w:i/>
                <w:iCs/>
                <w:sz w:val="18"/>
                <w:szCs w:val="18"/>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b/>
                <w:bCs/>
                <w:sz w:val="20"/>
                <w:szCs w:val="20"/>
                <w:u w:val="single"/>
              </w:rPr>
              <w:t>Cash flows from operating activities</w:t>
            </w:r>
            <w:r>
              <w:rPr>
                <w:b/>
                <w:bCs/>
                <w:sz w:val="20"/>
                <w:szCs w:val="20"/>
                <w:u w:val="single"/>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Net los</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61,36</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41,67</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Adjustments to reconcile net loss to net cash used in operating activities</w:t>
            </w: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1,00</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1,45</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Amortization of debt issuance cos</w:t>
            </w:r>
            <w:r>
              <w:rPr>
                <w:sz w:val="20"/>
                <w:szCs w:val="20"/>
              </w:rPr>
              <w:t>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17</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9,38</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20,58</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Warrant issue costs and change in fair valu</w:t>
            </w:r>
            <w:r>
              <w:rPr>
                <w:sz w:val="20"/>
                <w:szCs w:val="20"/>
              </w:rPr>
              <w:t>e</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42</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23,84</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(Increase) decrease in accounts receivable, ne</w:t>
            </w:r>
            <w:r>
              <w:rPr>
                <w:sz w:val="20"/>
                <w:szCs w:val="20"/>
              </w:rPr>
              <w:t>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3,18</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59</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Decrease (increase) in other current asset</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4,84</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8,51</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Increase in accounts payabl</w:t>
            </w:r>
            <w:r>
              <w:rPr>
                <w:sz w:val="20"/>
                <w:szCs w:val="20"/>
              </w:rPr>
              <w:t>e</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2,93</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7,11</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(Decrease) increase in deferred revenue</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1,72</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3,13</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Increase (decrease) in accrued expenses and other current liabilitie</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1,46</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13</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Increase in other long-term liabilitie</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20</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46,85</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41,10</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b/>
                <w:bCs/>
                <w:sz w:val="20"/>
                <w:szCs w:val="20"/>
                <w:u w:val="single"/>
              </w:rPr>
              <w:t>Cash flows from investing activities</w:t>
            </w:r>
            <w:r>
              <w:rPr>
                <w:b/>
                <w:bCs/>
                <w:sz w:val="20"/>
                <w:szCs w:val="20"/>
                <w:u w:val="single"/>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Purchase of property and equipmen</w:t>
            </w:r>
            <w:r>
              <w:rPr>
                <w:sz w:val="20"/>
                <w:szCs w:val="20"/>
              </w:rPr>
              <w:t>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25</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62</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25</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62</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b/>
                <w:bCs/>
                <w:sz w:val="20"/>
                <w:szCs w:val="20"/>
                <w:u w:val="single"/>
              </w:rPr>
              <w:t>Cash flows from financing activities</w:t>
            </w:r>
            <w:r>
              <w:rPr>
                <w:b/>
                <w:bCs/>
                <w:sz w:val="20"/>
                <w:szCs w:val="20"/>
                <w:u w:val="single"/>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(Payments) proceeds from reverse capitalization, net of transaction cost</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64</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249,42</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Proceeds from borrowing</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6,00</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Repayment of borrowing</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6,00</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Payment of debt issuance cos</w:t>
            </w:r>
            <w:r>
              <w:rPr>
                <w:sz w:val="20"/>
                <w:szCs w:val="20"/>
              </w:rPr>
              <w:t>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5</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Proceeds from exercise of stock option</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2,69</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1,97</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Payments for employee taxes withheld related to vested stock-based award</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55</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1,49</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251,34</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Net (decrease) increase in cash and cash equivalent</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45,61</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209,61</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Cash and cash equivalents at the beginning of the perio</w:t>
            </w:r>
            <w:r>
              <w:rPr>
                <w:sz w:val="20"/>
                <w:szCs w:val="20"/>
              </w:rPr>
              <w:t>d</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198,25</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13,24</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Cash and cash equivalents at the end of the perio</w:t>
            </w:r>
            <w:r>
              <w:rPr>
                <w:sz w:val="20"/>
                <w:szCs w:val="20"/>
              </w:rPr>
              <w:t>d</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152,63</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222,86</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u w:val="single"/>
              </w:rPr>
              <w:t>Supplemental cash flow data</w:t>
            </w:r>
            <w:r>
              <w:rPr>
                <w:sz w:val="20"/>
                <w:szCs w:val="20"/>
                <w:u w:val="single"/>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Cash paid during the period for interes</w:t>
            </w:r>
            <w:r>
              <w:rPr>
                <w:sz w:val="20"/>
                <w:szCs w:val="20"/>
              </w:rPr>
              <w:t>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11</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Cash paid during the period for income taxe</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12</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u w:val="single"/>
              </w:rPr>
              <w:t>Non-cash financing activity</w:t>
            </w:r>
            <w:r>
              <w:rPr>
                <w:sz w:val="20"/>
                <w:szCs w:val="20"/>
                <w:u w:val="single"/>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Conversion of preferred stock to common stoc</w:t>
            </w:r>
            <w:r>
              <w:rPr>
                <w:sz w:val="20"/>
                <w:szCs w:val="20"/>
              </w:rPr>
              <w:t>k</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111,28</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bl>
    <w:p w:rsidR="00000000" w:rsidRDefault="0043639B">
      <w:pPr>
        <w:pStyle w:val="a3"/>
        <w:spacing w:before="12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The accompanying notes are an integral part of the condensed consolidated financial statements</w:t>
      </w:r>
      <w:r>
        <w:rPr>
          <w:sz w:val="20"/>
          <w:szCs w:val="20"/>
        </w:rPr>
        <w:t>.</w:t>
      </w:r>
    </w:p>
    <w:p w:rsidR="00000000" w:rsidRDefault="0043639B">
      <w:pPr>
        <w:pStyle w:val="a3"/>
        <w:spacing w:before="0" w:beforeAutospacing="0" w:after="0" w:afterAutospacing="0"/>
        <w:jc w:val="center"/>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9</w:t>
      </w:r>
    </w:p>
    <w:p w:rsidR="00000000" w:rsidRDefault="0043639B">
      <w:pPr>
        <w:rPr>
          <w:rFonts w:eastAsia="Times New Roman"/>
        </w:rPr>
      </w:pPr>
      <w:r>
        <w:rPr>
          <w:rFonts w:eastAsia="Times New Roman"/>
        </w:rPr>
        <w:pict>
          <v:rect id="_x0000_i1033"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0" w:beforeAutospacing="0" w:after="0" w:afterAutospacing="0"/>
        <w:jc w:val="center"/>
        <w:rPr>
          <w:sz w:val="20"/>
          <w:szCs w:val="20"/>
        </w:rPr>
      </w:pPr>
      <w:r>
        <w:rPr>
          <w:b/>
          <w:bCs/>
          <w:sz w:val="20"/>
          <w:szCs w:val="20"/>
        </w:rPr>
        <w:t>TALKSPACE, INC</w:t>
      </w:r>
      <w:r>
        <w:rPr>
          <w:b/>
          <w:bCs/>
          <w:sz w:val="20"/>
          <w:szCs w:val="20"/>
        </w:rPr>
        <w:t>.</w:t>
      </w:r>
    </w:p>
    <w:p w:rsidR="00000000" w:rsidRDefault="0043639B">
      <w:pPr>
        <w:pStyle w:val="a3"/>
        <w:spacing w:before="0" w:beforeAutospacing="0" w:after="0" w:afterAutospacing="0"/>
        <w:jc w:val="center"/>
        <w:rPr>
          <w:sz w:val="20"/>
          <w:szCs w:val="20"/>
        </w:rPr>
      </w:pPr>
      <w:r>
        <w:rPr>
          <w:b/>
          <w:bCs/>
          <w:sz w:val="20"/>
          <w:szCs w:val="20"/>
        </w:rPr>
        <w:t>NOTES TO CONDENSED CONSOLIDAT</w:t>
      </w:r>
      <w:r>
        <w:rPr>
          <w:b/>
          <w:bCs/>
          <w:sz w:val="20"/>
          <w:szCs w:val="20"/>
        </w:rPr>
        <w:t>E</w:t>
      </w:r>
      <w:r>
        <w:rPr>
          <w:b/>
          <w:bCs/>
          <w:sz w:val="20"/>
          <w:szCs w:val="20"/>
        </w:rPr>
        <w:t>D FINANCIAL STATEMENT</w:t>
      </w:r>
      <w:r>
        <w:rPr>
          <w:b/>
          <w:bCs/>
          <w:sz w:val="20"/>
          <w:szCs w:val="20"/>
        </w:rPr>
        <w:t>S</w:t>
      </w:r>
      <w:r>
        <w:rPr>
          <w:b/>
          <w:bCs/>
          <w:sz w:val="20"/>
          <w:szCs w:val="20"/>
        </w:rPr>
        <w:t xml:space="preserve"> </w:t>
      </w:r>
    </w:p>
    <w:p w:rsidR="00000000" w:rsidRDefault="0043639B">
      <w:pPr>
        <w:pStyle w:val="a3"/>
        <w:spacing w:before="0" w:beforeAutospacing="0" w:after="0" w:afterAutospacing="0"/>
        <w:jc w:val="center"/>
        <w:rPr>
          <w:sz w:val="20"/>
          <w:szCs w:val="20"/>
        </w:rPr>
      </w:pPr>
      <w:r>
        <w:rPr>
          <w:b/>
          <w:bCs/>
          <w:sz w:val="20"/>
          <w:szCs w:val="20"/>
        </w:rPr>
        <w:t>(</w:t>
      </w:r>
      <w:r>
        <w:rPr>
          <w:b/>
          <w:bCs/>
          <w:sz w:val="20"/>
          <w:szCs w:val="20"/>
        </w:rPr>
        <w:t>Unaudited</w:t>
      </w:r>
      <w:r>
        <w:rPr>
          <w:b/>
          <w:bCs/>
          <w:sz w:val="20"/>
          <w:szCs w:val="20"/>
        </w:rPr>
        <w:t>)</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divId w:val="524829272"/>
        <w:rPr>
          <w:sz w:val="20"/>
          <w:szCs w:val="20"/>
        </w:rPr>
      </w:pPr>
      <w:r>
        <w:rPr>
          <w:b/>
          <w:bCs/>
          <w:sz w:val="20"/>
          <w:szCs w:val="20"/>
        </w:rPr>
        <w:t>NOTE 1. DESCRIPTION OF ORGANIZATION AND BUSINESS OPERATION</w:t>
      </w:r>
      <w:r>
        <w:rPr>
          <w:b/>
          <w:bCs/>
          <w:sz w:val="20"/>
          <w:szCs w:val="20"/>
        </w:rPr>
        <w:t>S</w:t>
      </w:r>
    </w:p>
    <w:p w:rsidR="00000000" w:rsidRDefault="0043639B">
      <w:pPr>
        <w:pStyle w:val="a3"/>
        <w:spacing w:before="0" w:beforeAutospacing="0" w:after="0" w:afterAutospacing="0"/>
        <w:jc w:val="both"/>
        <w:divId w:val="524829272"/>
        <w:rPr>
          <w:sz w:val="20"/>
          <w:szCs w:val="20"/>
        </w:rPr>
      </w:pPr>
      <w:r>
        <w:rPr>
          <w:sz w:val="20"/>
          <w:szCs w:val="20"/>
        </w:rPr>
        <w:t> </w:t>
      </w:r>
    </w:p>
    <w:p w:rsidR="00000000" w:rsidRDefault="0043639B">
      <w:pPr>
        <w:pStyle w:val="a3"/>
        <w:spacing w:before="0" w:beforeAutospacing="0" w:after="0" w:afterAutospacing="0"/>
        <w:jc w:val="both"/>
        <w:divId w:val="524829272"/>
        <w:rPr>
          <w:sz w:val="20"/>
          <w:szCs w:val="20"/>
        </w:rPr>
      </w:pPr>
      <w:r>
        <w:rPr>
          <w:sz w:val="20"/>
          <w:szCs w:val="20"/>
        </w:rPr>
        <w:t>Talkspace, Inc. (together with its consolidated subsidiaries, the “Company” or “Talkspace”) is a leading behavioral healthcare company enabled by a purpose-built technology platform</w:t>
      </w:r>
      <w:r>
        <w:rPr>
          <w:sz w:val="20"/>
          <w:szCs w:val="20"/>
        </w:rPr>
        <w:t>. Talkspace provides individuals and licensed therapists, psychologists and psychiatrists with an online platform for one-on-one therapy delivered via messaging, audio and video. Talkspace was originally incorporated as Hudson Executive Investment Corp. (“</w:t>
      </w:r>
      <w:r>
        <w:rPr>
          <w:sz w:val="20"/>
          <w:szCs w:val="20"/>
        </w:rPr>
        <w:t>HEC”). In connection with the Business Combination completed in June 2021, HEC changed its name to “Talkspace, Inc.</w:t>
      </w:r>
      <w:r>
        <w:rPr>
          <w:sz w:val="20"/>
          <w:szCs w:val="20"/>
        </w:rPr>
        <w:t>”</w:t>
      </w:r>
    </w:p>
    <w:p w:rsidR="00000000" w:rsidRDefault="0043639B">
      <w:pPr>
        <w:pStyle w:val="a3"/>
        <w:spacing w:before="0" w:beforeAutospacing="0" w:after="0" w:afterAutospacing="0"/>
        <w:jc w:val="both"/>
        <w:divId w:val="524829272"/>
        <w:rPr>
          <w:sz w:val="20"/>
          <w:szCs w:val="20"/>
        </w:rPr>
      </w:pPr>
      <w:r>
        <w:rPr>
          <w:sz w:val="20"/>
          <w:szCs w:val="20"/>
        </w:rPr>
        <w:t> </w:t>
      </w:r>
    </w:p>
    <w:p w:rsidR="00000000" w:rsidRDefault="0043639B">
      <w:pPr>
        <w:pStyle w:val="a3"/>
        <w:spacing w:before="0" w:beforeAutospacing="0" w:after="0" w:afterAutospacing="0"/>
        <w:divId w:val="524829272"/>
        <w:rPr>
          <w:sz w:val="20"/>
          <w:szCs w:val="20"/>
        </w:rPr>
      </w:pPr>
      <w:r>
        <w:rPr>
          <w:b/>
          <w:bCs/>
          <w:i/>
          <w:iCs/>
          <w:sz w:val="20"/>
          <w:szCs w:val="20"/>
        </w:rPr>
        <w:t>Operating Segment</w:t>
      </w:r>
      <w:r>
        <w:rPr>
          <w:b/>
          <w:bCs/>
          <w:i/>
          <w:iCs/>
          <w:sz w:val="20"/>
          <w:szCs w:val="20"/>
        </w:rPr>
        <w:t>s</w:t>
      </w:r>
      <w:r>
        <w:rPr>
          <w:b/>
          <w:bCs/>
          <w:i/>
          <w:iCs/>
          <w:sz w:val="20"/>
          <w:szCs w:val="20"/>
        </w:rPr>
        <w:t xml:space="preserve"> </w:t>
      </w:r>
    </w:p>
    <w:p w:rsidR="00000000" w:rsidRDefault="0043639B">
      <w:pPr>
        <w:pStyle w:val="a3"/>
        <w:spacing w:before="120" w:beforeAutospacing="0" w:after="0" w:afterAutospacing="0"/>
        <w:jc w:val="both"/>
        <w:divId w:val="524829272"/>
        <w:rPr>
          <w:sz w:val="20"/>
          <w:szCs w:val="20"/>
        </w:rPr>
      </w:pPr>
      <w:r>
        <w:rPr>
          <w:sz w:val="20"/>
          <w:szCs w:val="20"/>
        </w:rPr>
        <w:t>The Company operates its business as a single segment and as one reporting unit, which is how the Company's chief operating decision maker (who is the interim chief executive officer) reviews financial performance and allocates resources</w:t>
      </w:r>
      <w:r>
        <w:rPr>
          <w:sz w:val="20"/>
          <w:szCs w:val="20"/>
        </w:rPr>
        <w:t>.</w:t>
      </w:r>
    </w:p>
    <w:p w:rsidR="00000000" w:rsidRDefault="0043639B">
      <w:pPr>
        <w:pStyle w:val="a3"/>
        <w:spacing w:before="360" w:beforeAutospacing="0" w:after="0" w:afterAutospacing="0"/>
        <w:divId w:val="983972761"/>
        <w:rPr>
          <w:sz w:val="20"/>
          <w:szCs w:val="20"/>
        </w:rPr>
      </w:pPr>
      <w:r>
        <w:rPr>
          <w:b/>
          <w:bCs/>
          <w:sz w:val="20"/>
          <w:szCs w:val="20"/>
        </w:rPr>
        <w:t>NOTE 2. SIGNIFICA</w:t>
      </w:r>
      <w:r>
        <w:rPr>
          <w:b/>
          <w:bCs/>
          <w:sz w:val="20"/>
          <w:szCs w:val="20"/>
        </w:rPr>
        <w:t>NT ACCOUNTING POLICIE</w:t>
      </w:r>
      <w:r>
        <w:rPr>
          <w:b/>
          <w:bCs/>
          <w:sz w:val="20"/>
          <w:szCs w:val="20"/>
        </w:rPr>
        <w:t>S</w:t>
      </w:r>
    </w:p>
    <w:p w:rsidR="00000000" w:rsidRDefault="0043639B">
      <w:pPr>
        <w:pStyle w:val="a3"/>
        <w:spacing w:before="240" w:beforeAutospacing="0" w:after="0" w:afterAutospacing="0"/>
        <w:divId w:val="1351908753"/>
        <w:rPr>
          <w:sz w:val="20"/>
          <w:szCs w:val="20"/>
        </w:rPr>
      </w:pPr>
      <w:r>
        <w:rPr>
          <w:i/>
          <w:iCs/>
          <w:sz w:val="20"/>
          <w:szCs w:val="20"/>
        </w:rPr>
        <w:t>Basis of presentatio</w:t>
      </w:r>
      <w:r>
        <w:rPr>
          <w:i/>
          <w:iCs/>
          <w:sz w:val="20"/>
          <w:szCs w:val="20"/>
        </w:rPr>
        <w:t>n</w:t>
      </w:r>
    </w:p>
    <w:p w:rsidR="00000000" w:rsidRDefault="0043639B">
      <w:pPr>
        <w:pStyle w:val="a3"/>
        <w:spacing w:before="120" w:beforeAutospacing="0" w:after="0" w:afterAutospacing="0"/>
        <w:jc w:val="both"/>
        <w:divId w:val="1351908753"/>
        <w:rPr>
          <w:sz w:val="20"/>
          <w:szCs w:val="20"/>
        </w:rPr>
      </w:pPr>
      <w:r>
        <w:rPr>
          <w:sz w:val="20"/>
          <w:szCs w:val="20"/>
        </w:rPr>
        <w:t>The unaudited condensed consolidated financial statements and accompanying notes have been prepared in accordance with U.S. generally accepted accounting principles (“U.S. GAAP”). In management’s opinion, the unaudited condensed consolidated financial stat</w:t>
      </w:r>
      <w:r>
        <w:rPr>
          <w:sz w:val="20"/>
          <w:szCs w:val="20"/>
        </w:rPr>
        <w:t>ements reflect all adjustments of a normal recurring nature that are necessary for a fair presentation of the results for the interim periods presented. The Company’s interim period results do not necessarily indicate the results that may be expected for a</w:t>
      </w:r>
      <w:r>
        <w:rPr>
          <w:sz w:val="20"/>
          <w:szCs w:val="20"/>
        </w:rPr>
        <w:t>ny other interim period or for the full fiscal year. The significant accounting policies applied in the annual consolidated financial statements of the Company as of December 31, 2021, have been applied consistently in these unaudited condensed consolidate</w:t>
      </w:r>
      <w:r>
        <w:rPr>
          <w:sz w:val="20"/>
          <w:szCs w:val="20"/>
        </w:rPr>
        <w:t>d financial statements, unless otherwise stated. These interim condensed consolidated financial statements should be read in conjunction with the audited consolidated financial statements as of and for the year ended December 31, 2021 included in the Compa</w:t>
      </w:r>
      <w:r>
        <w:rPr>
          <w:sz w:val="20"/>
          <w:szCs w:val="20"/>
        </w:rPr>
        <w:t>ny’s Annual Report on Form 10-K for the year ended December 31, 2021</w:t>
      </w:r>
      <w:r>
        <w:rPr>
          <w:sz w:val="20"/>
          <w:szCs w:val="20"/>
        </w:rPr>
        <w:t>.</w:t>
      </w:r>
    </w:p>
    <w:p w:rsidR="00000000" w:rsidRDefault="0043639B">
      <w:pPr>
        <w:pStyle w:val="a3"/>
        <w:spacing w:before="240" w:beforeAutospacing="0" w:after="0" w:afterAutospacing="0"/>
        <w:jc w:val="both"/>
        <w:divId w:val="1351908753"/>
        <w:rPr>
          <w:sz w:val="20"/>
          <w:szCs w:val="20"/>
        </w:rPr>
      </w:pPr>
      <w:r>
        <w:rPr>
          <w:sz w:val="20"/>
          <w:szCs w:val="20"/>
        </w:rPr>
        <w:t>The Company’s policy is to consolidate all subsidiaries in which it has a controlling financial interest, as well as any Variable Interest Entities (“VIEs”) where the Company is deemed t</w:t>
      </w:r>
      <w:r>
        <w:rPr>
          <w:sz w:val="20"/>
          <w:szCs w:val="20"/>
        </w:rPr>
        <w:t>o be the primary beneficiary when it has the power to make the decisions that most significantly affect the economic performance of the VIE and has the obligation to absorb significant losses or the right to receive benefits that could potentially be signi</w:t>
      </w:r>
      <w:r>
        <w:rPr>
          <w:sz w:val="20"/>
          <w:szCs w:val="20"/>
        </w:rPr>
        <w:t>ficant to the VIE</w:t>
      </w:r>
      <w:r>
        <w:rPr>
          <w:sz w:val="20"/>
          <w:szCs w:val="20"/>
        </w:rPr>
        <w:t>.</w:t>
      </w:r>
      <w:r>
        <w:rPr>
          <w:sz w:val="20"/>
          <w:szCs w:val="20"/>
        </w:rPr>
        <w:t xml:space="preserve"> </w:t>
      </w:r>
    </w:p>
    <w:p w:rsidR="00000000" w:rsidRDefault="0043639B">
      <w:pPr>
        <w:pStyle w:val="a3"/>
        <w:spacing w:before="120" w:beforeAutospacing="0" w:after="0" w:afterAutospacing="0"/>
        <w:jc w:val="both"/>
        <w:divId w:val="1351908753"/>
        <w:rPr>
          <w:sz w:val="20"/>
          <w:szCs w:val="20"/>
        </w:rPr>
      </w:pPr>
      <w:r>
        <w:rPr>
          <w:sz w:val="20"/>
          <w:szCs w:val="20"/>
        </w:rPr>
        <w:t>In the second quarter of 2022, the Company completed the transition of its structure with respect to its relationships with healthcare providers and certain affiliated professional association and professional corporations in which it h</w:t>
      </w:r>
      <w:r>
        <w:rPr>
          <w:sz w:val="20"/>
          <w:szCs w:val="20"/>
        </w:rPr>
        <w:t>olds a variable interest. These affiliated professional association and professional corporations are now considered VIEs since they do not have sufficient equity to finance their activities without additional subordinated financial support from the Compan</w:t>
      </w:r>
      <w:r>
        <w:rPr>
          <w:sz w:val="20"/>
          <w:szCs w:val="20"/>
        </w:rPr>
        <w:t xml:space="preserve">y. The Company determined that it is the primary beneficiary of the VIEs and as a result consolidated them in its financial statements. All intercompany transactions and balances have been eliminated. See Note 11, “Variable Interest Entities,” for further </w:t>
      </w:r>
      <w:r>
        <w:rPr>
          <w:sz w:val="20"/>
          <w:szCs w:val="20"/>
        </w:rPr>
        <w:t>details</w:t>
      </w:r>
      <w:r>
        <w:rPr>
          <w:sz w:val="20"/>
          <w:szCs w:val="20"/>
        </w:rPr>
        <w:t>.</w:t>
      </w:r>
    </w:p>
    <w:p w:rsidR="00000000" w:rsidRDefault="0043639B">
      <w:pPr>
        <w:pStyle w:val="a3"/>
        <w:spacing w:before="240" w:beforeAutospacing="0" w:after="0" w:afterAutospacing="0"/>
        <w:divId w:val="1608539582"/>
        <w:rPr>
          <w:sz w:val="20"/>
          <w:szCs w:val="20"/>
        </w:rPr>
      </w:pPr>
      <w:r>
        <w:rPr>
          <w:i/>
          <w:iCs/>
          <w:sz w:val="20"/>
          <w:szCs w:val="20"/>
        </w:rPr>
        <w:t>Use of estimate</w:t>
      </w:r>
      <w:r>
        <w:rPr>
          <w:i/>
          <w:iCs/>
          <w:sz w:val="20"/>
          <w:szCs w:val="20"/>
        </w:rPr>
        <w:t>s</w:t>
      </w:r>
    </w:p>
    <w:p w:rsidR="00000000" w:rsidRDefault="0043639B">
      <w:pPr>
        <w:pStyle w:val="a3"/>
        <w:spacing w:before="120" w:beforeAutospacing="0" w:after="0" w:afterAutospacing="0"/>
        <w:jc w:val="both"/>
        <w:divId w:val="1608539582"/>
        <w:rPr>
          <w:sz w:val="20"/>
          <w:szCs w:val="20"/>
        </w:rPr>
      </w:pPr>
      <w:r>
        <w:rPr>
          <w:sz w:val="20"/>
          <w:szCs w:val="20"/>
        </w:rPr>
        <w:t>The preparation of consolidated financial statements, in conformity with U.S. GAAP requires management to make estimates and assumptions that affect the amounts reported in the financial statements and accompanying notes. The Comp</w:t>
      </w:r>
      <w:r>
        <w:rPr>
          <w:sz w:val="20"/>
          <w:szCs w:val="20"/>
        </w:rPr>
        <w:t>any evaluates its assumptions on an ongoing basis. The Company’s management believes that the estimates, judgment, and assumptions used are reasonable based upon information available at the time they are made. These estimates, judgments and assumptions ca</w:t>
      </w:r>
      <w:r>
        <w:rPr>
          <w:sz w:val="20"/>
          <w:szCs w:val="20"/>
        </w:rPr>
        <w:t>n affect the reported amounts of assets and liabilities and disclosure of contingent assets and liabilities at the dates of the condensed consolidated financial statements, and the reported amounts of revenue and expenses during the reporting periods. Actu</w:t>
      </w:r>
      <w:r>
        <w:rPr>
          <w:sz w:val="20"/>
          <w:szCs w:val="20"/>
        </w:rPr>
        <w:t>al results could differ from those estimates</w:t>
      </w:r>
      <w:r>
        <w:rPr>
          <w:sz w:val="20"/>
          <w:szCs w:val="20"/>
        </w:rPr>
        <w:t>.</w:t>
      </w:r>
    </w:p>
    <w:p w:rsidR="00000000" w:rsidRDefault="0043639B">
      <w:pPr>
        <w:pStyle w:val="a3"/>
        <w:spacing w:before="240" w:beforeAutospacing="0" w:after="0" w:afterAutospacing="0"/>
        <w:divId w:val="1952589261"/>
        <w:rPr>
          <w:sz w:val="20"/>
          <w:szCs w:val="20"/>
        </w:rPr>
      </w:pPr>
      <w:r>
        <w:rPr>
          <w:i/>
          <w:iCs/>
          <w:sz w:val="20"/>
          <w:szCs w:val="20"/>
        </w:rPr>
        <w:t>Recently Issued and Adopted Accounting Pronouncement</w:t>
      </w:r>
      <w:r>
        <w:rPr>
          <w:i/>
          <w:iCs/>
          <w:sz w:val="20"/>
          <w:szCs w:val="20"/>
        </w:rPr>
        <w:t>s</w:t>
      </w:r>
      <w:r>
        <w:rPr>
          <w:i/>
          <w:iCs/>
          <w:sz w:val="20"/>
          <w:szCs w:val="20"/>
        </w:rPr>
        <w:t xml:space="preserve"> </w:t>
      </w:r>
    </w:p>
    <w:p w:rsidR="00000000" w:rsidRDefault="0043639B">
      <w:pPr>
        <w:pStyle w:val="a3"/>
        <w:spacing w:before="120" w:beforeAutospacing="0" w:after="0" w:afterAutospacing="0"/>
        <w:jc w:val="both"/>
        <w:divId w:val="1952589261"/>
        <w:rPr>
          <w:sz w:val="20"/>
          <w:szCs w:val="20"/>
        </w:rPr>
      </w:pPr>
      <w:r>
        <w:rPr>
          <w:sz w:val="20"/>
          <w:szCs w:val="20"/>
        </w:rPr>
        <w:t>In November 2021, the Financial Accounting Standards Board (“FASB”) issued ASU 2021-10, Government Assistance (Topic 832): Disclosures by Business Entities</w:t>
      </w:r>
      <w:r>
        <w:rPr>
          <w:sz w:val="20"/>
          <w:szCs w:val="20"/>
        </w:rPr>
        <w:t xml:space="preserve"> about Government Assistance, which requires entities to disclose information about certain types of government assistance they receive in the notes to the financial statements. Entities are required to provide the new disclosures prospectively for all tra</w:t>
      </w:r>
      <w:r>
        <w:rPr>
          <w:sz w:val="20"/>
          <w:szCs w:val="20"/>
        </w:rPr>
        <w:t xml:space="preserve">nsactions with a government entity that are accounted for under either a grant or </w:t>
      </w:r>
      <w:r>
        <w:rPr>
          <w:sz w:val="20"/>
          <w:szCs w:val="20"/>
        </w:rPr>
        <w:t>a</w:t>
      </w:r>
      <w:r>
        <w:rPr>
          <w:sz w:val="20"/>
          <w:szCs w:val="20"/>
        </w:rPr>
        <w:t xml:space="preserve"> </w:t>
      </w:r>
    </w:p>
    <w:p w:rsidR="00000000" w:rsidRDefault="0043639B">
      <w:pPr>
        <w:pStyle w:val="a3"/>
        <w:spacing w:before="0" w:beforeAutospacing="0" w:after="0" w:afterAutospacing="0"/>
        <w:jc w:val="center"/>
        <w:divId w:val="1952589261"/>
        <w:rPr>
          <w:sz w:val="20"/>
          <w:szCs w:val="20"/>
        </w:rPr>
      </w:pPr>
      <w:r>
        <w:rPr>
          <w:sz w:val="20"/>
          <w:szCs w:val="20"/>
        </w:rPr>
        <w:t>1</w:t>
      </w:r>
      <w:r>
        <w:rPr>
          <w:sz w:val="20"/>
          <w:szCs w:val="20"/>
        </w:rPr>
        <w:t>0</w:t>
      </w:r>
    </w:p>
    <w:p w:rsidR="00000000" w:rsidRDefault="0043639B">
      <w:pPr>
        <w:divId w:val="1952589261"/>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43639B">
      <w:pPr>
        <w:pStyle w:val="a3"/>
        <w:spacing w:before="0" w:beforeAutospacing="0" w:after="0" w:afterAutospacing="0"/>
        <w:divId w:val="1952589261"/>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120" w:beforeAutospacing="0" w:after="0" w:afterAutospacing="0"/>
        <w:jc w:val="both"/>
        <w:divId w:val="1952589261"/>
        <w:rPr>
          <w:sz w:val="20"/>
          <w:szCs w:val="20"/>
        </w:rPr>
      </w:pPr>
      <w:r>
        <w:rPr>
          <w:sz w:val="20"/>
          <w:szCs w:val="20"/>
        </w:rPr>
        <w:t xml:space="preserve">contribution accounting model and are reflected in the financial statements at the </w:t>
      </w:r>
      <w:r>
        <w:rPr>
          <w:sz w:val="20"/>
          <w:szCs w:val="20"/>
        </w:rPr>
        <w:t>date of initially applying the new amendments, and to new transactions entered into after that date. Retrospective application of the guidance is permitted. The amendments in this ASU became effective for all entities within their scope for financial state</w:t>
      </w:r>
      <w:r>
        <w:rPr>
          <w:sz w:val="20"/>
          <w:szCs w:val="20"/>
        </w:rPr>
        <w:t>ments issued for annual periods beginning after December 15, 2021. The Company adopted this guidance on January 1, 2022 and the adoption did not have a significant impact on its condensed consolidated financial statements or related disclosures</w:t>
      </w:r>
      <w:r>
        <w:rPr>
          <w:sz w:val="20"/>
          <w:szCs w:val="20"/>
        </w:rPr>
        <w:t>.</w:t>
      </w:r>
    </w:p>
    <w:p w:rsidR="00000000" w:rsidRDefault="0043639B">
      <w:pPr>
        <w:pStyle w:val="a3"/>
        <w:spacing w:before="0" w:beforeAutospacing="0" w:after="0" w:afterAutospacing="0"/>
        <w:jc w:val="both"/>
        <w:divId w:val="1952589261"/>
        <w:rPr>
          <w:sz w:val="20"/>
          <w:szCs w:val="20"/>
        </w:rPr>
      </w:pPr>
      <w:r>
        <w:rPr>
          <w:sz w:val="20"/>
          <w:szCs w:val="20"/>
        </w:rPr>
        <w:t> </w:t>
      </w:r>
    </w:p>
    <w:p w:rsidR="00000000" w:rsidRDefault="0043639B">
      <w:pPr>
        <w:pStyle w:val="a3"/>
        <w:spacing w:before="0" w:beforeAutospacing="0" w:after="0" w:afterAutospacing="0"/>
        <w:jc w:val="both"/>
        <w:divId w:val="1952589261"/>
        <w:rPr>
          <w:sz w:val="20"/>
          <w:szCs w:val="20"/>
        </w:rPr>
      </w:pPr>
      <w:r>
        <w:rPr>
          <w:sz w:val="20"/>
          <w:szCs w:val="20"/>
        </w:rPr>
        <w:t>In May 2</w:t>
      </w:r>
      <w:r>
        <w:rPr>
          <w:sz w:val="20"/>
          <w:szCs w:val="20"/>
        </w:rPr>
        <w:t>021, the FASB issued ASU 2021-04—Earnings Per Share (Topic 260), Debt—Modifications and Extinguishments (Subtopic 470-50), Compensation—Stock Compensation (Topic 718), and Derivatives and Hedging—Contracts in Entity’s Own Equity (Subtopic 815-40): Issuer’s</w:t>
      </w:r>
      <w:r>
        <w:rPr>
          <w:sz w:val="20"/>
          <w:szCs w:val="20"/>
        </w:rPr>
        <w:t xml:space="preserve"> Accounting for Certain Modifications or Exchanges of Freestanding Equity-Classified Written Call Options, which clarifies and reduces diversity in accounting for modifications or exchanges of freestanding equity-written call options that remain equity cla</w:t>
      </w:r>
      <w:r>
        <w:rPr>
          <w:sz w:val="20"/>
          <w:szCs w:val="20"/>
        </w:rPr>
        <w:t>ssified after modifications or exchanges based on the substance of the transactions. The amendments in this ASU became effective for all entities for fiscal years beginning after December 15, 2021, including interim periods within those fiscal years. The C</w:t>
      </w:r>
      <w:r>
        <w:rPr>
          <w:sz w:val="20"/>
          <w:szCs w:val="20"/>
        </w:rPr>
        <w:t>ompany adopted this guidance on January 1, 2022 and the adoption did not have an impact on its condensed consolidated financial statements or related disclosures</w:t>
      </w:r>
      <w:r>
        <w:rPr>
          <w:sz w:val="20"/>
          <w:szCs w:val="20"/>
        </w:rPr>
        <w:t>.</w:t>
      </w:r>
    </w:p>
    <w:p w:rsidR="00000000" w:rsidRDefault="0043639B">
      <w:pPr>
        <w:pStyle w:val="a3"/>
        <w:spacing w:before="0" w:beforeAutospacing="0" w:after="0" w:afterAutospacing="0"/>
        <w:jc w:val="both"/>
        <w:divId w:val="1952589261"/>
        <w:rPr>
          <w:sz w:val="20"/>
          <w:szCs w:val="20"/>
        </w:rPr>
      </w:pPr>
      <w:r>
        <w:rPr>
          <w:sz w:val="20"/>
          <w:szCs w:val="20"/>
        </w:rPr>
        <w:t> </w:t>
      </w:r>
    </w:p>
    <w:p w:rsidR="00000000" w:rsidRDefault="0043639B">
      <w:pPr>
        <w:pStyle w:val="a3"/>
        <w:spacing w:before="0" w:beforeAutospacing="0" w:after="0" w:afterAutospacing="0"/>
        <w:jc w:val="both"/>
        <w:divId w:val="1952589261"/>
        <w:rPr>
          <w:sz w:val="20"/>
          <w:szCs w:val="20"/>
        </w:rPr>
      </w:pPr>
      <w:r>
        <w:rPr>
          <w:sz w:val="20"/>
          <w:szCs w:val="20"/>
        </w:rPr>
        <w:t>In August 2020, the FASB issued ASU 2020-06—Debt—Debt with Conversion and Other Options (Su</w:t>
      </w:r>
      <w:r>
        <w:rPr>
          <w:sz w:val="20"/>
          <w:szCs w:val="20"/>
        </w:rPr>
        <w:t>btopic 470-20) and Derivatives and Hedging—Contracts in Entity’s Own Equity (Subtopic 815-40): Issuer's Accounting for Convertible Instruments and Contracts in an Entity’s Own Equity, which simplifies the accounting for certain financial instruments with c</w:t>
      </w:r>
      <w:r>
        <w:rPr>
          <w:sz w:val="20"/>
          <w:szCs w:val="20"/>
        </w:rPr>
        <w:t>haracteristics of liabilities and equity, including convertible instruments and contracts on an entity’s own equity. The amendments in this ASU became effective for public entities excluding entities eligible to be smaller reporting companies as defined by</w:t>
      </w:r>
      <w:r>
        <w:rPr>
          <w:sz w:val="20"/>
          <w:szCs w:val="20"/>
        </w:rPr>
        <w:t xml:space="preserve"> the SEC, for fiscal years beginning after December 15, 2021, including interim periods within those fiscal years. The Company adopted this guidance on January 1, 2022 and the adoption did not have an impact on its condensed consolidated financial statemen</w:t>
      </w:r>
      <w:r>
        <w:rPr>
          <w:sz w:val="20"/>
          <w:szCs w:val="20"/>
        </w:rPr>
        <w:t>ts or related disclosures</w:t>
      </w:r>
      <w:r>
        <w:rPr>
          <w:sz w:val="20"/>
          <w:szCs w:val="20"/>
        </w:rPr>
        <w:t>.</w:t>
      </w:r>
    </w:p>
    <w:p w:rsidR="00000000" w:rsidRDefault="0043639B">
      <w:pPr>
        <w:pStyle w:val="a3"/>
        <w:spacing w:before="360" w:beforeAutospacing="0" w:after="0" w:afterAutospacing="0"/>
        <w:jc w:val="both"/>
        <w:divId w:val="1239286037"/>
        <w:rPr>
          <w:sz w:val="20"/>
          <w:szCs w:val="20"/>
        </w:rPr>
      </w:pPr>
      <w:r>
        <w:rPr>
          <w:b/>
          <w:bCs/>
          <w:sz w:val="20"/>
          <w:szCs w:val="20"/>
        </w:rPr>
        <w:t>NOTE 3. REVENUE RECOGNITIO</w:t>
      </w:r>
      <w:r>
        <w:rPr>
          <w:b/>
          <w:bCs/>
          <w:sz w:val="20"/>
          <w:szCs w:val="20"/>
        </w:rPr>
        <w:t>N</w:t>
      </w:r>
    </w:p>
    <w:p w:rsidR="00000000" w:rsidRDefault="0043639B">
      <w:pPr>
        <w:pStyle w:val="a3"/>
        <w:spacing w:before="240" w:beforeAutospacing="0" w:after="0" w:afterAutospacing="0"/>
        <w:jc w:val="both"/>
        <w:divId w:val="1239286037"/>
        <w:rPr>
          <w:sz w:val="20"/>
          <w:szCs w:val="20"/>
        </w:rPr>
      </w:pPr>
      <w:r>
        <w:rPr>
          <w:sz w:val="20"/>
          <w:szCs w:val="20"/>
        </w:rPr>
        <w:t>The Company operates a virtual behavioral healthcare business that connects individuals and licensed therapists, psychologists and psychiatrists with an online platform for one-on-one therapy delivered via messaging, audio and video. Individuals access the</w:t>
      </w:r>
      <w:r>
        <w:rPr>
          <w:sz w:val="20"/>
          <w:szCs w:val="20"/>
        </w:rPr>
        <w:t xml:space="preserve"> Company’s services through the Company’s website or mobile app. The Company provides its services through two channels, the business-to-business (“B2B”) channel, comprised of large health plans and employee assistance programs such as Aetna, Cigna, Premer</w:t>
      </w:r>
      <w:r>
        <w:rPr>
          <w:sz w:val="20"/>
          <w:szCs w:val="20"/>
        </w:rPr>
        <w:t>a and Optum and large enterprise clients such as Google and Expedia, who offer their employees and insured members access to the Company's platform while their employer is under an active contract with Talkspace, or at in-network reimbursement rates, where</w:t>
      </w:r>
      <w:r>
        <w:rPr>
          <w:sz w:val="20"/>
          <w:szCs w:val="20"/>
        </w:rPr>
        <w:t xml:space="preserve"> applicable, and the business-to-consumer (“B2C”) channel, comprised of individual consumers who subscribe directly to the Company's platform</w:t>
      </w:r>
      <w:r>
        <w:rPr>
          <w:sz w:val="20"/>
          <w:szCs w:val="20"/>
        </w:rPr>
        <w:t>.</w:t>
      </w:r>
    </w:p>
    <w:p w:rsidR="00000000" w:rsidRDefault="0043639B">
      <w:pPr>
        <w:pStyle w:val="a3"/>
        <w:spacing w:before="240" w:beforeAutospacing="0" w:after="0" w:afterAutospacing="0"/>
        <w:jc w:val="both"/>
        <w:divId w:val="1239286037"/>
        <w:rPr>
          <w:sz w:val="20"/>
          <w:szCs w:val="20"/>
        </w:rPr>
      </w:pPr>
      <w:r>
        <w:rPr>
          <w:sz w:val="20"/>
          <w:szCs w:val="20"/>
          <w:u w:val="single"/>
        </w:rPr>
        <w:t>B2B Revenu</w:t>
      </w:r>
      <w:r>
        <w:rPr>
          <w:sz w:val="20"/>
          <w:szCs w:val="20"/>
          <w:u w:val="single"/>
        </w:rPr>
        <w:t>e</w:t>
      </w:r>
    </w:p>
    <w:p w:rsidR="00000000" w:rsidRDefault="0043639B">
      <w:pPr>
        <w:pStyle w:val="a3"/>
        <w:spacing w:before="120" w:beforeAutospacing="0" w:after="0" w:afterAutospacing="0"/>
        <w:jc w:val="both"/>
        <w:divId w:val="1239286037"/>
        <w:rPr>
          <w:sz w:val="20"/>
          <w:szCs w:val="20"/>
        </w:rPr>
      </w:pPr>
      <w:r>
        <w:rPr>
          <w:sz w:val="20"/>
          <w:szCs w:val="20"/>
        </w:rPr>
        <w:t xml:space="preserve">The Company contracts with health plans and other enterprises to provide its services to individuals </w:t>
      </w:r>
      <w:r>
        <w:rPr>
          <w:sz w:val="20"/>
          <w:szCs w:val="20"/>
        </w:rPr>
        <w:t xml:space="preserve">who are qualified to receive access to the Company’s services through the Company’s commercial arrangements. The Company generates revenues from payments from members and claims paid by their respective insurance companies and annually contracted platform </w:t>
      </w:r>
      <w:r>
        <w:rPr>
          <w:sz w:val="20"/>
          <w:szCs w:val="20"/>
        </w:rPr>
        <w:t>access fees paid by the Company's enterprise clients for the delivery of therapy services to their members or employees. The Company recognizes revenues from services provided to insured members at a point in time, as virtual therapy session is rendered. T</w:t>
      </w:r>
      <w:r>
        <w:rPr>
          <w:sz w:val="20"/>
          <w:szCs w:val="20"/>
        </w:rPr>
        <w:t>he Company recognizes contracted revenue from enterprise clients from the commencement of their contracted term through the annual period based primarily on a per-member-per month model. Revenue is recognized in an amount that reflects the consideration th</w:t>
      </w:r>
      <w:r>
        <w:rPr>
          <w:sz w:val="20"/>
          <w:szCs w:val="20"/>
        </w:rPr>
        <w:t>at is expected in exchange for the service provided. Contracts with enterprise clients are for one or more years with the ability to provide 60 days advance notice prior to termination at each year mark during the term. After the first year of service, cer</w:t>
      </w:r>
      <w:r>
        <w:rPr>
          <w:sz w:val="20"/>
          <w:szCs w:val="20"/>
        </w:rPr>
        <w:t>tain clients have the right to terminate their contract with a 60 or 90 days notice</w:t>
      </w:r>
      <w:r>
        <w:rPr>
          <w:sz w:val="20"/>
          <w:szCs w:val="20"/>
        </w:rPr>
        <w:t>.</w:t>
      </w:r>
    </w:p>
    <w:p w:rsidR="00000000" w:rsidRDefault="0043639B">
      <w:pPr>
        <w:pStyle w:val="a3"/>
        <w:spacing w:before="240" w:beforeAutospacing="0" w:after="0" w:afterAutospacing="0"/>
        <w:jc w:val="both"/>
        <w:divId w:val="1239286037"/>
        <w:rPr>
          <w:sz w:val="20"/>
          <w:szCs w:val="20"/>
        </w:rPr>
      </w:pPr>
      <w:r>
        <w:rPr>
          <w:sz w:val="20"/>
          <w:szCs w:val="20"/>
          <w:u w:val="single"/>
        </w:rPr>
        <w:t>B2C Revenu</w:t>
      </w:r>
      <w:r>
        <w:rPr>
          <w:sz w:val="20"/>
          <w:szCs w:val="20"/>
          <w:u w:val="single"/>
        </w:rPr>
        <w:t>e</w:t>
      </w:r>
    </w:p>
    <w:p w:rsidR="00000000" w:rsidRDefault="0043639B">
      <w:pPr>
        <w:pStyle w:val="a3"/>
        <w:spacing w:before="120" w:beforeAutospacing="0" w:after="0" w:afterAutospacing="0"/>
        <w:jc w:val="both"/>
        <w:divId w:val="1239286037"/>
        <w:rPr>
          <w:sz w:val="20"/>
          <w:szCs w:val="20"/>
        </w:rPr>
      </w:pPr>
      <w:r>
        <w:rPr>
          <w:sz w:val="20"/>
          <w:szCs w:val="20"/>
        </w:rPr>
        <w:t xml:space="preserve">The Company generates revenues from the sale of monthly, quarterly, bi-annual and annual membership subscriptions to the Company's therapy platform as well as </w:t>
      </w:r>
      <w:r>
        <w:rPr>
          <w:sz w:val="20"/>
          <w:szCs w:val="20"/>
        </w:rPr>
        <w:t>supplementary a la carte offerings. The Company provides these services directly to individuals through a subscription plan. The Company recognizes member subscription revenues ratably over the subscription period, beginning when therapy services commence.</w:t>
      </w:r>
      <w:r>
        <w:rPr>
          <w:sz w:val="20"/>
          <w:szCs w:val="20"/>
        </w:rPr>
        <w:t xml:space="preserve"> The Company recognizes revenues from supplementary a la carte offerings at a point in time, as virtual therapy session is rendered. Members may cancel at any time and will receive a pro-rata refund for the subscription price</w:t>
      </w:r>
      <w:r>
        <w:rPr>
          <w:sz w:val="20"/>
          <w:szCs w:val="20"/>
        </w:rPr>
        <w:t>.</w:t>
      </w:r>
    </w:p>
    <w:p w:rsidR="00000000" w:rsidRDefault="0043639B">
      <w:pPr>
        <w:pStyle w:val="a3"/>
        <w:spacing w:before="0" w:beforeAutospacing="0" w:after="0" w:afterAutospacing="0"/>
        <w:divId w:val="1239286037"/>
        <w:rPr>
          <w:sz w:val="20"/>
          <w:szCs w:val="20"/>
        </w:rPr>
      </w:pPr>
      <w:r>
        <w:rPr>
          <w:sz w:val="20"/>
          <w:szCs w:val="20"/>
        </w:rPr>
        <w:t> </w:t>
      </w:r>
    </w:p>
    <w:p w:rsidR="00000000" w:rsidRDefault="0043639B">
      <w:pPr>
        <w:pStyle w:val="a3"/>
        <w:spacing w:before="0" w:beforeAutospacing="0" w:after="0" w:afterAutospacing="0"/>
        <w:jc w:val="center"/>
        <w:divId w:val="1239286037"/>
        <w:rPr>
          <w:sz w:val="20"/>
          <w:szCs w:val="20"/>
        </w:rPr>
      </w:pPr>
      <w:r>
        <w:rPr>
          <w:sz w:val="20"/>
          <w:szCs w:val="20"/>
        </w:rPr>
        <w:t>1</w:t>
      </w:r>
      <w:r>
        <w:rPr>
          <w:sz w:val="20"/>
          <w:szCs w:val="20"/>
        </w:rPr>
        <w:t>1</w:t>
      </w:r>
    </w:p>
    <w:p w:rsidR="00000000" w:rsidRDefault="0043639B">
      <w:pPr>
        <w:divId w:val="1239286037"/>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43639B">
      <w:pPr>
        <w:pStyle w:val="a3"/>
        <w:spacing w:before="0" w:beforeAutospacing="0" w:after="0" w:afterAutospacing="0"/>
        <w:divId w:val="1239286037"/>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240" w:beforeAutospacing="0" w:after="0" w:afterAutospacing="0"/>
        <w:jc w:val="both"/>
        <w:divId w:val="440029508"/>
        <w:rPr>
          <w:sz w:val="20"/>
          <w:szCs w:val="20"/>
        </w:rPr>
      </w:pPr>
      <w:r>
        <w:rPr>
          <w:sz w:val="20"/>
          <w:szCs w:val="20"/>
        </w:rPr>
        <w:t>The following table presents the Company’s revenues disaggregated by revenue source</w:t>
      </w:r>
      <w:r>
        <w:rPr>
          <w:sz w:val="20"/>
          <w:szCs w:val="20"/>
        </w:rPr>
        <w:t>:</w:t>
      </w:r>
    </w:p>
    <w:p w:rsidR="00000000" w:rsidRDefault="0043639B">
      <w:pPr>
        <w:pStyle w:val="a3"/>
        <w:spacing w:before="0" w:beforeAutospacing="0" w:after="0" w:afterAutospacing="0"/>
        <w:divId w:val="440029508"/>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49"/>
        <w:gridCol w:w="110"/>
        <w:gridCol w:w="160"/>
        <w:gridCol w:w="931"/>
        <w:gridCol w:w="110"/>
        <w:gridCol w:w="110"/>
        <w:gridCol w:w="160"/>
        <w:gridCol w:w="969"/>
        <w:gridCol w:w="110"/>
        <w:gridCol w:w="126"/>
        <w:gridCol w:w="160"/>
        <w:gridCol w:w="936"/>
        <w:gridCol w:w="110"/>
        <w:gridCol w:w="110"/>
        <w:gridCol w:w="160"/>
        <w:gridCol w:w="970"/>
        <w:gridCol w:w="125"/>
      </w:tblGrid>
      <w:tr w:rsidR="00000000">
        <w:trPr>
          <w:divId w:val="440029508"/>
          <w:tblCellSpacing w:w="15" w:type="dxa"/>
        </w:trPr>
        <w:tc>
          <w:tcPr>
            <w:tcW w:w="1884" w:type="pct"/>
            <w:vAlign w:val="center"/>
            <w:hideMark/>
          </w:tcPr>
          <w:p w:rsidR="00000000" w:rsidRDefault="0043639B">
            <w:pPr>
              <w:rPr>
                <w:sz w:val="20"/>
                <w:szCs w:val="20"/>
              </w:rPr>
            </w:pPr>
          </w:p>
        </w:tc>
        <w:tc>
          <w:tcPr>
            <w:tcW w:w="64"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99"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4"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23"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77"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99"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4"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23"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divId w:val="440029508"/>
          <w:trHeight w:val="160"/>
          <w:tblCellSpacing w:w="15" w:type="dxa"/>
        </w:trPr>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rFonts w:ascii="Tahoma" w:hAnsi="Tahoma" w:cs="Tahoma"/>
                <w:sz w:val="16"/>
                <w:szCs w:val="16"/>
              </w:rPr>
              <w:t>﻿</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440029508"/>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440029508"/>
          <w:trHeight w:val="180"/>
          <w:tblCellSpacing w:w="15" w:type="dxa"/>
        </w:trPr>
        <w:tc>
          <w:tcPr>
            <w:tcW w:w="0" w:type="auto"/>
            <w:hideMark/>
          </w:tcPr>
          <w:p w:rsidR="00000000" w:rsidRDefault="0043639B">
            <w:pPr>
              <w:pStyle w:val="a3"/>
              <w:spacing w:before="0" w:beforeAutospacing="0" w:after="0" w:afterAutospacing="0"/>
              <w:rPr>
                <w:sz w:val="18"/>
                <w:szCs w:val="18"/>
              </w:rPr>
            </w:pPr>
            <w:r>
              <w:rPr>
                <w:sz w:val="18"/>
                <w:szCs w:val="18"/>
              </w:rPr>
              <w:t>Revenues from sales to unaffiliated customers</w:t>
            </w:r>
            <w:r>
              <w:rPr>
                <w:sz w:val="18"/>
                <w:szCs w:val="18"/>
              </w:rPr>
              <w:t>:</w:t>
            </w:r>
          </w:p>
        </w:tc>
        <w:tc>
          <w:tcPr>
            <w:tcW w:w="0" w:type="auto"/>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hideMark/>
          </w:tcPr>
          <w:p w:rsidR="00000000" w:rsidRDefault="0043639B">
            <w:pPr>
              <w:pStyle w:val="a3"/>
              <w:spacing w:before="0" w:beforeAutospacing="0" w:after="0" w:afterAutospacing="0"/>
              <w:rPr>
                <w:sz w:val="20"/>
                <w:szCs w:val="20"/>
              </w:rPr>
            </w:pPr>
            <w:r>
              <w:rPr>
                <w:sz w:val="20"/>
                <w:szCs w:val="20"/>
              </w:rPr>
              <w:t> </w:t>
            </w:r>
          </w:p>
        </w:tc>
        <w:tc>
          <w:tcPr>
            <w:tcW w:w="0" w:type="auto"/>
            <w:hideMark/>
          </w:tcPr>
          <w:p w:rsidR="00000000" w:rsidRDefault="0043639B">
            <w:pPr>
              <w:pStyle w:val="a3"/>
              <w:spacing w:before="0" w:beforeAutospacing="0" w:after="0" w:afterAutospacing="0"/>
              <w:rPr>
                <w:sz w:val="20"/>
                <w:szCs w:val="20"/>
              </w:rPr>
            </w:pPr>
            <w:r>
              <w:rPr>
                <w:sz w:val="20"/>
                <w:szCs w:val="20"/>
              </w:rPr>
              <w:t> </w:t>
            </w:r>
          </w:p>
        </w:tc>
        <w:tc>
          <w:tcPr>
            <w:tcW w:w="0" w:type="auto"/>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hideMark/>
          </w:tcPr>
          <w:p w:rsidR="00000000" w:rsidRDefault="0043639B">
            <w:pPr>
              <w:pStyle w:val="a3"/>
              <w:spacing w:before="0" w:beforeAutospacing="0" w:after="0" w:afterAutospacing="0"/>
              <w:rPr>
                <w:sz w:val="20"/>
                <w:szCs w:val="20"/>
              </w:rPr>
            </w:pPr>
            <w:r>
              <w:rPr>
                <w:sz w:val="20"/>
                <w:szCs w:val="20"/>
              </w:rPr>
              <w:t> </w:t>
            </w:r>
          </w:p>
        </w:tc>
        <w:tc>
          <w:tcPr>
            <w:tcW w:w="0" w:type="auto"/>
            <w:hideMark/>
          </w:tcPr>
          <w:p w:rsidR="00000000" w:rsidRDefault="0043639B">
            <w:pPr>
              <w:pStyle w:val="a3"/>
              <w:spacing w:before="0" w:beforeAutospacing="0" w:after="0" w:afterAutospacing="0"/>
              <w:rPr>
                <w:sz w:val="20"/>
                <w:szCs w:val="20"/>
              </w:rPr>
            </w:pPr>
            <w:r>
              <w:rPr>
                <w:sz w:val="20"/>
                <w:szCs w:val="20"/>
              </w:rPr>
              <w:t> </w:t>
            </w:r>
          </w:p>
        </w:tc>
        <w:tc>
          <w:tcPr>
            <w:tcW w:w="0" w:type="auto"/>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hideMark/>
          </w:tcPr>
          <w:p w:rsidR="00000000" w:rsidRDefault="0043639B">
            <w:pPr>
              <w:pStyle w:val="a3"/>
              <w:spacing w:before="0" w:beforeAutospacing="0" w:after="0" w:afterAutospacing="0"/>
              <w:rPr>
                <w:sz w:val="20"/>
                <w:szCs w:val="20"/>
              </w:rPr>
            </w:pPr>
            <w:r>
              <w:rPr>
                <w:sz w:val="20"/>
                <w:szCs w:val="20"/>
              </w:rPr>
              <w:t> </w:t>
            </w:r>
          </w:p>
        </w:tc>
        <w:tc>
          <w:tcPr>
            <w:tcW w:w="0" w:type="auto"/>
            <w:hideMark/>
          </w:tcPr>
          <w:p w:rsidR="00000000" w:rsidRDefault="0043639B">
            <w:pPr>
              <w:pStyle w:val="a3"/>
              <w:spacing w:before="0" w:beforeAutospacing="0" w:after="0" w:afterAutospacing="0"/>
              <w:rPr>
                <w:sz w:val="20"/>
                <w:szCs w:val="20"/>
              </w:rPr>
            </w:pPr>
            <w:r>
              <w:rPr>
                <w:sz w:val="20"/>
                <w:szCs w:val="20"/>
              </w:rPr>
              <w:t> </w:t>
            </w:r>
          </w:p>
        </w:tc>
        <w:tc>
          <w:tcPr>
            <w:tcW w:w="0" w:type="auto"/>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hideMark/>
          </w:tcPr>
          <w:p w:rsidR="00000000" w:rsidRDefault="0043639B">
            <w:pPr>
              <w:pStyle w:val="a3"/>
              <w:spacing w:before="0" w:beforeAutospacing="0" w:after="0" w:afterAutospacing="0"/>
              <w:rPr>
                <w:sz w:val="20"/>
                <w:szCs w:val="20"/>
              </w:rPr>
            </w:pPr>
            <w:r>
              <w:rPr>
                <w:sz w:val="20"/>
                <w:szCs w:val="20"/>
              </w:rPr>
              <w:t> </w:t>
            </w:r>
          </w:p>
        </w:tc>
        <w:tc>
          <w:tcPr>
            <w:tcW w:w="0" w:type="auto"/>
            <w:hideMark/>
          </w:tcPr>
          <w:p w:rsidR="00000000" w:rsidRDefault="0043639B">
            <w:pPr>
              <w:pStyle w:val="a3"/>
              <w:spacing w:before="0" w:beforeAutospacing="0" w:after="0" w:afterAutospacing="0"/>
              <w:rPr>
                <w:sz w:val="20"/>
                <w:szCs w:val="20"/>
              </w:rPr>
            </w:pPr>
            <w:r>
              <w:rPr>
                <w:sz w:val="20"/>
                <w:szCs w:val="20"/>
              </w:rPr>
              <w:t> </w:t>
            </w:r>
          </w:p>
        </w:tc>
      </w:tr>
      <w:tr w:rsidR="00000000">
        <w:trPr>
          <w:divId w:val="440029508"/>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B2B revenu</w:t>
            </w:r>
            <w:r>
              <w:rPr>
                <w:sz w:val="20"/>
                <w:szCs w:val="20"/>
              </w:rPr>
              <w:t>e</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16,79</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7,72</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rFonts w:ascii="Tahoma" w:hAnsi="Tahoma" w:cs="Tahoma"/>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45,12</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26,21</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440029508"/>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B2C revenu</w:t>
            </w:r>
            <w:r>
              <w:rPr>
                <w:sz w:val="20"/>
                <w:szCs w:val="20"/>
              </w:rPr>
              <w:t>e</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12,53</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18,63</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rFonts w:ascii="Tahoma" w:hAnsi="Tahoma" w:cs="Tahoma"/>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44,19</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58,28</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440029508"/>
          <w:trHeight w:val="200"/>
          <w:tblCellSpacing w:w="15" w:type="dxa"/>
        </w:trPr>
        <w:tc>
          <w:tcPr>
            <w:tcW w:w="0" w:type="auto"/>
            <w:vAlign w:val="bottom"/>
            <w:hideMark/>
          </w:tcPr>
          <w:p w:rsidR="00000000" w:rsidRDefault="0043639B">
            <w:pPr>
              <w:pStyle w:val="a3"/>
              <w:spacing w:before="0" w:beforeAutospacing="0" w:after="0" w:afterAutospacing="0"/>
              <w:rPr>
                <w:sz w:val="20"/>
                <w:szCs w:val="20"/>
              </w:rPr>
            </w:pPr>
            <w:r>
              <w:rPr>
                <w:sz w:val="20"/>
                <w:szCs w:val="20"/>
              </w:rPr>
              <w:t>Tota</w:t>
            </w:r>
            <w:r>
              <w:rPr>
                <w:sz w:val="20"/>
                <w:szCs w:val="20"/>
              </w:rPr>
              <w:t>l</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29,33</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26,35</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rFonts w:ascii="Tahoma" w:hAnsi="Tahoma" w:cs="Tahoma"/>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89,32</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84,49</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bl>
    <w:p w:rsidR="00000000" w:rsidRDefault="0043639B">
      <w:pPr>
        <w:pStyle w:val="a3"/>
        <w:spacing w:before="120" w:beforeAutospacing="0" w:after="0" w:afterAutospacing="0"/>
        <w:divId w:val="1239286037"/>
        <w:rPr>
          <w:sz w:val="20"/>
          <w:szCs w:val="20"/>
        </w:rPr>
      </w:pPr>
      <w:r>
        <w:rPr>
          <w:sz w:val="20"/>
          <w:szCs w:val="20"/>
        </w:rPr>
        <w:t> </w:t>
      </w:r>
    </w:p>
    <w:p w:rsidR="00000000" w:rsidRDefault="0043639B">
      <w:pPr>
        <w:pStyle w:val="a3"/>
        <w:spacing w:before="0" w:beforeAutospacing="0" w:after="0" w:afterAutospacing="0"/>
        <w:divId w:val="1239286037"/>
        <w:rPr>
          <w:sz w:val="20"/>
          <w:szCs w:val="20"/>
        </w:rPr>
      </w:pPr>
      <w:r>
        <w:rPr>
          <w:i/>
          <w:iCs/>
          <w:sz w:val="20"/>
          <w:szCs w:val="20"/>
        </w:rPr>
        <w:t>Accounts Receivable and Revenue Reserve</w:t>
      </w:r>
      <w:r>
        <w:rPr>
          <w:i/>
          <w:iCs/>
          <w:sz w:val="20"/>
          <w:szCs w:val="20"/>
        </w:rPr>
        <w:t>s</w:t>
      </w:r>
    </w:p>
    <w:p w:rsidR="00000000" w:rsidRDefault="0043639B">
      <w:pPr>
        <w:pStyle w:val="a3"/>
        <w:spacing w:before="120" w:beforeAutospacing="0" w:after="0" w:afterAutospacing="0"/>
        <w:jc w:val="both"/>
        <w:divId w:val="1239286037"/>
        <w:rPr>
          <w:sz w:val="20"/>
          <w:szCs w:val="20"/>
        </w:rPr>
      </w:pPr>
      <w:r>
        <w:rPr>
          <w:sz w:val="20"/>
          <w:szCs w:val="20"/>
        </w:rPr>
        <w:t>Revenue reserves are deducted from accounts receivable to present the net amount expected to be collected. As of September 30, 2022, revenue reserves mainly relate to allowances for accounts receivable balances from health insurance and EAP organizations</w:t>
      </w:r>
      <w:r>
        <w:rPr>
          <w:sz w:val="20"/>
          <w:szCs w:val="20"/>
        </w:rPr>
        <w:t>.</w:t>
      </w:r>
      <w:r>
        <w:rPr>
          <w:sz w:val="20"/>
          <w:szCs w:val="20"/>
        </w:rPr>
        <w:t xml:space="preserve"> </w:t>
      </w:r>
    </w:p>
    <w:p w:rsidR="00000000" w:rsidRDefault="0043639B">
      <w:pPr>
        <w:pStyle w:val="a3"/>
        <w:spacing w:before="120" w:beforeAutospacing="0" w:after="0" w:afterAutospacing="0"/>
        <w:jc w:val="both"/>
        <w:divId w:val="1239286037"/>
        <w:rPr>
          <w:sz w:val="20"/>
          <w:szCs w:val="20"/>
        </w:rPr>
      </w:pPr>
      <w:r>
        <w:rPr>
          <w:sz w:val="20"/>
          <w:szCs w:val="20"/>
        </w:rPr>
        <w:t>During the nine months ended September 30, 2022 and 202</w:t>
      </w:r>
      <w:r>
        <w:rPr>
          <w:sz w:val="20"/>
          <w:szCs w:val="20"/>
        </w:rPr>
        <w:t>1</w:t>
      </w:r>
      <w:r>
        <w:rPr>
          <w:sz w:val="20"/>
          <w:szCs w:val="20"/>
        </w:rPr>
        <w:t xml:space="preserve">, the Company recorded an increase in revenue reserves of </w:t>
      </w:r>
      <w:r>
        <w:rPr>
          <w:sz w:val="20"/>
          <w:szCs w:val="20"/>
        </w:rPr>
        <w:t>$</w:t>
      </w:r>
      <w:r>
        <w:rPr>
          <w:sz w:val="20"/>
          <w:szCs w:val="20"/>
        </w:rPr>
        <w:t>1.</w:t>
      </w:r>
      <w:r>
        <w:rPr>
          <w:sz w:val="20"/>
          <w:szCs w:val="20"/>
        </w:rPr>
        <w:t>9</w:t>
      </w:r>
      <w:r>
        <w:rPr>
          <w:sz w:val="20"/>
          <w:szCs w:val="20"/>
        </w:rPr>
        <w:t xml:space="preserve"> million and </w:t>
      </w:r>
      <w:r>
        <w:rPr>
          <w:sz w:val="20"/>
          <w:szCs w:val="20"/>
        </w:rPr>
        <w:t>$</w:t>
      </w:r>
      <w:r>
        <w:rPr>
          <w:sz w:val="20"/>
          <w:szCs w:val="20"/>
        </w:rPr>
        <w:t>3.</w:t>
      </w:r>
      <w:r>
        <w:rPr>
          <w:sz w:val="20"/>
          <w:szCs w:val="20"/>
        </w:rPr>
        <w:t>6</w:t>
      </w:r>
      <w:r>
        <w:rPr>
          <w:sz w:val="20"/>
          <w:szCs w:val="20"/>
        </w:rPr>
        <w:t xml:space="preserve"> million, respectively (</w:t>
      </w:r>
      <w:r>
        <w:rPr>
          <w:sz w:val="20"/>
          <w:szCs w:val="20"/>
        </w:rPr>
        <w:t>$</w:t>
      </w:r>
      <w:r>
        <w:rPr>
          <w:sz w:val="20"/>
          <w:szCs w:val="20"/>
        </w:rPr>
        <w:t>0.</w:t>
      </w:r>
      <w:r>
        <w:rPr>
          <w:sz w:val="20"/>
          <w:szCs w:val="20"/>
        </w:rPr>
        <w:t>9</w:t>
      </w:r>
      <w:r>
        <w:rPr>
          <w:sz w:val="20"/>
          <w:szCs w:val="20"/>
        </w:rPr>
        <w:t xml:space="preserve"> million and </w:t>
      </w:r>
      <w:r>
        <w:rPr>
          <w:sz w:val="20"/>
          <w:szCs w:val="20"/>
        </w:rPr>
        <w:t>$</w:t>
      </w:r>
      <w:r>
        <w:rPr>
          <w:sz w:val="20"/>
          <w:szCs w:val="20"/>
        </w:rPr>
        <w:t>3.</w:t>
      </w:r>
      <w:r>
        <w:rPr>
          <w:sz w:val="20"/>
          <w:szCs w:val="20"/>
        </w:rPr>
        <w:t>4</w:t>
      </w:r>
      <w:r>
        <w:rPr>
          <w:sz w:val="20"/>
          <w:szCs w:val="20"/>
        </w:rPr>
        <w:t xml:space="preserve"> million during the three months ended September 30, 2022 and 2021, respect</w:t>
      </w:r>
      <w:r>
        <w:rPr>
          <w:sz w:val="20"/>
          <w:szCs w:val="20"/>
        </w:rPr>
        <w:t>ively).</w:t>
      </w:r>
      <w:r>
        <w:rPr>
          <w:sz w:val="20"/>
          <w:szCs w:val="20"/>
        </w:rPr>
        <w:t xml:space="preserve"> </w:t>
      </w:r>
      <w:r>
        <w:rPr>
          <w:sz w:val="20"/>
          <w:szCs w:val="20"/>
        </w:rPr>
        <w:t>During the nine months ended September 30, 202</w:t>
      </w:r>
      <w:r>
        <w:rPr>
          <w:sz w:val="20"/>
          <w:szCs w:val="20"/>
        </w:rPr>
        <w:t>2</w:t>
      </w:r>
      <w:r>
        <w:rPr>
          <w:sz w:val="20"/>
          <w:szCs w:val="20"/>
        </w:rPr>
        <w:t xml:space="preserve">, the Company wrote-off </w:t>
      </w:r>
      <w:r>
        <w:rPr>
          <w:sz w:val="20"/>
          <w:szCs w:val="20"/>
        </w:rPr>
        <w:t>$</w:t>
      </w:r>
      <w:r>
        <w:rPr>
          <w:sz w:val="20"/>
          <w:szCs w:val="20"/>
        </w:rPr>
        <w:t>3.</w:t>
      </w:r>
      <w:r>
        <w:rPr>
          <w:sz w:val="20"/>
          <w:szCs w:val="20"/>
        </w:rPr>
        <w:t>5</w:t>
      </w:r>
      <w:r>
        <w:rPr>
          <w:sz w:val="20"/>
          <w:szCs w:val="20"/>
        </w:rPr>
        <w:t xml:space="preserve"> million of its aged receivables that were previously fully reserved. There were</w:t>
      </w:r>
      <w:r>
        <w:rPr>
          <w:sz w:val="20"/>
          <w:szCs w:val="20"/>
        </w:rPr>
        <w:t xml:space="preserve"> </w:t>
      </w:r>
      <w:r>
        <w:rPr>
          <w:sz w:val="20"/>
          <w:szCs w:val="20"/>
        </w:rPr>
        <w:t>n</w:t>
      </w:r>
      <w:r>
        <w:rPr>
          <w:sz w:val="20"/>
          <w:szCs w:val="20"/>
        </w:rPr>
        <w:t>o</w:t>
      </w:r>
      <w:r>
        <w:rPr>
          <w:sz w:val="20"/>
          <w:szCs w:val="20"/>
        </w:rPr>
        <w:t xml:space="preserve"> write-offs of aged balances during the</w:t>
      </w:r>
      <w:r>
        <w:rPr>
          <w:sz w:val="20"/>
          <w:szCs w:val="20"/>
        </w:rPr>
        <w:t xml:space="preserve"> </w:t>
      </w:r>
      <w:r>
        <w:rPr>
          <w:sz w:val="20"/>
          <w:szCs w:val="20"/>
        </w:rPr>
        <w:t>nine months ended September 30, 2021</w:t>
      </w:r>
      <w:r>
        <w:rPr>
          <w:sz w:val="20"/>
          <w:szCs w:val="20"/>
        </w:rPr>
        <w:t>.</w:t>
      </w:r>
    </w:p>
    <w:p w:rsidR="00000000" w:rsidRDefault="0043639B">
      <w:pPr>
        <w:pStyle w:val="a3"/>
        <w:spacing w:before="120" w:beforeAutospacing="0" w:after="0" w:afterAutospacing="0"/>
        <w:jc w:val="both"/>
        <w:divId w:val="1239286037"/>
        <w:rPr>
          <w:sz w:val="20"/>
          <w:szCs w:val="20"/>
        </w:rPr>
      </w:pPr>
      <w:r>
        <w:rPr>
          <w:sz w:val="20"/>
          <w:szCs w:val="20"/>
        </w:rPr>
        <w:t>As of Septem</w:t>
      </w:r>
      <w:r>
        <w:rPr>
          <w:sz w:val="20"/>
          <w:szCs w:val="20"/>
        </w:rPr>
        <w:t>ber 30, 202</w:t>
      </w:r>
      <w:r>
        <w:rPr>
          <w:sz w:val="20"/>
          <w:szCs w:val="20"/>
        </w:rPr>
        <w:t>2</w:t>
      </w:r>
      <w:r>
        <w:rPr>
          <w:sz w:val="20"/>
          <w:szCs w:val="20"/>
        </w:rPr>
        <w:t xml:space="preserve">, the balance of receivables related to health insurance and EAP organizations was </w:t>
      </w:r>
      <w:r>
        <w:rPr>
          <w:sz w:val="20"/>
          <w:szCs w:val="20"/>
        </w:rPr>
        <w:t>$</w:t>
      </w:r>
      <w:r>
        <w:rPr>
          <w:sz w:val="20"/>
          <w:szCs w:val="20"/>
        </w:rPr>
        <w:t>5.</w:t>
      </w:r>
      <w:r>
        <w:rPr>
          <w:sz w:val="20"/>
          <w:szCs w:val="20"/>
        </w:rPr>
        <w:t>6</w:t>
      </w:r>
      <w:r>
        <w:rPr>
          <w:sz w:val="20"/>
          <w:szCs w:val="20"/>
        </w:rPr>
        <w:t xml:space="preserve"> </w:t>
      </w:r>
      <w:r>
        <w:rPr>
          <w:sz w:val="20"/>
          <w:szCs w:val="20"/>
        </w:rPr>
        <w:t xml:space="preserve">million and the revenue reserves against these receivables was </w:t>
      </w:r>
      <w:r>
        <w:rPr>
          <w:sz w:val="20"/>
          <w:szCs w:val="20"/>
        </w:rPr>
        <w:t>$</w:t>
      </w:r>
      <w:r>
        <w:rPr>
          <w:sz w:val="20"/>
          <w:szCs w:val="20"/>
        </w:rPr>
        <w:t>3.</w:t>
      </w:r>
      <w:r>
        <w:rPr>
          <w:sz w:val="20"/>
          <w:szCs w:val="20"/>
        </w:rPr>
        <w:t>3</w:t>
      </w:r>
      <w:r>
        <w:rPr>
          <w:sz w:val="20"/>
          <w:szCs w:val="20"/>
        </w:rPr>
        <w:t xml:space="preserve"> million, of which </w:t>
      </w:r>
      <w:r>
        <w:rPr>
          <w:sz w:val="20"/>
          <w:szCs w:val="20"/>
        </w:rPr>
        <w:t>$</w:t>
      </w:r>
      <w:r>
        <w:rPr>
          <w:sz w:val="20"/>
          <w:szCs w:val="20"/>
        </w:rPr>
        <w:t>0.</w:t>
      </w:r>
      <w:r>
        <w:rPr>
          <w:sz w:val="20"/>
          <w:szCs w:val="20"/>
        </w:rPr>
        <w:t>3</w:t>
      </w:r>
      <w:r>
        <w:rPr>
          <w:sz w:val="20"/>
          <w:szCs w:val="20"/>
        </w:rPr>
        <w:t xml:space="preserve"> million relates to aged balances for periods prior to 2022</w:t>
      </w:r>
      <w:r>
        <w:rPr>
          <w:sz w:val="20"/>
          <w:szCs w:val="20"/>
        </w:rPr>
        <w:t>.</w:t>
      </w:r>
    </w:p>
    <w:p w:rsidR="00000000" w:rsidRDefault="0043639B">
      <w:pPr>
        <w:pStyle w:val="a3"/>
        <w:spacing w:before="0" w:beforeAutospacing="0" w:after="0" w:afterAutospacing="0"/>
        <w:divId w:val="1239286037"/>
        <w:rPr>
          <w:sz w:val="20"/>
          <w:szCs w:val="20"/>
        </w:rPr>
      </w:pPr>
      <w:r>
        <w:rPr>
          <w:sz w:val="20"/>
          <w:szCs w:val="20"/>
        </w:rPr>
        <w:t> </w:t>
      </w:r>
    </w:p>
    <w:p w:rsidR="00000000" w:rsidRDefault="0043639B">
      <w:pPr>
        <w:pStyle w:val="a3"/>
        <w:spacing w:before="0" w:beforeAutospacing="0" w:after="0" w:afterAutospacing="0"/>
        <w:divId w:val="1239286037"/>
        <w:rPr>
          <w:sz w:val="20"/>
          <w:szCs w:val="20"/>
        </w:rPr>
      </w:pPr>
      <w:r>
        <w:rPr>
          <w:i/>
          <w:iCs/>
          <w:sz w:val="20"/>
          <w:szCs w:val="20"/>
        </w:rPr>
        <w:t>Def</w:t>
      </w:r>
      <w:r>
        <w:rPr>
          <w:i/>
          <w:iCs/>
          <w:sz w:val="20"/>
          <w:szCs w:val="20"/>
        </w:rPr>
        <w:t>erred Revenu</w:t>
      </w:r>
      <w:r>
        <w:rPr>
          <w:i/>
          <w:iCs/>
          <w:sz w:val="20"/>
          <w:szCs w:val="20"/>
        </w:rPr>
        <w:t>e</w:t>
      </w:r>
    </w:p>
    <w:p w:rsidR="00000000" w:rsidRDefault="0043639B">
      <w:pPr>
        <w:pStyle w:val="a3"/>
        <w:spacing w:before="120" w:beforeAutospacing="0" w:after="0" w:afterAutospacing="0"/>
        <w:jc w:val="both"/>
        <w:divId w:val="1239286037"/>
        <w:rPr>
          <w:sz w:val="20"/>
          <w:szCs w:val="20"/>
        </w:rPr>
      </w:pPr>
      <w:r>
        <w:rPr>
          <w:sz w:val="20"/>
          <w:szCs w:val="20"/>
        </w:rPr>
        <w:t>The Company records deferred revenue when cash payments are received in advance of the Company’s performance obligation to provide services. As of September 30, 2022, deferred revenue related mainly to the Company’s B2C subscription business.</w:t>
      </w:r>
      <w:r>
        <w:rPr>
          <w:sz w:val="20"/>
          <w:szCs w:val="20"/>
        </w:rPr>
        <w:t xml:space="preserve"> The Company recognizes deferred revenues as revenues in the statement of operations once performance obligations have been performed and satisfied. The Company expects to satisfy the majority of its performance obligations associated with deferred revenue</w:t>
      </w:r>
      <w:r>
        <w:rPr>
          <w:sz w:val="20"/>
          <w:szCs w:val="20"/>
        </w:rPr>
        <w:t xml:space="preserve"> within one year or less</w:t>
      </w:r>
      <w:r>
        <w:rPr>
          <w:sz w:val="20"/>
          <w:szCs w:val="20"/>
        </w:rPr>
        <w:t>.</w:t>
      </w:r>
    </w:p>
    <w:p w:rsidR="00000000" w:rsidRDefault="0043639B">
      <w:pPr>
        <w:pStyle w:val="a3"/>
        <w:spacing w:before="0" w:beforeAutospacing="0" w:after="0" w:afterAutospacing="0"/>
        <w:jc w:val="both"/>
        <w:divId w:val="1239286037"/>
        <w:rPr>
          <w:sz w:val="20"/>
          <w:szCs w:val="20"/>
        </w:rPr>
      </w:pPr>
      <w:r>
        <w:rPr>
          <w:sz w:val="20"/>
          <w:szCs w:val="20"/>
        </w:rPr>
        <w:t> </w:t>
      </w:r>
    </w:p>
    <w:p w:rsidR="00000000" w:rsidRDefault="0043639B">
      <w:pPr>
        <w:pStyle w:val="a3"/>
        <w:spacing w:before="0" w:beforeAutospacing="0" w:after="0" w:afterAutospacing="0"/>
        <w:jc w:val="both"/>
        <w:divId w:val="1239286037"/>
        <w:rPr>
          <w:sz w:val="20"/>
          <w:szCs w:val="20"/>
        </w:rPr>
      </w:pPr>
      <w:r>
        <w:rPr>
          <w:i/>
          <w:iCs/>
          <w:sz w:val="20"/>
          <w:szCs w:val="20"/>
        </w:rPr>
        <w:t>Contract Cost</w:t>
      </w:r>
      <w:r>
        <w:rPr>
          <w:i/>
          <w:iCs/>
          <w:sz w:val="20"/>
          <w:szCs w:val="20"/>
        </w:rPr>
        <w:t>s</w:t>
      </w:r>
    </w:p>
    <w:p w:rsidR="00000000" w:rsidRDefault="0043639B">
      <w:pPr>
        <w:pStyle w:val="a3"/>
        <w:spacing w:before="120" w:beforeAutospacing="0" w:after="0" w:afterAutospacing="0"/>
        <w:jc w:val="both"/>
        <w:divId w:val="1239286037"/>
        <w:rPr>
          <w:sz w:val="20"/>
          <w:szCs w:val="20"/>
        </w:rPr>
      </w:pPr>
      <w:r>
        <w:rPr>
          <w:sz w:val="20"/>
          <w:szCs w:val="20"/>
        </w:rPr>
        <w:t>The Company elected to use the practical expedient to recognize the incremental costs of obtaining contracts as an expense when incurred if the amortization period of the assets that the Company otherwise would ha</w:t>
      </w:r>
      <w:r>
        <w:rPr>
          <w:sz w:val="20"/>
          <w:szCs w:val="20"/>
        </w:rPr>
        <w:t>ve recognized is one year or less</w:t>
      </w:r>
      <w:r>
        <w:rPr>
          <w:sz w:val="20"/>
          <w:szCs w:val="20"/>
        </w:rPr>
        <w:t>.</w:t>
      </w:r>
      <w:r>
        <w:rPr>
          <w:sz w:val="20"/>
          <w:szCs w:val="20"/>
        </w:rPr>
        <w:t xml:space="preserve"> </w:t>
      </w:r>
    </w:p>
    <w:p w:rsidR="00000000" w:rsidRDefault="0043639B">
      <w:pPr>
        <w:pStyle w:val="a3"/>
        <w:spacing w:before="360" w:beforeAutospacing="0" w:after="0" w:afterAutospacing="0"/>
        <w:jc w:val="both"/>
        <w:divId w:val="534461312"/>
        <w:rPr>
          <w:sz w:val="20"/>
          <w:szCs w:val="20"/>
        </w:rPr>
      </w:pPr>
      <w:r>
        <w:rPr>
          <w:b/>
          <w:bCs/>
          <w:sz w:val="20"/>
          <w:szCs w:val="20"/>
        </w:rPr>
        <w:t>NOTE 4. FAIR VALUE MEASUREMEN</w:t>
      </w:r>
      <w:r>
        <w:rPr>
          <w:b/>
          <w:bCs/>
          <w:sz w:val="20"/>
          <w:szCs w:val="20"/>
        </w:rPr>
        <w:t>T</w:t>
      </w:r>
    </w:p>
    <w:p w:rsidR="00000000" w:rsidRDefault="0043639B">
      <w:pPr>
        <w:pStyle w:val="a3"/>
        <w:spacing w:before="120" w:beforeAutospacing="0" w:after="0" w:afterAutospacing="0"/>
        <w:jc w:val="both"/>
        <w:divId w:val="534461312"/>
        <w:rPr>
          <w:sz w:val="20"/>
          <w:szCs w:val="20"/>
        </w:rPr>
      </w:pPr>
      <w:r>
        <w:rPr>
          <w:sz w:val="20"/>
          <w:szCs w:val="20"/>
        </w:rPr>
        <w:t>The carrying value of the Company’s cash equivalents, accounts receivable, other current assets, accounts payable, and accrued liabilities approximate fair value because of the relatively s</w:t>
      </w:r>
      <w:r>
        <w:rPr>
          <w:sz w:val="20"/>
          <w:szCs w:val="20"/>
        </w:rPr>
        <w:t>hort-term nature of the underlying assets. The Company’s Private Placement Warrants are carried at fair value with changes in fair value recognized in earnings each period</w:t>
      </w:r>
      <w:r>
        <w:rPr>
          <w:sz w:val="20"/>
          <w:szCs w:val="20"/>
        </w:rPr>
        <w:t>.</w:t>
      </w:r>
    </w:p>
    <w:p w:rsidR="00000000" w:rsidRDefault="0043639B">
      <w:pPr>
        <w:pStyle w:val="a3"/>
        <w:spacing w:before="240" w:beforeAutospacing="0" w:after="0" w:afterAutospacing="0"/>
        <w:jc w:val="both"/>
        <w:divId w:val="534461312"/>
        <w:rPr>
          <w:sz w:val="20"/>
          <w:szCs w:val="20"/>
        </w:rPr>
      </w:pPr>
      <w:r>
        <w:rPr>
          <w:sz w:val="20"/>
          <w:szCs w:val="20"/>
        </w:rPr>
        <w:t>The Private Placement Warrants assumed in connection with the consummation of the B</w:t>
      </w:r>
      <w:r>
        <w:rPr>
          <w:sz w:val="20"/>
          <w:szCs w:val="20"/>
        </w:rPr>
        <w:t>usiness Combination and the closing of the Forward Purchase Agreement with the HEC Fund are accounted for as liabilities in accordance with ASC 815-40 and are presented within warrant liabilities in the accompanying condensed consolidated balance sheets. T</w:t>
      </w:r>
      <w:r>
        <w:rPr>
          <w:sz w:val="20"/>
          <w:szCs w:val="20"/>
        </w:rPr>
        <w:t>he warrant liabilities were measured at fair value at inception and thereafter on a recurring, quarterly basis, with changes in fair value presented within financial expense, net, in the condensed consolidated statement of operations</w:t>
      </w:r>
      <w:r>
        <w:rPr>
          <w:sz w:val="20"/>
          <w:szCs w:val="20"/>
        </w:rPr>
        <w:t>.</w:t>
      </w:r>
    </w:p>
    <w:p w:rsidR="00000000" w:rsidRDefault="0043639B">
      <w:pPr>
        <w:pStyle w:val="a3"/>
        <w:spacing w:before="240" w:beforeAutospacing="0" w:after="0" w:afterAutospacing="0"/>
        <w:jc w:val="both"/>
        <w:divId w:val="534461312"/>
        <w:rPr>
          <w:sz w:val="20"/>
          <w:szCs w:val="20"/>
        </w:rPr>
      </w:pPr>
      <w:r>
        <w:rPr>
          <w:sz w:val="20"/>
          <w:szCs w:val="20"/>
        </w:rPr>
        <w:t>The Private Placement Warrants were valued using the Black-Scholes-Merton Model, which is considered to be a Level 3 fair value measurement. The primary unobservable input utilized in determining the fair value of the Private Placement Warrants is the expe</w:t>
      </w:r>
      <w:r>
        <w:rPr>
          <w:sz w:val="20"/>
          <w:szCs w:val="20"/>
        </w:rPr>
        <w:t>cted volatility of the Company’s common stock. For the three and nine months ended September 30, 202</w:t>
      </w:r>
      <w:r>
        <w:rPr>
          <w:sz w:val="20"/>
          <w:szCs w:val="20"/>
        </w:rPr>
        <w:t>2</w:t>
      </w:r>
      <w:r>
        <w:rPr>
          <w:sz w:val="20"/>
          <w:szCs w:val="20"/>
        </w:rPr>
        <w:t xml:space="preserve">, the Company had gains related to the remeasurement of the Private Placement Warrants of </w:t>
      </w:r>
      <w:r>
        <w:rPr>
          <w:sz w:val="20"/>
          <w:szCs w:val="20"/>
        </w:rPr>
        <w:t>$</w:t>
      </w:r>
      <w:r>
        <w:rPr>
          <w:sz w:val="20"/>
          <w:szCs w:val="20"/>
        </w:rPr>
        <w:t>1.</w:t>
      </w:r>
      <w:r>
        <w:rPr>
          <w:sz w:val="20"/>
          <w:szCs w:val="20"/>
        </w:rPr>
        <w:t>6</w:t>
      </w:r>
      <w:r>
        <w:rPr>
          <w:sz w:val="20"/>
          <w:szCs w:val="20"/>
        </w:rPr>
        <w:t xml:space="preserve"> million and </w:t>
      </w:r>
      <w:r>
        <w:rPr>
          <w:sz w:val="20"/>
          <w:szCs w:val="20"/>
        </w:rPr>
        <w:t>$</w:t>
      </w:r>
      <w:r>
        <w:rPr>
          <w:sz w:val="20"/>
          <w:szCs w:val="20"/>
        </w:rPr>
        <w:t>0.</w:t>
      </w:r>
      <w:r>
        <w:rPr>
          <w:sz w:val="20"/>
          <w:szCs w:val="20"/>
        </w:rPr>
        <w:t>4</w:t>
      </w:r>
      <w:r>
        <w:rPr>
          <w:sz w:val="20"/>
          <w:szCs w:val="20"/>
        </w:rPr>
        <w:t xml:space="preserve"> million, respectively. For the</w:t>
      </w:r>
      <w:r>
        <w:rPr>
          <w:sz w:val="20"/>
          <w:szCs w:val="20"/>
        </w:rPr>
        <w:t xml:space="preserve"> </w:t>
      </w:r>
      <w:r>
        <w:rPr>
          <w:sz w:val="20"/>
          <w:szCs w:val="20"/>
        </w:rPr>
        <w:t>three and ni</w:t>
      </w:r>
      <w:r>
        <w:rPr>
          <w:sz w:val="20"/>
          <w:szCs w:val="20"/>
        </w:rPr>
        <w:t>ne months ended September 30, 202</w:t>
      </w:r>
      <w:r>
        <w:rPr>
          <w:sz w:val="20"/>
          <w:szCs w:val="20"/>
        </w:rPr>
        <w:t>1</w:t>
      </w:r>
      <w:r>
        <w:rPr>
          <w:sz w:val="20"/>
          <w:szCs w:val="20"/>
        </w:rPr>
        <w:t xml:space="preserve">, the Company had gains related to the remeasurement of the Private Placement Warrants of </w:t>
      </w:r>
      <w:r>
        <w:rPr>
          <w:sz w:val="20"/>
          <w:szCs w:val="20"/>
        </w:rPr>
        <w:t>$</w:t>
      </w:r>
      <w:r>
        <w:rPr>
          <w:sz w:val="20"/>
          <w:szCs w:val="20"/>
        </w:rPr>
        <w:t>26.</w:t>
      </w:r>
      <w:r>
        <w:rPr>
          <w:sz w:val="20"/>
          <w:szCs w:val="20"/>
        </w:rPr>
        <w:t>9</w:t>
      </w:r>
      <w:r>
        <w:rPr>
          <w:sz w:val="20"/>
          <w:szCs w:val="20"/>
        </w:rPr>
        <w:t xml:space="preserve"> million and </w:t>
      </w:r>
      <w:r>
        <w:rPr>
          <w:sz w:val="20"/>
          <w:szCs w:val="20"/>
        </w:rPr>
        <w:t>$</w:t>
      </w:r>
      <w:r>
        <w:rPr>
          <w:sz w:val="20"/>
          <w:szCs w:val="20"/>
        </w:rPr>
        <w:t>28.</w:t>
      </w:r>
      <w:r>
        <w:rPr>
          <w:sz w:val="20"/>
          <w:szCs w:val="20"/>
        </w:rPr>
        <w:t>3</w:t>
      </w:r>
      <w:r>
        <w:rPr>
          <w:sz w:val="20"/>
          <w:szCs w:val="20"/>
        </w:rPr>
        <w:t xml:space="preserve"> million, respectively</w:t>
      </w:r>
      <w:r>
        <w:rPr>
          <w:sz w:val="20"/>
          <w:szCs w:val="20"/>
        </w:rPr>
        <w:t>.</w:t>
      </w:r>
    </w:p>
    <w:p w:rsidR="00000000" w:rsidRDefault="0043639B">
      <w:pPr>
        <w:pStyle w:val="a3"/>
        <w:spacing w:before="0" w:beforeAutospacing="0" w:after="0" w:afterAutospacing="0"/>
        <w:divId w:val="534461312"/>
        <w:rPr>
          <w:sz w:val="20"/>
          <w:szCs w:val="20"/>
        </w:rPr>
      </w:pPr>
      <w:r>
        <w:rPr>
          <w:sz w:val="20"/>
          <w:szCs w:val="20"/>
        </w:rPr>
        <w:t> </w:t>
      </w:r>
    </w:p>
    <w:p w:rsidR="00000000" w:rsidRDefault="0043639B">
      <w:pPr>
        <w:pStyle w:val="a3"/>
        <w:spacing w:before="0" w:beforeAutospacing="0" w:after="0" w:afterAutospacing="0"/>
        <w:jc w:val="center"/>
        <w:divId w:val="534461312"/>
        <w:rPr>
          <w:sz w:val="20"/>
          <w:szCs w:val="20"/>
        </w:rPr>
      </w:pPr>
      <w:r>
        <w:rPr>
          <w:sz w:val="20"/>
          <w:szCs w:val="20"/>
        </w:rPr>
        <w:t>1</w:t>
      </w:r>
      <w:r>
        <w:rPr>
          <w:sz w:val="20"/>
          <w:szCs w:val="20"/>
        </w:rPr>
        <w:t>2</w:t>
      </w:r>
    </w:p>
    <w:p w:rsidR="00000000" w:rsidRDefault="0043639B">
      <w:pPr>
        <w:divId w:val="534461312"/>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43639B">
      <w:pPr>
        <w:pStyle w:val="a3"/>
        <w:spacing w:before="0" w:beforeAutospacing="0" w:after="0" w:afterAutospacing="0"/>
        <w:divId w:val="534461312"/>
        <w:rPr>
          <w:sz w:val="20"/>
          <w:szCs w:val="20"/>
        </w:rPr>
      </w:pPr>
      <w:hyperlink w:anchor="toc_page" w:history="1">
        <w:r>
          <w:rPr>
            <w:rStyle w:val="a4"/>
            <w:sz w:val="18"/>
            <w:szCs w:val="18"/>
          </w:rPr>
          <w:t>Table of Cont</w:t>
        </w:r>
        <w:r>
          <w:rPr>
            <w:rStyle w:val="a4"/>
            <w:sz w:val="18"/>
            <w:szCs w:val="18"/>
          </w:rPr>
          <w:t>ent</w:t>
        </w:r>
        <w:r>
          <w:rPr>
            <w:rStyle w:val="a4"/>
            <w:sz w:val="18"/>
            <w:szCs w:val="18"/>
          </w:rPr>
          <w:t>s</w:t>
        </w:r>
      </w:hyperlink>
    </w:p>
    <w:p w:rsidR="00000000" w:rsidRDefault="0043639B">
      <w:pPr>
        <w:pStyle w:val="a3"/>
        <w:spacing w:before="240" w:beforeAutospacing="0" w:after="240" w:afterAutospacing="0"/>
        <w:jc w:val="both"/>
        <w:divId w:val="1530802574"/>
        <w:rPr>
          <w:sz w:val="20"/>
          <w:szCs w:val="20"/>
        </w:rPr>
      </w:pPr>
      <w:r>
        <w:rPr>
          <w:sz w:val="20"/>
          <w:szCs w:val="20"/>
        </w:rPr>
        <w:t>The following table presents the changes in the fair value of warrant liabilities during the</w:t>
      </w:r>
      <w:r>
        <w:rPr>
          <w:sz w:val="20"/>
          <w:szCs w:val="20"/>
        </w:rPr>
        <w:t xml:space="preserve"> </w:t>
      </w:r>
      <w:r>
        <w:rPr>
          <w:sz w:val="20"/>
          <w:szCs w:val="20"/>
        </w:rPr>
        <w:t>three and nine months ended September 30, 2022</w:t>
      </w:r>
      <w:r>
        <w:rPr>
          <w:sz w:val="20"/>
          <w:szCs w:val="20"/>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34"/>
        <w:gridCol w:w="147"/>
        <w:gridCol w:w="161"/>
        <w:gridCol w:w="1193"/>
        <w:gridCol w:w="110"/>
        <w:gridCol w:w="110"/>
        <w:gridCol w:w="160"/>
        <w:gridCol w:w="1298"/>
        <w:gridCol w:w="127"/>
        <w:gridCol w:w="110"/>
        <w:gridCol w:w="160"/>
        <w:gridCol w:w="1271"/>
        <w:gridCol w:w="125"/>
      </w:tblGrid>
      <w:tr w:rsidR="00000000">
        <w:trPr>
          <w:divId w:val="1530802574"/>
          <w:tblCellSpacing w:w="15" w:type="dxa"/>
        </w:trPr>
        <w:tc>
          <w:tcPr>
            <w:tcW w:w="2100" w:type="pct"/>
            <w:vAlign w:val="center"/>
            <w:hideMark/>
          </w:tcPr>
          <w:p w:rsidR="00000000" w:rsidRDefault="0043639B">
            <w:pPr>
              <w:rPr>
                <w:sz w:val="20"/>
                <w:szCs w:val="20"/>
              </w:rPr>
            </w:pPr>
          </w:p>
        </w:tc>
        <w:tc>
          <w:tcPr>
            <w:tcW w:w="9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753"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8"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828"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6"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80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divId w:val="1530802574"/>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43639B">
            <w:pPr>
              <w:pStyle w:val="a3"/>
              <w:spacing w:before="0" w:beforeAutospacing="0" w:after="0" w:afterAutospacing="0"/>
              <w:jc w:val="center"/>
              <w:rPr>
                <w:sz w:val="16"/>
                <w:szCs w:val="16"/>
              </w:rPr>
            </w:pPr>
            <w:r>
              <w:rPr>
                <w:b/>
                <w:bCs/>
                <w:sz w:val="16"/>
                <w:szCs w:val="16"/>
              </w:rPr>
              <w:t>Level 3 Liabilitie</w:t>
            </w:r>
            <w:r>
              <w:rPr>
                <w:b/>
                <w:bCs/>
                <w:sz w:val="16"/>
                <w:szCs w:val="16"/>
              </w:rPr>
              <w:t>s</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1530802574"/>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43639B">
            <w:pPr>
              <w:pStyle w:val="a3"/>
              <w:spacing w:before="0" w:beforeAutospacing="0" w:after="0" w:afterAutospacing="0"/>
              <w:jc w:val="center"/>
              <w:rPr>
                <w:sz w:val="16"/>
                <w:szCs w:val="16"/>
              </w:rPr>
            </w:pPr>
            <w:r>
              <w:rPr>
                <w:b/>
                <w:bCs/>
                <w:sz w:val="16"/>
                <w:szCs w:val="16"/>
              </w:rPr>
              <w:t>For the Three Months Ended September 30, 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1530802574"/>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Beginning Balanc</w:t>
            </w:r>
            <w:r>
              <w:rPr>
                <w:b/>
                <w:bCs/>
                <w:sz w:val="16"/>
                <w:szCs w:val="16"/>
              </w:rPr>
              <w:t>e</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Change in Fair Valu</w:t>
            </w:r>
            <w:r>
              <w:rPr>
                <w:b/>
                <w:bCs/>
                <w:sz w:val="16"/>
                <w:szCs w:val="16"/>
              </w:rPr>
              <w:t>e</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Ending Balanc</w:t>
            </w:r>
            <w:r>
              <w:rPr>
                <w:b/>
                <w:bCs/>
                <w:sz w:val="16"/>
                <w:szCs w:val="16"/>
              </w:rPr>
              <w:t>e</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1530802574"/>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Private Placement Warrant</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5,28</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1,63</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3,64</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1530802574"/>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divId w:val="1530802574"/>
          <w:trHeight w:val="16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10"/>
            <w:vAlign w:val="bottom"/>
            <w:hideMark/>
          </w:tcPr>
          <w:p w:rsidR="00000000" w:rsidRDefault="0043639B">
            <w:pPr>
              <w:pStyle w:val="a3"/>
              <w:spacing w:before="0" w:beforeAutospacing="0" w:after="0" w:afterAutospacing="0"/>
              <w:jc w:val="center"/>
              <w:rPr>
                <w:sz w:val="16"/>
                <w:szCs w:val="16"/>
              </w:rPr>
            </w:pPr>
            <w:r>
              <w:rPr>
                <w:b/>
                <w:bCs/>
                <w:sz w:val="16"/>
                <w:szCs w:val="16"/>
              </w:rPr>
              <w:t>Level 3 Liabilitie</w:t>
            </w:r>
            <w:r>
              <w:rPr>
                <w:b/>
                <w:bCs/>
                <w:sz w:val="16"/>
                <w:szCs w:val="16"/>
              </w:rPr>
              <w:t>s</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1530802574"/>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10"/>
            <w:vAlign w:val="bottom"/>
            <w:hideMark/>
          </w:tcPr>
          <w:p w:rsidR="00000000" w:rsidRDefault="0043639B">
            <w:pPr>
              <w:pStyle w:val="a3"/>
              <w:spacing w:before="0" w:beforeAutospacing="0" w:after="0" w:afterAutospacing="0"/>
              <w:jc w:val="center"/>
              <w:rPr>
                <w:sz w:val="16"/>
                <w:szCs w:val="16"/>
              </w:rPr>
            </w:pPr>
            <w:r>
              <w:rPr>
                <w:b/>
                <w:bCs/>
                <w:sz w:val="16"/>
                <w:szCs w:val="16"/>
              </w:rPr>
              <w:t>For the Nine Months Ended September 30, 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1530802574"/>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Beginning Balanc</w:t>
            </w:r>
            <w:r>
              <w:rPr>
                <w:b/>
                <w:bCs/>
                <w:sz w:val="16"/>
                <w:szCs w:val="16"/>
              </w:rPr>
              <w:t>e</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Change in Fair Valu</w:t>
            </w:r>
            <w:r>
              <w:rPr>
                <w:b/>
                <w:bCs/>
                <w:sz w:val="16"/>
                <w:szCs w:val="16"/>
              </w:rPr>
              <w:t>e</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Ending Balanc</w:t>
            </w:r>
            <w:r>
              <w:rPr>
                <w:b/>
                <w:bCs/>
                <w:sz w:val="16"/>
                <w:szCs w:val="16"/>
              </w:rPr>
              <w:t>e</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1530802574"/>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Private Placement Warrant</w:t>
            </w:r>
            <w:r>
              <w:rPr>
                <w:sz w:val="20"/>
                <w:szCs w:val="20"/>
              </w:rPr>
              <w:t>s</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4,07</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42</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3,64</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bl>
    <w:p w:rsidR="00000000" w:rsidRDefault="0043639B">
      <w:pPr>
        <w:pStyle w:val="a3"/>
        <w:spacing w:before="0" w:beforeAutospacing="0" w:after="0" w:afterAutospacing="0"/>
        <w:divId w:val="1530802574"/>
        <w:rPr>
          <w:sz w:val="20"/>
          <w:szCs w:val="20"/>
        </w:rPr>
      </w:pPr>
      <w:r>
        <w:rPr>
          <w:sz w:val="20"/>
          <w:szCs w:val="20"/>
        </w:rPr>
        <w:t> </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divId w:val="1092891161"/>
        <w:rPr>
          <w:sz w:val="20"/>
          <w:szCs w:val="20"/>
        </w:rPr>
      </w:pPr>
      <w:r>
        <w:rPr>
          <w:b/>
          <w:bCs/>
          <w:sz w:val="20"/>
          <w:szCs w:val="20"/>
        </w:rPr>
        <w:t>NOTE 5. COMMITMENTS AND CONTINGENT LIABILITIE</w:t>
      </w:r>
      <w:r>
        <w:rPr>
          <w:b/>
          <w:bCs/>
          <w:sz w:val="20"/>
          <w:szCs w:val="20"/>
        </w:rPr>
        <w:t>S</w:t>
      </w:r>
    </w:p>
    <w:p w:rsidR="00000000" w:rsidRDefault="0043639B">
      <w:pPr>
        <w:pStyle w:val="a3"/>
        <w:spacing w:before="0" w:beforeAutospacing="0" w:after="0" w:afterAutospacing="0"/>
        <w:divId w:val="1092891161"/>
        <w:rPr>
          <w:sz w:val="20"/>
          <w:szCs w:val="20"/>
        </w:rPr>
      </w:pPr>
      <w:r>
        <w:rPr>
          <w:sz w:val="20"/>
          <w:szCs w:val="20"/>
        </w:rPr>
        <w:t> </w:t>
      </w:r>
    </w:p>
    <w:p w:rsidR="00000000" w:rsidRDefault="0043639B">
      <w:pPr>
        <w:pStyle w:val="a3"/>
        <w:spacing w:before="0" w:beforeAutospacing="0" w:after="0" w:afterAutospacing="0"/>
        <w:divId w:val="1092891161"/>
        <w:rPr>
          <w:sz w:val="20"/>
          <w:szCs w:val="20"/>
        </w:rPr>
      </w:pPr>
      <w:r>
        <w:rPr>
          <w:i/>
          <w:iCs/>
          <w:sz w:val="20"/>
          <w:szCs w:val="20"/>
        </w:rPr>
        <w:t>Lease commitment</w:t>
      </w:r>
      <w:r>
        <w:rPr>
          <w:i/>
          <w:iCs/>
          <w:sz w:val="20"/>
          <w:szCs w:val="20"/>
        </w:rPr>
        <w:t>s</w:t>
      </w:r>
    </w:p>
    <w:p w:rsidR="00000000" w:rsidRDefault="0043639B">
      <w:pPr>
        <w:pStyle w:val="a3"/>
        <w:spacing w:before="120" w:beforeAutospacing="0" w:after="0" w:afterAutospacing="0"/>
        <w:jc w:val="both"/>
        <w:divId w:val="1092891161"/>
        <w:rPr>
          <w:sz w:val="20"/>
          <w:szCs w:val="20"/>
        </w:rPr>
      </w:pPr>
      <w:r>
        <w:rPr>
          <w:sz w:val="20"/>
          <w:szCs w:val="20"/>
        </w:rPr>
        <w:t>Since terminating its prior office lease agreement in August 2020, the Company had a month to month operating lease for office space in New York City. In the fourth quarter of 2022, the Company entered into a long-term sublease agreement for new office spa</w:t>
      </w:r>
      <w:r>
        <w:rPr>
          <w:sz w:val="20"/>
          <w:szCs w:val="20"/>
        </w:rPr>
        <w:t>ce in New York City. This new sublease will not have a material impact on the Company's financial results. As of September 30, 2022, the Company's workforce is fully remote</w:t>
      </w:r>
      <w:r>
        <w:rPr>
          <w:sz w:val="20"/>
          <w:szCs w:val="20"/>
        </w:rPr>
        <w:t>.</w:t>
      </w:r>
    </w:p>
    <w:p w:rsidR="00000000" w:rsidRDefault="0043639B">
      <w:pPr>
        <w:pStyle w:val="a3"/>
        <w:spacing w:before="240" w:beforeAutospacing="0" w:after="0" w:afterAutospacing="0"/>
        <w:jc w:val="both"/>
        <w:divId w:val="1092891161"/>
        <w:rPr>
          <w:sz w:val="20"/>
          <w:szCs w:val="20"/>
        </w:rPr>
      </w:pPr>
      <w:r>
        <w:rPr>
          <w:sz w:val="20"/>
          <w:szCs w:val="20"/>
        </w:rPr>
        <w:t xml:space="preserve">The Company has limited operations outside the United States. The Company has one </w:t>
      </w:r>
      <w:r>
        <w:rPr>
          <w:sz w:val="20"/>
          <w:szCs w:val="20"/>
        </w:rPr>
        <w:t>foreign subsidiary located in Israel which leases its operating facilities under a month-to-month operating lease agreement</w:t>
      </w:r>
      <w:r>
        <w:rPr>
          <w:sz w:val="20"/>
          <w:szCs w:val="20"/>
        </w:rPr>
        <w:t>.</w:t>
      </w:r>
    </w:p>
    <w:p w:rsidR="00000000" w:rsidRDefault="0043639B">
      <w:pPr>
        <w:pStyle w:val="a3"/>
        <w:spacing w:before="240" w:beforeAutospacing="0" w:after="0" w:afterAutospacing="0"/>
        <w:jc w:val="both"/>
        <w:divId w:val="1092891161"/>
        <w:rPr>
          <w:sz w:val="20"/>
          <w:szCs w:val="20"/>
        </w:rPr>
      </w:pPr>
      <w:r>
        <w:rPr>
          <w:sz w:val="20"/>
          <w:szCs w:val="20"/>
        </w:rPr>
        <w:t>The Company elected the practical expedient for lease agreements with a term of twelve months or less and does not recognize right-</w:t>
      </w:r>
      <w:r>
        <w:rPr>
          <w:sz w:val="20"/>
          <w:szCs w:val="20"/>
        </w:rPr>
        <w:t>of-use (“ROU”) assets and lease liabilities in respect of those agreements. The Company also elected the practical expedient to not separate lease and non-lease components for all of the Company’s leases</w:t>
      </w:r>
      <w:r>
        <w:rPr>
          <w:sz w:val="20"/>
          <w:szCs w:val="20"/>
        </w:rPr>
        <w:t>.</w:t>
      </w:r>
    </w:p>
    <w:p w:rsidR="00000000" w:rsidRDefault="0043639B">
      <w:pPr>
        <w:pStyle w:val="a3"/>
        <w:spacing w:before="0" w:beforeAutospacing="0" w:after="0" w:afterAutospacing="0"/>
        <w:jc w:val="both"/>
        <w:divId w:val="1092891161"/>
        <w:rPr>
          <w:sz w:val="20"/>
          <w:szCs w:val="20"/>
        </w:rPr>
      </w:pPr>
      <w:r>
        <w:rPr>
          <w:sz w:val="20"/>
          <w:szCs w:val="20"/>
        </w:rPr>
        <w:t> </w:t>
      </w:r>
    </w:p>
    <w:p w:rsidR="00000000" w:rsidRDefault="0043639B">
      <w:pPr>
        <w:pStyle w:val="a3"/>
        <w:spacing w:before="0" w:beforeAutospacing="0" w:after="0" w:afterAutospacing="0"/>
        <w:jc w:val="both"/>
        <w:divId w:val="1092891161"/>
        <w:rPr>
          <w:sz w:val="20"/>
          <w:szCs w:val="20"/>
        </w:rPr>
      </w:pPr>
      <w:r>
        <w:rPr>
          <w:sz w:val="20"/>
          <w:szCs w:val="20"/>
        </w:rPr>
        <w:t>Rent expenses under the Company’s short-term oper</w:t>
      </w:r>
      <w:r>
        <w:rPr>
          <w:sz w:val="20"/>
          <w:szCs w:val="20"/>
        </w:rPr>
        <w:t>ating leases for the three and nine months ended September 30, 202</w:t>
      </w:r>
      <w:r>
        <w:rPr>
          <w:sz w:val="20"/>
          <w:szCs w:val="20"/>
        </w:rPr>
        <w:t>2</w:t>
      </w:r>
      <w:r>
        <w:rPr>
          <w:sz w:val="20"/>
          <w:szCs w:val="20"/>
        </w:rPr>
        <w:t xml:space="preserve"> was </w:t>
      </w:r>
      <w:r>
        <w:rPr>
          <w:sz w:val="20"/>
          <w:szCs w:val="20"/>
        </w:rPr>
        <w:t>$</w:t>
      </w:r>
      <w:r>
        <w:rPr>
          <w:sz w:val="20"/>
          <w:szCs w:val="20"/>
        </w:rPr>
        <w:t>48,00</w:t>
      </w:r>
      <w:r>
        <w:rPr>
          <w:sz w:val="20"/>
          <w:szCs w:val="20"/>
        </w:rPr>
        <w:t>0</w:t>
      </w:r>
      <w:r>
        <w:rPr>
          <w:sz w:val="20"/>
          <w:szCs w:val="20"/>
        </w:rPr>
        <w:t xml:space="preserve"> and </w:t>
      </w:r>
      <w:r>
        <w:rPr>
          <w:sz w:val="20"/>
          <w:szCs w:val="20"/>
        </w:rPr>
        <w:t>$</w:t>
      </w:r>
      <w:r>
        <w:rPr>
          <w:sz w:val="20"/>
          <w:szCs w:val="20"/>
        </w:rPr>
        <w:t>158,00</w:t>
      </w:r>
      <w:r>
        <w:rPr>
          <w:sz w:val="20"/>
          <w:szCs w:val="20"/>
        </w:rPr>
        <w:t>0</w:t>
      </w:r>
      <w:r>
        <w:rPr>
          <w:sz w:val="20"/>
          <w:szCs w:val="20"/>
        </w:rPr>
        <w:t xml:space="preserve"> respectively</w:t>
      </w:r>
      <w:r>
        <w:rPr>
          <w:sz w:val="20"/>
          <w:szCs w:val="20"/>
        </w:rPr>
        <w:t>.</w:t>
      </w:r>
    </w:p>
    <w:p w:rsidR="00000000" w:rsidRDefault="0043639B">
      <w:pPr>
        <w:pStyle w:val="a3"/>
        <w:spacing w:before="0" w:beforeAutospacing="0" w:after="0" w:afterAutospacing="0"/>
        <w:jc w:val="both"/>
        <w:divId w:val="1092891161"/>
        <w:rPr>
          <w:sz w:val="20"/>
          <w:szCs w:val="20"/>
        </w:rPr>
      </w:pPr>
      <w:r>
        <w:rPr>
          <w:sz w:val="20"/>
          <w:szCs w:val="20"/>
        </w:rPr>
        <w:t> </w:t>
      </w:r>
    </w:p>
    <w:p w:rsidR="00000000" w:rsidRDefault="0043639B">
      <w:pPr>
        <w:pStyle w:val="a3"/>
        <w:spacing w:before="0" w:beforeAutospacing="0" w:after="0" w:afterAutospacing="0"/>
        <w:divId w:val="1092891161"/>
        <w:rPr>
          <w:sz w:val="20"/>
          <w:szCs w:val="20"/>
        </w:rPr>
      </w:pPr>
      <w:r>
        <w:rPr>
          <w:i/>
          <w:iCs/>
          <w:sz w:val="20"/>
          <w:szCs w:val="20"/>
        </w:rPr>
        <w:t>Litigatio</w:t>
      </w:r>
      <w:r>
        <w:rPr>
          <w:i/>
          <w:iCs/>
          <w:sz w:val="20"/>
          <w:szCs w:val="20"/>
        </w:rPr>
        <w:t>n</w:t>
      </w:r>
    </w:p>
    <w:p w:rsidR="00000000" w:rsidRDefault="0043639B">
      <w:pPr>
        <w:pStyle w:val="a3"/>
        <w:spacing w:before="120" w:beforeAutospacing="0" w:after="0" w:afterAutospacing="0"/>
        <w:jc w:val="both"/>
        <w:divId w:val="1092891161"/>
        <w:rPr>
          <w:sz w:val="20"/>
          <w:szCs w:val="20"/>
        </w:rPr>
      </w:pPr>
      <w:r>
        <w:rPr>
          <w:sz w:val="20"/>
          <w:szCs w:val="20"/>
        </w:rPr>
        <w:t>The Company is and may in the future be involved in various legal proceedings arising from the normal course of business activities. Alt</w:t>
      </w:r>
      <w:r>
        <w:rPr>
          <w:sz w:val="20"/>
          <w:szCs w:val="20"/>
        </w:rPr>
        <w:t>hough the results of litigation and claims cannot be predicted with certainty, the Company currently believes that any such litigation or claims are unlikely to have any material adverse impact on the Company’s consolidated results of operations, cash flow</w:t>
      </w:r>
      <w:r>
        <w:rPr>
          <w:sz w:val="20"/>
          <w:szCs w:val="20"/>
        </w:rPr>
        <w:t>s or financial position. Regardless of the outcome, however, litigation can have an adverse impact on the Company because of the costs to defend lawsuits, diversion of management resources and other factors</w:t>
      </w:r>
      <w:r>
        <w:rPr>
          <w:sz w:val="20"/>
          <w:szCs w:val="20"/>
        </w:rPr>
        <w:t>.</w:t>
      </w:r>
    </w:p>
    <w:p w:rsidR="00000000" w:rsidRDefault="0043639B">
      <w:pPr>
        <w:pStyle w:val="a3"/>
        <w:spacing w:before="0" w:beforeAutospacing="0" w:after="0" w:afterAutospacing="0"/>
        <w:jc w:val="both"/>
        <w:divId w:val="1092891161"/>
        <w:rPr>
          <w:sz w:val="20"/>
          <w:szCs w:val="20"/>
        </w:rPr>
      </w:pPr>
      <w:r>
        <w:rPr>
          <w:sz w:val="20"/>
          <w:szCs w:val="20"/>
        </w:rPr>
        <w:t> </w:t>
      </w:r>
    </w:p>
    <w:p w:rsidR="00000000" w:rsidRDefault="0043639B">
      <w:pPr>
        <w:pStyle w:val="a3"/>
        <w:spacing w:before="0" w:beforeAutospacing="0" w:after="0" w:afterAutospacing="0"/>
        <w:jc w:val="both"/>
        <w:divId w:val="1092891161"/>
        <w:rPr>
          <w:sz w:val="20"/>
          <w:szCs w:val="20"/>
        </w:rPr>
      </w:pPr>
      <w:r>
        <w:rPr>
          <w:sz w:val="20"/>
          <w:szCs w:val="20"/>
        </w:rPr>
        <w:t>In January 2022, the Company and certain of it</w:t>
      </w:r>
      <w:r>
        <w:rPr>
          <w:sz w:val="20"/>
          <w:szCs w:val="20"/>
        </w:rPr>
        <w:t>s current and former officers and directors were named as defendants in securities class action complaints filed in the United States District Court for the Southern District of New York (the “Securities Actions”) under the case headings: (1)</w:t>
      </w:r>
      <w:r>
        <w:rPr>
          <w:sz w:val="20"/>
          <w:szCs w:val="20"/>
        </w:rPr>
        <w:t xml:space="preserve"> </w:t>
      </w:r>
      <w:r>
        <w:rPr>
          <w:i/>
          <w:iCs/>
          <w:sz w:val="20"/>
          <w:szCs w:val="20"/>
        </w:rPr>
        <w:t>Baron v. Talk</w:t>
      </w:r>
      <w:r>
        <w:rPr>
          <w:i/>
          <w:iCs/>
          <w:sz w:val="20"/>
          <w:szCs w:val="20"/>
        </w:rPr>
        <w:t>space et a</w:t>
      </w:r>
      <w:r>
        <w:rPr>
          <w:i/>
          <w:iCs/>
          <w:sz w:val="20"/>
          <w:szCs w:val="20"/>
        </w:rPr>
        <w:t>l</w:t>
      </w:r>
      <w:r>
        <w:rPr>
          <w:sz w:val="20"/>
          <w:szCs w:val="20"/>
        </w:rPr>
        <w:t>., No. 22-cv-00163 (S.D.N.Y.) and (2)</w:t>
      </w:r>
      <w:r>
        <w:rPr>
          <w:sz w:val="20"/>
          <w:szCs w:val="20"/>
        </w:rPr>
        <w:t xml:space="preserve"> </w:t>
      </w:r>
      <w:r>
        <w:rPr>
          <w:i/>
          <w:iCs/>
          <w:sz w:val="20"/>
          <w:szCs w:val="20"/>
        </w:rPr>
        <w:t>Valdez v. Talkspace et a</w:t>
      </w:r>
      <w:r>
        <w:rPr>
          <w:i/>
          <w:iCs/>
          <w:sz w:val="20"/>
          <w:szCs w:val="20"/>
        </w:rPr>
        <w:t>l</w:t>
      </w:r>
      <w:r>
        <w:rPr>
          <w:sz w:val="20"/>
          <w:szCs w:val="20"/>
        </w:rPr>
        <w:t>., No. 22-cv-00840 (S.D.N.Y.). The Securities Actions asserted violations of sections 10(b), 14(a) and 20(a) of the Securities Exchange Act of 1934 and SEC Rules 10b-5 and 14a-9 prom</w:t>
      </w:r>
      <w:r>
        <w:rPr>
          <w:sz w:val="20"/>
          <w:szCs w:val="20"/>
        </w:rPr>
        <w:t xml:space="preserve">ulgated thereunder. The Securities Actions generally relate to public disclosures and statements by the Company in connection with its merger with HEC. The core allegations are that in connection with the merger, defendants made material misstatements and </w:t>
      </w:r>
      <w:r>
        <w:rPr>
          <w:sz w:val="20"/>
          <w:szCs w:val="20"/>
        </w:rPr>
        <w:t>omissions regarding Talkspace’s business, financial condition, and growth prospects. The complaints seek, among other things, damages on behalf of all members of the proposed class. In June 2022, the Securities Actions were consolidated under the caption</w:t>
      </w:r>
      <w:r>
        <w:rPr>
          <w:sz w:val="20"/>
          <w:szCs w:val="20"/>
        </w:rPr>
        <w:t xml:space="preserve"> </w:t>
      </w:r>
      <w:r>
        <w:rPr>
          <w:i/>
          <w:iCs/>
          <w:sz w:val="20"/>
          <w:szCs w:val="20"/>
        </w:rPr>
        <w:t>I</w:t>
      </w:r>
      <w:r>
        <w:rPr>
          <w:i/>
          <w:iCs/>
          <w:sz w:val="20"/>
          <w:szCs w:val="20"/>
        </w:rPr>
        <w:t>n re Talkspace, Inc. Securities Litigatio</w:t>
      </w:r>
      <w:r>
        <w:rPr>
          <w:i/>
          <w:iCs/>
          <w:sz w:val="20"/>
          <w:szCs w:val="20"/>
        </w:rPr>
        <w:t>n</w:t>
      </w:r>
      <w:r>
        <w:rPr>
          <w:sz w:val="20"/>
          <w:szCs w:val="20"/>
        </w:rPr>
        <w:t xml:space="preserve"> (the “Consolidated Securities Action”). On August 1, 2022, plaintiffs in the Consolidated Securities Action filed a consolidated class action complaint, which asserted the same violations of sections 10(b), 14(a),</w:t>
      </w:r>
      <w:r>
        <w:rPr>
          <w:sz w:val="20"/>
          <w:szCs w:val="20"/>
        </w:rPr>
        <w:t xml:space="preserve"> and 20(a) of the Securities Exchange Act of 1934 and SEC Rules 10b-5 and 14a-9 as described above. Defendants have moved to dismiss the consolidated class action complaint</w:t>
      </w:r>
      <w:r>
        <w:rPr>
          <w:sz w:val="20"/>
          <w:szCs w:val="20"/>
        </w:rPr>
        <w:t>.</w:t>
      </w:r>
    </w:p>
    <w:p w:rsidR="00000000" w:rsidRDefault="0043639B">
      <w:pPr>
        <w:pStyle w:val="a3"/>
        <w:spacing w:before="0" w:beforeAutospacing="0" w:after="0" w:afterAutospacing="0"/>
        <w:jc w:val="both"/>
        <w:divId w:val="1092891161"/>
        <w:rPr>
          <w:sz w:val="20"/>
          <w:szCs w:val="20"/>
        </w:rPr>
      </w:pPr>
      <w:r>
        <w:rPr>
          <w:sz w:val="20"/>
          <w:szCs w:val="20"/>
        </w:rPr>
        <w:t> </w:t>
      </w:r>
    </w:p>
    <w:p w:rsidR="00000000" w:rsidRDefault="0043639B">
      <w:pPr>
        <w:pStyle w:val="a3"/>
        <w:spacing w:before="0" w:beforeAutospacing="0" w:after="0" w:afterAutospacing="0"/>
        <w:divId w:val="1092891161"/>
        <w:rPr>
          <w:sz w:val="20"/>
          <w:szCs w:val="20"/>
        </w:rPr>
      </w:pPr>
      <w:r>
        <w:rPr>
          <w:sz w:val="20"/>
          <w:szCs w:val="20"/>
        </w:rPr>
        <w:t> </w:t>
      </w:r>
    </w:p>
    <w:p w:rsidR="00000000" w:rsidRDefault="0043639B">
      <w:pPr>
        <w:pStyle w:val="a3"/>
        <w:spacing w:before="0" w:beforeAutospacing="0" w:after="0" w:afterAutospacing="0"/>
        <w:jc w:val="center"/>
        <w:divId w:val="1092891161"/>
        <w:rPr>
          <w:sz w:val="20"/>
          <w:szCs w:val="20"/>
        </w:rPr>
      </w:pPr>
      <w:r>
        <w:rPr>
          <w:sz w:val="20"/>
          <w:szCs w:val="20"/>
        </w:rPr>
        <w:t>1</w:t>
      </w:r>
      <w:r>
        <w:rPr>
          <w:sz w:val="20"/>
          <w:szCs w:val="20"/>
        </w:rPr>
        <w:t>3</w:t>
      </w:r>
    </w:p>
    <w:p w:rsidR="00000000" w:rsidRDefault="0043639B">
      <w:pPr>
        <w:divId w:val="1092891161"/>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43639B">
      <w:pPr>
        <w:pStyle w:val="a3"/>
        <w:spacing w:before="0" w:beforeAutospacing="0" w:after="0" w:afterAutospacing="0"/>
        <w:divId w:val="1092891161"/>
        <w:rPr>
          <w:sz w:val="20"/>
          <w:szCs w:val="20"/>
        </w:rPr>
      </w:pPr>
      <w:hyperlink w:anchor="toc_page" w:history="1">
        <w:r>
          <w:rPr>
            <w:rStyle w:val="a4"/>
            <w:sz w:val="18"/>
            <w:szCs w:val="18"/>
          </w:rPr>
          <w:t>Table o</w:t>
        </w:r>
        <w:r>
          <w:rPr>
            <w:rStyle w:val="a4"/>
            <w:sz w:val="18"/>
            <w:szCs w:val="18"/>
          </w:rPr>
          <w:t>f Content</w:t>
        </w:r>
        <w:r>
          <w:rPr>
            <w:rStyle w:val="a4"/>
            <w:sz w:val="18"/>
            <w:szCs w:val="18"/>
          </w:rPr>
          <w:t>s</w:t>
        </w:r>
      </w:hyperlink>
    </w:p>
    <w:p w:rsidR="00000000" w:rsidRDefault="0043639B">
      <w:pPr>
        <w:pStyle w:val="a3"/>
        <w:spacing w:before="0" w:beforeAutospacing="0" w:after="0" w:afterAutospacing="0"/>
        <w:jc w:val="both"/>
        <w:divId w:val="1092891161"/>
        <w:rPr>
          <w:sz w:val="20"/>
          <w:szCs w:val="20"/>
        </w:rPr>
      </w:pPr>
      <w:r>
        <w:rPr>
          <w:sz w:val="20"/>
          <w:szCs w:val="20"/>
        </w:rPr>
        <w:t>In June and July 2022, individuals filed stockholder derivative lawsuits purportedly on behalf of Talkspace, in the United States District Court for the Southern District of New York under the case captions: (1)</w:t>
      </w:r>
      <w:r>
        <w:rPr>
          <w:sz w:val="20"/>
          <w:szCs w:val="20"/>
        </w:rPr>
        <w:t xml:space="preserve"> </w:t>
      </w:r>
      <w:r>
        <w:rPr>
          <w:i/>
          <w:iCs/>
          <w:sz w:val="20"/>
          <w:szCs w:val="20"/>
        </w:rPr>
        <w:t>Odsvall v. Oren Frank et a</w:t>
      </w:r>
      <w:r>
        <w:rPr>
          <w:i/>
          <w:iCs/>
          <w:sz w:val="20"/>
          <w:szCs w:val="20"/>
        </w:rPr>
        <w:t>l</w:t>
      </w:r>
      <w:r>
        <w:rPr>
          <w:sz w:val="20"/>
          <w:szCs w:val="20"/>
        </w:rPr>
        <w:t>., No.</w:t>
      </w:r>
      <w:r>
        <w:rPr>
          <w:sz w:val="20"/>
          <w:szCs w:val="20"/>
        </w:rPr>
        <w:t xml:space="preserve"> 22-cv-05016 (S.D.N.Y.) and (2)</w:t>
      </w:r>
      <w:r>
        <w:rPr>
          <w:sz w:val="20"/>
          <w:szCs w:val="20"/>
        </w:rPr>
        <w:t xml:space="preserve"> </w:t>
      </w:r>
      <w:r>
        <w:rPr>
          <w:i/>
          <w:iCs/>
          <w:sz w:val="20"/>
          <w:szCs w:val="20"/>
        </w:rPr>
        <w:t>Nayman v. Berg, et a</w:t>
      </w:r>
      <w:r>
        <w:rPr>
          <w:i/>
          <w:iCs/>
          <w:sz w:val="20"/>
          <w:szCs w:val="20"/>
        </w:rPr>
        <w:t>l</w:t>
      </w:r>
      <w:r>
        <w:rPr>
          <w:sz w:val="20"/>
          <w:szCs w:val="20"/>
        </w:rPr>
        <w:t>., No. 22-cv-06258 (S.D.N.Y.) (the “Derivative Actions”). The Derivative Actions name certain of the Company’s current and former officers and directors as defendants and the Company as a nominal defenda</w:t>
      </w:r>
      <w:r>
        <w:rPr>
          <w:sz w:val="20"/>
          <w:szCs w:val="20"/>
        </w:rPr>
        <w:t xml:space="preserve">nt. The Derivative Actions assert claims for violations of federal securities laws, breach of fiduciary duty, and aiding and abetting breach of fiduciary duty relating to the merger with HEC, among other things, based on many of the same facts at issue in </w:t>
      </w:r>
      <w:r>
        <w:rPr>
          <w:sz w:val="20"/>
          <w:szCs w:val="20"/>
        </w:rPr>
        <w:t>the Consolidated Securities Action. The complaint in</w:t>
      </w:r>
      <w:r>
        <w:rPr>
          <w:sz w:val="20"/>
          <w:szCs w:val="20"/>
        </w:rPr>
        <w:t xml:space="preserve"> </w:t>
      </w:r>
      <w:r>
        <w:rPr>
          <w:i/>
          <w:iCs/>
          <w:sz w:val="20"/>
          <w:szCs w:val="20"/>
        </w:rPr>
        <w:t>Odsvall v. Oren Frank et al</w:t>
      </w:r>
      <w:r>
        <w:rPr>
          <w:i/>
          <w:iCs/>
          <w:sz w:val="20"/>
          <w:szCs w:val="20"/>
        </w:rPr>
        <w:t>.</w:t>
      </w:r>
      <w:r>
        <w:rPr>
          <w:sz w:val="20"/>
          <w:szCs w:val="20"/>
        </w:rPr>
        <w:t xml:space="preserve"> additionally alleges that the individual defendants breached their fiduciary obligations to Talkspace by permitting misleading statements to be published in a proxy statement</w:t>
      </w:r>
      <w:r>
        <w:rPr>
          <w:sz w:val="20"/>
          <w:szCs w:val="20"/>
        </w:rPr>
        <w:t>, press releases, and other public filings and announced on a quarterly earnings call. The complaints seek, among other things, damages on behalf of the Company, restitution and injunctive relief. In September 2022, the Derivative Actions were consolidated</w:t>
      </w:r>
      <w:r>
        <w:rPr>
          <w:sz w:val="20"/>
          <w:szCs w:val="20"/>
        </w:rPr>
        <w:t xml:space="preserve"> under the caption</w:t>
      </w:r>
      <w:r>
        <w:rPr>
          <w:sz w:val="20"/>
          <w:szCs w:val="20"/>
        </w:rPr>
        <w:t xml:space="preserve"> </w:t>
      </w:r>
      <w:r>
        <w:rPr>
          <w:i/>
          <w:iCs/>
          <w:sz w:val="20"/>
          <w:szCs w:val="20"/>
        </w:rPr>
        <w:t>In re Talkspace Stockholder Derivative Litigation</w:t>
      </w:r>
      <w:r>
        <w:rPr>
          <w:i/>
          <w:iCs/>
          <w:sz w:val="20"/>
          <w:szCs w:val="20"/>
        </w:rPr>
        <w:t xml:space="preserve"> </w:t>
      </w:r>
      <w:r>
        <w:rPr>
          <w:sz w:val="20"/>
          <w:szCs w:val="20"/>
        </w:rPr>
        <w:t>(the “Consolidated Derivative Action”). All proceedings and deadlines in the Consolidated Derivative Action have stayed pending a final decision on the defendants’ motion to dismiss the c</w:t>
      </w:r>
      <w:r>
        <w:rPr>
          <w:sz w:val="20"/>
          <w:szCs w:val="20"/>
        </w:rPr>
        <w:t>onsolidated class action complaint in the Consolidated Securities Action</w:t>
      </w:r>
      <w:r>
        <w:rPr>
          <w:sz w:val="20"/>
          <w:szCs w:val="20"/>
        </w:rPr>
        <w:t>.</w:t>
      </w:r>
    </w:p>
    <w:p w:rsidR="00000000" w:rsidRDefault="0043639B">
      <w:pPr>
        <w:pStyle w:val="a3"/>
        <w:spacing w:before="0" w:beforeAutospacing="0" w:after="0" w:afterAutospacing="0"/>
        <w:jc w:val="both"/>
        <w:divId w:val="1092891161"/>
        <w:rPr>
          <w:sz w:val="20"/>
          <w:szCs w:val="20"/>
        </w:rPr>
      </w:pPr>
      <w:r>
        <w:rPr>
          <w:sz w:val="20"/>
          <w:szCs w:val="20"/>
        </w:rPr>
        <w:t> </w:t>
      </w:r>
    </w:p>
    <w:p w:rsidR="00000000" w:rsidRDefault="0043639B">
      <w:pPr>
        <w:pStyle w:val="a3"/>
        <w:spacing w:before="0" w:beforeAutospacing="0" w:after="0" w:afterAutospacing="0"/>
        <w:jc w:val="both"/>
        <w:divId w:val="1092891161"/>
        <w:rPr>
          <w:sz w:val="20"/>
          <w:szCs w:val="20"/>
        </w:rPr>
      </w:pPr>
      <w:r>
        <w:rPr>
          <w:sz w:val="20"/>
          <w:szCs w:val="20"/>
        </w:rPr>
        <w:t>The Company is not able to predict the outcome of these lawsuits, nor can it predict the amount of time and expense that will be required to resolve the lawsuits. The Company belie</w:t>
      </w:r>
      <w:r>
        <w:rPr>
          <w:sz w:val="20"/>
          <w:szCs w:val="20"/>
        </w:rPr>
        <w:t>ves that the lawsuits are without merit and intends to vigorously defend against them. The Company incurred an increase in legal fees associated with these lawsuits in the third quarter of 2022</w:t>
      </w:r>
      <w:r>
        <w:rPr>
          <w:sz w:val="20"/>
          <w:szCs w:val="20"/>
        </w:rPr>
        <w:t>.</w:t>
      </w:r>
    </w:p>
    <w:p w:rsidR="00000000" w:rsidRDefault="0043639B">
      <w:pPr>
        <w:pStyle w:val="a3"/>
        <w:spacing w:before="0" w:beforeAutospacing="0" w:after="0" w:afterAutospacing="0"/>
        <w:jc w:val="both"/>
        <w:divId w:val="1092891161"/>
        <w:rPr>
          <w:sz w:val="20"/>
          <w:szCs w:val="20"/>
        </w:rPr>
      </w:pPr>
      <w:r>
        <w:rPr>
          <w:sz w:val="20"/>
          <w:szCs w:val="20"/>
        </w:rPr>
        <w:t> </w:t>
      </w:r>
    </w:p>
    <w:p w:rsidR="00000000" w:rsidRDefault="0043639B">
      <w:pPr>
        <w:pStyle w:val="a3"/>
        <w:spacing w:before="0" w:beforeAutospacing="0" w:after="0" w:afterAutospacing="0"/>
        <w:jc w:val="both"/>
        <w:divId w:val="1092891161"/>
        <w:rPr>
          <w:sz w:val="20"/>
          <w:szCs w:val="20"/>
        </w:rPr>
      </w:pPr>
      <w:r>
        <w:rPr>
          <w:sz w:val="20"/>
          <w:szCs w:val="20"/>
        </w:rPr>
        <w:t>In addition to the foregoing, from time-to-time, the Compan</w:t>
      </w:r>
      <w:r>
        <w:rPr>
          <w:sz w:val="20"/>
          <w:szCs w:val="20"/>
        </w:rPr>
        <w:t>y is party to various legal proceedings, claims and litigation that arise in the normal course of business. In the opinion of management, the ultimate outcome of these matters will not have a material adverse effect on the Company’s financial position, res</w:t>
      </w:r>
      <w:r>
        <w:rPr>
          <w:sz w:val="20"/>
          <w:szCs w:val="20"/>
        </w:rPr>
        <w:t>ults of operations or cash flows. Accruals for loss contingencies are recorded when a loss is probable, and the amount of such loss can be reasonably estimated</w:t>
      </w:r>
      <w:r>
        <w:rPr>
          <w:sz w:val="20"/>
          <w:szCs w:val="20"/>
        </w:rPr>
        <w:t>.</w:t>
      </w:r>
    </w:p>
    <w:p w:rsidR="00000000" w:rsidRDefault="0043639B">
      <w:pPr>
        <w:pStyle w:val="a3"/>
        <w:spacing w:before="240" w:beforeAutospacing="0" w:after="0" w:afterAutospacing="0"/>
        <w:divId w:val="1092891161"/>
        <w:rPr>
          <w:sz w:val="20"/>
          <w:szCs w:val="20"/>
        </w:rPr>
      </w:pPr>
      <w:r>
        <w:rPr>
          <w:i/>
          <w:iCs/>
          <w:sz w:val="20"/>
          <w:szCs w:val="20"/>
        </w:rPr>
        <w:t>Warranties and Indemnificatio</w:t>
      </w:r>
      <w:r>
        <w:rPr>
          <w:i/>
          <w:iCs/>
          <w:sz w:val="20"/>
          <w:szCs w:val="20"/>
        </w:rPr>
        <w:t>n</w:t>
      </w:r>
    </w:p>
    <w:p w:rsidR="00000000" w:rsidRDefault="0043639B">
      <w:pPr>
        <w:pStyle w:val="a3"/>
        <w:spacing w:before="120" w:beforeAutospacing="0" w:after="0" w:afterAutospacing="0"/>
        <w:jc w:val="both"/>
        <w:divId w:val="1092891161"/>
        <w:rPr>
          <w:sz w:val="20"/>
          <w:szCs w:val="20"/>
        </w:rPr>
      </w:pPr>
      <w:r>
        <w:rPr>
          <w:sz w:val="20"/>
          <w:szCs w:val="20"/>
        </w:rPr>
        <w:t>The Company’</w:t>
      </w:r>
      <w:r>
        <w:rPr>
          <w:sz w:val="20"/>
          <w:szCs w:val="20"/>
        </w:rPr>
        <w:t>s arrangements generally include certain provisions for indemnifying clients against liabilities if there is a breach of a client’s data or if the Company’s service infringes a third party’s intellectual property rights. To date, the Company has not incurr</w:t>
      </w:r>
      <w:r>
        <w:rPr>
          <w:sz w:val="20"/>
          <w:szCs w:val="20"/>
        </w:rPr>
        <w:t>ed any material costs as a result of such indemnifications</w:t>
      </w:r>
      <w:r>
        <w:rPr>
          <w:sz w:val="20"/>
          <w:szCs w:val="20"/>
        </w:rPr>
        <w:t>.</w:t>
      </w:r>
    </w:p>
    <w:p w:rsidR="00000000" w:rsidRDefault="0043639B">
      <w:pPr>
        <w:pStyle w:val="a3"/>
        <w:spacing w:before="240" w:beforeAutospacing="0" w:after="0" w:afterAutospacing="0"/>
        <w:jc w:val="both"/>
        <w:divId w:val="1092891161"/>
        <w:rPr>
          <w:sz w:val="20"/>
          <w:szCs w:val="20"/>
        </w:rPr>
      </w:pPr>
      <w:r>
        <w:rPr>
          <w:sz w:val="20"/>
          <w:szCs w:val="20"/>
        </w:rPr>
        <w:t>The Company has also agreed to indemnify its directors and executive officers for costs associated with any fees, expenses, judgments, fines and settlement amounts incurred by any of these persons</w:t>
      </w:r>
      <w:r>
        <w:rPr>
          <w:sz w:val="20"/>
          <w:szCs w:val="20"/>
        </w:rPr>
        <w:t xml:space="preserve"> in any action or proceeding to which any of those persons is, or is threatened to be, made a party by reason of the person’s service as a director or officer, including any action by the Company, arising out of that person’s services as a director or offi</w:t>
      </w:r>
      <w:r>
        <w:rPr>
          <w:sz w:val="20"/>
          <w:szCs w:val="20"/>
        </w:rPr>
        <w:t xml:space="preserve">cer or that person’s services provided to any other company or enterprise at the Company’s request. The Company maintains director and officer liability insurance coverage that would generally enable it to recover a portion of any future amounts paid. The </w:t>
      </w:r>
      <w:r>
        <w:rPr>
          <w:sz w:val="20"/>
          <w:szCs w:val="20"/>
        </w:rPr>
        <w:t>Company may also be subject to indemnification obligations by law with respect to the actions of its employees under certain circumstances and in certain jurisdictions</w:t>
      </w:r>
      <w:r>
        <w:rPr>
          <w:sz w:val="20"/>
          <w:szCs w:val="20"/>
        </w:rPr>
        <w:t>.</w:t>
      </w:r>
    </w:p>
    <w:p w:rsidR="00000000" w:rsidRDefault="0043639B">
      <w:pPr>
        <w:pStyle w:val="a3"/>
        <w:spacing w:before="360" w:beforeAutospacing="0" w:after="0" w:afterAutospacing="0"/>
        <w:divId w:val="121309739"/>
        <w:rPr>
          <w:sz w:val="20"/>
          <w:szCs w:val="20"/>
        </w:rPr>
      </w:pPr>
      <w:r>
        <w:rPr>
          <w:b/>
          <w:bCs/>
          <w:sz w:val="20"/>
          <w:szCs w:val="20"/>
        </w:rPr>
        <w:t>NOTE 6. CAPITAL STOC</w:t>
      </w:r>
      <w:r>
        <w:rPr>
          <w:b/>
          <w:bCs/>
          <w:sz w:val="20"/>
          <w:szCs w:val="20"/>
        </w:rPr>
        <w:t>K</w:t>
      </w:r>
    </w:p>
    <w:p w:rsidR="00000000" w:rsidRDefault="0043639B">
      <w:pPr>
        <w:pStyle w:val="a3"/>
        <w:spacing w:before="0" w:beforeAutospacing="0" w:after="0" w:afterAutospacing="0"/>
        <w:jc w:val="both"/>
        <w:divId w:val="121309739"/>
        <w:rPr>
          <w:sz w:val="20"/>
          <w:szCs w:val="20"/>
        </w:rPr>
      </w:pPr>
      <w:r>
        <w:rPr>
          <w:sz w:val="20"/>
          <w:szCs w:val="20"/>
        </w:rPr>
        <w:t> </w:t>
      </w:r>
    </w:p>
    <w:p w:rsidR="00000000" w:rsidRDefault="0043639B">
      <w:pPr>
        <w:pStyle w:val="a3"/>
        <w:spacing w:before="0" w:beforeAutospacing="0" w:after="60" w:afterAutospacing="0"/>
        <w:jc w:val="both"/>
        <w:divId w:val="121309739"/>
        <w:rPr>
          <w:sz w:val="20"/>
          <w:szCs w:val="20"/>
        </w:rPr>
      </w:pPr>
      <w:r>
        <w:rPr>
          <w:sz w:val="20"/>
          <w:szCs w:val="20"/>
        </w:rPr>
        <w:t>The Company’s authorized capital stock consists of (a)</w:t>
      </w:r>
      <w:r>
        <w:rPr>
          <w:sz w:val="20"/>
          <w:szCs w:val="20"/>
        </w:rPr>
        <w:t xml:space="preserve"> </w:t>
      </w:r>
      <w:r>
        <w:rPr>
          <w:sz w:val="20"/>
          <w:szCs w:val="20"/>
        </w:rPr>
        <w:t>1,000,00</w:t>
      </w:r>
      <w:r>
        <w:rPr>
          <w:sz w:val="20"/>
          <w:szCs w:val="20"/>
        </w:rPr>
        <w:t>0,00</w:t>
      </w:r>
      <w:r>
        <w:rPr>
          <w:sz w:val="20"/>
          <w:szCs w:val="20"/>
        </w:rPr>
        <w:t>0</w:t>
      </w:r>
      <w:r>
        <w:rPr>
          <w:sz w:val="20"/>
          <w:szCs w:val="20"/>
        </w:rPr>
        <w:t xml:space="preserve"> shares of common stock, par value </w:t>
      </w:r>
      <w:r>
        <w:rPr>
          <w:sz w:val="20"/>
          <w:szCs w:val="20"/>
        </w:rPr>
        <w:t>$</w:t>
      </w:r>
      <w:r>
        <w:rPr>
          <w:sz w:val="20"/>
          <w:szCs w:val="20"/>
        </w:rPr>
        <w:t>0.000</w:t>
      </w:r>
      <w:r>
        <w:rPr>
          <w:sz w:val="20"/>
          <w:szCs w:val="20"/>
        </w:rPr>
        <w:t>1</w:t>
      </w:r>
      <w:r>
        <w:rPr>
          <w:sz w:val="20"/>
          <w:szCs w:val="20"/>
        </w:rPr>
        <w:t xml:space="preserve"> per share; </w:t>
      </w:r>
      <w:r>
        <w:rPr>
          <w:sz w:val="20"/>
          <w:szCs w:val="20"/>
        </w:rPr>
        <w:t>a</w:t>
      </w:r>
      <w:r>
        <w:rPr>
          <w:sz w:val="20"/>
          <w:szCs w:val="20"/>
        </w:rPr>
        <w:t>nd (b)</w:t>
      </w:r>
      <w:r>
        <w:rPr>
          <w:sz w:val="20"/>
          <w:szCs w:val="20"/>
        </w:rPr>
        <w:t xml:space="preserve"> </w:t>
      </w:r>
      <w:r>
        <w:rPr>
          <w:sz w:val="20"/>
          <w:szCs w:val="20"/>
        </w:rPr>
        <w:t>100,000,00</w:t>
      </w:r>
      <w:r>
        <w:rPr>
          <w:sz w:val="20"/>
          <w:szCs w:val="20"/>
        </w:rPr>
        <w:t>0</w:t>
      </w:r>
      <w:r>
        <w:rPr>
          <w:sz w:val="20"/>
          <w:szCs w:val="20"/>
        </w:rPr>
        <w:t xml:space="preserve"> shares of preferred stock, par value </w:t>
      </w:r>
      <w:r>
        <w:rPr>
          <w:sz w:val="20"/>
          <w:szCs w:val="20"/>
        </w:rPr>
        <w:t>$</w:t>
      </w:r>
      <w:r>
        <w:rPr>
          <w:sz w:val="20"/>
          <w:szCs w:val="20"/>
        </w:rPr>
        <w:t>0.000</w:t>
      </w:r>
      <w:r>
        <w:rPr>
          <w:sz w:val="20"/>
          <w:szCs w:val="20"/>
        </w:rPr>
        <w:t>1</w:t>
      </w:r>
      <w:r>
        <w:rPr>
          <w:sz w:val="20"/>
          <w:szCs w:val="20"/>
        </w:rPr>
        <w:t xml:space="preserve"> per share. As of</w:t>
      </w:r>
      <w:r>
        <w:rPr>
          <w:sz w:val="20"/>
          <w:szCs w:val="20"/>
        </w:rPr>
        <w:t xml:space="preserve"> </w:t>
      </w:r>
      <w:r>
        <w:rPr>
          <w:sz w:val="20"/>
          <w:szCs w:val="20"/>
        </w:rPr>
        <w:t>September 30, 202</w:t>
      </w:r>
      <w:r>
        <w:rPr>
          <w:sz w:val="20"/>
          <w:szCs w:val="20"/>
        </w:rPr>
        <w:t>2</w:t>
      </w:r>
      <w:r>
        <w:rPr>
          <w:sz w:val="20"/>
          <w:szCs w:val="20"/>
        </w:rPr>
        <w:t>, there were</w:t>
      </w:r>
      <w:r>
        <w:rPr>
          <w:sz w:val="20"/>
          <w:szCs w:val="20"/>
        </w:rPr>
        <w:t xml:space="preserve"> </w:t>
      </w:r>
      <w:r>
        <w:rPr>
          <w:sz w:val="20"/>
          <w:szCs w:val="20"/>
        </w:rPr>
        <w:t>158,991,01</w:t>
      </w:r>
      <w:r>
        <w:rPr>
          <w:sz w:val="20"/>
          <w:szCs w:val="20"/>
        </w:rPr>
        <w:t>9</w:t>
      </w:r>
      <w:r>
        <w:rPr>
          <w:sz w:val="20"/>
          <w:szCs w:val="20"/>
        </w:rPr>
        <w:t xml:space="preserve"> shares o</w:t>
      </w:r>
      <w:r>
        <w:rPr>
          <w:sz w:val="20"/>
          <w:szCs w:val="20"/>
        </w:rPr>
        <w:t>f</w:t>
      </w:r>
      <w:r>
        <w:rPr>
          <w:sz w:val="20"/>
          <w:szCs w:val="20"/>
        </w:rPr>
        <w:t xml:space="preserve"> common stock issued and outstanding </w:t>
      </w:r>
      <w:r>
        <w:rPr>
          <w:sz w:val="20"/>
          <w:szCs w:val="20"/>
        </w:rPr>
        <w:t>(</w:t>
      </w:r>
      <w:r>
        <w:rPr>
          <w:sz w:val="20"/>
          <w:szCs w:val="20"/>
        </w:rPr>
        <w:t>152,862,44</w:t>
      </w:r>
      <w:r>
        <w:rPr>
          <w:sz w:val="20"/>
          <w:szCs w:val="20"/>
        </w:rPr>
        <w:t>7</w:t>
      </w:r>
      <w:r>
        <w:rPr>
          <w:sz w:val="20"/>
          <w:szCs w:val="20"/>
        </w:rPr>
        <w:t xml:space="preserve"> as of</w:t>
      </w:r>
      <w:r>
        <w:rPr>
          <w:sz w:val="20"/>
          <w:szCs w:val="20"/>
        </w:rPr>
        <w:t xml:space="preserve"> </w:t>
      </w:r>
      <w:r>
        <w:rPr>
          <w:sz w:val="20"/>
          <w:szCs w:val="20"/>
        </w:rPr>
        <w:t>Decembe</w:t>
      </w:r>
      <w:r>
        <w:rPr>
          <w:sz w:val="20"/>
          <w:szCs w:val="20"/>
        </w:rPr>
        <w:t>r 31, 2021). As of September 30, 2022 and December 31, 2021 there were</w:t>
      </w:r>
      <w:r>
        <w:rPr>
          <w:sz w:val="20"/>
          <w:szCs w:val="20"/>
        </w:rPr>
        <w:t xml:space="preserve"> </w:t>
      </w:r>
      <w:r>
        <w:rPr>
          <w:sz w:val="20"/>
          <w:szCs w:val="20"/>
        </w:rPr>
        <w:t>12,780,00</w:t>
      </w:r>
      <w:r>
        <w:rPr>
          <w:sz w:val="20"/>
          <w:szCs w:val="20"/>
        </w:rPr>
        <w:t>0</w:t>
      </w:r>
      <w:r>
        <w:rPr>
          <w:sz w:val="20"/>
          <w:szCs w:val="20"/>
        </w:rPr>
        <w:t xml:space="preserve"> Private Placement Warrants and</w:t>
      </w:r>
      <w:r>
        <w:rPr>
          <w:sz w:val="20"/>
          <w:szCs w:val="20"/>
        </w:rPr>
        <w:t xml:space="preserve"> </w:t>
      </w:r>
      <w:r>
        <w:rPr>
          <w:sz w:val="20"/>
          <w:szCs w:val="20"/>
        </w:rPr>
        <w:t>21,350,00</w:t>
      </w:r>
      <w:r>
        <w:rPr>
          <w:sz w:val="20"/>
          <w:szCs w:val="20"/>
        </w:rPr>
        <w:t>0</w:t>
      </w:r>
      <w:r>
        <w:rPr>
          <w:sz w:val="20"/>
          <w:szCs w:val="20"/>
        </w:rPr>
        <w:t xml:space="preserve"> Public Warrants to purchase </w:t>
      </w:r>
      <w:r>
        <w:rPr>
          <w:sz w:val="20"/>
          <w:szCs w:val="20"/>
        </w:rPr>
        <w:t>t</w:t>
      </w:r>
      <w:r>
        <w:rPr>
          <w:sz w:val="20"/>
          <w:szCs w:val="20"/>
        </w:rPr>
        <w:t xml:space="preserve">he Company’s common stock at an exercise price of </w:t>
      </w:r>
      <w:r>
        <w:rPr>
          <w:sz w:val="20"/>
          <w:szCs w:val="20"/>
        </w:rPr>
        <w:t>$</w:t>
      </w:r>
      <w:r>
        <w:rPr>
          <w:sz w:val="20"/>
          <w:szCs w:val="20"/>
        </w:rPr>
        <w:t>11.5</w:t>
      </w:r>
      <w:r>
        <w:rPr>
          <w:sz w:val="20"/>
          <w:szCs w:val="20"/>
        </w:rPr>
        <w:t>0</w:t>
      </w:r>
      <w:r>
        <w:rPr>
          <w:sz w:val="20"/>
          <w:szCs w:val="20"/>
        </w:rPr>
        <w:t xml:space="preserve"> per shar</w:t>
      </w:r>
      <w:r>
        <w:rPr>
          <w:sz w:val="20"/>
          <w:szCs w:val="20"/>
        </w:rPr>
        <w:t>e</w:t>
      </w:r>
      <w:r>
        <w:rPr>
          <w:sz w:val="20"/>
          <w:szCs w:val="20"/>
        </w:rPr>
        <w:t>. As of September 30, 2022 and Decemb</w:t>
      </w:r>
      <w:r>
        <w:rPr>
          <w:sz w:val="20"/>
          <w:szCs w:val="20"/>
        </w:rPr>
        <w:t>er 31, 202</w:t>
      </w:r>
      <w:r>
        <w:rPr>
          <w:sz w:val="20"/>
          <w:szCs w:val="20"/>
        </w:rPr>
        <w:t>1</w:t>
      </w:r>
      <w:r>
        <w:rPr>
          <w:sz w:val="20"/>
          <w:szCs w:val="20"/>
        </w:rPr>
        <w:t>,</w:t>
      </w:r>
      <w:r>
        <w:rPr>
          <w:sz w:val="20"/>
          <w:szCs w:val="20"/>
        </w:rPr>
        <w:t xml:space="preserve"> </w:t>
      </w:r>
      <w:r>
        <w:rPr>
          <w:sz w:val="20"/>
          <w:szCs w:val="20"/>
        </w:rPr>
        <w:t>n</w:t>
      </w:r>
      <w:r>
        <w:rPr>
          <w:sz w:val="20"/>
          <w:szCs w:val="20"/>
        </w:rPr>
        <w:t>o</w:t>
      </w:r>
      <w:r>
        <w:rPr>
          <w:sz w:val="20"/>
          <w:szCs w:val="20"/>
        </w:rPr>
        <w:t xml:space="preserve"> shares of preferred stock were issued or outstanding</w:t>
      </w:r>
      <w:r>
        <w:rPr>
          <w:sz w:val="20"/>
          <w:szCs w:val="20"/>
        </w:rPr>
        <w:t>.</w:t>
      </w:r>
    </w:p>
    <w:p w:rsidR="00000000" w:rsidRDefault="0043639B">
      <w:pPr>
        <w:pStyle w:val="a3"/>
        <w:spacing w:before="360" w:beforeAutospacing="0" w:after="0" w:afterAutospacing="0"/>
        <w:jc w:val="both"/>
        <w:divId w:val="2008358230"/>
        <w:rPr>
          <w:sz w:val="20"/>
          <w:szCs w:val="20"/>
        </w:rPr>
      </w:pPr>
      <w:r>
        <w:rPr>
          <w:b/>
          <w:bCs/>
          <w:sz w:val="20"/>
          <w:szCs w:val="20"/>
        </w:rPr>
        <w:t>NOTE 7. SHARE-BASED COMPENSATIO</w:t>
      </w:r>
      <w:r>
        <w:rPr>
          <w:b/>
          <w:bCs/>
          <w:sz w:val="20"/>
          <w:szCs w:val="20"/>
        </w:rPr>
        <w:t>N</w:t>
      </w:r>
    </w:p>
    <w:p w:rsidR="00000000" w:rsidRDefault="0043639B">
      <w:pPr>
        <w:pStyle w:val="a3"/>
        <w:spacing w:before="120" w:beforeAutospacing="0" w:after="0" w:afterAutospacing="0"/>
        <w:jc w:val="both"/>
        <w:divId w:val="2008358230"/>
        <w:rPr>
          <w:sz w:val="20"/>
          <w:szCs w:val="20"/>
        </w:rPr>
      </w:pPr>
      <w:r>
        <w:rPr>
          <w:sz w:val="20"/>
          <w:szCs w:val="20"/>
        </w:rPr>
        <w:t xml:space="preserve">The Company adopted the 2014 Stock Incentive Plan (the “2014 Plan”) pursuant to which incentive and nonqualified stock options and stock purchase rights </w:t>
      </w:r>
      <w:r>
        <w:rPr>
          <w:sz w:val="20"/>
          <w:szCs w:val="20"/>
        </w:rPr>
        <w:t>to purchase the Company’s common stock may be granted to officers, employees, directors, consultants and service providers. In connection with the closing of the Business Combination, the Company adopted the 2021 Incentive Award Plan (the “2021 Plan”) unde</w:t>
      </w:r>
      <w:r>
        <w:rPr>
          <w:sz w:val="20"/>
          <w:szCs w:val="20"/>
        </w:rPr>
        <w:t xml:space="preserve">r which the Company may grant cash and equity incentive awards to eligible service providers in order to attract, motivate and retain the talent. In connection with the effectiveness of the 2021 Plan, no further awards will be granted under the 2014 Plan. </w:t>
      </w:r>
      <w:r>
        <w:rPr>
          <w:sz w:val="20"/>
          <w:szCs w:val="20"/>
        </w:rPr>
        <w:t>Employees, consultants and directors of the Company, and employees and consultants of its subsidiaries, are eligible to receive awards under the 2021 Plan</w:t>
      </w:r>
      <w:r>
        <w:rPr>
          <w:sz w:val="20"/>
          <w:szCs w:val="20"/>
        </w:rPr>
        <w:t>.</w:t>
      </w:r>
    </w:p>
    <w:p w:rsidR="00000000" w:rsidRDefault="0043639B">
      <w:pPr>
        <w:pStyle w:val="a3"/>
        <w:spacing w:before="0" w:beforeAutospacing="0" w:after="0" w:afterAutospacing="0"/>
        <w:divId w:val="2008358230"/>
        <w:rPr>
          <w:sz w:val="20"/>
          <w:szCs w:val="20"/>
        </w:rPr>
      </w:pPr>
      <w:r>
        <w:rPr>
          <w:sz w:val="20"/>
          <w:szCs w:val="20"/>
        </w:rPr>
        <w:t> </w:t>
      </w:r>
    </w:p>
    <w:p w:rsidR="00000000" w:rsidRDefault="0043639B">
      <w:pPr>
        <w:pStyle w:val="a3"/>
        <w:spacing w:before="0" w:beforeAutospacing="0" w:after="0" w:afterAutospacing="0"/>
        <w:jc w:val="center"/>
        <w:divId w:val="2008358230"/>
        <w:rPr>
          <w:sz w:val="20"/>
          <w:szCs w:val="20"/>
        </w:rPr>
      </w:pPr>
      <w:r>
        <w:rPr>
          <w:sz w:val="20"/>
          <w:szCs w:val="20"/>
        </w:rPr>
        <w:t>1</w:t>
      </w:r>
      <w:r>
        <w:rPr>
          <w:sz w:val="20"/>
          <w:szCs w:val="20"/>
        </w:rPr>
        <w:t>4</w:t>
      </w:r>
    </w:p>
    <w:p w:rsidR="00000000" w:rsidRDefault="0043639B">
      <w:pPr>
        <w:divId w:val="2008358230"/>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43639B">
      <w:pPr>
        <w:pStyle w:val="a3"/>
        <w:spacing w:before="0" w:beforeAutospacing="0" w:after="0" w:afterAutospacing="0"/>
        <w:divId w:val="200835823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240" w:beforeAutospacing="0" w:after="0" w:afterAutospacing="0"/>
        <w:jc w:val="both"/>
        <w:divId w:val="2008358230"/>
        <w:rPr>
          <w:sz w:val="20"/>
          <w:szCs w:val="20"/>
        </w:rPr>
      </w:pPr>
      <w:r>
        <w:rPr>
          <w:sz w:val="20"/>
          <w:szCs w:val="20"/>
        </w:rPr>
        <w:t>In connection with the closing of the Business Combination, the Company also adopted the 2021 Employee Stock Purchase Plan (the “2021 ESPP”) under which employees of Talkspace and its participating subsidiaries are provided with the oppor</w:t>
      </w:r>
      <w:r>
        <w:rPr>
          <w:sz w:val="20"/>
          <w:szCs w:val="20"/>
        </w:rPr>
        <w:t>tunity to purchase Talkspace common stock at a discount through accumulated payroll deductions during successive offering periods. As of September 30, 2022, no employee stock purchases have been made under the 2021 ESPP</w:t>
      </w:r>
      <w:r>
        <w:rPr>
          <w:sz w:val="20"/>
          <w:szCs w:val="20"/>
        </w:rPr>
        <w:t>.</w:t>
      </w:r>
    </w:p>
    <w:p w:rsidR="00000000" w:rsidRDefault="0043639B">
      <w:pPr>
        <w:pStyle w:val="a3"/>
        <w:spacing w:before="0" w:beforeAutospacing="0" w:after="0" w:afterAutospacing="0"/>
        <w:jc w:val="both"/>
        <w:divId w:val="2008358230"/>
        <w:rPr>
          <w:sz w:val="20"/>
          <w:szCs w:val="20"/>
        </w:rPr>
      </w:pPr>
      <w:r>
        <w:rPr>
          <w:sz w:val="20"/>
          <w:szCs w:val="20"/>
        </w:rPr>
        <w:t> </w:t>
      </w:r>
    </w:p>
    <w:p w:rsidR="00000000" w:rsidRDefault="0043639B">
      <w:pPr>
        <w:pStyle w:val="a3"/>
        <w:spacing w:before="0" w:beforeAutospacing="0" w:after="0" w:afterAutospacing="0"/>
        <w:jc w:val="both"/>
        <w:divId w:val="2008358230"/>
        <w:rPr>
          <w:sz w:val="20"/>
          <w:szCs w:val="20"/>
        </w:rPr>
      </w:pPr>
      <w:r>
        <w:rPr>
          <w:sz w:val="20"/>
          <w:szCs w:val="20"/>
        </w:rPr>
        <w:t>All stock-based awards are measur</w:t>
      </w:r>
      <w:r>
        <w:rPr>
          <w:sz w:val="20"/>
          <w:szCs w:val="20"/>
        </w:rPr>
        <w:t xml:space="preserve">ed based on the grant date fair value and are generally recognized on a straight-line basis in the Company’s condensed consolidated statement of operations over the period during which the employee is required to perform services in exchange for the award </w:t>
      </w:r>
      <w:r>
        <w:rPr>
          <w:sz w:val="20"/>
          <w:szCs w:val="20"/>
        </w:rPr>
        <w:t>(generally requiring a four-year vesting period)</w:t>
      </w:r>
      <w:r>
        <w:rPr>
          <w:sz w:val="20"/>
          <w:szCs w:val="20"/>
        </w:rPr>
        <w:t>.</w:t>
      </w:r>
    </w:p>
    <w:p w:rsidR="00000000" w:rsidRDefault="0043639B">
      <w:pPr>
        <w:pStyle w:val="a3"/>
        <w:spacing w:before="0" w:beforeAutospacing="0" w:after="0" w:afterAutospacing="0"/>
        <w:jc w:val="both"/>
        <w:divId w:val="2008358230"/>
        <w:rPr>
          <w:sz w:val="20"/>
          <w:szCs w:val="20"/>
        </w:rPr>
      </w:pPr>
      <w:r>
        <w:rPr>
          <w:sz w:val="20"/>
          <w:szCs w:val="20"/>
        </w:rPr>
        <w:t> </w:t>
      </w:r>
    </w:p>
    <w:p w:rsidR="00000000" w:rsidRDefault="0043639B">
      <w:pPr>
        <w:pStyle w:val="a3"/>
        <w:spacing w:before="0" w:beforeAutospacing="0" w:after="0" w:afterAutospacing="0"/>
        <w:jc w:val="both"/>
        <w:divId w:val="2095740429"/>
        <w:rPr>
          <w:sz w:val="20"/>
          <w:szCs w:val="20"/>
        </w:rPr>
      </w:pPr>
      <w:r>
        <w:rPr>
          <w:sz w:val="20"/>
          <w:szCs w:val="20"/>
        </w:rPr>
        <w:t>The following table sets forth the total stock-based compensation expense related to stock options and restricted stock units included in the respective components of operating expenses in the condensed c</w:t>
      </w:r>
      <w:r>
        <w:rPr>
          <w:sz w:val="20"/>
          <w:szCs w:val="20"/>
        </w:rPr>
        <w:t>onsolidated statements of operations</w:t>
      </w:r>
      <w:r>
        <w:rPr>
          <w:sz w:val="20"/>
          <w:szCs w:val="20"/>
        </w:rPr>
        <w:t>:</w:t>
      </w:r>
    </w:p>
    <w:p w:rsidR="00000000" w:rsidRDefault="0043639B">
      <w:pPr>
        <w:pStyle w:val="a3"/>
        <w:spacing w:before="0" w:beforeAutospacing="0" w:after="0" w:afterAutospacing="0"/>
        <w:divId w:val="2095740429"/>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36"/>
        <w:gridCol w:w="110"/>
        <w:gridCol w:w="160"/>
        <w:gridCol w:w="767"/>
        <w:gridCol w:w="110"/>
        <w:gridCol w:w="110"/>
        <w:gridCol w:w="160"/>
        <w:gridCol w:w="800"/>
        <w:gridCol w:w="110"/>
        <w:gridCol w:w="110"/>
        <w:gridCol w:w="160"/>
        <w:gridCol w:w="768"/>
        <w:gridCol w:w="110"/>
        <w:gridCol w:w="110"/>
        <w:gridCol w:w="160"/>
        <w:gridCol w:w="800"/>
        <w:gridCol w:w="125"/>
      </w:tblGrid>
      <w:tr w:rsidR="00000000">
        <w:trPr>
          <w:divId w:val="2095740429"/>
          <w:tblCellSpacing w:w="15" w:type="dxa"/>
        </w:trPr>
        <w:tc>
          <w:tcPr>
            <w:tcW w:w="2327" w:type="pct"/>
            <w:vAlign w:val="center"/>
            <w:hideMark/>
          </w:tcPr>
          <w:p w:rsidR="00000000" w:rsidRDefault="0043639B">
            <w:pPr>
              <w:rPr>
                <w:sz w:val="20"/>
                <w:szCs w:val="20"/>
              </w:rPr>
            </w:pPr>
          </w:p>
        </w:tc>
        <w:tc>
          <w:tcPr>
            <w:tcW w:w="66"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91"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6"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1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6"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91"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6"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1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divId w:val="2095740429"/>
          <w:trHeight w:val="160"/>
          <w:tblCellSpacing w:w="15" w:type="dxa"/>
        </w:trPr>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2095740429"/>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2095740429"/>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Research and development, ne</w:t>
            </w:r>
            <w:r>
              <w:rPr>
                <w:sz w:val="20"/>
                <w:szCs w:val="20"/>
              </w:rPr>
              <w:t>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63</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48</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639B">
            <w:pPr>
              <w:pStyle w:val="a3"/>
              <w:spacing w:before="0" w:beforeAutospacing="0" w:after="0" w:afterAutospacing="0"/>
              <w:rPr>
                <w:sz w:val="20"/>
                <w:szCs w:val="20"/>
              </w:rPr>
            </w:pPr>
            <w:r>
              <w:rPr>
                <w:sz w:val="20"/>
                <w:szCs w:val="20"/>
              </w:rPr>
              <w:t>$</w:t>
            </w:r>
          </w:p>
        </w:tc>
        <w:tc>
          <w:tcPr>
            <w:tcW w:w="0" w:type="auto"/>
            <w:vAlign w:val="center"/>
            <w:hideMark/>
          </w:tcPr>
          <w:p w:rsidR="00000000" w:rsidRDefault="0043639B">
            <w:pPr>
              <w:pStyle w:val="a3"/>
              <w:spacing w:before="0" w:beforeAutospacing="0" w:after="0" w:afterAutospacing="0"/>
              <w:jc w:val="right"/>
              <w:rPr>
                <w:sz w:val="20"/>
                <w:szCs w:val="20"/>
              </w:rPr>
            </w:pPr>
            <w:r>
              <w:rPr>
                <w:sz w:val="20"/>
                <w:szCs w:val="20"/>
              </w:rPr>
              <w:t>1,83</w:t>
            </w:r>
            <w:r>
              <w:rPr>
                <w:sz w:val="20"/>
                <w:szCs w:val="20"/>
              </w:rPr>
              <w:t>8</w:t>
            </w:r>
          </w:p>
        </w:tc>
        <w:tc>
          <w:tcPr>
            <w:tcW w:w="0" w:type="auto"/>
            <w:noWrap/>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639B">
            <w:pPr>
              <w:pStyle w:val="a3"/>
              <w:spacing w:before="0" w:beforeAutospacing="0" w:after="0" w:afterAutospacing="0"/>
              <w:rPr>
                <w:sz w:val="20"/>
                <w:szCs w:val="20"/>
              </w:rPr>
            </w:pPr>
            <w:r>
              <w:rPr>
                <w:sz w:val="20"/>
                <w:szCs w:val="20"/>
              </w:rPr>
              <w:t>$</w:t>
            </w:r>
          </w:p>
        </w:tc>
        <w:tc>
          <w:tcPr>
            <w:tcW w:w="0" w:type="auto"/>
            <w:vAlign w:val="center"/>
            <w:hideMark/>
          </w:tcPr>
          <w:p w:rsidR="00000000" w:rsidRDefault="0043639B">
            <w:pPr>
              <w:pStyle w:val="a3"/>
              <w:spacing w:before="0" w:beforeAutospacing="0" w:after="0" w:afterAutospacing="0"/>
              <w:jc w:val="right"/>
              <w:rPr>
                <w:sz w:val="20"/>
                <w:szCs w:val="20"/>
              </w:rPr>
            </w:pPr>
            <w:r>
              <w:rPr>
                <w:sz w:val="20"/>
                <w:szCs w:val="20"/>
              </w:rPr>
              <w:t>2,00</w:t>
            </w:r>
            <w:r>
              <w:rPr>
                <w:sz w:val="20"/>
                <w:szCs w:val="20"/>
              </w:rPr>
              <w:t>0</w:t>
            </w:r>
          </w:p>
        </w:tc>
        <w:tc>
          <w:tcPr>
            <w:tcW w:w="0" w:type="auto"/>
            <w:noWrap/>
            <w:vAlign w:val="center"/>
            <w:hideMark/>
          </w:tcPr>
          <w:p w:rsidR="00000000" w:rsidRDefault="0043639B">
            <w:pPr>
              <w:pStyle w:val="a3"/>
              <w:spacing w:before="0" w:beforeAutospacing="0" w:after="0" w:afterAutospacing="0"/>
              <w:rPr>
                <w:sz w:val="20"/>
                <w:szCs w:val="20"/>
              </w:rPr>
            </w:pPr>
            <w:r>
              <w:rPr>
                <w:sz w:val="20"/>
                <w:szCs w:val="20"/>
              </w:rPr>
              <w:t> </w:t>
            </w:r>
          </w:p>
        </w:tc>
      </w:tr>
      <w:tr w:rsidR="00000000">
        <w:trPr>
          <w:divId w:val="2095740429"/>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Clinical Operation</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11</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28</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31</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57</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2095740429"/>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Sales and Marketin</w:t>
            </w:r>
            <w:r>
              <w:rPr>
                <w:sz w:val="20"/>
                <w:szCs w:val="20"/>
              </w:rPr>
              <w:t>g</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79</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1,08</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2,38</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5,10</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2095740429"/>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General and administrativ</w:t>
            </w:r>
            <w:r>
              <w:rPr>
                <w:sz w:val="20"/>
                <w:szCs w:val="20"/>
              </w:rPr>
              <w:t>e</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1,64</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2,02</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4,84</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12,90</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2095740429"/>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Total stock-based compensation expens</w:t>
            </w:r>
            <w:r>
              <w:rPr>
                <w:sz w:val="20"/>
                <w:szCs w:val="20"/>
              </w:rPr>
              <w:t>e</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3,17</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3,87</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639B">
            <w:pPr>
              <w:pStyle w:val="a3"/>
              <w:spacing w:before="0" w:beforeAutospacing="0" w:after="0" w:afterAutospacing="0"/>
              <w:rPr>
                <w:sz w:val="20"/>
                <w:szCs w:val="20"/>
              </w:rPr>
            </w:pPr>
            <w:r>
              <w:rPr>
                <w:sz w:val="20"/>
                <w:szCs w:val="20"/>
              </w:rPr>
              <w:t>$</w:t>
            </w:r>
          </w:p>
        </w:tc>
        <w:tc>
          <w:tcPr>
            <w:tcW w:w="0" w:type="auto"/>
            <w:vAlign w:val="center"/>
            <w:hideMark/>
          </w:tcPr>
          <w:p w:rsidR="00000000" w:rsidRDefault="0043639B">
            <w:pPr>
              <w:pStyle w:val="a3"/>
              <w:spacing w:before="0" w:beforeAutospacing="0" w:after="0" w:afterAutospacing="0"/>
              <w:jc w:val="right"/>
              <w:rPr>
                <w:sz w:val="20"/>
                <w:szCs w:val="20"/>
              </w:rPr>
            </w:pPr>
            <w:r>
              <w:rPr>
                <w:sz w:val="20"/>
                <w:szCs w:val="20"/>
              </w:rPr>
              <w:t>9,38</w:t>
            </w:r>
            <w:r>
              <w:rPr>
                <w:sz w:val="20"/>
                <w:szCs w:val="20"/>
              </w:rPr>
              <w:t>6</w:t>
            </w:r>
          </w:p>
        </w:tc>
        <w:tc>
          <w:tcPr>
            <w:tcW w:w="0" w:type="auto"/>
            <w:noWrap/>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center"/>
            <w:hideMark/>
          </w:tcPr>
          <w:p w:rsidR="00000000" w:rsidRDefault="0043639B">
            <w:pPr>
              <w:pStyle w:val="a3"/>
              <w:spacing w:before="0" w:beforeAutospacing="0" w:after="0" w:afterAutospacing="0"/>
              <w:rPr>
                <w:sz w:val="20"/>
                <w:szCs w:val="20"/>
              </w:rPr>
            </w:pPr>
            <w:r>
              <w:rPr>
                <w:sz w:val="20"/>
                <w:szCs w:val="20"/>
              </w:rPr>
              <w:t>$</w:t>
            </w:r>
          </w:p>
        </w:tc>
        <w:tc>
          <w:tcPr>
            <w:tcW w:w="0" w:type="auto"/>
            <w:vAlign w:val="center"/>
            <w:hideMark/>
          </w:tcPr>
          <w:p w:rsidR="00000000" w:rsidRDefault="0043639B">
            <w:pPr>
              <w:pStyle w:val="a3"/>
              <w:spacing w:before="0" w:beforeAutospacing="0" w:after="0" w:afterAutospacing="0"/>
              <w:jc w:val="right"/>
              <w:rPr>
                <w:sz w:val="20"/>
                <w:szCs w:val="20"/>
              </w:rPr>
            </w:pPr>
            <w:r>
              <w:rPr>
                <w:sz w:val="20"/>
                <w:szCs w:val="20"/>
              </w:rPr>
              <w:t>20,58</w:t>
            </w:r>
            <w:r>
              <w:rPr>
                <w:sz w:val="20"/>
                <w:szCs w:val="20"/>
              </w:rPr>
              <w:t>4</w:t>
            </w:r>
          </w:p>
        </w:tc>
        <w:tc>
          <w:tcPr>
            <w:tcW w:w="0" w:type="auto"/>
            <w:noWrap/>
            <w:vAlign w:val="center"/>
            <w:hideMark/>
          </w:tcPr>
          <w:p w:rsidR="00000000" w:rsidRDefault="0043639B">
            <w:pPr>
              <w:pStyle w:val="a3"/>
              <w:spacing w:before="0" w:beforeAutospacing="0" w:after="0" w:afterAutospacing="0"/>
              <w:rPr>
                <w:sz w:val="20"/>
                <w:szCs w:val="20"/>
              </w:rPr>
            </w:pPr>
            <w:r>
              <w:rPr>
                <w:sz w:val="20"/>
                <w:szCs w:val="20"/>
              </w:rPr>
              <w:t> </w:t>
            </w:r>
          </w:p>
        </w:tc>
      </w:tr>
    </w:tbl>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240" w:beforeAutospacing="0" w:after="0" w:afterAutospacing="0"/>
        <w:jc w:val="both"/>
        <w:divId w:val="119880794"/>
        <w:rPr>
          <w:sz w:val="20"/>
          <w:szCs w:val="20"/>
        </w:rPr>
      </w:pPr>
      <w:r>
        <w:rPr>
          <w:b/>
          <w:bCs/>
          <w:sz w:val="20"/>
          <w:szCs w:val="20"/>
        </w:rPr>
        <w:t>NOTE 8. NET (LOSS) INCOME PER SHAR</w:t>
      </w:r>
      <w:r>
        <w:rPr>
          <w:b/>
          <w:bCs/>
          <w:sz w:val="20"/>
          <w:szCs w:val="20"/>
        </w:rPr>
        <w:t>E</w:t>
      </w:r>
      <w:r>
        <w:rPr>
          <w:b/>
          <w:bCs/>
          <w:sz w:val="20"/>
          <w:szCs w:val="20"/>
        </w:rPr>
        <w:t xml:space="preserve"> </w:t>
      </w:r>
    </w:p>
    <w:p w:rsidR="00000000" w:rsidRDefault="0043639B">
      <w:pPr>
        <w:pStyle w:val="a3"/>
        <w:spacing w:before="120" w:beforeAutospacing="0" w:after="0" w:afterAutospacing="0"/>
        <w:jc w:val="both"/>
        <w:divId w:val="373047197"/>
        <w:rPr>
          <w:sz w:val="20"/>
          <w:szCs w:val="20"/>
        </w:rPr>
      </w:pPr>
      <w:r>
        <w:rPr>
          <w:sz w:val="20"/>
          <w:szCs w:val="20"/>
        </w:rPr>
        <w:t>The following table sets forth the computation of basic and diluted net (loss) income per share attributable to common stockholders for the periods presented</w:t>
      </w:r>
      <w:r>
        <w:rPr>
          <w:sz w:val="20"/>
          <w:szCs w:val="20"/>
        </w:rPr>
        <w:t>:</w:t>
      </w:r>
    </w:p>
    <w:p w:rsidR="00000000" w:rsidRDefault="0043639B">
      <w:pPr>
        <w:pStyle w:val="a3"/>
        <w:spacing w:before="0" w:beforeAutospacing="0" w:after="0" w:afterAutospacing="0"/>
        <w:divId w:val="373047197"/>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80"/>
        <w:gridCol w:w="110"/>
        <w:gridCol w:w="160"/>
        <w:gridCol w:w="1060"/>
        <w:gridCol w:w="127"/>
        <w:gridCol w:w="110"/>
        <w:gridCol w:w="160"/>
        <w:gridCol w:w="1060"/>
        <w:gridCol w:w="110"/>
        <w:gridCol w:w="110"/>
        <w:gridCol w:w="160"/>
        <w:gridCol w:w="1060"/>
        <w:gridCol w:w="127"/>
        <w:gridCol w:w="110"/>
        <w:gridCol w:w="160"/>
        <w:gridCol w:w="960"/>
        <w:gridCol w:w="142"/>
      </w:tblGrid>
      <w:tr w:rsidR="00000000">
        <w:trPr>
          <w:divId w:val="373047197"/>
          <w:tblCellSpacing w:w="15" w:type="dxa"/>
        </w:trPr>
        <w:tc>
          <w:tcPr>
            <w:tcW w:w="2121" w:type="pct"/>
            <w:vAlign w:val="center"/>
            <w:hideMark/>
          </w:tcPr>
          <w:p w:rsidR="00000000" w:rsidRDefault="0043639B">
            <w:pPr>
              <w:rPr>
                <w:sz w:val="20"/>
                <w:szCs w:val="20"/>
              </w:rPr>
            </w:pPr>
          </w:p>
        </w:tc>
        <w:tc>
          <w:tcPr>
            <w:tcW w:w="10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63"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0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1"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26"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1"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33"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divId w:val="373047197"/>
          <w:trHeight w:val="160"/>
          <w:tblCellSpacing w:w="15" w:type="dxa"/>
        </w:trPr>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Three Months Ended 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Nine Months Ended 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373047197"/>
          <w:trHeight w:val="160"/>
          <w:tblCellSpacing w:w="15" w:type="dxa"/>
        </w:trPr>
        <w:tc>
          <w:tcPr>
            <w:tcW w:w="0" w:type="auto"/>
            <w:vAlign w:val="center"/>
            <w:hideMark/>
          </w:tcPr>
          <w:p w:rsidR="00000000" w:rsidRDefault="0043639B">
            <w:pPr>
              <w:pStyle w:val="a3"/>
              <w:spacing w:before="0" w:beforeAutospacing="0" w:after="0" w:afterAutospacing="0"/>
              <w:rPr>
                <w:sz w:val="16"/>
                <w:szCs w:val="16"/>
              </w:rPr>
            </w:pPr>
            <w:r>
              <w:rPr>
                <w:i/>
                <w:iCs/>
                <w:sz w:val="16"/>
                <w:szCs w:val="16"/>
              </w:rPr>
              <w:t>(in thousands, except share and per share data</w:t>
            </w:r>
            <w:r>
              <w:rPr>
                <w:i/>
                <w:iCs/>
                <w:sz w:val="16"/>
                <w:szCs w:val="16"/>
              </w:rPr>
              <w:t>)</w:t>
            </w:r>
          </w:p>
        </w:tc>
        <w:tc>
          <w:tcPr>
            <w:tcW w:w="0" w:type="auto"/>
            <w:vAlign w:val="center"/>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373047197"/>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Net (loss) incom</w:t>
            </w:r>
            <w:r>
              <w:rPr>
                <w:sz w:val="20"/>
                <w:szCs w:val="20"/>
              </w:rPr>
              <w:t>e</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17,98</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1,50</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61,36</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41,67</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divId w:val="373047197"/>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divId w:val="373047197"/>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Weighted average number of common shares</w:t>
            </w:r>
            <w:r>
              <w:rPr>
                <w:sz w:val="20"/>
                <w:szCs w:val="20"/>
              </w:rPr>
              <w:t>:</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divId w:val="373047197"/>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Basi</w:t>
            </w:r>
            <w:r>
              <w:rPr>
                <w:sz w:val="20"/>
                <w:szCs w:val="20"/>
              </w:rPr>
              <w:t>c</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158,330,68</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152,267,87</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156,056,90</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64,638,18</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373047197"/>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Dilute</w:t>
            </w:r>
            <w:r>
              <w:rPr>
                <w:sz w:val="20"/>
                <w:szCs w:val="20"/>
              </w:rPr>
              <w:t>d</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158,330,68</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165,179,01</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156,056,90</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64,638,18</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373047197"/>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divId w:val="373047197"/>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Net (loss) income per share</w:t>
            </w:r>
            <w:r>
              <w:rPr>
                <w:sz w:val="20"/>
                <w:szCs w:val="20"/>
              </w:rPr>
              <w:t>:</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divId w:val="373047197"/>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Basi</w:t>
            </w:r>
            <w:r>
              <w:rPr>
                <w:sz w:val="20"/>
                <w:szCs w:val="20"/>
              </w:rPr>
              <w:t>c</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0.1</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0.0</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0.3</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0.6</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divId w:val="373047197"/>
          <w:trHeight w:val="200"/>
          <w:tblCellSpacing w:w="15" w:type="dxa"/>
        </w:trPr>
        <w:tc>
          <w:tcPr>
            <w:tcW w:w="0" w:type="auto"/>
            <w:vAlign w:val="center"/>
            <w:hideMark/>
          </w:tcPr>
          <w:p w:rsidR="00000000" w:rsidRDefault="0043639B">
            <w:pPr>
              <w:pStyle w:val="a3"/>
              <w:spacing w:before="0" w:beforeAutospacing="0" w:after="0" w:afterAutospacing="0"/>
              <w:rPr>
                <w:sz w:val="20"/>
                <w:szCs w:val="20"/>
              </w:rPr>
            </w:pPr>
            <w:r>
              <w:rPr>
                <w:sz w:val="20"/>
                <w:szCs w:val="20"/>
              </w:rPr>
              <w:t>Dilute</w:t>
            </w:r>
            <w:r>
              <w:rPr>
                <w:sz w:val="20"/>
                <w:szCs w:val="20"/>
              </w:rPr>
              <w:t>d</w:t>
            </w:r>
          </w:p>
        </w:tc>
        <w:tc>
          <w:tcPr>
            <w:tcW w:w="0" w:type="auto"/>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0.1</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0.0</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0.3</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r>
              <w:rPr>
                <w:sz w:val="20"/>
                <w:szCs w:val="20"/>
              </w:rPr>
              <w:t>0.6</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bl>
    <w:p w:rsidR="00000000" w:rsidRDefault="0043639B">
      <w:pPr>
        <w:pStyle w:val="a3"/>
        <w:spacing w:before="240" w:beforeAutospacing="0" w:after="0" w:afterAutospacing="0"/>
        <w:jc w:val="both"/>
        <w:divId w:val="119880794"/>
        <w:rPr>
          <w:sz w:val="20"/>
          <w:szCs w:val="20"/>
        </w:rPr>
      </w:pPr>
      <w:r>
        <w:rPr>
          <w:sz w:val="20"/>
          <w:szCs w:val="20"/>
        </w:rPr>
        <w:t>For the three and nine months ended September 30, 202</w:t>
      </w:r>
      <w:r>
        <w:rPr>
          <w:sz w:val="20"/>
          <w:szCs w:val="20"/>
        </w:rPr>
        <w:t>2</w:t>
      </w:r>
      <w:r>
        <w:rPr>
          <w:sz w:val="20"/>
          <w:szCs w:val="20"/>
        </w:rPr>
        <w:t>, the following were excluded from the calculation of diluted net loss per share since each would have had an anti-dilutive effect:</w:t>
      </w:r>
      <w:r>
        <w:rPr>
          <w:sz w:val="20"/>
          <w:szCs w:val="20"/>
        </w:rPr>
        <w:t xml:space="preserve"> </w:t>
      </w:r>
      <w:r>
        <w:rPr>
          <w:sz w:val="20"/>
          <w:szCs w:val="20"/>
        </w:rPr>
        <w:t>17,746,40</w:t>
      </w:r>
      <w:r>
        <w:rPr>
          <w:sz w:val="20"/>
          <w:szCs w:val="20"/>
        </w:rPr>
        <w:t>1</w:t>
      </w:r>
      <w:r>
        <w:rPr>
          <w:sz w:val="20"/>
          <w:szCs w:val="20"/>
        </w:rPr>
        <w:t xml:space="preserve"> stock options,</w:t>
      </w:r>
      <w:r>
        <w:rPr>
          <w:sz w:val="20"/>
          <w:szCs w:val="20"/>
        </w:rPr>
        <w:t xml:space="preserve"> </w:t>
      </w:r>
      <w:r>
        <w:rPr>
          <w:sz w:val="20"/>
          <w:szCs w:val="20"/>
        </w:rPr>
        <w:t>6,670,93</w:t>
      </w:r>
      <w:r>
        <w:rPr>
          <w:sz w:val="20"/>
          <w:szCs w:val="20"/>
        </w:rPr>
        <w:t>4</w:t>
      </w:r>
      <w:r>
        <w:rPr>
          <w:sz w:val="20"/>
          <w:szCs w:val="20"/>
        </w:rPr>
        <w:t xml:space="preserve"> restrict</w:t>
      </w:r>
      <w:r>
        <w:rPr>
          <w:sz w:val="20"/>
          <w:szCs w:val="20"/>
        </w:rPr>
        <w:t>e</w:t>
      </w:r>
      <w:r>
        <w:rPr>
          <w:sz w:val="20"/>
          <w:szCs w:val="20"/>
        </w:rPr>
        <w:t>d stock units,</w:t>
      </w:r>
      <w:r>
        <w:rPr>
          <w:sz w:val="20"/>
          <w:szCs w:val="20"/>
        </w:rPr>
        <w:t xml:space="preserve"> </w:t>
      </w:r>
      <w:r>
        <w:rPr>
          <w:sz w:val="20"/>
          <w:szCs w:val="20"/>
        </w:rPr>
        <w:t>12,780,00</w:t>
      </w:r>
      <w:r>
        <w:rPr>
          <w:sz w:val="20"/>
          <w:szCs w:val="20"/>
        </w:rPr>
        <w:t>0</w:t>
      </w:r>
      <w:r>
        <w:rPr>
          <w:sz w:val="20"/>
          <w:szCs w:val="20"/>
        </w:rPr>
        <w:t xml:space="preserve"> Private Placement Warrants and</w:t>
      </w:r>
      <w:r>
        <w:rPr>
          <w:sz w:val="20"/>
          <w:szCs w:val="20"/>
        </w:rPr>
        <w:t xml:space="preserve"> </w:t>
      </w:r>
      <w:r>
        <w:rPr>
          <w:sz w:val="20"/>
          <w:szCs w:val="20"/>
        </w:rPr>
        <w:t>21,350,00</w:t>
      </w:r>
      <w:r>
        <w:rPr>
          <w:sz w:val="20"/>
          <w:szCs w:val="20"/>
        </w:rPr>
        <w:t>0</w:t>
      </w:r>
      <w:r>
        <w:rPr>
          <w:sz w:val="20"/>
          <w:szCs w:val="20"/>
        </w:rPr>
        <w:t xml:space="preserve"> Public Warrants to purchase the Company’s common stock</w:t>
      </w:r>
      <w:r>
        <w:rPr>
          <w:sz w:val="20"/>
          <w:szCs w:val="20"/>
        </w:rPr>
        <w:t>.</w:t>
      </w:r>
    </w:p>
    <w:p w:rsidR="00000000" w:rsidRDefault="0043639B">
      <w:pPr>
        <w:pStyle w:val="a3"/>
        <w:spacing w:before="240" w:beforeAutospacing="0" w:after="60" w:afterAutospacing="0"/>
        <w:jc w:val="both"/>
        <w:divId w:val="119880794"/>
        <w:rPr>
          <w:sz w:val="20"/>
          <w:szCs w:val="20"/>
        </w:rPr>
      </w:pPr>
      <w:r>
        <w:rPr>
          <w:sz w:val="20"/>
          <w:szCs w:val="20"/>
        </w:rPr>
        <w:t>For the three months ended September 30, 2021, the following were excluded from the calculation of diluted income per share since each would have had an anti</w:t>
      </w:r>
      <w:r>
        <w:rPr>
          <w:sz w:val="20"/>
          <w:szCs w:val="20"/>
        </w:rPr>
        <w:t>-dilutive effect:</w:t>
      </w:r>
      <w:r>
        <w:rPr>
          <w:sz w:val="20"/>
          <w:szCs w:val="20"/>
        </w:rPr>
        <w:t xml:space="preserve"> </w:t>
      </w:r>
      <w:r>
        <w:rPr>
          <w:sz w:val="20"/>
          <w:szCs w:val="20"/>
        </w:rPr>
        <w:t>7,396,18</w:t>
      </w:r>
      <w:r>
        <w:rPr>
          <w:sz w:val="20"/>
          <w:szCs w:val="20"/>
        </w:rPr>
        <w:t>7</w:t>
      </w:r>
      <w:r>
        <w:rPr>
          <w:sz w:val="20"/>
          <w:szCs w:val="20"/>
        </w:rPr>
        <w:t xml:space="preserve"> stock options,</w:t>
      </w:r>
      <w:r>
        <w:rPr>
          <w:sz w:val="20"/>
          <w:szCs w:val="20"/>
        </w:rPr>
        <w:t xml:space="preserve"> </w:t>
      </w:r>
      <w:r>
        <w:rPr>
          <w:sz w:val="20"/>
          <w:szCs w:val="20"/>
        </w:rPr>
        <w:t>12,780,00</w:t>
      </w:r>
      <w:r>
        <w:rPr>
          <w:sz w:val="20"/>
          <w:szCs w:val="20"/>
        </w:rPr>
        <w:t>0</w:t>
      </w:r>
      <w:r>
        <w:rPr>
          <w:sz w:val="20"/>
          <w:szCs w:val="20"/>
        </w:rPr>
        <w:t xml:space="preserve"> Private Placement Warrants and</w:t>
      </w:r>
      <w:r>
        <w:rPr>
          <w:sz w:val="20"/>
          <w:szCs w:val="20"/>
        </w:rPr>
        <w:t xml:space="preserve"> </w:t>
      </w:r>
      <w:r>
        <w:rPr>
          <w:sz w:val="20"/>
          <w:szCs w:val="20"/>
        </w:rPr>
        <w:t>21,350,00</w:t>
      </w:r>
      <w:r>
        <w:rPr>
          <w:sz w:val="20"/>
          <w:szCs w:val="20"/>
        </w:rPr>
        <w:t>0</w:t>
      </w:r>
      <w:r>
        <w:rPr>
          <w:sz w:val="20"/>
          <w:szCs w:val="20"/>
        </w:rPr>
        <w:t xml:space="preserve"> Public Warrants to purchase the Company’s common stock. For the nine months ended September 30, 2021, the following were excluded from the calculation of dilute</w:t>
      </w:r>
      <w:r>
        <w:rPr>
          <w:sz w:val="20"/>
          <w:szCs w:val="20"/>
        </w:rPr>
        <w:t>d loss per share since each would have had an anti-dilutive effect:</w:t>
      </w:r>
      <w:r>
        <w:rPr>
          <w:sz w:val="20"/>
          <w:szCs w:val="20"/>
        </w:rPr>
        <w:t xml:space="preserve"> </w:t>
      </w:r>
      <w:r>
        <w:rPr>
          <w:sz w:val="20"/>
          <w:szCs w:val="20"/>
        </w:rPr>
        <w:t>24,182,91</w:t>
      </w:r>
      <w:r>
        <w:rPr>
          <w:sz w:val="20"/>
          <w:szCs w:val="20"/>
        </w:rPr>
        <w:t>0</w:t>
      </w:r>
      <w:r>
        <w:rPr>
          <w:sz w:val="20"/>
          <w:szCs w:val="20"/>
        </w:rPr>
        <w:t xml:space="preserve"> stock options,</w:t>
      </w:r>
      <w:r>
        <w:rPr>
          <w:sz w:val="20"/>
          <w:szCs w:val="20"/>
        </w:rPr>
        <w:t xml:space="preserve"> </w:t>
      </w:r>
      <w:r>
        <w:rPr>
          <w:sz w:val="20"/>
          <w:szCs w:val="20"/>
        </w:rPr>
        <w:t>12,780,00</w:t>
      </w:r>
      <w:r>
        <w:rPr>
          <w:sz w:val="20"/>
          <w:szCs w:val="20"/>
        </w:rPr>
        <w:t>0</w:t>
      </w:r>
      <w:r>
        <w:rPr>
          <w:sz w:val="20"/>
          <w:szCs w:val="20"/>
        </w:rPr>
        <w:t xml:space="preserve"> Private Placement Warrants and</w:t>
      </w:r>
      <w:r>
        <w:rPr>
          <w:sz w:val="20"/>
          <w:szCs w:val="20"/>
        </w:rPr>
        <w:t xml:space="preserve"> </w:t>
      </w:r>
      <w:r>
        <w:rPr>
          <w:sz w:val="20"/>
          <w:szCs w:val="20"/>
        </w:rPr>
        <w:t>21,350,00</w:t>
      </w:r>
      <w:r>
        <w:rPr>
          <w:sz w:val="20"/>
          <w:szCs w:val="20"/>
        </w:rPr>
        <w:t>0</w:t>
      </w:r>
      <w:r>
        <w:rPr>
          <w:sz w:val="20"/>
          <w:szCs w:val="20"/>
        </w:rPr>
        <w:t xml:space="preserve"> Public Warrants to purchase the Company’s common stock</w:t>
      </w:r>
      <w:r>
        <w:rPr>
          <w:sz w:val="20"/>
          <w:szCs w:val="20"/>
        </w:rPr>
        <w:t>.</w:t>
      </w:r>
    </w:p>
    <w:p w:rsidR="00000000" w:rsidRDefault="0043639B">
      <w:pPr>
        <w:pStyle w:val="a3"/>
        <w:spacing w:before="300" w:beforeAutospacing="0" w:after="0" w:afterAutospacing="0"/>
        <w:jc w:val="both"/>
        <w:divId w:val="1930656379"/>
        <w:rPr>
          <w:sz w:val="20"/>
          <w:szCs w:val="20"/>
        </w:rPr>
      </w:pPr>
      <w:r>
        <w:rPr>
          <w:b/>
          <w:bCs/>
          <w:sz w:val="20"/>
          <w:szCs w:val="20"/>
        </w:rPr>
        <w:t>NOTE 9. TAXES ON INCOM</w:t>
      </w:r>
      <w:r>
        <w:rPr>
          <w:b/>
          <w:bCs/>
          <w:sz w:val="20"/>
          <w:szCs w:val="20"/>
        </w:rPr>
        <w:t>E</w:t>
      </w:r>
    </w:p>
    <w:p w:rsidR="00000000" w:rsidRDefault="0043639B">
      <w:pPr>
        <w:pStyle w:val="a3"/>
        <w:spacing w:before="120" w:beforeAutospacing="0" w:after="0" w:afterAutospacing="0"/>
        <w:jc w:val="both"/>
        <w:divId w:val="1930656379"/>
        <w:rPr>
          <w:sz w:val="20"/>
          <w:szCs w:val="20"/>
        </w:rPr>
      </w:pPr>
      <w:r>
        <w:rPr>
          <w:sz w:val="20"/>
          <w:szCs w:val="20"/>
        </w:rPr>
        <w:t xml:space="preserve">As a result of the Company’s </w:t>
      </w:r>
      <w:r>
        <w:rPr>
          <w:sz w:val="20"/>
          <w:szCs w:val="20"/>
        </w:rPr>
        <w:t>history of net operating losses (“NOL”), the Company has provided for a full valuation allowance against its deferred tax assets for assets that are not expected to be realized</w:t>
      </w:r>
      <w:r>
        <w:rPr>
          <w:sz w:val="20"/>
          <w:szCs w:val="20"/>
        </w:rPr>
        <w:t>.</w:t>
      </w:r>
    </w:p>
    <w:p w:rsidR="00000000" w:rsidRDefault="0043639B">
      <w:pPr>
        <w:pStyle w:val="a3"/>
        <w:spacing w:before="240" w:beforeAutospacing="0" w:after="0" w:afterAutospacing="0"/>
        <w:jc w:val="both"/>
        <w:divId w:val="1930656379"/>
        <w:rPr>
          <w:sz w:val="20"/>
          <w:szCs w:val="20"/>
        </w:rPr>
      </w:pPr>
      <w:r>
        <w:rPr>
          <w:sz w:val="20"/>
          <w:szCs w:val="20"/>
        </w:rPr>
        <w:t>The main reconciling item between the statutory tax rate of the Company and the effective tax rate is the recognition of valuation allowance in respect of deferred taxes relating to accumulated net operating losses carried forward due to the uncertainty of</w:t>
      </w:r>
      <w:r>
        <w:rPr>
          <w:sz w:val="20"/>
          <w:szCs w:val="20"/>
        </w:rPr>
        <w:t xml:space="preserve"> the realization of such deferred taxes</w:t>
      </w:r>
      <w:r>
        <w:rPr>
          <w:sz w:val="20"/>
          <w:szCs w:val="20"/>
        </w:rPr>
        <w:t>.</w:t>
      </w:r>
    </w:p>
    <w:p w:rsidR="00000000" w:rsidRDefault="0043639B">
      <w:pPr>
        <w:pStyle w:val="a3"/>
        <w:spacing w:before="0" w:beforeAutospacing="0" w:after="0" w:afterAutospacing="0"/>
        <w:jc w:val="center"/>
        <w:divId w:val="1930656379"/>
        <w:rPr>
          <w:sz w:val="20"/>
          <w:szCs w:val="20"/>
        </w:rPr>
      </w:pPr>
      <w:r>
        <w:rPr>
          <w:sz w:val="20"/>
          <w:szCs w:val="20"/>
        </w:rPr>
        <w:t>1</w:t>
      </w:r>
      <w:r>
        <w:rPr>
          <w:sz w:val="20"/>
          <w:szCs w:val="20"/>
        </w:rPr>
        <w:t>5</w:t>
      </w:r>
    </w:p>
    <w:p w:rsidR="00000000" w:rsidRDefault="0043639B">
      <w:pPr>
        <w:divId w:val="1930656379"/>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43639B">
      <w:pPr>
        <w:pStyle w:val="a3"/>
        <w:spacing w:before="0" w:beforeAutospacing="0" w:after="0" w:afterAutospacing="0"/>
        <w:divId w:val="1930656379"/>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240" w:beforeAutospacing="0" w:after="0" w:afterAutospacing="0"/>
        <w:jc w:val="both"/>
        <w:rPr>
          <w:sz w:val="20"/>
          <w:szCs w:val="20"/>
        </w:rPr>
      </w:pPr>
      <w:r>
        <w:rPr>
          <w:sz w:val="20"/>
          <w:szCs w:val="20"/>
        </w:rPr>
        <w:t> </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both"/>
        <w:divId w:val="339047032"/>
        <w:rPr>
          <w:sz w:val="20"/>
          <w:szCs w:val="20"/>
        </w:rPr>
      </w:pPr>
      <w:r>
        <w:rPr>
          <w:b/>
          <w:bCs/>
          <w:sz w:val="20"/>
          <w:szCs w:val="20"/>
        </w:rPr>
        <w:t>NOTE 10. ACCRUED EXPENSES AND OTHER CURRENT LIABILITIE</w:t>
      </w:r>
      <w:r>
        <w:rPr>
          <w:b/>
          <w:bCs/>
          <w:sz w:val="20"/>
          <w:szCs w:val="20"/>
        </w:rPr>
        <w:t>S</w:t>
      </w:r>
    </w:p>
    <w:p w:rsidR="00000000" w:rsidRDefault="0043639B">
      <w:pPr>
        <w:pStyle w:val="a3"/>
        <w:spacing w:before="120" w:beforeAutospacing="0" w:after="0" w:afterAutospacing="0"/>
        <w:jc w:val="both"/>
        <w:divId w:val="1909999131"/>
        <w:rPr>
          <w:sz w:val="20"/>
          <w:szCs w:val="20"/>
        </w:rPr>
      </w:pPr>
      <w:r>
        <w:rPr>
          <w:sz w:val="20"/>
          <w:szCs w:val="20"/>
        </w:rPr>
        <w:t>Accrued expenses and other current liabilities are comprised of the</w:t>
      </w:r>
      <w:r>
        <w:rPr>
          <w:sz w:val="20"/>
          <w:szCs w:val="20"/>
        </w:rPr>
        <w:t xml:space="preserve"> following</w:t>
      </w:r>
      <w:r>
        <w:rPr>
          <w:sz w:val="20"/>
          <w:szCs w:val="20"/>
        </w:rPr>
        <w:t>:</w:t>
      </w:r>
      <w:r>
        <w:rPr>
          <w:sz w:val="20"/>
          <w:szCs w:val="20"/>
        </w:rPr>
        <w:t xml:space="preserve"> </w:t>
      </w:r>
    </w:p>
    <w:p w:rsidR="00000000" w:rsidRDefault="0043639B">
      <w:pPr>
        <w:pStyle w:val="a3"/>
        <w:spacing w:before="0" w:beforeAutospacing="0" w:after="0" w:afterAutospacing="0"/>
        <w:divId w:val="1909999131"/>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11"/>
        <w:gridCol w:w="162"/>
        <w:gridCol w:w="161"/>
        <w:gridCol w:w="1411"/>
        <w:gridCol w:w="110"/>
        <w:gridCol w:w="162"/>
        <w:gridCol w:w="160"/>
        <w:gridCol w:w="1404"/>
        <w:gridCol w:w="125"/>
      </w:tblGrid>
      <w:tr w:rsidR="00000000">
        <w:trPr>
          <w:divId w:val="1909999131"/>
          <w:tblCellSpacing w:w="15" w:type="dxa"/>
        </w:trPr>
        <w:tc>
          <w:tcPr>
            <w:tcW w:w="2863" w:type="pct"/>
            <w:vAlign w:val="center"/>
            <w:hideMark/>
          </w:tcPr>
          <w:p w:rsidR="00000000" w:rsidRDefault="0043639B">
            <w:pPr>
              <w:rPr>
                <w:sz w:val="20"/>
                <w:szCs w:val="20"/>
              </w:rPr>
            </w:pPr>
          </w:p>
        </w:tc>
        <w:tc>
          <w:tcPr>
            <w:tcW w:w="95"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875"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95"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870"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divId w:val="1909999131"/>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December 31, 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1909999131"/>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Employee compensatio</w:t>
            </w:r>
            <w:r>
              <w:rPr>
                <w:sz w:val="20"/>
                <w:szCs w:val="20"/>
              </w:rPr>
              <w:t>n</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6,52</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5,98</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1909999131"/>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User acquisitio</w:t>
            </w:r>
            <w:r>
              <w:rPr>
                <w:sz w:val="20"/>
                <w:szCs w:val="20"/>
              </w:rPr>
              <w:t>n</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2,80</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2,68</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1909999131"/>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Professional fee</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89</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1,30</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1909999131"/>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Othe</w:t>
            </w:r>
            <w:r>
              <w:rPr>
                <w:sz w:val="20"/>
                <w:szCs w:val="20"/>
              </w:rPr>
              <w:t>r</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2,98</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2,59</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1909999131"/>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13,20</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12,56</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bl>
    <w:p w:rsidR="00000000" w:rsidRDefault="0043639B">
      <w:pPr>
        <w:pStyle w:val="a3"/>
        <w:spacing w:before="200" w:beforeAutospacing="0" w:after="0" w:afterAutospacing="0"/>
        <w:rPr>
          <w:sz w:val="20"/>
          <w:szCs w:val="20"/>
        </w:rPr>
      </w:pPr>
      <w:r>
        <w:rPr>
          <w:sz w:val="20"/>
          <w:szCs w:val="20"/>
        </w:rPr>
        <w:t> </w:t>
      </w:r>
    </w:p>
    <w:p w:rsidR="00000000" w:rsidRDefault="0043639B">
      <w:pPr>
        <w:pStyle w:val="a3"/>
        <w:spacing w:before="240" w:beforeAutospacing="0" w:after="0" w:afterAutospacing="0"/>
        <w:divId w:val="78216947"/>
        <w:rPr>
          <w:sz w:val="20"/>
          <w:szCs w:val="20"/>
        </w:rPr>
      </w:pPr>
      <w:r>
        <w:rPr>
          <w:b/>
          <w:bCs/>
          <w:sz w:val="20"/>
          <w:szCs w:val="20"/>
        </w:rPr>
        <w:t>NOTE 11. VARIABLE INTEREST ENTITIES ("VIEs</w:t>
      </w:r>
      <w:r>
        <w:rPr>
          <w:b/>
          <w:bCs/>
          <w:sz w:val="20"/>
          <w:szCs w:val="20"/>
        </w:rPr>
        <w:t>"</w:t>
      </w:r>
      <w:r>
        <w:rPr>
          <w:b/>
          <w:bCs/>
          <w:sz w:val="20"/>
          <w:szCs w:val="20"/>
        </w:rPr>
        <w:t>)</w:t>
      </w:r>
    </w:p>
    <w:p w:rsidR="00000000" w:rsidRDefault="0043639B">
      <w:pPr>
        <w:pStyle w:val="a3"/>
        <w:spacing w:before="0" w:beforeAutospacing="0" w:after="0" w:afterAutospacing="0"/>
        <w:jc w:val="both"/>
        <w:divId w:val="78216947"/>
        <w:rPr>
          <w:sz w:val="20"/>
          <w:szCs w:val="20"/>
        </w:rPr>
      </w:pPr>
      <w:r>
        <w:rPr>
          <w:sz w:val="20"/>
          <w:szCs w:val="20"/>
        </w:rPr>
        <w:t> </w:t>
      </w:r>
    </w:p>
    <w:p w:rsidR="00000000" w:rsidRDefault="0043639B">
      <w:pPr>
        <w:pStyle w:val="a3"/>
        <w:spacing w:before="0" w:beforeAutospacing="0" w:after="0" w:afterAutospacing="0"/>
        <w:jc w:val="both"/>
        <w:divId w:val="78216947"/>
        <w:rPr>
          <w:sz w:val="20"/>
          <w:szCs w:val="20"/>
        </w:rPr>
      </w:pPr>
      <w:r>
        <w:rPr>
          <w:sz w:val="20"/>
          <w:szCs w:val="20"/>
        </w:rPr>
        <w:t>In the second quarter of 2022, the Company completed its transition with respect to its relationships with healthcare providers under Talkspace Provider Network, PA (“TPN”), a Texas professional association entity. The Company's wholly owned subsidiary, Ta</w:t>
      </w:r>
      <w:r>
        <w:rPr>
          <w:sz w:val="20"/>
          <w:szCs w:val="20"/>
        </w:rPr>
        <w:t>lkspace LLC, is party to various Management Services Agreements (“MSAs”) between it and TPN as well as other affiliated professional entities ("PC entities") as part of this transition. TPN and the PC entities, where applicable, contract with physicians, t</w:t>
      </w:r>
      <w:r>
        <w:rPr>
          <w:sz w:val="20"/>
          <w:szCs w:val="20"/>
        </w:rPr>
        <w:t>herapists, and other licensed professionals for clinical and professional services provided to the Company’s members. The Company believes the transition to a structure where it operates under various MSAs with professional associations and professional co</w:t>
      </w:r>
      <w:r>
        <w:rPr>
          <w:sz w:val="20"/>
          <w:szCs w:val="20"/>
        </w:rPr>
        <w:t>rporations authorized by state law to contract with affiliated professionals to delivery teletherapy services to its members, will help ensure the Company is able to comply with all applicable regulatory requirements, including the corporate practice of me</w:t>
      </w:r>
      <w:r>
        <w:rPr>
          <w:sz w:val="20"/>
          <w:szCs w:val="20"/>
        </w:rPr>
        <w:t xml:space="preserve">dicine and fee-splitting laws, that are necessarily implicated by engaging in telehealth care that can only be delivered by physicians. The Company is continuing to transition its current agreements with its clients, members and other business partners to </w:t>
      </w:r>
      <w:r>
        <w:rPr>
          <w:sz w:val="20"/>
          <w:szCs w:val="20"/>
        </w:rPr>
        <w:t>TPN or the PC entities, where applicable</w:t>
      </w:r>
      <w:r>
        <w:rPr>
          <w:sz w:val="20"/>
          <w:szCs w:val="20"/>
        </w:rPr>
        <w:t>.</w:t>
      </w:r>
    </w:p>
    <w:p w:rsidR="00000000" w:rsidRDefault="0043639B">
      <w:pPr>
        <w:pStyle w:val="a3"/>
        <w:spacing w:before="0" w:beforeAutospacing="0" w:after="0" w:afterAutospacing="0"/>
        <w:jc w:val="both"/>
        <w:divId w:val="78216947"/>
        <w:rPr>
          <w:sz w:val="20"/>
          <w:szCs w:val="20"/>
        </w:rPr>
      </w:pPr>
      <w:r>
        <w:rPr>
          <w:sz w:val="20"/>
          <w:szCs w:val="20"/>
        </w:rPr>
        <w:t> </w:t>
      </w:r>
    </w:p>
    <w:p w:rsidR="00000000" w:rsidRDefault="0043639B">
      <w:pPr>
        <w:pStyle w:val="a3"/>
        <w:spacing w:before="0" w:beforeAutospacing="0" w:after="0" w:afterAutospacing="0"/>
        <w:jc w:val="both"/>
        <w:divId w:val="78216947"/>
        <w:rPr>
          <w:sz w:val="20"/>
          <w:szCs w:val="20"/>
        </w:rPr>
      </w:pPr>
      <w:r>
        <w:rPr>
          <w:sz w:val="20"/>
          <w:szCs w:val="20"/>
        </w:rPr>
        <w:t>Pursuant to the MSAs, Talkspace LLC is the manager entity (the “Manager”) and provides management and administrative resources and services essential to the operations of TPN and the PC entities and receives a ma</w:t>
      </w:r>
      <w:r>
        <w:rPr>
          <w:sz w:val="20"/>
          <w:szCs w:val="20"/>
        </w:rPr>
        <w:t>nagement fee for these services and reimbursement of expenses incurred. TPN and the PC entities in turn have the obligation under the MSAs to engage all licensed physicians and other health professionals to provide behavioral healthcare services to the Com</w:t>
      </w:r>
      <w:r>
        <w:rPr>
          <w:sz w:val="20"/>
          <w:szCs w:val="20"/>
        </w:rPr>
        <w:t>pany's members. As of September 30, 2022, the PC entities are not active and no activity has been recorded under these entities</w:t>
      </w:r>
      <w:r>
        <w:rPr>
          <w:sz w:val="20"/>
          <w:szCs w:val="20"/>
        </w:rPr>
        <w:t>.</w:t>
      </w:r>
    </w:p>
    <w:p w:rsidR="00000000" w:rsidRDefault="0043639B">
      <w:pPr>
        <w:pStyle w:val="a3"/>
        <w:spacing w:before="0" w:beforeAutospacing="0" w:after="0" w:afterAutospacing="0"/>
        <w:jc w:val="both"/>
        <w:divId w:val="78216947"/>
        <w:rPr>
          <w:sz w:val="20"/>
          <w:szCs w:val="20"/>
        </w:rPr>
      </w:pPr>
      <w:r>
        <w:rPr>
          <w:sz w:val="20"/>
          <w:szCs w:val="20"/>
        </w:rPr>
        <w:t> </w:t>
      </w:r>
    </w:p>
    <w:p w:rsidR="00000000" w:rsidRDefault="0043639B">
      <w:pPr>
        <w:pStyle w:val="a3"/>
        <w:spacing w:before="0" w:beforeAutospacing="0" w:after="0" w:afterAutospacing="0"/>
        <w:jc w:val="both"/>
        <w:divId w:val="78216947"/>
        <w:rPr>
          <w:sz w:val="20"/>
          <w:szCs w:val="20"/>
        </w:rPr>
      </w:pPr>
      <w:r>
        <w:rPr>
          <w:sz w:val="20"/>
          <w:szCs w:val="20"/>
        </w:rPr>
        <w:t xml:space="preserve">The Company holds a variable interest in TPN. TPN is considered a variable interest entity (“VIE”) under Accounting Standard </w:t>
      </w:r>
      <w:r>
        <w:rPr>
          <w:sz w:val="20"/>
          <w:szCs w:val="20"/>
        </w:rPr>
        <w:t>Codification 810,</w:t>
      </w:r>
      <w:r>
        <w:rPr>
          <w:sz w:val="20"/>
          <w:szCs w:val="20"/>
        </w:rPr>
        <w:t xml:space="preserve"> </w:t>
      </w:r>
      <w:r>
        <w:rPr>
          <w:i/>
          <w:iCs/>
          <w:sz w:val="20"/>
          <w:szCs w:val="20"/>
        </w:rPr>
        <w:t>Consolidation</w:t>
      </w:r>
      <w:r>
        <w:rPr>
          <w:i/>
          <w:iCs/>
          <w:sz w:val="20"/>
          <w:szCs w:val="20"/>
        </w:rPr>
        <w:t>,</w:t>
      </w:r>
      <w:r>
        <w:rPr>
          <w:sz w:val="20"/>
          <w:szCs w:val="20"/>
        </w:rPr>
        <w:t xml:space="preserve"> since it does not have sufficient equity to finance its activities without additional subordinated financial support. An entity having a controlling financial interest in a VIE must consolidate the VIE if it has both power </w:t>
      </w:r>
      <w:r>
        <w:rPr>
          <w:sz w:val="20"/>
          <w:szCs w:val="20"/>
        </w:rPr>
        <w:t>and benefits—that is, it has (1) the power to direct the activities of a VIE that most significantly impact the VIE’s economic performance (power) and (2) the obligation to absorb losses of the VIE that potentially could be significant to the VIE or the ri</w:t>
      </w:r>
      <w:r>
        <w:rPr>
          <w:sz w:val="20"/>
          <w:szCs w:val="20"/>
        </w:rPr>
        <w:t>ght to receive benefits from the VIE that potentially could be significant to the VIE (benefits). The Company has the power and rights to control the activities of TPN that most significantly impact TPN's economic performance and the obligation to absorb a</w:t>
      </w:r>
      <w:r>
        <w:rPr>
          <w:sz w:val="20"/>
          <w:szCs w:val="20"/>
        </w:rPr>
        <w:t>ll losses or the right to receive the benefits from TPN, and as a result TPN is consolidated in the Company’s financial statements.</w:t>
      </w:r>
      <w:r>
        <w:rPr>
          <w:sz w:val="20"/>
          <w:szCs w:val="20"/>
        </w:rPr>
        <w:t xml:space="preserve"> </w:t>
      </w:r>
      <w:r>
        <w:rPr>
          <w:sz w:val="20"/>
          <w:szCs w:val="20"/>
        </w:rPr>
        <w:t xml:space="preserve">In addition, no non-controlling interest is recorded in respect of TPN as it has a single individual shareholder who has no </w:t>
      </w:r>
      <w:r>
        <w:rPr>
          <w:sz w:val="20"/>
          <w:szCs w:val="20"/>
        </w:rPr>
        <w:t>right to dividends or residual interest</w:t>
      </w:r>
      <w:r>
        <w:rPr>
          <w:sz w:val="20"/>
          <w:szCs w:val="20"/>
        </w:rPr>
        <w:t>.</w:t>
      </w:r>
    </w:p>
    <w:p w:rsidR="00000000" w:rsidRDefault="0043639B">
      <w:pPr>
        <w:pStyle w:val="a3"/>
        <w:spacing w:before="0" w:beforeAutospacing="0" w:after="0" w:afterAutospacing="0"/>
        <w:jc w:val="both"/>
        <w:divId w:val="78216947"/>
        <w:rPr>
          <w:sz w:val="20"/>
          <w:szCs w:val="20"/>
        </w:rPr>
      </w:pPr>
      <w:r>
        <w:rPr>
          <w:sz w:val="20"/>
          <w:szCs w:val="20"/>
        </w:rPr>
        <w:t> </w:t>
      </w:r>
    </w:p>
    <w:p w:rsidR="00000000" w:rsidRDefault="0043639B">
      <w:pPr>
        <w:pStyle w:val="a3"/>
        <w:spacing w:before="0" w:beforeAutospacing="0" w:after="0" w:afterAutospacing="0"/>
        <w:jc w:val="both"/>
        <w:divId w:val="436022362"/>
        <w:rPr>
          <w:sz w:val="20"/>
          <w:szCs w:val="20"/>
        </w:rPr>
      </w:pPr>
      <w:r>
        <w:rPr>
          <w:sz w:val="20"/>
          <w:szCs w:val="20"/>
        </w:rPr>
        <w:t>The following table details the assets and liabilities of the Company's consolidated VIE</w:t>
      </w:r>
      <w:r>
        <w:rPr>
          <w:sz w:val="20"/>
          <w:szCs w:val="20"/>
        </w:rPr>
        <w:t>:</w:t>
      </w:r>
    </w:p>
    <w:p w:rsidR="00000000" w:rsidRDefault="0043639B">
      <w:pPr>
        <w:pStyle w:val="a3"/>
        <w:spacing w:before="0" w:beforeAutospacing="0" w:after="0" w:afterAutospacing="0"/>
        <w:jc w:val="both"/>
        <w:divId w:val="436022362"/>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1"/>
        <w:gridCol w:w="181"/>
        <w:gridCol w:w="161"/>
        <w:gridCol w:w="1598"/>
        <w:gridCol w:w="125"/>
      </w:tblGrid>
      <w:tr w:rsidR="00000000">
        <w:trPr>
          <w:divId w:val="436022362"/>
          <w:tblCellSpacing w:w="15" w:type="dxa"/>
        </w:trPr>
        <w:tc>
          <w:tcPr>
            <w:tcW w:w="3822" w:type="pct"/>
            <w:vAlign w:val="center"/>
            <w:hideMark/>
          </w:tcPr>
          <w:p w:rsidR="00000000" w:rsidRDefault="0043639B">
            <w:pPr>
              <w:rPr>
                <w:sz w:val="20"/>
                <w:szCs w:val="20"/>
              </w:rPr>
            </w:pPr>
          </w:p>
        </w:tc>
        <w:tc>
          <w:tcPr>
            <w:tcW w:w="103"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974"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divId w:val="436022362"/>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September 30, 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divId w:val="436022362"/>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ASSET</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divId w:val="436022362"/>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Cash and cash equivalent</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89</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436022362"/>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Other asset</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1,62</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436022362"/>
          <w:trHeight w:val="200"/>
          <w:tblCellSpacing w:w="15" w:type="dxa"/>
        </w:trPr>
        <w:tc>
          <w:tcPr>
            <w:tcW w:w="0" w:type="auto"/>
            <w:vAlign w:val="bottom"/>
            <w:hideMark/>
          </w:tcPr>
          <w:p w:rsidR="00000000" w:rsidRDefault="0043639B">
            <w:pPr>
              <w:pStyle w:val="a3"/>
              <w:spacing w:before="0" w:beforeAutospacing="0" w:after="0" w:afterAutospacing="0"/>
              <w:rPr>
                <w:sz w:val="20"/>
                <w:szCs w:val="20"/>
              </w:rPr>
            </w:pPr>
            <w:r>
              <w:rPr>
                <w:sz w:val="20"/>
                <w:szCs w:val="20"/>
              </w:rPr>
              <w:t>Total Asset</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2,51</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436022362"/>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LIABILITIE</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divId w:val="436022362"/>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Accrued expenses and other current liabilitie</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3,48</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divId w:val="436022362"/>
          <w:trHeight w:val="200"/>
          <w:tblCellSpacing w:w="15" w:type="dxa"/>
        </w:trPr>
        <w:tc>
          <w:tcPr>
            <w:tcW w:w="0" w:type="auto"/>
            <w:vAlign w:val="bottom"/>
            <w:hideMark/>
          </w:tcPr>
          <w:p w:rsidR="00000000" w:rsidRDefault="0043639B">
            <w:pPr>
              <w:pStyle w:val="a3"/>
              <w:spacing w:before="0" w:beforeAutospacing="0" w:after="0" w:afterAutospacing="0"/>
              <w:rPr>
                <w:sz w:val="20"/>
                <w:szCs w:val="20"/>
              </w:rPr>
            </w:pPr>
            <w:r>
              <w:rPr>
                <w:sz w:val="20"/>
                <w:szCs w:val="20"/>
              </w:rPr>
              <w:t>Total Liabilitie</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3,48</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bl>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1</w:t>
      </w:r>
      <w:r>
        <w:rPr>
          <w:sz w:val="20"/>
          <w:szCs w:val="20"/>
        </w:rPr>
        <w:t>6</w:t>
      </w:r>
    </w:p>
    <w:p w:rsidR="00000000" w:rsidRDefault="0043639B">
      <w:pPr>
        <w:rPr>
          <w:rFonts w:eastAsia="Times New Roman"/>
        </w:rPr>
      </w:pPr>
      <w:r>
        <w:rPr>
          <w:rFonts w:eastAsia="Times New Roman"/>
        </w:rPr>
        <w:pict>
          <v:rect id="_x0000_i1040"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240" w:beforeAutospacing="0" w:after="0" w:afterAutospacing="0"/>
        <w:jc w:val="both"/>
        <w:rPr>
          <w:sz w:val="20"/>
          <w:szCs w:val="20"/>
        </w:rPr>
      </w:pPr>
      <w:r>
        <w:rPr>
          <w:b/>
          <w:bCs/>
          <w:sz w:val="20"/>
          <w:szCs w:val="20"/>
        </w:rPr>
        <w:t xml:space="preserve">Item </w:t>
      </w:r>
      <w:r>
        <w:rPr>
          <w:b/>
          <w:bCs/>
          <w:sz w:val="20"/>
          <w:szCs w:val="20"/>
        </w:rPr>
        <w:t>2</w:t>
      </w:r>
      <w:r>
        <w:rPr>
          <w:b/>
          <w:bCs/>
          <w:sz w:val="20"/>
          <w:szCs w:val="20"/>
        </w:rPr>
        <w:t>. Management’s Discussion and Analysis of Financial Condition and Results of Operations</w:t>
      </w:r>
      <w:r>
        <w:rPr>
          <w:b/>
          <w:bCs/>
          <w:sz w:val="20"/>
          <w:szCs w:val="20"/>
        </w:rPr>
        <w:t>.</w:t>
      </w:r>
    </w:p>
    <w:p w:rsidR="00000000" w:rsidRDefault="0043639B">
      <w:pPr>
        <w:pStyle w:val="a3"/>
        <w:spacing w:before="120" w:beforeAutospacing="0" w:after="0" w:afterAutospacing="0"/>
        <w:jc w:val="both"/>
        <w:rPr>
          <w:sz w:val="20"/>
          <w:szCs w:val="20"/>
        </w:rPr>
      </w:pPr>
      <w:r>
        <w:rPr>
          <w:i/>
          <w:iCs/>
          <w:sz w:val="20"/>
          <w:szCs w:val="20"/>
        </w:rPr>
        <w:t xml:space="preserve">Unless the context otherwise requires, all references in this section as to </w:t>
      </w:r>
      <w:r>
        <w:rPr>
          <w:i/>
          <w:iCs/>
          <w:sz w:val="20"/>
          <w:szCs w:val="20"/>
        </w:rPr>
        <w:t>“Talkspace,” the “Company,” “we,” “us” or “our” refer to the business of Talkspace, Inc. and its subsidiaries</w:t>
      </w:r>
      <w:r>
        <w:rPr>
          <w:i/>
          <w:iCs/>
          <w:sz w:val="20"/>
          <w:szCs w:val="20"/>
        </w:rPr>
        <w:t>.</w:t>
      </w:r>
      <w:r>
        <w:rPr>
          <w:i/>
          <w:iCs/>
          <w:sz w:val="20"/>
          <w:szCs w:val="20"/>
        </w:rPr>
        <w:t xml:space="preserve"> </w:t>
      </w:r>
    </w:p>
    <w:p w:rsidR="00000000" w:rsidRDefault="0043639B">
      <w:pPr>
        <w:pStyle w:val="a3"/>
        <w:spacing w:before="240" w:beforeAutospacing="0" w:after="0" w:afterAutospacing="0"/>
        <w:jc w:val="both"/>
        <w:rPr>
          <w:sz w:val="20"/>
          <w:szCs w:val="20"/>
        </w:rPr>
      </w:pPr>
      <w:r>
        <w:rPr>
          <w:i/>
          <w:iCs/>
          <w:sz w:val="20"/>
          <w:szCs w:val="20"/>
        </w:rPr>
        <w:t>The following discussion and analysis of our financial condition and results of operations should be read together with the financial statements</w:t>
      </w:r>
      <w:r>
        <w:rPr>
          <w:i/>
          <w:iCs/>
          <w:sz w:val="20"/>
          <w:szCs w:val="20"/>
        </w:rPr>
        <w:t xml:space="preserve"> and the related notes contained in this Quarterly Report and the financial statements and related notes contained in the Company's Annual Report on Form 10-K for the fiscal year ended December 31, 2021. This discussion contains forward-looking statements </w:t>
      </w:r>
      <w:r>
        <w:rPr>
          <w:i/>
          <w:iCs/>
          <w:sz w:val="20"/>
          <w:szCs w:val="20"/>
        </w:rPr>
        <w:t xml:space="preserve">that reflect our plans, estimates, and beliefs that involve risks and uncertainties. As a result of many factors, such as those discussed in Part I, Item 1A, “Risk Factors” of the Company's Annual Report on Form 10-K for the fiscal year ended December 31, </w:t>
      </w:r>
      <w:r>
        <w:rPr>
          <w:i/>
          <w:iCs/>
          <w:sz w:val="20"/>
          <w:szCs w:val="20"/>
        </w:rPr>
        <w:t>2021 and “Forward-Looking Statements” sections and elsewhere in this Quarterly Report, our actual results may differ materially from those anticipated in these forward-looking statements</w:t>
      </w:r>
      <w:r>
        <w:rPr>
          <w:i/>
          <w:iCs/>
          <w:sz w:val="20"/>
          <w:szCs w:val="20"/>
        </w:rPr>
        <w:t>.</w:t>
      </w:r>
      <w:r>
        <w:rPr>
          <w:i/>
          <w:iCs/>
          <w:sz w:val="20"/>
          <w:szCs w:val="20"/>
        </w:rPr>
        <w:t xml:space="preserve"> </w:t>
      </w:r>
    </w:p>
    <w:p w:rsidR="00000000" w:rsidRDefault="0043639B">
      <w:pPr>
        <w:pStyle w:val="a3"/>
        <w:spacing w:before="240" w:beforeAutospacing="0" w:after="0" w:afterAutospacing="0"/>
        <w:jc w:val="both"/>
        <w:rPr>
          <w:sz w:val="20"/>
          <w:szCs w:val="20"/>
        </w:rPr>
      </w:pPr>
      <w:r>
        <w:rPr>
          <w:b/>
          <w:bCs/>
          <w:sz w:val="20"/>
          <w:szCs w:val="20"/>
        </w:rPr>
        <w:t>Overvie</w:t>
      </w:r>
      <w:r>
        <w:rPr>
          <w:b/>
          <w:bCs/>
          <w:sz w:val="20"/>
          <w:szCs w:val="20"/>
        </w:rPr>
        <w:t>w</w:t>
      </w:r>
      <w:r>
        <w:rPr>
          <w:b/>
          <w:bCs/>
          <w:sz w:val="20"/>
          <w:szCs w:val="20"/>
        </w:rPr>
        <w:t xml:space="preserve"> </w:t>
      </w:r>
    </w:p>
    <w:p w:rsidR="00000000" w:rsidRDefault="0043639B">
      <w:pPr>
        <w:pStyle w:val="a3"/>
        <w:spacing w:before="120" w:beforeAutospacing="0" w:after="0" w:afterAutospacing="0"/>
        <w:jc w:val="both"/>
        <w:rPr>
          <w:sz w:val="20"/>
          <w:szCs w:val="20"/>
        </w:rPr>
      </w:pPr>
      <w:r>
        <w:rPr>
          <w:sz w:val="20"/>
          <w:szCs w:val="20"/>
        </w:rPr>
        <w:t>Talkspace is a healthcare company offering convenient and</w:t>
      </w:r>
      <w:r>
        <w:rPr>
          <w:sz w:val="20"/>
          <w:szCs w:val="20"/>
        </w:rPr>
        <w:t xml:space="preserve"> affordable access to a fully-credentialed network of highly qualified providers. We are a leading virtual behavioral health company and, since Talkspace’s founding in 2012, we have connected millions of patients, who we refer to as our members, with licen</w:t>
      </w:r>
      <w:r>
        <w:rPr>
          <w:sz w:val="20"/>
          <w:szCs w:val="20"/>
        </w:rPr>
        <w:t>sed mental health providers across a wide and growing spectrum of care through virtual counseling, psychotherapy and psychiatry. We created a purpose-built platform to address the vast, unmet and growing demand for mental health services of our members, se</w:t>
      </w:r>
      <w:r>
        <w:rPr>
          <w:sz w:val="20"/>
          <w:szCs w:val="20"/>
        </w:rPr>
        <w:t>rving our business-to-business (“B2B”) channel, comprised of large health plans and employee assistance programs (“health plan clients”) such as Aetna, Cigna, Premera and Optum and large enterprise clients such as Google and Expedia (collectively, our “cli</w:t>
      </w:r>
      <w:r>
        <w:rPr>
          <w:sz w:val="20"/>
          <w:szCs w:val="20"/>
        </w:rPr>
        <w:t>ents”), who offer their employees and insured members access to our platform while their employer is under an active contract with Talkspace, or at in-network reimbursement rates, where applicable, and our business-to-consumer (“B2C”) channel, comprised of</w:t>
      </w:r>
      <w:r>
        <w:rPr>
          <w:sz w:val="20"/>
          <w:szCs w:val="20"/>
        </w:rPr>
        <w:t xml:space="preserve"> individual consumers who subscribe directly to our platform</w:t>
      </w:r>
      <w:r>
        <w:rPr>
          <w:sz w:val="20"/>
          <w:szCs w:val="20"/>
        </w:rPr>
        <w:t>,</w:t>
      </w:r>
    </w:p>
    <w:p w:rsidR="00000000" w:rsidRDefault="0043639B">
      <w:pPr>
        <w:pStyle w:val="a3"/>
        <w:spacing w:before="240" w:beforeAutospacing="0" w:after="0" w:afterAutospacing="0"/>
        <w:jc w:val="both"/>
        <w:rPr>
          <w:sz w:val="20"/>
          <w:szCs w:val="20"/>
        </w:rPr>
      </w:pPr>
      <w:r>
        <w:rPr>
          <w:sz w:val="20"/>
          <w:szCs w:val="20"/>
        </w:rPr>
        <w:t>As of September 30, 2022, we had over 68,100 active members through our B2B and B2C channels, including approximately 86 million B2B eligible lives and approximately 17,900 B2C active members. F</w:t>
      </w:r>
      <w:r>
        <w:rPr>
          <w:sz w:val="20"/>
          <w:szCs w:val="20"/>
        </w:rPr>
        <w:t>or the three and nine months ended September 30, 2022, our clinicians completed 111,400 and 298,000 B2B sessions, respectively, related to members covered under our health plan clients, as compared to 71,300 and 192,100 completed B2B sessions for the three</w:t>
      </w:r>
      <w:r>
        <w:rPr>
          <w:sz w:val="20"/>
          <w:szCs w:val="20"/>
        </w:rPr>
        <w:t xml:space="preserve"> and nine months ended September 30, 2021, respectively. Please refer to the “Key Business Metrics” section below for a description of active members and B2B eligible lives</w:t>
      </w:r>
      <w:r>
        <w:rPr>
          <w:sz w:val="20"/>
          <w:szCs w:val="20"/>
        </w:rPr>
        <w:t>.</w:t>
      </w:r>
    </w:p>
    <w:p w:rsidR="00000000" w:rsidRDefault="0043639B">
      <w:pPr>
        <w:pStyle w:val="a3"/>
        <w:spacing w:before="240" w:beforeAutospacing="0" w:after="0" w:afterAutospacing="0"/>
        <w:jc w:val="both"/>
        <w:rPr>
          <w:sz w:val="20"/>
          <w:szCs w:val="20"/>
        </w:rPr>
      </w:pPr>
      <w:r>
        <w:rPr>
          <w:sz w:val="20"/>
          <w:szCs w:val="20"/>
        </w:rPr>
        <w:t>The behavioral health market has traditionally been underserved for a number of re</w:t>
      </w:r>
      <w:r>
        <w:rPr>
          <w:sz w:val="20"/>
          <w:szCs w:val="20"/>
        </w:rPr>
        <w:t>asons, including as a result of inadequate access, a limited universe of qualified providers, high cost and social stigma. We believe virtual is the ideal modality for mental health treatment because it removes or reduces these burdens associated with trad</w:t>
      </w:r>
      <w:r>
        <w:rPr>
          <w:sz w:val="20"/>
          <w:szCs w:val="20"/>
        </w:rPr>
        <w:t>itional face-to-face mental health services by improving convenience through 24/7 access to our platform, providing more accessible entry level price points, and reducing associated stigmas by promoting transparency, increasing ease of access and preservin</w:t>
      </w:r>
      <w:r>
        <w:rPr>
          <w:sz w:val="20"/>
          <w:szCs w:val="20"/>
        </w:rPr>
        <w:t>g privacy. Our platform connects consumers in need, including many of whom have never had an opportunity to benefit from high-quality behavioral healthcare, with experienced providers across all 50 U.S. states</w:t>
      </w:r>
      <w:r>
        <w:rPr>
          <w:sz w:val="20"/>
          <w:szCs w:val="20"/>
        </w:rPr>
        <w:t>.</w:t>
      </w:r>
    </w:p>
    <w:p w:rsidR="00000000" w:rsidRDefault="0043639B">
      <w:pPr>
        <w:pStyle w:val="a3"/>
        <w:spacing w:before="240" w:beforeAutospacing="0" w:after="0" w:afterAutospacing="0"/>
        <w:jc w:val="both"/>
        <w:rPr>
          <w:sz w:val="20"/>
          <w:szCs w:val="20"/>
        </w:rPr>
      </w:pPr>
      <w:r>
        <w:rPr>
          <w:sz w:val="20"/>
          <w:szCs w:val="20"/>
        </w:rPr>
        <w:t>Through our psychotherapy offerings, our lice</w:t>
      </w:r>
      <w:r>
        <w:rPr>
          <w:sz w:val="20"/>
          <w:szCs w:val="20"/>
        </w:rPr>
        <w:t>nsed therapists and counselors treat mental health conditions in over 21 specializations, such as depression, anxiety, trauma and other human challenges. Through our psychiatry offerings, our board-certified psychiatrists and prescription-eligible nurse pr</w:t>
      </w:r>
      <w:r>
        <w:rPr>
          <w:sz w:val="20"/>
          <w:szCs w:val="20"/>
        </w:rPr>
        <w:t>actitioners treat a higher acuity patient demographic, including those who may have pharmacological needs. Talkspace providers treat a full range of mental health conditions treated by "traditional" providers, including schizophrenia-spectrum disorders, bi</w:t>
      </w:r>
      <w:r>
        <w:rPr>
          <w:sz w:val="20"/>
          <w:szCs w:val="20"/>
        </w:rPr>
        <w:t>polar disorders and depression, including through prescription medication and management from psychiatrists, up and until the point that the provider, in their discretion, feels it prudent to refer the member to a face-to-face psychiatrist to address poten</w:t>
      </w:r>
      <w:r>
        <w:rPr>
          <w:sz w:val="20"/>
          <w:szCs w:val="20"/>
        </w:rPr>
        <w:t>tial needs for “controlled substances” under the federal Controlled Substances Act, which generally prohibits the prescribing and dispensing of controlled substances via telehealth without performing an in-person examination</w:t>
      </w:r>
      <w:r>
        <w:rPr>
          <w:sz w:val="20"/>
          <w:szCs w:val="20"/>
        </w:rPr>
        <w:t>.</w:t>
      </w:r>
    </w:p>
    <w:p w:rsidR="00000000" w:rsidRDefault="0043639B">
      <w:pPr>
        <w:pStyle w:val="a3"/>
        <w:spacing w:before="240" w:beforeAutospacing="0" w:after="0" w:afterAutospacing="0"/>
        <w:jc w:val="both"/>
        <w:rPr>
          <w:sz w:val="20"/>
          <w:szCs w:val="20"/>
        </w:rPr>
      </w:pPr>
      <w:r>
        <w:rPr>
          <w:sz w:val="20"/>
          <w:szCs w:val="20"/>
        </w:rPr>
        <w:t>While optimizing consumers’ ac</w:t>
      </w:r>
      <w:r>
        <w:rPr>
          <w:sz w:val="20"/>
          <w:szCs w:val="20"/>
        </w:rPr>
        <w:t>cess to care, we believe our platform also provides benefits to providers through expanded reach, steady access to member leads, reduced administrative burdens, more efficient time utilization and data-driven insights. These features, together with continu</w:t>
      </w:r>
      <w:r>
        <w:rPr>
          <w:sz w:val="20"/>
          <w:szCs w:val="20"/>
        </w:rPr>
        <w:t>ous training and professional growth opportunities we offer, empower providers to deliver what we believe will enable an enhanced care journey, higher member lifetime engagement, meaningful outcomes and greater margins when compared to face-to-face treatme</w:t>
      </w:r>
      <w:r>
        <w:rPr>
          <w:sz w:val="20"/>
          <w:szCs w:val="20"/>
        </w:rPr>
        <w:t>nt</w:t>
      </w:r>
      <w:r>
        <w:rPr>
          <w:sz w:val="20"/>
          <w:szCs w:val="20"/>
        </w:rPr>
        <w:t>.</w:t>
      </w:r>
      <w:r>
        <w:rPr>
          <w:sz w:val="20"/>
          <w:szCs w:val="20"/>
        </w:rPr>
        <w:t xml:space="preserve"> </w:t>
      </w:r>
    </w:p>
    <w:p w:rsidR="00000000" w:rsidRDefault="0043639B">
      <w:pPr>
        <w:pStyle w:val="a3"/>
        <w:spacing w:before="0" w:beforeAutospacing="0" w:after="0" w:afterAutospacing="0"/>
        <w:jc w:val="center"/>
        <w:rPr>
          <w:sz w:val="20"/>
          <w:szCs w:val="20"/>
        </w:rPr>
      </w:pPr>
      <w:r>
        <w:rPr>
          <w:sz w:val="20"/>
          <w:szCs w:val="20"/>
        </w:rPr>
        <w:t>1</w:t>
      </w:r>
      <w:r>
        <w:rPr>
          <w:sz w:val="20"/>
          <w:szCs w:val="20"/>
        </w:rPr>
        <w:t>7</w:t>
      </w:r>
    </w:p>
    <w:p w:rsidR="00000000" w:rsidRDefault="0043639B">
      <w:pPr>
        <w:rPr>
          <w:rFonts w:eastAsia="Times New Roman"/>
        </w:rPr>
      </w:pPr>
      <w:r>
        <w:rPr>
          <w:rFonts w:eastAsia="Times New Roman"/>
        </w:rPr>
        <w:pict>
          <v:rect id="_x0000_i1041"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360" w:beforeAutospacing="0" w:after="0" w:afterAutospacing="0"/>
        <w:jc w:val="both"/>
        <w:rPr>
          <w:sz w:val="20"/>
          <w:szCs w:val="20"/>
        </w:rPr>
      </w:pPr>
      <w:r>
        <w:rPr>
          <w:b/>
          <w:bCs/>
          <w:sz w:val="20"/>
          <w:szCs w:val="20"/>
        </w:rPr>
        <w:t>Operating Segment</w:t>
      </w:r>
      <w:r>
        <w:rPr>
          <w:b/>
          <w:bCs/>
          <w:sz w:val="20"/>
          <w:szCs w:val="20"/>
        </w:rPr>
        <w:t>s</w:t>
      </w:r>
      <w:r>
        <w:rPr>
          <w:b/>
          <w:bCs/>
          <w:sz w:val="20"/>
          <w:szCs w:val="20"/>
        </w:rPr>
        <w:t xml:space="preserve"> </w:t>
      </w:r>
    </w:p>
    <w:p w:rsidR="00000000" w:rsidRDefault="0043639B">
      <w:pPr>
        <w:pStyle w:val="a3"/>
        <w:spacing w:before="120" w:beforeAutospacing="0" w:after="0" w:afterAutospacing="0"/>
        <w:jc w:val="both"/>
        <w:rPr>
          <w:sz w:val="20"/>
          <w:szCs w:val="20"/>
        </w:rPr>
      </w:pPr>
      <w:r>
        <w:rPr>
          <w:sz w:val="20"/>
          <w:szCs w:val="20"/>
        </w:rPr>
        <w:t>We operate our business in a single segment and as one reporting unit, which is how our chief operating decision maker (who is our interim chief executive officer) reviews financial performance and allocates resources</w:t>
      </w:r>
      <w:r>
        <w:rPr>
          <w:sz w:val="20"/>
          <w:szCs w:val="20"/>
        </w:rPr>
        <w:t>.</w:t>
      </w:r>
    </w:p>
    <w:p w:rsidR="00000000" w:rsidRDefault="0043639B">
      <w:pPr>
        <w:pStyle w:val="a3"/>
        <w:spacing w:before="240" w:beforeAutospacing="0" w:after="0" w:afterAutospacing="0"/>
        <w:jc w:val="both"/>
        <w:rPr>
          <w:sz w:val="20"/>
          <w:szCs w:val="20"/>
        </w:rPr>
      </w:pPr>
      <w:r>
        <w:rPr>
          <w:b/>
          <w:bCs/>
          <w:sz w:val="20"/>
          <w:szCs w:val="20"/>
        </w:rPr>
        <w:t>Key Business Metric</w:t>
      </w:r>
      <w:r>
        <w:rPr>
          <w:b/>
          <w:bCs/>
          <w:sz w:val="20"/>
          <w:szCs w:val="20"/>
        </w:rPr>
        <w:t>s</w:t>
      </w:r>
      <w:r>
        <w:rPr>
          <w:b/>
          <w:bCs/>
          <w:sz w:val="20"/>
          <w:szCs w:val="20"/>
        </w:rPr>
        <w:t xml:space="preserve"> </w:t>
      </w:r>
    </w:p>
    <w:p w:rsidR="00000000" w:rsidRDefault="0043639B">
      <w:pPr>
        <w:pStyle w:val="a3"/>
        <w:spacing w:before="120" w:beforeAutospacing="0" w:after="0" w:afterAutospacing="0"/>
        <w:jc w:val="both"/>
        <w:rPr>
          <w:sz w:val="20"/>
          <w:szCs w:val="20"/>
        </w:rPr>
      </w:pPr>
      <w:r>
        <w:rPr>
          <w:sz w:val="20"/>
          <w:szCs w:val="20"/>
        </w:rPr>
        <w:t>We monitor the following key metrics to help us evaluate our business, identify trends affecting our business, formulate business plans and make strategic decisions. We believe the following metrics are useful in evaluating our business</w:t>
      </w:r>
      <w:r>
        <w:rPr>
          <w:sz w:val="20"/>
          <w:szCs w:val="20"/>
        </w:rPr>
        <w:t>:</w:t>
      </w:r>
      <w:r>
        <w:rPr>
          <w:sz w:val="20"/>
          <w:szCs w:val="20"/>
        </w:rPr>
        <w:t xml:space="preserve"> </w:t>
      </w:r>
    </w:p>
    <w:p w:rsidR="00000000" w:rsidRDefault="0043639B">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8"/>
        <w:gridCol w:w="123"/>
        <w:gridCol w:w="110"/>
        <w:gridCol w:w="1053"/>
        <w:gridCol w:w="110"/>
        <w:gridCol w:w="123"/>
        <w:gridCol w:w="110"/>
        <w:gridCol w:w="1084"/>
        <w:gridCol w:w="125"/>
      </w:tblGrid>
      <w:tr w:rsidR="00000000">
        <w:trPr>
          <w:tblCellSpacing w:w="15" w:type="dxa"/>
        </w:trPr>
        <w:tc>
          <w:tcPr>
            <w:tcW w:w="3384" w:type="pct"/>
            <w:vAlign w:val="center"/>
            <w:hideMark/>
          </w:tcPr>
          <w:p w:rsidR="00000000" w:rsidRDefault="0043639B">
            <w:pPr>
              <w:rPr>
                <w:sz w:val="20"/>
                <w:szCs w:val="20"/>
              </w:rPr>
            </w:pPr>
          </w:p>
        </w:tc>
        <w:tc>
          <w:tcPr>
            <w:tcW w:w="58"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39"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8"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58"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b/>
                <w:bCs/>
                <w:sz w:val="16"/>
                <w:szCs w:val="16"/>
              </w:rPr>
              <w:t>Unaud</w:t>
            </w:r>
            <w:r>
              <w:rPr>
                <w:b/>
                <w:bCs/>
                <w:sz w:val="16"/>
                <w:szCs w:val="16"/>
              </w:rPr>
              <w:t>ite</w:t>
            </w:r>
            <w:r>
              <w:rPr>
                <w:b/>
                <w:bCs/>
                <w:sz w:val="16"/>
                <w:szCs w:val="16"/>
              </w:rPr>
              <w:t>d</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Nine Months Ended</w:t>
            </w:r>
            <w:r>
              <w:rPr>
                <w:b/>
                <w:bCs/>
                <w:sz w:val="16"/>
                <w:szCs w:val="16"/>
              </w:rPr>
              <w:br/>
              <w:t>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i/>
                <w:iCs/>
                <w:sz w:val="16"/>
                <w:szCs w:val="16"/>
              </w:rPr>
              <w:t>(in thousands except number of health plan and enterprise clients or otherwise indicated</w:t>
            </w:r>
            <w:r>
              <w:rPr>
                <w:i/>
                <w:iCs/>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Number of B2B eligible lives at period end</w:t>
            </w:r>
            <w:r>
              <w:rPr>
                <w:sz w:val="20"/>
                <w:szCs w:val="20"/>
              </w:rPr>
              <w:t xml:space="preserve"> </w:t>
            </w:r>
            <w:r>
              <w:rPr>
                <w:i/>
                <w:iCs/>
                <w:sz w:val="20"/>
                <w:szCs w:val="20"/>
              </w:rPr>
              <w:t>(in millions</w:t>
            </w:r>
            <w:r>
              <w:rPr>
                <w:i/>
                <w:iCs/>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86.</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56.</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Number of completed B2B session</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298.</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192.</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Number of health plan clients at period en</w:t>
            </w:r>
            <w:r>
              <w:rPr>
                <w:sz w:val="20"/>
                <w:szCs w:val="20"/>
              </w:rPr>
              <w:t>d</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Number of enterprise clients at period en</w:t>
            </w:r>
            <w:r>
              <w:rPr>
                <w:sz w:val="20"/>
                <w:szCs w:val="20"/>
              </w:rPr>
              <w:t>d</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21</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13</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Number of B2C active members at period en</w:t>
            </w:r>
            <w:r>
              <w:rPr>
                <w:sz w:val="20"/>
                <w:szCs w:val="20"/>
              </w:rPr>
              <w:t>d</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17.</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28.</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bl>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i/>
          <w:iCs/>
          <w:sz w:val="20"/>
          <w:szCs w:val="20"/>
        </w:rPr>
        <w:t>B2B Eligible Lives</w:t>
      </w:r>
      <w:r>
        <w:rPr>
          <w:i/>
          <w:iCs/>
          <w:sz w:val="20"/>
          <w:szCs w:val="20"/>
        </w:rPr>
        <w:t>:</w:t>
      </w:r>
      <w:r>
        <w:rPr>
          <w:sz w:val="20"/>
          <w:szCs w:val="20"/>
        </w:rPr>
        <w:t xml:space="preserve"> We consider B2B lives “eligible” </w:t>
      </w:r>
      <w:r>
        <w:rPr>
          <w:sz w:val="20"/>
          <w:szCs w:val="20"/>
        </w:rPr>
        <w:t>if such persons are eligible to receive treatment on the Talkspace platform, in the case of our enterprise clients, while their employer is under an active contract with Talkspace, or, in the case of health plan clients, at an agreed upon reimbursement rat</w:t>
      </w:r>
      <w:r>
        <w:rPr>
          <w:sz w:val="20"/>
          <w:szCs w:val="20"/>
        </w:rPr>
        <w:t>e through insurance under an employee assistance program or other network behavioral health paid benefit program. There may be instances where a person may be covered through multiple solutions, typically through behavioral health plans and employee assist</w:t>
      </w:r>
      <w:r>
        <w:rPr>
          <w:sz w:val="20"/>
          <w:szCs w:val="20"/>
        </w:rPr>
        <w:t>ance programs. In these instances, the person is counted each time they are covered in the B2B eligible lives calculation, which may cause this amount to reflect a higher number of members than we actually serve</w:t>
      </w:r>
      <w:r>
        <w:rPr>
          <w:sz w:val="20"/>
          <w:szCs w:val="20"/>
        </w:rPr>
        <w:t>.</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i/>
          <w:iCs/>
          <w:sz w:val="20"/>
          <w:szCs w:val="20"/>
        </w:rPr>
        <w:t>Active Members</w:t>
      </w:r>
      <w:r>
        <w:rPr>
          <w:i/>
          <w:iCs/>
          <w:sz w:val="20"/>
          <w:szCs w:val="20"/>
        </w:rPr>
        <w:t>:</w:t>
      </w:r>
      <w:r>
        <w:rPr>
          <w:sz w:val="20"/>
          <w:szCs w:val="20"/>
        </w:rPr>
        <w:t xml:space="preserve"> We consider members “acti</w:t>
      </w:r>
      <w:r>
        <w:rPr>
          <w:sz w:val="20"/>
          <w:szCs w:val="20"/>
        </w:rPr>
        <w:t>ve” (i) in the case of our B2C members, commencing on the date such member initiates contact with a provider on our platform until the term of their monthly, quarterly or bi-annual subscription plan expires, unless terminated early, and (ii) in the case of</w:t>
      </w:r>
      <w:r>
        <w:rPr>
          <w:sz w:val="20"/>
          <w:szCs w:val="20"/>
        </w:rPr>
        <w:t xml:space="preserve"> our B2B members, if such members have engaged on our platform during the preceding 25 days, such as sending a text, video or audio message to, or participating in a video call with, a provider, completing a satisfaction or progress report survey or signin</w:t>
      </w:r>
      <w:r>
        <w:rPr>
          <w:sz w:val="20"/>
          <w:szCs w:val="20"/>
        </w:rPr>
        <w:t>g up for our platform. While a growth in active members typically highlights strong engagement with our members, not all active members are associated with revenue in that particular period</w:t>
      </w:r>
      <w:r>
        <w:rPr>
          <w:sz w:val="20"/>
          <w:szCs w:val="20"/>
        </w:rPr>
        <w:t>.</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b/>
          <w:bCs/>
          <w:sz w:val="20"/>
          <w:szCs w:val="20"/>
        </w:rPr>
        <w:t>Non-GAAP Financial Measure</w:t>
      </w:r>
      <w:r>
        <w:rPr>
          <w:b/>
          <w:bCs/>
          <w:sz w:val="20"/>
          <w:szCs w:val="20"/>
        </w:rPr>
        <w:t>s</w:t>
      </w:r>
      <w:r>
        <w:rPr>
          <w:b/>
          <w:bCs/>
          <w:sz w:val="20"/>
          <w:szCs w:val="20"/>
        </w:rPr>
        <w:t xml:space="preserve"> </w:t>
      </w:r>
    </w:p>
    <w:p w:rsidR="00000000" w:rsidRDefault="0043639B">
      <w:pPr>
        <w:pStyle w:val="a3"/>
        <w:spacing w:before="120" w:beforeAutospacing="0" w:after="0" w:afterAutospacing="0"/>
        <w:jc w:val="both"/>
        <w:rPr>
          <w:sz w:val="20"/>
          <w:szCs w:val="20"/>
        </w:rPr>
      </w:pPr>
      <w:r>
        <w:rPr>
          <w:sz w:val="20"/>
          <w:szCs w:val="20"/>
        </w:rPr>
        <w:t>In addition to our financial resul</w:t>
      </w:r>
      <w:r>
        <w:rPr>
          <w:sz w:val="20"/>
          <w:szCs w:val="20"/>
        </w:rPr>
        <w:t>ts determined in accordance with GAAP, we believe adjusted EBITDA, a non-GAAP measure, is useful in evaluating our operating performance. Adjusted EBITDA is a key performance measure that our management uses to assess our operating performance. Because adj</w:t>
      </w:r>
      <w:r>
        <w:rPr>
          <w:sz w:val="20"/>
          <w:szCs w:val="20"/>
        </w:rPr>
        <w:t>usted EBITDA facilitates internal comparisons of our historical operating performance on a more consistent basis, we use this measure for business planning purposes and in evaluating acquisition opportunities. We also use adjusted EBITDA to evaluate our on</w:t>
      </w:r>
      <w:r>
        <w:rPr>
          <w:sz w:val="20"/>
          <w:szCs w:val="20"/>
        </w:rPr>
        <w:t>going operations and for internal planning and forecasting purposes. We believe that this non-GAAP financial measure, when taken together with the corresponding GAAP financial measures, provides meaningful supplemental information regarding our performance</w:t>
      </w:r>
      <w:r>
        <w:rPr>
          <w:sz w:val="20"/>
          <w:szCs w:val="20"/>
        </w:rPr>
        <w:t xml:space="preserve"> by excluding certain items that may not be indicative of our business, results of operations or outlook. We believe that the use of adjusted EBITDA is helpful to our investors as it is a metric used by management in assessing the health of our business an</w:t>
      </w:r>
      <w:r>
        <w:rPr>
          <w:sz w:val="20"/>
          <w:szCs w:val="20"/>
        </w:rPr>
        <w:t>d our operating performance. However, non-GAAP financial information is presented for supplemental informational purposes only, has limitations as an analytical tool and should not be considered in isolation or as a substitute for financial information pre</w:t>
      </w:r>
      <w:r>
        <w:rPr>
          <w:sz w:val="20"/>
          <w:szCs w:val="20"/>
        </w:rPr>
        <w:t>sented in accordance with GAAP</w:t>
      </w:r>
      <w:r>
        <w:rPr>
          <w:sz w:val="20"/>
          <w:szCs w:val="20"/>
        </w:rPr>
        <w:t>.</w:t>
      </w:r>
      <w:r>
        <w:rPr>
          <w:sz w:val="20"/>
          <w:szCs w:val="20"/>
        </w:rPr>
        <w:t xml:space="preserve"> </w:t>
      </w:r>
    </w:p>
    <w:p w:rsidR="00000000" w:rsidRDefault="0043639B">
      <w:pPr>
        <w:pStyle w:val="a3"/>
        <w:spacing w:before="120" w:beforeAutospacing="0" w:after="0" w:afterAutospacing="0"/>
        <w:jc w:val="both"/>
        <w:rPr>
          <w:sz w:val="20"/>
          <w:szCs w:val="20"/>
        </w:rPr>
      </w:pPr>
      <w:r>
        <w:rPr>
          <w:sz w:val="20"/>
          <w:szCs w:val="20"/>
        </w:rPr>
        <w:t>Some of the limitations of adjusted EBITDA include (i) adjusted EBITDA does not properly reflect capital commitments to be paid in the future and (ii) although depreciation and amortization are non-cash charges, the underlying assets may need to be replace</w:t>
      </w:r>
      <w:r>
        <w:rPr>
          <w:sz w:val="20"/>
          <w:szCs w:val="20"/>
        </w:rPr>
        <w:t>d and adjusted EBITDA does not reflect these capital expenditures. Our adjusted EBITDA may not be comparable to similarly titled measures of other companies because they may not calculate adjusted EBITDA in the same manner as we calculate the measure, limi</w:t>
      </w:r>
      <w:r>
        <w:rPr>
          <w:sz w:val="20"/>
          <w:szCs w:val="20"/>
        </w:rPr>
        <w:t>ting its usefulness as a comparative measure. In addition, some of our competitors may use other measures to evaluate their performance. In evaluating adjusted EBITDA, you should be aware that in the future we will incur expenses similar to the adjustments</w:t>
      </w:r>
      <w:r>
        <w:rPr>
          <w:sz w:val="20"/>
          <w:szCs w:val="20"/>
        </w:rPr>
        <w:t xml:space="preserve"> described herein. Our presentation of adjusted EBITDA should not be construed as an inference that our future results will be unaffected by these expenses or any unusual or non-recurring items. Adjusted EBITDA should not be considered as an alternative to</w:t>
      </w:r>
      <w:r>
        <w:rPr>
          <w:sz w:val="20"/>
          <w:szCs w:val="20"/>
        </w:rPr>
        <w:t xml:space="preserve"> loss before income taxes, net loss, loss per share, or any other performance measures derived in accordance with U.S. GAAP. When evaluating our performance, you should consider adjusted EBITDA alongside other financial performance measures, including our </w:t>
      </w:r>
      <w:r>
        <w:rPr>
          <w:sz w:val="20"/>
          <w:szCs w:val="20"/>
        </w:rPr>
        <w:t>net loss and other GAAP results</w:t>
      </w:r>
      <w:r>
        <w:rPr>
          <w:sz w:val="20"/>
          <w:szCs w:val="20"/>
        </w:rPr>
        <w:t>.</w:t>
      </w:r>
      <w:r>
        <w:rPr>
          <w:sz w:val="20"/>
          <w:szCs w:val="20"/>
        </w:rPr>
        <w:t xml:space="preserve"> </w:t>
      </w:r>
    </w:p>
    <w:p w:rsidR="00000000" w:rsidRDefault="0043639B">
      <w:pPr>
        <w:pStyle w:val="a3"/>
        <w:spacing w:before="0" w:beforeAutospacing="0" w:after="0" w:afterAutospacing="0"/>
        <w:jc w:val="center"/>
        <w:rPr>
          <w:sz w:val="20"/>
          <w:szCs w:val="20"/>
        </w:rPr>
      </w:pPr>
      <w:r>
        <w:rPr>
          <w:sz w:val="20"/>
          <w:szCs w:val="20"/>
        </w:rPr>
        <w:t>1</w:t>
      </w:r>
      <w:r>
        <w:rPr>
          <w:sz w:val="20"/>
          <w:szCs w:val="20"/>
        </w:rPr>
        <w:t>8</w:t>
      </w:r>
    </w:p>
    <w:p w:rsidR="00000000" w:rsidRDefault="0043639B">
      <w:pPr>
        <w:rPr>
          <w:rFonts w:eastAsia="Times New Roman"/>
        </w:rPr>
      </w:pPr>
      <w:r>
        <w:rPr>
          <w:rFonts w:eastAsia="Times New Roman"/>
        </w:rPr>
        <w:pict>
          <v:rect id="_x0000_i1042"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240" w:beforeAutospacing="0" w:after="0" w:afterAutospacing="0"/>
        <w:jc w:val="both"/>
        <w:rPr>
          <w:sz w:val="20"/>
          <w:szCs w:val="20"/>
        </w:rPr>
      </w:pPr>
      <w:r>
        <w:rPr>
          <w:sz w:val="20"/>
          <w:szCs w:val="20"/>
        </w:rPr>
        <w:t>A reconciliation is provided below for adjusted EBITDA to net (loss) income, the most directly comparable financial measure stated in</w:t>
      </w:r>
      <w:r>
        <w:rPr>
          <w:sz w:val="20"/>
          <w:szCs w:val="20"/>
        </w:rPr>
        <w:t xml:space="preserve"> accordance with GAAP. Investors are encouraged to review our GAAP financial measure and the reconciliation of our non-GAAP financial measure to its most directly comparable GAAP financial measure, and not to rely on any single financial measure to evaluat</w:t>
      </w:r>
      <w:r>
        <w:rPr>
          <w:sz w:val="20"/>
          <w:szCs w:val="20"/>
        </w:rPr>
        <w:t>e our business</w:t>
      </w:r>
      <w:r>
        <w:rPr>
          <w:sz w:val="20"/>
          <w:szCs w:val="20"/>
        </w:rPr>
        <w:t>.</w:t>
      </w:r>
    </w:p>
    <w:p w:rsidR="00000000" w:rsidRDefault="0043639B">
      <w:pPr>
        <w:pStyle w:val="a3"/>
        <w:spacing w:before="240" w:beforeAutospacing="0" w:after="0" w:afterAutospacing="0"/>
        <w:jc w:val="both"/>
        <w:rPr>
          <w:sz w:val="20"/>
          <w:szCs w:val="20"/>
        </w:rPr>
      </w:pPr>
      <w:r>
        <w:rPr>
          <w:sz w:val="20"/>
          <w:szCs w:val="20"/>
        </w:rPr>
        <w:t>We calculate adjusted EBITDA as net (loss) income adjusted to exclude (i) interest and other expenses (income), net, (ii) tax benefit and expense, (iii) depreciation and amortization, (iv) stock-based compensation expense and (v) certain no</w:t>
      </w:r>
      <w:r>
        <w:rPr>
          <w:sz w:val="20"/>
          <w:szCs w:val="20"/>
        </w:rPr>
        <w:t>n-recurring expenses, where applicable</w:t>
      </w:r>
      <w:r>
        <w:rPr>
          <w:sz w:val="20"/>
          <w:szCs w:val="20"/>
        </w:rPr>
        <w:t>.</w:t>
      </w:r>
    </w:p>
    <w:p w:rsidR="00000000" w:rsidRDefault="0043639B">
      <w:pPr>
        <w:pStyle w:val="a3"/>
        <w:spacing w:before="240" w:beforeAutospacing="0" w:after="0" w:afterAutospacing="0"/>
        <w:jc w:val="both"/>
        <w:rPr>
          <w:sz w:val="20"/>
          <w:szCs w:val="20"/>
        </w:rPr>
      </w:pPr>
      <w:r>
        <w:rPr>
          <w:sz w:val="20"/>
          <w:szCs w:val="20"/>
        </w:rPr>
        <w:t>The following table presents a reconciliation of adjusted EBITDA from the most comparable GAAP measure, net (loss) income for the three and nine months ended September 30, 2022 and 2021</w:t>
      </w:r>
      <w:r>
        <w:rPr>
          <w:sz w:val="20"/>
          <w:szCs w:val="20"/>
        </w:rPr>
        <w:t>:</w:t>
      </w:r>
      <w:r>
        <w:rPr>
          <w:sz w:val="20"/>
          <w:szCs w:val="20"/>
        </w:rPr>
        <w:t xml:space="preserve"> </w:t>
      </w:r>
    </w:p>
    <w:p w:rsidR="00000000" w:rsidRDefault="0043639B">
      <w:pPr>
        <w:pStyle w:val="a3"/>
        <w:spacing w:before="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34"/>
        <w:gridCol w:w="110"/>
        <w:gridCol w:w="160"/>
        <w:gridCol w:w="708"/>
        <w:gridCol w:w="127"/>
        <w:gridCol w:w="110"/>
        <w:gridCol w:w="160"/>
        <w:gridCol w:w="726"/>
        <w:gridCol w:w="127"/>
        <w:gridCol w:w="110"/>
        <w:gridCol w:w="160"/>
        <w:gridCol w:w="709"/>
        <w:gridCol w:w="127"/>
        <w:gridCol w:w="110"/>
        <w:gridCol w:w="160"/>
        <w:gridCol w:w="726"/>
        <w:gridCol w:w="142"/>
      </w:tblGrid>
      <w:tr w:rsidR="00000000">
        <w:trPr>
          <w:tblCellSpacing w:w="15" w:type="dxa"/>
        </w:trPr>
        <w:tc>
          <w:tcPr>
            <w:tcW w:w="2458" w:type="pct"/>
            <w:vAlign w:val="center"/>
            <w:hideMark/>
          </w:tcPr>
          <w:p w:rsidR="00000000" w:rsidRDefault="0043639B">
            <w:pPr>
              <w:rPr>
                <w:sz w:val="20"/>
                <w:szCs w:val="20"/>
              </w:rPr>
            </w:pPr>
          </w:p>
        </w:tc>
        <w:tc>
          <w:tcPr>
            <w:tcW w:w="6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67"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78"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67"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6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78"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b/>
                <w:bCs/>
                <w:sz w:val="16"/>
                <w:szCs w:val="16"/>
              </w:rPr>
              <w:t>Unaudite</w:t>
            </w:r>
            <w:r>
              <w:rPr>
                <w:b/>
                <w:bCs/>
                <w:sz w:val="16"/>
                <w:szCs w:val="16"/>
              </w:rPr>
              <w:t>d</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Three Months Ended</w:t>
            </w:r>
            <w:r>
              <w:rPr>
                <w:b/>
                <w:bCs/>
                <w:sz w:val="16"/>
                <w:szCs w:val="16"/>
              </w:rPr>
              <w:br/>
              <w:t>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Nine Months Ended</w:t>
            </w:r>
            <w:r>
              <w:rPr>
                <w:b/>
                <w:bCs/>
                <w:sz w:val="16"/>
                <w:szCs w:val="16"/>
              </w:rPr>
              <w:br/>
              <w:t>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Net (loss) incom</w:t>
            </w:r>
            <w:r>
              <w:rPr>
                <w:sz w:val="20"/>
                <w:szCs w:val="20"/>
              </w:rPr>
              <w:t>e</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(17,98</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1,50</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(61,36</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(41,67</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Add</w:t>
            </w: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vAlign w:val="bottom"/>
            <w:hideMark/>
          </w:tcPr>
          <w:p w:rsidR="00000000" w:rsidRDefault="0043639B">
            <w:pPr>
              <w:pStyle w:val="a3"/>
              <w:spacing w:before="0" w:beforeAutospacing="0" w:after="0" w:afterAutospacing="0"/>
              <w:jc w:val="right"/>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Depreciation and amortizatio</w:t>
            </w:r>
            <w:r>
              <w:rPr>
                <w:sz w:val="20"/>
                <w:szCs w:val="20"/>
              </w:rPr>
              <w:t>n</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30</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50</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1,00</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1,45</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Financial (income), net</w:t>
            </w:r>
            <w:r>
              <w:rPr>
                <w:sz w:val="20"/>
                <w:szCs w:val="20"/>
              </w:rPr>
              <w:t xml:space="preserve"> </w:t>
            </w:r>
            <w:r>
              <w:rPr>
                <w:sz w:val="13"/>
                <w:szCs w:val="13"/>
              </w:rPr>
              <w:t>(1</w:t>
            </w:r>
            <w:r>
              <w:rPr>
                <w:sz w:val="13"/>
                <w:szCs w:val="13"/>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(1,88</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(26,74</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(88</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(23,70</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Taxes on incom</w:t>
            </w:r>
            <w:r>
              <w:rPr>
                <w:sz w:val="20"/>
                <w:szCs w:val="20"/>
              </w:rPr>
              <w:t>e</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w:t>
            </w:r>
            <w:r>
              <w:rPr>
                <w:sz w:val="20"/>
                <w:szCs w:val="20"/>
              </w:rPr>
              <w:t>1</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12</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Stock-based compensatio</w:t>
            </w:r>
            <w:r>
              <w:rPr>
                <w:sz w:val="20"/>
                <w:szCs w:val="20"/>
              </w:rPr>
              <w:t>n</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3,17</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3,87</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9,38</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20,58</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Non-recurring expenses</w:t>
            </w:r>
            <w:r>
              <w:rPr>
                <w:sz w:val="20"/>
                <w:szCs w:val="20"/>
              </w:rPr>
              <w:t xml:space="preserve"> </w:t>
            </w:r>
            <w:r>
              <w:rPr>
                <w:sz w:val="13"/>
                <w:szCs w:val="13"/>
              </w:rPr>
              <w:t>(2</w:t>
            </w:r>
            <w:r>
              <w:rPr>
                <w:sz w:val="13"/>
                <w:szCs w:val="13"/>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90</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90</w:t>
            </w:r>
            <w:r>
              <w:rPr>
                <w:sz w:val="20"/>
                <w:szCs w:val="20"/>
              </w:rPr>
              <w:t>0</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Adjusted EBITD</w:t>
            </w:r>
            <w:r>
              <w:rPr>
                <w:sz w:val="20"/>
                <w:szCs w:val="20"/>
              </w:rPr>
              <w:t>A</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(15,46</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(20,84</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(50,83</w:t>
            </w:r>
            <w:r>
              <w:rPr>
                <w:sz w:val="20"/>
                <w:szCs w:val="20"/>
              </w:rPr>
              <w:t>5</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(43,30</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bl>
    <w:p w:rsidR="00000000" w:rsidRDefault="0043639B">
      <w:pPr>
        <w:pStyle w:val="a3"/>
        <w:spacing w:before="60" w:beforeAutospacing="0" w:after="0" w:afterAutospacing="0"/>
        <w:jc w:val="both"/>
        <w:rPr>
          <w:sz w:val="20"/>
          <w:szCs w:val="20"/>
        </w:rPr>
      </w:pPr>
      <w:r>
        <w:rPr>
          <w:sz w:val="17"/>
          <w:szCs w:val="17"/>
        </w:rPr>
        <w:t xml:space="preserve">(1) For the three and nine months ended September 30, 2022, financial income, net, primarily consisted of $1.6 million and $0.4 million, respectively, in gains resulting from the revaluation of warrant liabilities. For the three months ended September 30, </w:t>
      </w:r>
      <w:r>
        <w:rPr>
          <w:sz w:val="17"/>
          <w:szCs w:val="17"/>
        </w:rPr>
        <w:t>2021, financial income, net primarily consisted of $26.9 million in gains resulting from the revaluation of warrant liabilities. For the nine months ended September 30, 2021, financial income, net primarily consisted of $28.3 million in gains resulting fro</w:t>
      </w:r>
      <w:r>
        <w:rPr>
          <w:sz w:val="17"/>
          <w:szCs w:val="17"/>
        </w:rPr>
        <w:t>m the revaluation of warrant liabilities, partially offset by $4.2 million in warrant issuance costs in connection with the Closing of the Business Combination</w:t>
      </w:r>
      <w:r>
        <w:rPr>
          <w:sz w:val="17"/>
          <w:szCs w:val="17"/>
        </w:rPr>
        <w:t>.</w:t>
      </w:r>
      <w:r>
        <w:rPr>
          <w:sz w:val="17"/>
          <w:szCs w:val="17"/>
        </w:rPr>
        <w:t xml:space="preserve"> </w:t>
      </w:r>
    </w:p>
    <w:p w:rsidR="00000000" w:rsidRDefault="0043639B">
      <w:pPr>
        <w:pStyle w:val="a3"/>
        <w:spacing w:before="60" w:beforeAutospacing="0" w:after="0" w:afterAutospacing="0"/>
        <w:jc w:val="both"/>
        <w:rPr>
          <w:sz w:val="20"/>
          <w:szCs w:val="20"/>
        </w:rPr>
      </w:pPr>
      <w:r>
        <w:rPr>
          <w:sz w:val="17"/>
          <w:szCs w:val="17"/>
        </w:rPr>
        <w:t>(2) For the three and nine months ended September 30, 2022, non-recurring expenses consisted o</w:t>
      </w:r>
      <w:r>
        <w:rPr>
          <w:sz w:val="17"/>
          <w:szCs w:val="17"/>
        </w:rPr>
        <w:t>f $0.6 million in legal fees and $0.3 million in general and administrative expenses</w:t>
      </w:r>
      <w:r>
        <w:rPr>
          <w:sz w:val="17"/>
          <w:szCs w:val="17"/>
        </w:rPr>
        <w:t>.</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60" w:beforeAutospacing="0" w:after="0" w:afterAutospacing="0"/>
        <w:jc w:val="both"/>
        <w:rPr>
          <w:sz w:val="20"/>
          <w:szCs w:val="20"/>
        </w:rPr>
      </w:pPr>
      <w:r>
        <w:rPr>
          <w:b/>
          <w:bCs/>
          <w:sz w:val="20"/>
          <w:szCs w:val="20"/>
        </w:rPr>
        <w:t>Components of Results of Operation</w:t>
      </w:r>
      <w:r>
        <w:rPr>
          <w:b/>
          <w:bCs/>
          <w:sz w:val="20"/>
          <w:szCs w:val="20"/>
        </w:rPr>
        <w:t>s</w:t>
      </w:r>
      <w:r>
        <w:rPr>
          <w:b/>
          <w:bCs/>
          <w:sz w:val="20"/>
          <w:szCs w:val="20"/>
        </w:rPr>
        <w:t xml:space="preserve"> </w:t>
      </w:r>
    </w:p>
    <w:p w:rsidR="00000000" w:rsidRDefault="0043639B">
      <w:pPr>
        <w:pStyle w:val="a3"/>
        <w:spacing w:before="120" w:beforeAutospacing="0" w:after="0" w:afterAutospacing="0"/>
        <w:jc w:val="both"/>
        <w:rPr>
          <w:sz w:val="20"/>
          <w:szCs w:val="20"/>
        </w:rPr>
      </w:pPr>
      <w:r>
        <w:rPr>
          <w:b/>
          <w:bCs/>
          <w:i/>
          <w:iCs/>
          <w:sz w:val="20"/>
          <w:szCs w:val="20"/>
        </w:rPr>
        <w:t>Revenue</w:t>
      </w:r>
      <w:r>
        <w:rPr>
          <w:b/>
          <w:bCs/>
          <w:i/>
          <w:iCs/>
          <w:sz w:val="20"/>
          <w:szCs w:val="20"/>
        </w:rPr>
        <w:t>s</w:t>
      </w:r>
      <w:r>
        <w:rPr>
          <w:b/>
          <w:bCs/>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We contract with health plans and other enterprises to provide services to individuals who are qualified to receive acces</w:t>
      </w:r>
      <w:r>
        <w:rPr>
          <w:sz w:val="20"/>
          <w:szCs w:val="20"/>
        </w:rPr>
        <w:t>s to the Company’s services through the Company’s commercial arrangements. We generate revenues from payments from members and claims paid by their respective insurance companies and annually contracted platform access fees paid to us by our enterprise cli</w:t>
      </w:r>
      <w:r>
        <w:rPr>
          <w:sz w:val="20"/>
          <w:szCs w:val="20"/>
        </w:rPr>
        <w:t>ents for the delivery of therapy services to their members or employees. We recognize revenues from services provided to insured members at a point in time, as virtual therapy session is rendered. We recognize contracted revenue from our enterprise clients</w:t>
      </w:r>
      <w:r>
        <w:rPr>
          <w:sz w:val="20"/>
          <w:szCs w:val="20"/>
        </w:rPr>
        <w:t xml:space="preserve"> from the commencement of their contracted term through the annual period based primarily on a per-member-per month model. Revenue is recognized in an amount that reflects the consideration that is expected in exchange for the service provided. Contracts w</w:t>
      </w:r>
      <w:r>
        <w:rPr>
          <w:sz w:val="20"/>
          <w:szCs w:val="20"/>
        </w:rPr>
        <w:t>ith our enterprise clients are for one or more years with the ability to provide 60 days advance notice prior to termination at each year mark during the term. On occasion and depending on the client, we allow a 60 or 90 day intra-year termination notice b</w:t>
      </w:r>
      <w:r>
        <w:rPr>
          <w:sz w:val="20"/>
          <w:szCs w:val="20"/>
        </w:rPr>
        <w:t>ut only after the client has completed the first year of service</w:t>
      </w:r>
      <w:r>
        <w:rPr>
          <w:sz w:val="20"/>
          <w:szCs w:val="20"/>
        </w:rPr>
        <w:t>.</w:t>
      </w:r>
      <w:r>
        <w:rPr>
          <w:sz w:val="20"/>
          <w:szCs w:val="20"/>
        </w:rPr>
        <w:t xml:space="preserve"> </w:t>
      </w:r>
    </w:p>
    <w:p w:rsidR="00000000" w:rsidRDefault="0043639B">
      <w:pPr>
        <w:pStyle w:val="a3"/>
        <w:spacing w:before="12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sz w:val="20"/>
          <w:szCs w:val="20"/>
        </w:rPr>
        <w:t>We also generates revenues from the sale of monthly, quarterly, bi-annual and annual membership subscriptions to our therapy platform as well as supplementary a la carte offerings. We pro</w:t>
      </w:r>
      <w:r>
        <w:rPr>
          <w:sz w:val="20"/>
          <w:szCs w:val="20"/>
        </w:rPr>
        <w:t>vide these services directly to individuals through a subscription plan. We recognize B2C member subscription revenues ratably over the subscription period, beginning when therapy services commence. B2C members may cancel at any time and will receive a pro</w:t>
      </w:r>
      <w:r>
        <w:rPr>
          <w:sz w:val="20"/>
          <w:szCs w:val="20"/>
        </w:rPr>
        <w:t>-rata refund for the subscription price</w:t>
      </w:r>
      <w:r>
        <w:rPr>
          <w:sz w:val="20"/>
          <w:szCs w:val="20"/>
        </w:rPr>
        <w:t>.</w:t>
      </w:r>
    </w:p>
    <w:p w:rsidR="00000000" w:rsidRDefault="0043639B">
      <w:pPr>
        <w:pStyle w:val="a3"/>
        <w:spacing w:before="240" w:beforeAutospacing="0" w:after="0" w:afterAutospacing="0"/>
        <w:jc w:val="both"/>
        <w:rPr>
          <w:sz w:val="20"/>
          <w:szCs w:val="20"/>
        </w:rPr>
      </w:pPr>
      <w:r>
        <w:rPr>
          <w:sz w:val="20"/>
          <w:szCs w:val="20"/>
        </w:rPr>
        <w:t>Revenue growth is generated from increasing our eligible covered lives through contracting with enterprise clients and health plans, and increasing membership subscriptions</w:t>
      </w:r>
      <w:r>
        <w:rPr>
          <w:sz w:val="20"/>
          <w:szCs w:val="20"/>
        </w:rPr>
        <w:t>.</w:t>
      </w:r>
    </w:p>
    <w:p w:rsidR="00000000" w:rsidRDefault="0043639B">
      <w:pPr>
        <w:pStyle w:val="a3"/>
        <w:spacing w:before="0" w:beforeAutospacing="0" w:after="0" w:afterAutospacing="0"/>
        <w:jc w:val="center"/>
        <w:rPr>
          <w:sz w:val="20"/>
          <w:szCs w:val="20"/>
        </w:rPr>
      </w:pPr>
      <w:r>
        <w:rPr>
          <w:sz w:val="20"/>
          <w:szCs w:val="20"/>
        </w:rPr>
        <w:t>1</w:t>
      </w:r>
      <w:r>
        <w:rPr>
          <w:sz w:val="20"/>
          <w:szCs w:val="20"/>
        </w:rPr>
        <w:t>9</w:t>
      </w:r>
    </w:p>
    <w:p w:rsidR="00000000" w:rsidRDefault="0043639B">
      <w:pPr>
        <w:rPr>
          <w:rFonts w:eastAsia="Times New Roman"/>
        </w:rPr>
      </w:pPr>
      <w:r>
        <w:rPr>
          <w:rFonts w:eastAsia="Times New Roman"/>
        </w:rPr>
        <w:pict>
          <v:rect id="_x0000_i1043"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240" w:beforeAutospacing="0" w:after="0" w:afterAutospacing="0"/>
        <w:jc w:val="both"/>
        <w:rPr>
          <w:sz w:val="20"/>
          <w:szCs w:val="20"/>
        </w:rPr>
      </w:pPr>
      <w:r>
        <w:rPr>
          <w:b/>
          <w:bCs/>
          <w:i/>
          <w:iCs/>
          <w:sz w:val="20"/>
          <w:szCs w:val="20"/>
        </w:rPr>
        <w:t>Cost of Revenue</w:t>
      </w:r>
      <w:r>
        <w:rPr>
          <w:b/>
          <w:bCs/>
          <w:i/>
          <w:iCs/>
          <w:sz w:val="20"/>
          <w:szCs w:val="20"/>
        </w:rPr>
        <w:t>s</w:t>
      </w:r>
      <w:r>
        <w:rPr>
          <w:b/>
          <w:bCs/>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Cost of revenues is comprised of therapist payments and hosting costs. Cost of revenues is largely driven by the size of our provider network that is required to service the growth of our health plan and enterprise clients, in addition to the growth of our</w:t>
      </w:r>
      <w:r>
        <w:rPr>
          <w:sz w:val="20"/>
          <w:szCs w:val="20"/>
        </w:rPr>
        <w:t xml:space="preserve"> customer base</w:t>
      </w:r>
      <w:r>
        <w:rPr>
          <w:sz w:val="20"/>
          <w:szCs w:val="20"/>
        </w:rPr>
        <w:t>.</w:t>
      </w:r>
    </w:p>
    <w:p w:rsidR="00000000" w:rsidRDefault="0043639B">
      <w:pPr>
        <w:pStyle w:val="a3"/>
        <w:spacing w:before="240" w:beforeAutospacing="0" w:after="0" w:afterAutospacing="0"/>
        <w:jc w:val="both"/>
        <w:rPr>
          <w:sz w:val="20"/>
          <w:szCs w:val="20"/>
        </w:rPr>
      </w:pPr>
      <w:r>
        <w:rPr>
          <w:sz w:val="20"/>
          <w:szCs w:val="20"/>
        </w:rPr>
        <w:t>We designed our business model and our provider network to be scalable and to leverage a hybrid model of both employee providers and independently contracted providers to support multiple growth scenarios. The compensation paid to our indep</w:t>
      </w:r>
      <w:r>
        <w:rPr>
          <w:sz w:val="20"/>
          <w:szCs w:val="20"/>
        </w:rPr>
        <w:t>endently contracted providers is variable, and the amount paid to a provider is generally based on the amount of time committed by such provider to our members. In addition, our network supervisors have broad authority to approve the payment of incentive b</w:t>
      </w:r>
      <w:r>
        <w:rPr>
          <w:sz w:val="20"/>
          <w:szCs w:val="20"/>
        </w:rPr>
        <w:t>onuses to providers with certain licenses during periods of higher demand for providers with such licenses. For our employee providers, they receive a fixed-salary and discretionary bonuses, where applicable</w:t>
      </w:r>
      <w:r>
        <w:rPr>
          <w:sz w:val="20"/>
          <w:szCs w:val="20"/>
        </w:rPr>
        <w:t>.</w:t>
      </w:r>
      <w:r>
        <w:rPr>
          <w:sz w:val="20"/>
          <w:szCs w:val="20"/>
        </w:rPr>
        <w:t xml:space="preserve"> </w:t>
      </w:r>
    </w:p>
    <w:p w:rsidR="00000000" w:rsidRDefault="0043639B">
      <w:pPr>
        <w:pStyle w:val="a3"/>
        <w:spacing w:before="240" w:beforeAutospacing="0" w:after="0" w:afterAutospacing="0"/>
        <w:jc w:val="both"/>
        <w:rPr>
          <w:sz w:val="20"/>
          <w:szCs w:val="20"/>
        </w:rPr>
      </w:pPr>
      <w:r>
        <w:rPr>
          <w:sz w:val="20"/>
          <w:szCs w:val="20"/>
        </w:rPr>
        <w:t xml:space="preserve">While we expect to make increased investments </w:t>
      </w:r>
      <w:r>
        <w:rPr>
          <w:sz w:val="20"/>
          <w:szCs w:val="20"/>
        </w:rPr>
        <w:t>to support accelerated growth and the required investment to scale our provider network, we also expect increased efficiencies and economies of scale. Our cost of revenues as a percentage of revenues is expected to fluctuate from period to period depending</w:t>
      </w:r>
      <w:r>
        <w:rPr>
          <w:sz w:val="20"/>
          <w:szCs w:val="20"/>
        </w:rPr>
        <w:t xml:space="preserve"> on the interplay of these factors</w:t>
      </w:r>
      <w:r>
        <w:rPr>
          <w:sz w:val="20"/>
          <w:szCs w:val="20"/>
        </w:rPr>
        <w:t>.</w:t>
      </w:r>
      <w:r>
        <w:rPr>
          <w:sz w:val="20"/>
          <w:szCs w:val="20"/>
        </w:rPr>
        <w:t xml:space="preserve"> </w:t>
      </w:r>
    </w:p>
    <w:p w:rsidR="00000000" w:rsidRDefault="0043639B">
      <w:pPr>
        <w:pStyle w:val="a3"/>
        <w:spacing w:before="240" w:beforeAutospacing="0" w:after="0" w:afterAutospacing="0"/>
        <w:jc w:val="both"/>
        <w:rPr>
          <w:sz w:val="20"/>
          <w:szCs w:val="20"/>
        </w:rPr>
      </w:pPr>
      <w:r>
        <w:rPr>
          <w:b/>
          <w:bCs/>
          <w:i/>
          <w:iCs/>
          <w:sz w:val="20"/>
          <w:szCs w:val="20"/>
        </w:rPr>
        <w:t>Operating Expense</w:t>
      </w:r>
      <w:r>
        <w:rPr>
          <w:b/>
          <w:bCs/>
          <w:i/>
          <w:iCs/>
          <w:sz w:val="20"/>
          <w:szCs w:val="20"/>
        </w:rPr>
        <w:t>s</w:t>
      </w:r>
      <w:r>
        <w:rPr>
          <w:b/>
          <w:bCs/>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Operating expenses consist of research and development, clinical operations, sales and marketing, and general and administrative expenses</w:t>
      </w:r>
      <w:r>
        <w:rPr>
          <w:sz w:val="20"/>
          <w:szCs w:val="20"/>
        </w:rPr>
        <w:t>.</w:t>
      </w:r>
      <w:r>
        <w:rPr>
          <w:sz w:val="20"/>
          <w:szCs w:val="20"/>
        </w:rPr>
        <w:t xml:space="preserve"> </w:t>
      </w:r>
    </w:p>
    <w:p w:rsidR="00000000" w:rsidRDefault="0043639B">
      <w:pPr>
        <w:pStyle w:val="a3"/>
        <w:spacing w:before="240" w:beforeAutospacing="0" w:after="0" w:afterAutospacing="0"/>
        <w:jc w:val="both"/>
        <w:rPr>
          <w:sz w:val="20"/>
          <w:szCs w:val="20"/>
        </w:rPr>
      </w:pPr>
      <w:r>
        <w:rPr>
          <w:i/>
          <w:iCs/>
          <w:sz w:val="20"/>
          <w:szCs w:val="20"/>
        </w:rPr>
        <w:t>Research and Development Expense</w:t>
      </w:r>
      <w:r>
        <w:rPr>
          <w:i/>
          <w:iCs/>
          <w:sz w:val="20"/>
          <w:szCs w:val="20"/>
        </w:rPr>
        <w:t>s</w:t>
      </w:r>
      <w:r>
        <w:rPr>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Research and development</w:t>
      </w:r>
      <w:r>
        <w:rPr>
          <w:sz w:val="20"/>
          <w:szCs w:val="20"/>
        </w:rPr>
        <w:t xml:space="preserve"> expenses include personnel and related expenses for software development and engineering, information technology infrastructure, security and privacy compliance and product development (inclusive of stock-based compensation for our research and developmen</w:t>
      </w:r>
      <w:r>
        <w:rPr>
          <w:sz w:val="20"/>
          <w:szCs w:val="20"/>
        </w:rPr>
        <w:t>t employees), third-party services and contractors related to research and development, information technology, software-related costs, and cost savings related to the application of research grant proceeds</w:t>
      </w:r>
      <w:r>
        <w:rPr>
          <w:sz w:val="20"/>
          <w:szCs w:val="20"/>
        </w:rPr>
        <w:t>.</w:t>
      </w:r>
      <w:r>
        <w:rPr>
          <w:sz w:val="20"/>
          <w:szCs w:val="20"/>
        </w:rPr>
        <w:t xml:space="preserve"> </w:t>
      </w:r>
    </w:p>
    <w:p w:rsidR="00000000" w:rsidRDefault="0043639B">
      <w:pPr>
        <w:pStyle w:val="a3"/>
        <w:spacing w:before="240" w:beforeAutospacing="0" w:after="0" w:afterAutospacing="0"/>
        <w:jc w:val="both"/>
        <w:rPr>
          <w:sz w:val="20"/>
          <w:szCs w:val="20"/>
        </w:rPr>
      </w:pPr>
      <w:r>
        <w:rPr>
          <w:i/>
          <w:iCs/>
          <w:sz w:val="20"/>
          <w:szCs w:val="20"/>
        </w:rPr>
        <w:t>Clinical Operations Expense</w:t>
      </w:r>
      <w:r>
        <w:rPr>
          <w:i/>
          <w:iCs/>
          <w:sz w:val="20"/>
          <w:szCs w:val="20"/>
        </w:rPr>
        <w:t>s</w:t>
      </w:r>
      <w:r>
        <w:rPr>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Clinical operatio</w:t>
      </w:r>
      <w:r>
        <w:rPr>
          <w:sz w:val="20"/>
          <w:szCs w:val="20"/>
        </w:rPr>
        <w:t>ns expenses are associated with the management of our provider network of therapists. Such costs are comprised of costs related to recruiting, onboarding, credentialing, training and ongoing quality assurance activities (inclusive of stock-based compensati</w:t>
      </w:r>
      <w:r>
        <w:rPr>
          <w:sz w:val="20"/>
          <w:szCs w:val="20"/>
        </w:rPr>
        <w:t>on for our clinical operations employees), costs of third-party services and contractors related to recruiting and training and software-related costs</w:t>
      </w:r>
      <w:r>
        <w:rPr>
          <w:sz w:val="20"/>
          <w:szCs w:val="20"/>
        </w:rPr>
        <w:t>.</w:t>
      </w:r>
      <w:r>
        <w:rPr>
          <w:sz w:val="20"/>
          <w:szCs w:val="20"/>
        </w:rPr>
        <w:t xml:space="preserve"> </w:t>
      </w:r>
    </w:p>
    <w:p w:rsidR="00000000" w:rsidRDefault="0043639B">
      <w:pPr>
        <w:pStyle w:val="a3"/>
        <w:spacing w:before="240" w:beforeAutospacing="0" w:after="0" w:afterAutospacing="0"/>
        <w:jc w:val="both"/>
        <w:rPr>
          <w:sz w:val="20"/>
          <w:szCs w:val="20"/>
        </w:rPr>
      </w:pPr>
      <w:r>
        <w:rPr>
          <w:i/>
          <w:iCs/>
          <w:sz w:val="20"/>
          <w:szCs w:val="20"/>
        </w:rPr>
        <w:t>Sales and Marketing Expense</w:t>
      </w:r>
      <w:r>
        <w:rPr>
          <w:i/>
          <w:iCs/>
          <w:sz w:val="20"/>
          <w:szCs w:val="20"/>
        </w:rPr>
        <w:t>s</w:t>
      </w:r>
      <w:r>
        <w:rPr>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 xml:space="preserve">Sales expenses consist primarily of employee-related expenses, including </w:t>
      </w:r>
      <w:r>
        <w:rPr>
          <w:sz w:val="20"/>
          <w:szCs w:val="20"/>
        </w:rPr>
        <w:t>salaries, benefits, commissions, travel and stock-based compensation costs for our employees engaged in sales and account management</w:t>
      </w:r>
      <w:r>
        <w:rPr>
          <w:sz w:val="20"/>
          <w:szCs w:val="20"/>
        </w:rPr>
        <w:t>.</w:t>
      </w:r>
      <w:r>
        <w:rPr>
          <w:i/>
          <w:iCs/>
          <w:sz w:val="20"/>
          <w:szCs w:val="20"/>
        </w:rPr>
        <w:t xml:space="preserve"> </w:t>
      </w:r>
      <w:r>
        <w:rPr>
          <w:sz w:val="20"/>
          <w:szCs w:val="20"/>
        </w:rPr>
        <w:t>We expect our sales expenses to increase as we continue to invest in the expansion of our health plan and enterprise busin</w:t>
      </w:r>
      <w:r>
        <w:rPr>
          <w:sz w:val="20"/>
          <w:szCs w:val="20"/>
        </w:rPr>
        <w:t>ess</w:t>
      </w:r>
      <w:r>
        <w:rPr>
          <w:sz w:val="20"/>
          <w:szCs w:val="20"/>
        </w:rPr>
        <w:t>.</w:t>
      </w:r>
    </w:p>
    <w:p w:rsidR="00000000" w:rsidRDefault="0043639B">
      <w:pPr>
        <w:pStyle w:val="a3"/>
        <w:spacing w:before="240" w:beforeAutospacing="0" w:after="0" w:afterAutospacing="0"/>
        <w:jc w:val="both"/>
        <w:rPr>
          <w:sz w:val="20"/>
          <w:szCs w:val="20"/>
        </w:rPr>
      </w:pPr>
      <w:r>
        <w:rPr>
          <w:sz w:val="20"/>
          <w:szCs w:val="20"/>
        </w:rPr>
        <w:t>Marketing expenses consist primarily of advertising and marketing expenses for consumer acquisition and engagement, as well as personnel costs, including salaries, benefits, bonuses, stock-based compensation expense for marketing employees, third-part</w:t>
      </w:r>
      <w:r>
        <w:rPr>
          <w:sz w:val="20"/>
          <w:szCs w:val="20"/>
        </w:rPr>
        <w:t xml:space="preserve">y services and contractors. Marketing expenses also include third-party software subscription services, third-party independent research, participation in trade shows, brand messaging and costs of communications materials that are produced for our clients </w:t>
      </w:r>
      <w:r>
        <w:rPr>
          <w:sz w:val="20"/>
          <w:szCs w:val="20"/>
        </w:rPr>
        <w:t>to generate greater awareness and utilization of our platform among our health plan and enterprise clients</w:t>
      </w:r>
      <w:r>
        <w:rPr>
          <w:sz w:val="20"/>
          <w:szCs w:val="20"/>
        </w:rPr>
        <w:t>.</w:t>
      </w:r>
      <w:r>
        <w:rPr>
          <w:sz w:val="20"/>
          <w:szCs w:val="20"/>
        </w:rPr>
        <w:t xml:space="preserve"> </w:t>
      </w:r>
    </w:p>
    <w:p w:rsidR="00000000" w:rsidRDefault="0043639B">
      <w:pPr>
        <w:pStyle w:val="a3"/>
        <w:spacing w:before="240" w:beforeAutospacing="0" w:after="0" w:afterAutospacing="0"/>
        <w:jc w:val="both"/>
        <w:rPr>
          <w:sz w:val="20"/>
          <w:szCs w:val="20"/>
        </w:rPr>
      </w:pPr>
      <w:r>
        <w:rPr>
          <w:i/>
          <w:iCs/>
          <w:sz w:val="20"/>
          <w:szCs w:val="20"/>
        </w:rPr>
        <w:t>General and Administrative Expense</w:t>
      </w:r>
      <w:r>
        <w:rPr>
          <w:i/>
          <w:iCs/>
          <w:sz w:val="20"/>
          <w:szCs w:val="20"/>
        </w:rPr>
        <w:t>s</w:t>
      </w:r>
      <w:r>
        <w:rPr>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General and administrative expenses consist primarily of personnel costs, including salaries, benefits, bonuse</w:t>
      </w:r>
      <w:r>
        <w:rPr>
          <w:sz w:val="20"/>
          <w:szCs w:val="20"/>
        </w:rPr>
        <w:t>s and stock-based compensation expense for our executive, finance, accounting, legal and human resources functions, as well as professional fees, occupancy costs, and other general overhead costs. We expect to incur additional general and administrative ex</w:t>
      </w:r>
      <w:r>
        <w:rPr>
          <w:sz w:val="20"/>
          <w:szCs w:val="20"/>
        </w:rPr>
        <w:t>penses in compliance, legal, investor relations, director’s and officer’s insurance, and professional services related to our compliance and reporting obligations as a public company, however we expect further incremental increases to be minimal</w:t>
      </w:r>
      <w:r>
        <w:rPr>
          <w:sz w:val="20"/>
          <w:szCs w:val="20"/>
        </w:rPr>
        <w:t>.</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2</w:t>
      </w:r>
      <w:r>
        <w:rPr>
          <w:sz w:val="20"/>
          <w:szCs w:val="20"/>
        </w:rPr>
        <w:t>0</w:t>
      </w:r>
    </w:p>
    <w:p w:rsidR="00000000" w:rsidRDefault="0043639B">
      <w:pPr>
        <w:rPr>
          <w:rFonts w:eastAsia="Times New Roman"/>
        </w:rPr>
      </w:pPr>
      <w:r>
        <w:rPr>
          <w:rFonts w:eastAsia="Times New Roman"/>
        </w:rPr>
        <w:pict>
          <v:rect id="_x0000_i1044"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240" w:beforeAutospacing="0" w:after="0" w:afterAutospacing="0"/>
        <w:jc w:val="both"/>
        <w:rPr>
          <w:sz w:val="20"/>
          <w:szCs w:val="20"/>
        </w:rPr>
      </w:pPr>
      <w:r>
        <w:rPr>
          <w:i/>
          <w:iCs/>
          <w:sz w:val="20"/>
          <w:szCs w:val="20"/>
        </w:rPr>
        <w:t>Financial income, ne</w:t>
      </w:r>
      <w:r>
        <w:rPr>
          <w:i/>
          <w:iCs/>
          <w:sz w:val="20"/>
          <w:szCs w:val="20"/>
        </w:rPr>
        <w:t>t</w:t>
      </w:r>
      <w:r>
        <w:rPr>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Financial income, net includes the impact from (i) non-cash changes in the fair value of our warrant liabilities, (ii) issuance costs related to our warrants, (iii) interest earned on cash equivalents deposited in our bank accounts and (iv) other financial</w:t>
      </w:r>
      <w:r>
        <w:rPr>
          <w:sz w:val="20"/>
          <w:szCs w:val="20"/>
        </w:rPr>
        <w:t xml:space="preserve"> expenses in connection with bank charges</w:t>
      </w:r>
      <w:r>
        <w:rPr>
          <w:sz w:val="20"/>
          <w:szCs w:val="20"/>
        </w:rPr>
        <w:t>.</w:t>
      </w:r>
      <w:r>
        <w:rPr>
          <w:sz w:val="20"/>
          <w:szCs w:val="20"/>
        </w:rPr>
        <w:t xml:space="preserve"> </w:t>
      </w:r>
    </w:p>
    <w:p w:rsidR="00000000" w:rsidRDefault="0043639B">
      <w:pPr>
        <w:pStyle w:val="a3"/>
        <w:spacing w:before="240" w:beforeAutospacing="0" w:after="0" w:afterAutospacing="0"/>
        <w:jc w:val="both"/>
        <w:rPr>
          <w:sz w:val="20"/>
          <w:szCs w:val="20"/>
        </w:rPr>
      </w:pPr>
      <w:r>
        <w:rPr>
          <w:i/>
          <w:iCs/>
          <w:sz w:val="20"/>
          <w:szCs w:val="20"/>
        </w:rPr>
        <w:t>Taxes on incom</w:t>
      </w:r>
      <w:r>
        <w:rPr>
          <w:i/>
          <w:iCs/>
          <w:sz w:val="20"/>
          <w:szCs w:val="20"/>
        </w:rPr>
        <w:t>e</w:t>
      </w:r>
      <w:r>
        <w:rPr>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Our taxes on income consists primarily of foreign income taxes related to income generated by our subsidiary organized under the laws of Israel. If we expand the scale of our international busine</w:t>
      </w:r>
      <w:r>
        <w:rPr>
          <w:sz w:val="20"/>
          <w:szCs w:val="20"/>
        </w:rPr>
        <w:t>ss activities, any changes in the U.S. and foreign taxation of such activities may increase our overall provision for income taxes in the future</w:t>
      </w:r>
      <w:r>
        <w:rPr>
          <w:sz w:val="20"/>
          <w:szCs w:val="20"/>
        </w:rPr>
        <w:t>.</w:t>
      </w:r>
      <w:r>
        <w:rPr>
          <w:sz w:val="20"/>
          <w:szCs w:val="20"/>
        </w:rPr>
        <w:t xml:space="preserve"> </w:t>
      </w:r>
    </w:p>
    <w:p w:rsidR="00000000" w:rsidRDefault="0043639B">
      <w:pPr>
        <w:pStyle w:val="a3"/>
        <w:spacing w:before="240" w:beforeAutospacing="0" w:after="0" w:afterAutospacing="0"/>
        <w:jc w:val="both"/>
        <w:rPr>
          <w:sz w:val="20"/>
          <w:szCs w:val="20"/>
        </w:rPr>
      </w:pPr>
      <w:r>
        <w:rPr>
          <w:sz w:val="20"/>
          <w:szCs w:val="20"/>
        </w:rPr>
        <w:t>We have a full valuation allowance for our U.S. deferred tax assets, including federal and state NOLs. We exp</w:t>
      </w:r>
      <w:r>
        <w:rPr>
          <w:sz w:val="20"/>
          <w:szCs w:val="20"/>
        </w:rPr>
        <w:t>ect to maintain this valuation allowance until it becomes more likely than not that the benefit of our federal and state deferred tax assets will be realized through expected future taxable income in the United States</w:t>
      </w:r>
      <w:r>
        <w:rPr>
          <w:sz w:val="20"/>
          <w:szCs w:val="20"/>
        </w:rPr>
        <w:t>.</w:t>
      </w:r>
    </w:p>
    <w:p w:rsidR="00000000" w:rsidRDefault="0043639B">
      <w:pPr>
        <w:pStyle w:val="a3"/>
        <w:spacing w:before="240" w:beforeAutospacing="0" w:after="0" w:afterAutospacing="0"/>
        <w:jc w:val="both"/>
        <w:rPr>
          <w:sz w:val="20"/>
          <w:szCs w:val="20"/>
        </w:rPr>
      </w:pPr>
      <w:r>
        <w:rPr>
          <w:b/>
          <w:bCs/>
          <w:sz w:val="20"/>
          <w:szCs w:val="20"/>
        </w:rPr>
        <w:t>Results of Operation</w:t>
      </w:r>
      <w:r>
        <w:rPr>
          <w:b/>
          <w:bCs/>
          <w:sz w:val="20"/>
          <w:szCs w:val="20"/>
        </w:rPr>
        <w:t>s</w:t>
      </w:r>
      <w:r>
        <w:rPr>
          <w:b/>
          <w:bCs/>
          <w:sz w:val="20"/>
          <w:szCs w:val="20"/>
        </w:rPr>
        <w:t xml:space="preserve"> </w:t>
      </w:r>
    </w:p>
    <w:p w:rsidR="00000000" w:rsidRDefault="0043639B">
      <w:pPr>
        <w:pStyle w:val="a3"/>
        <w:spacing w:before="120" w:beforeAutospacing="0" w:after="0" w:afterAutospacing="0"/>
        <w:jc w:val="both"/>
        <w:rPr>
          <w:sz w:val="20"/>
          <w:szCs w:val="20"/>
        </w:rPr>
      </w:pPr>
      <w:r>
        <w:rPr>
          <w:sz w:val="20"/>
          <w:szCs w:val="20"/>
        </w:rPr>
        <w:t>The following table presents the results of operations for the three and nine months ended September 30, 2022 and 2021 and the dollar and percentage change between the respective periods</w:t>
      </w:r>
      <w:r>
        <w:rPr>
          <w:sz w:val="20"/>
          <w:szCs w:val="20"/>
        </w:rPr>
        <w:t>:</w:t>
      </w:r>
    </w:p>
    <w:p w:rsidR="00000000" w:rsidRDefault="0043639B">
      <w:pPr>
        <w:pStyle w:val="a3"/>
        <w:spacing w:before="120" w:beforeAutospacing="0" w:after="0" w:afterAutospacing="0"/>
        <w:jc w:val="both"/>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91"/>
        <w:gridCol w:w="100"/>
        <w:gridCol w:w="140"/>
        <w:gridCol w:w="860"/>
        <w:gridCol w:w="114"/>
        <w:gridCol w:w="100"/>
        <w:gridCol w:w="140"/>
        <w:gridCol w:w="860"/>
        <w:gridCol w:w="114"/>
        <w:gridCol w:w="105"/>
        <w:gridCol w:w="140"/>
        <w:gridCol w:w="554"/>
        <w:gridCol w:w="114"/>
        <w:gridCol w:w="105"/>
        <w:gridCol w:w="100"/>
        <w:gridCol w:w="394"/>
        <w:gridCol w:w="114"/>
        <w:gridCol w:w="100"/>
        <w:gridCol w:w="140"/>
        <w:gridCol w:w="860"/>
        <w:gridCol w:w="114"/>
        <w:gridCol w:w="100"/>
        <w:gridCol w:w="140"/>
        <w:gridCol w:w="780"/>
        <w:gridCol w:w="114"/>
        <w:gridCol w:w="105"/>
        <w:gridCol w:w="140"/>
        <w:gridCol w:w="554"/>
        <w:gridCol w:w="114"/>
        <w:gridCol w:w="105"/>
        <w:gridCol w:w="100"/>
        <w:gridCol w:w="420"/>
        <w:gridCol w:w="129"/>
      </w:tblGrid>
      <w:tr w:rsidR="00000000">
        <w:trPr>
          <w:tblCellSpacing w:w="15" w:type="dxa"/>
        </w:trPr>
        <w:tc>
          <w:tcPr>
            <w:tcW w:w="996" w:type="pct"/>
            <w:vAlign w:val="center"/>
            <w:hideMark/>
          </w:tcPr>
          <w:p w:rsidR="00000000" w:rsidRDefault="0043639B">
            <w:pPr>
              <w:rPr>
                <w:sz w:val="20"/>
                <w:szCs w:val="20"/>
              </w:rPr>
            </w:pPr>
          </w:p>
        </w:tc>
        <w:tc>
          <w:tcPr>
            <w:tcW w:w="53"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16"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3"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89"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3"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227"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9"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256"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3"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16"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3"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89"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53"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227"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49"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257"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trHeight w:val="160"/>
          <w:tblCellSpacing w:w="15" w:type="dxa"/>
        </w:trPr>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Three Months Ended</w:t>
            </w:r>
            <w:r>
              <w:rPr>
                <w:b/>
                <w:bCs/>
                <w:sz w:val="16"/>
                <w:szCs w:val="16"/>
              </w:rPr>
              <w:br/>
              <w:t>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Varianc</w:t>
            </w:r>
            <w:r>
              <w:rPr>
                <w:b/>
                <w:bCs/>
                <w:sz w:val="16"/>
                <w:szCs w:val="16"/>
              </w:rPr>
              <w:t>e</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Nine Months Ended</w:t>
            </w:r>
            <w:r>
              <w:rPr>
                <w:b/>
                <w:bCs/>
                <w:sz w:val="16"/>
                <w:szCs w:val="16"/>
              </w:rPr>
              <w:br/>
              <w:t>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Varianc</w:t>
            </w:r>
            <w:r>
              <w:rPr>
                <w:b/>
                <w:bCs/>
                <w:sz w:val="16"/>
                <w:szCs w:val="16"/>
              </w:rPr>
              <w:t>e</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b/>
                <w:bCs/>
                <w:sz w:val="16"/>
                <w:szCs w:val="16"/>
              </w:rPr>
              <w:t>Unaudite</w:t>
            </w:r>
            <w:r>
              <w:rPr>
                <w:b/>
                <w:bCs/>
                <w:sz w:val="16"/>
                <w:szCs w:val="16"/>
              </w:rPr>
              <w:t>d</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140"/>
          <w:tblCellSpacing w:w="15" w:type="dxa"/>
        </w:trPr>
        <w:tc>
          <w:tcPr>
            <w:tcW w:w="0" w:type="auto"/>
            <w:gridSpan w:val="2"/>
            <w:vAlign w:val="bottom"/>
            <w:hideMark/>
          </w:tcPr>
          <w:p w:rsidR="00000000" w:rsidRDefault="0043639B">
            <w:pPr>
              <w:pStyle w:val="a3"/>
              <w:spacing w:before="0" w:beforeAutospacing="0" w:after="0" w:afterAutospacing="0"/>
              <w:rPr>
                <w:sz w:val="14"/>
                <w:szCs w:val="14"/>
              </w:rPr>
            </w:pPr>
            <w:r>
              <w:rPr>
                <w:i/>
                <w:iCs/>
                <w:sz w:val="14"/>
                <w:szCs w:val="14"/>
              </w:rPr>
              <w:t>(in thousands, except percentages, share and per share data</w:t>
            </w:r>
            <w:r>
              <w:rPr>
                <w:i/>
                <w:iCs/>
                <w:sz w:val="14"/>
                <w:szCs w:val="14"/>
              </w:rPr>
              <w:t>)</w:t>
            </w:r>
          </w:p>
        </w:tc>
        <w:tc>
          <w:tcPr>
            <w:tcW w:w="0" w:type="auto"/>
            <w:gridSpan w:val="6"/>
            <w:hideMark/>
          </w:tcPr>
          <w:p w:rsidR="00000000" w:rsidRDefault="0043639B">
            <w:pPr>
              <w:pStyle w:val="a3"/>
              <w:spacing w:before="0" w:beforeAutospacing="0" w:after="0" w:afterAutospacing="0"/>
              <w:jc w:val="center"/>
              <w:rPr>
                <w:sz w:val="18"/>
                <w:szCs w:val="18"/>
              </w:rPr>
            </w:pPr>
            <w:r>
              <w:rPr>
                <w:sz w:val="18"/>
                <w:szCs w:val="18"/>
              </w:rPr>
              <w:t> </w:t>
            </w:r>
          </w:p>
        </w:tc>
        <w:tc>
          <w:tcPr>
            <w:tcW w:w="0" w:type="auto"/>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gridSpan w:val="6"/>
            <w:hideMark/>
          </w:tcPr>
          <w:p w:rsidR="00000000" w:rsidRDefault="0043639B">
            <w:pPr>
              <w:pStyle w:val="a3"/>
              <w:spacing w:before="0" w:beforeAutospacing="0" w:after="0" w:afterAutospacing="0"/>
              <w:jc w:val="center"/>
              <w:rPr>
                <w:sz w:val="18"/>
                <w:szCs w:val="18"/>
              </w:rPr>
            </w:pPr>
            <w:r>
              <w:rPr>
                <w:sz w:val="18"/>
                <w:szCs w:val="18"/>
              </w:rPr>
              <w:t> </w:t>
            </w:r>
          </w:p>
        </w:tc>
        <w:tc>
          <w:tcPr>
            <w:tcW w:w="0" w:type="auto"/>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gridSpan w:val="2"/>
            <w:vAlign w:val="bottom"/>
            <w:hideMark/>
          </w:tcPr>
          <w:p w:rsidR="00000000" w:rsidRDefault="0043639B">
            <w:pPr>
              <w:pStyle w:val="a3"/>
              <w:spacing w:before="0" w:beforeAutospacing="0" w:after="0" w:afterAutospacing="0"/>
              <w:jc w:val="center"/>
              <w:rPr>
                <w:sz w:val="18"/>
                <w:szCs w:val="18"/>
              </w:rPr>
            </w:pPr>
            <w:r>
              <w:rPr>
                <w:sz w:val="18"/>
                <w:szCs w:val="18"/>
              </w:rPr>
              <w:t> </w:t>
            </w:r>
          </w:p>
        </w:tc>
        <w:tc>
          <w:tcPr>
            <w:tcW w:w="0" w:type="auto"/>
            <w:vAlign w:val="bottom"/>
            <w:hideMark/>
          </w:tcPr>
          <w:p w:rsidR="00000000" w:rsidRDefault="0043639B">
            <w:pPr>
              <w:pStyle w:val="a3"/>
              <w:spacing w:before="0" w:beforeAutospacing="0" w:after="0" w:afterAutospacing="0"/>
              <w:jc w:val="center"/>
              <w:rPr>
                <w:sz w:val="18"/>
                <w:szCs w:val="18"/>
              </w:rPr>
            </w:pPr>
            <w:r>
              <w:rPr>
                <w:sz w:val="18"/>
                <w:szCs w:val="18"/>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Revenue</w:t>
            </w:r>
            <w:r>
              <w:rPr>
                <w:sz w:val="16"/>
                <w:szCs w:val="16"/>
              </w:rPr>
              <w:t>s</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29,33</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26,35</w:t>
            </w:r>
            <w:r>
              <w:rPr>
                <w:sz w:val="16"/>
                <w:szCs w:val="16"/>
              </w:rPr>
              <w:t>9</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2,97</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11.</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89,32</w:t>
            </w: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84,49</w:t>
            </w:r>
            <w:r>
              <w:rPr>
                <w:sz w:val="16"/>
                <w:szCs w:val="16"/>
              </w:rPr>
              <w:t>9</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4,82</w:t>
            </w:r>
            <w:r>
              <w:rPr>
                <w:sz w:val="16"/>
                <w:szCs w:val="16"/>
              </w:rPr>
              <w:t>7</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5.</w:t>
            </w:r>
            <w:r>
              <w:rPr>
                <w:sz w:val="16"/>
                <w:szCs w:val="16"/>
              </w:rPr>
              <w:t>7</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Cost of revenue</w:t>
            </w:r>
            <w:r>
              <w:rPr>
                <w:sz w:val="16"/>
                <w:szCs w:val="16"/>
              </w:rPr>
              <w:t>s</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14,73</w:t>
            </w:r>
            <w:r>
              <w:rPr>
                <w:sz w:val="16"/>
                <w:szCs w:val="16"/>
              </w:rPr>
              <w:t>7</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12,18</w:t>
            </w:r>
            <w:r>
              <w:rPr>
                <w:sz w:val="16"/>
                <w:szCs w:val="16"/>
              </w:rPr>
              <w:t>7</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2,55</w:t>
            </w:r>
            <w:r>
              <w:rPr>
                <w:sz w:val="16"/>
                <w:szCs w:val="16"/>
              </w:rPr>
              <w:t>0</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20.</w:t>
            </w:r>
            <w:r>
              <w:rPr>
                <w:sz w:val="16"/>
                <w:szCs w:val="16"/>
              </w:rPr>
              <w:t>9</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45,16</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33,69</w:t>
            </w:r>
            <w:r>
              <w:rPr>
                <w:sz w:val="16"/>
                <w:szCs w:val="16"/>
              </w:rPr>
              <w:t>8</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11,46</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34.</w:t>
            </w:r>
            <w:r>
              <w:rPr>
                <w:sz w:val="16"/>
                <w:szCs w:val="16"/>
              </w:rPr>
              <w:t>0</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Gross profi</w:t>
            </w:r>
            <w:r>
              <w:rPr>
                <w:sz w:val="16"/>
                <w:szCs w:val="16"/>
              </w:rPr>
              <w:t>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14,59</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14,17</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42</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3.</w:t>
            </w:r>
            <w:r>
              <w:rPr>
                <w:sz w:val="16"/>
                <w:szCs w:val="16"/>
              </w:rPr>
              <w:t>0</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44,16</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50,80</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(6,63</w:t>
            </w:r>
            <w:r>
              <w:rPr>
                <w:sz w:val="16"/>
                <w:szCs w:val="16"/>
              </w:rPr>
              <w:t>8</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(13.</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Operating expenses</w:t>
            </w: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Research and development, ne</w:t>
            </w:r>
            <w:r>
              <w:rPr>
                <w:sz w:val="16"/>
                <w:szCs w:val="16"/>
              </w:rPr>
              <w:t>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6,18</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4,27</w:t>
            </w:r>
            <w:r>
              <w:rPr>
                <w:sz w:val="16"/>
                <w:szCs w:val="16"/>
              </w:rPr>
              <w:t>8</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1,90</w:t>
            </w:r>
            <w:r>
              <w:rPr>
                <w:sz w:val="16"/>
                <w:szCs w:val="16"/>
              </w:rPr>
              <w:t>4</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44.</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16,79</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12,02</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4,77</w:t>
            </w:r>
            <w:r>
              <w:rPr>
                <w:sz w:val="16"/>
                <w:szCs w:val="16"/>
              </w:rPr>
              <w:t>0</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39.</w:t>
            </w:r>
            <w:r>
              <w:rPr>
                <w:sz w:val="16"/>
                <w:szCs w:val="16"/>
              </w:rPr>
              <w:t>7</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Clinical operation</w:t>
            </w:r>
            <w:r>
              <w:rPr>
                <w:sz w:val="16"/>
                <w:szCs w:val="16"/>
              </w:rPr>
              <w:t>s</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2,22</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1,89</w:t>
            </w: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32</w:t>
            </w: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17.</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6,31</w:t>
            </w:r>
            <w:r>
              <w:rPr>
                <w:sz w:val="16"/>
                <w:szCs w:val="16"/>
              </w:rPr>
              <w:t>4</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5,88</w:t>
            </w: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42</w:t>
            </w:r>
            <w:r>
              <w:rPr>
                <w:sz w:val="16"/>
                <w:szCs w:val="16"/>
              </w:rPr>
              <w:t>8</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7.</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Sales and marketin</w:t>
            </w:r>
            <w:r>
              <w:rPr>
                <w:sz w:val="16"/>
                <w:szCs w:val="16"/>
              </w:rPr>
              <w:t>g</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18,37</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26,43</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(8,05</w:t>
            </w: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(30.</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58,71</w:t>
            </w:r>
            <w:r>
              <w:rPr>
                <w:sz w:val="16"/>
                <w:szCs w:val="16"/>
              </w:rPr>
              <w:t>4</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75,12</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(16,41</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(21.</w:t>
            </w:r>
            <w:r>
              <w:rPr>
                <w:sz w:val="16"/>
                <w:szCs w:val="16"/>
              </w:rPr>
              <w:t>8</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General and administrativ</w:t>
            </w:r>
            <w:r>
              <w:rPr>
                <w:sz w:val="16"/>
                <w:szCs w:val="16"/>
              </w:rPr>
              <w:t>e</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7,66</w:t>
            </w:r>
            <w:r>
              <w:rPr>
                <w:sz w:val="16"/>
                <w:szCs w:val="16"/>
              </w:rPr>
              <w:t>7</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6,79</w:t>
            </w:r>
            <w:r>
              <w:rPr>
                <w:sz w:val="16"/>
                <w:szCs w:val="16"/>
              </w:rPr>
              <w:t>4</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87</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12.</w:t>
            </w:r>
            <w:r>
              <w:rPr>
                <w:sz w:val="16"/>
                <w:szCs w:val="16"/>
              </w:rPr>
              <w:t>8</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24,46</w:t>
            </w:r>
            <w:r>
              <w:rPr>
                <w:sz w:val="16"/>
                <w:szCs w:val="16"/>
              </w:rPr>
              <w:t>9</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23,11</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1,35</w:t>
            </w:r>
            <w:r>
              <w:rPr>
                <w:sz w:val="16"/>
                <w:szCs w:val="16"/>
              </w:rPr>
              <w:t>7</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5.</w:t>
            </w:r>
            <w:r>
              <w:rPr>
                <w:sz w:val="16"/>
                <w:szCs w:val="16"/>
              </w:rPr>
              <w:t>9</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Total operating expense</w:t>
            </w:r>
            <w:r>
              <w:rPr>
                <w:sz w:val="16"/>
                <w:szCs w:val="16"/>
              </w:rPr>
              <w:t>s</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34,44</w:t>
            </w: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39,39</w:t>
            </w:r>
            <w:r>
              <w:rPr>
                <w:sz w:val="16"/>
                <w:szCs w:val="16"/>
              </w:rPr>
              <w:t>9</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(4,95</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(12.</w:t>
            </w: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106,29</w:t>
            </w:r>
            <w:r>
              <w:rPr>
                <w:sz w:val="16"/>
                <w:szCs w:val="16"/>
              </w:rPr>
              <w:t>0</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116,14</w:t>
            </w: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(9,85</w:t>
            </w: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(8.</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Operating (loss</w:t>
            </w: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(19,85</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(25,22</w:t>
            </w:r>
            <w:r>
              <w:rPr>
                <w:sz w:val="16"/>
                <w:szCs w:val="16"/>
              </w:rPr>
              <w:t>7</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5,37</w:t>
            </w: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21.</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(62,12</w:t>
            </w:r>
            <w:r>
              <w:rPr>
                <w:sz w:val="16"/>
                <w:szCs w:val="16"/>
              </w:rPr>
              <w:t>7</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(65,34</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3,21</w:t>
            </w:r>
            <w:r>
              <w:rPr>
                <w:sz w:val="16"/>
                <w:szCs w:val="16"/>
              </w:rPr>
              <w:t>8</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w:t>
            </w:r>
            <w:r>
              <w:rPr>
                <w:sz w:val="16"/>
                <w:szCs w:val="16"/>
              </w:rPr>
              <w:t>9</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Financial income, ne</w:t>
            </w:r>
            <w:r>
              <w:rPr>
                <w:sz w:val="16"/>
                <w:szCs w:val="16"/>
              </w:rPr>
              <w:t>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1,88</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26,74</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(24,85</w:t>
            </w:r>
            <w:r>
              <w:rPr>
                <w:sz w:val="16"/>
                <w:szCs w:val="16"/>
              </w:rPr>
              <w:t>8</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(93.</w:t>
            </w:r>
            <w:r>
              <w:rPr>
                <w:sz w:val="16"/>
                <w:szCs w:val="16"/>
              </w:rPr>
              <w:t>0</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88</w:t>
            </w:r>
            <w:r>
              <w:rPr>
                <w:sz w:val="16"/>
                <w:szCs w:val="16"/>
              </w:rPr>
              <w:t>9</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23,70</w:t>
            </w:r>
            <w:r>
              <w:rPr>
                <w:sz w:val="16"/>
                <w:szCs w:val="16"/>
              </w:rPr>
              <w:t>0</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(22,81</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(96.</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(Loss) income before taxes on incom</w:t>
            </w:r>
            <w:r>
              <w:rPr>
                <w:sz w:val="16"/>
                <w:szCs w:val="16"/>
              </w:rPr>
              <w:t>e</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(17,96</w:t>
            </w: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1,51</w:t>
            </w: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(19,48</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(61,23</w:t>
            </w:r>
            <w:r>
              <w:rPr>
                <w:sz w:val="16"/>
                <w:szCs w:val="16"/>
              </w:rPr>
              <w:t>8</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(41,64</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(19,59</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(47.</w:t>
            </w:r>
            <w:r>
              <w:rPr>
                <w:sz w:val="16"/>
                <w:szCs w:val="16"/>
              </w:rPr>
              <w:t>0</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Taxes on incom</w:t>
            </w:r>
            <w:r>
              <w:rPr>
                <w:sz w:val="16"/>
                <w:szCs w:val="16"/>
              </w:rPr>
              <w:t>e</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w:t>
            </w:r>
            <w:r>
              <w:rPr>
                <w:sz w:val="16"/>
                <w:szCs w:val="16"/>
              </w:rPr>
              <w:t>7</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6</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54.</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12</w:t>
            </w:r>
            <w:r>
              <w:rPr>
                <w:sz w:val="16"/>
                <w:szCs w:val="16"/>
              </w:rPr>
              <w:t>7</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2</w:t>
            </w:r>
            <w:r>
              <w:rPr>
                <w:sz w:val="16"/>
                <w:szCs w:val="16"/>
              </w:rPr>
              <w:t>9</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9</w:t>
            </w:r>
            <w:r>
              <w:rPr>
                <w:sz w:val="16"/>
                <w:szCs w:val="16"/>
              </w:rPr>
              <w:t>8</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337.</w:t>
            </w:r>
            <w:r>
              <w:rPr>
                <w:sz w:val="16"/>
                <w:szCs w:val="16"/>
              </w:rPr>
              <w:t>9</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Net (loss) incom</w:t>
            </w:r>
            <w:r>
              <w:rPr>
                <w:sz w:val="16"/>
                <w:szCs w:val="16"/>
              </w:rPr>
              <w:t>e</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(17,98</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1,50</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(19,48</w:t>
            </w:r>
            <w:r>
              <w:rPr>
                <w:sz w:val="16"/>
                <w:szCs w:val="16"/>
              </w:rPr>
              <w:t>8</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(61,36</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(41,67</w:t>
            </w:r>
            <w:r>
              <w:rPr>
                <w:sz w:val="16"/>
                <w:szCs w:val="16"/>
              </w:rPr>
              <w:t>4</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(19,69</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(47.</w:t>
            </w:r>
            <w:r>
              <w:rPr>
                <w:sz w:val="16"/>
                <w:szCs w:val="16"/>
              </w:rPr>
              <w:t>3</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r>
      <w:tr w:rsidR="00000000">
        <w:trPr>
          <w:trHeight w:val="160"/>
          <w:tblCellSpacing w:w="15" w:type="dxa"/>
        </w:trPr>
        <w:tc>
          <w:tcPr>
            <w:tcW w:w="0" w:type="auto"/>
            <w:gridSpan w:val="2"/>
            <w:hideMark/>
          </w:tcPr>
          <w:p w:rsidR="00000000" w:rsidRDefault="0043639B">
            <w:pPr>
              <w:pStyle w:val="a3"/>
              <w:spacing w:before="0" w:beforeAutospacing="0" w:after="0" w:afterAutospacing="0"/>
              <w:rPr>
                <w:sz w:val="16"/>
                <w:szCs w:val="16"/>
              </w:rPr>
            </w:pPr>
            <w:r>
              <w:rPr>
                <w:sz w:val="16"/>
                <w:szCs w:val="16"/>
              </w:rPr>
              <w:t>Net (loss) income per share</w:t>
            </w:r>
            <w:r>
              <w:rPr>
                <w:sz w:val="16"/>
                <w:szCs w:val="16"/>
              </w:rPr>
              <w:t>:</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Basi</w:t>
            </w:r>
            <w:r>
              <w:rPr>
                <w:sz w:val="16"/>
                <w:szCs w:val="16"/>
              </w:rPr>
              <w:t>c</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(0.1</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0.0</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(0.1</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(0.3</w:t>
            </w:r>
            <w:r>
              <w:rPr>
                <w:sz w:val="16"/>
                <w:szCs w:val="16"/>
              </w:rPr>
              <w:t>9</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(0.6</w:t>
            </w:r>
            <w:r>
              <w:rPr>
                <w:sz w:val="16"/>
                <w:szCs w:val="16"/>
              </w:rPr>
              <w:t>4</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0.2</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39.</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Dilute</w:t>
            </w:r>
            <w:r>
              <w:rPr>
                <w:sz w:val="16"/>
                <w:szCs w:val="16"/>
              </w:rPr>
              <w:t>d</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(0.1</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0.0</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(0.1</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(0.3</w:t>
            </w:r>
            <w:r>
              <w:rPr>
                <w:sz w:val="16"/>
                <w:szCs w:val="16"/>
              </w:rPr>
              <w:t>9</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(0.6</w:t>
            </w:r>
            <w:r>
              <w:rPr>
                <w:sz w:val="16"/>
                <w:szCs w:val="16"/>
              </w:rPr>
              <w:t>4</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0.2</w:t>
            </w:r>
            <w:r>
              <w:rPr>
                <w:sz w:val="16"/>
                <w:szCs w:val="16"/>
              </w:rPr>
              <w:t>5</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39.</w:t>
            </w:r>
            <w:r>
              <w:rPr>
                <w:sz w:val="16"/>
                <w:szCs w:val="16"/>
              </w:rPr>
              <w:t>1</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r>
      <w:tr w:rsidR="00000000">
        <w:trPr>
          <w:trHeight w:val="160"/>
          <w:tblCellSpacing w:w="15" w:type="dxa"/>
        </w:trPr>
        <w:tc>
          <w:tcPr>
            <w:tcW w:w="0" w:type="auto"/>
            <w:gridSpan w:val="2"/>
            <w:hideMark/>
          </w:tcPr>
          <w:p w:rsidR="00000000" w:rsidRDefault="0043639B">
            <w:pPr>
              <w:pStyle w:val="a3"/>
              <w:spacing w:before="0" w:beforeAutospacing="0" w:after="0" w:afterAutospacing="0"/>
              <w:rPr>
                <w:sz w:val="16"/>
                <w:szCs w:val="16"/>
              </w:rPr>
            </w:pPr>
            <w:r>
              <w:rPr>
                <w:sz w:val="16"/>
                <w:szCs w:val="16"/>
              </w:rPr>
              <w:t>Weighted average number of common shares</w:t>
            </w:r>
            <w:r>
              <w:rPr>
                <w:sz w:val="16"/>
                <w:szCs w:val="16"/>
              </w:rPr>
              <w:t>:</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Basi</w:t>
            </w:r>
            <w:r>
              <w:rPr>
                <w:sz w:val="16"/>
                <w:szCs w:val="16"/>
              </w:rPr>
              <w:t>c</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158,330,68</w:t>
            </w:r>
            <w:r>
              <w:rPr>
                <w:sz w:val="16"/>
                <w:szCs w:val="16"/>
              </w:rPr>
              <w:t>4</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152,267,87</w:t>
            </w:r>
            <w:r>
              <w:rPr>
                <w:sz w:val="16"/>
                <w:szCs w:val="16"/>
              </w:rPr>
              <w:t>0</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156,056,90</w:t>
            </w:r>
            <w:r>
              <w:rPr>
                <w:sz w:val="16"/>
                <w:szCs w:val="16"/>
              </w:rPr>
              <w:t>0</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64,638,18</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r>
      <w:tr w:rsidR="00000000">
        <w:trPr>
          <w:trHeight w:val="160"/>
          <w:tblCellSpacing w:w="15" w:type="dxa"/>
        </w:trPr>
        <w:tc>
          <w:tcPr>
            <w:tcW w:w="0" w:type="auto"/>
            <w:hideMark/>
          </w:tcPr>
          <w:p w:rsidR="00000000" w:rsidRDefault="0043639B">
            <w:pPr>
              <w:pStyle w:val="a3"/>
              <w:spacing w:before="0" w:beforeAutospacing="0" w:after="0" w:afterAutospacing="0"/>
              <w:rPr>
                <w:sz w:val="16"/>
                <w:szCs w:val="16"/>
              </w:rPr>
            </w:pPr>
            <w:r>
              <w:rPr>
                <w:sz w:val="16"/>
                <w:szCs w:val="16"/>
              </w:rPr>
              <w:t>Dilute</w:t>
            </w:r>
            <w:r>
              <w:rPr>
                <w:sz w:val="16"/>
                <w:szCs w:val="16"/>
              </w:rPr>
              <w:t>d</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158,330,68</w:t>
            </w:r>
            <w:r>
              <w:rPr>
                <w:sz w:val="16"/>
                <w:szCs w:val="16"/>
              </w:rPr>
              <w:t>4</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165,179,01</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156,056,90</w:t>
            </w:r>
            <w:r>
              <w:rPr>
                <w:sz w:val="16"/>
                <w:szCs w:val="16"/>
              </w:rPr>
              <w:t>0</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64,638,18</w:t>
            </w:r>
            <w:r>
              <w:rPr>
                <w:sz w:val="16"/>
                <w:szCs w:val="16"/>
              </w:rPr>
              <w:t>2</w:t>
            </w:r>
          </w:p>
        </w:tc>
        <w:tc>
          <w:tcPr>
            <w:tcW w:w="0" w:type="auto"/>
            <w:noWrap/>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right"/>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jc w:val="right"/>
              <w:rPr>
                <w:sz w:val="16"/>
                <w:szCs w:val="16"/>
              </w:rPr>
            </w:pPr>
            <w:r>
              <w:rPr>
                <w:sz w:val="16"/>
                <w:szCs w:val="16"/>
              </w:rPr>
              <w:t> </w:t>
            </w:r>
          </w:p>
        </w:tc>
      </w:tr>
    </w:tbl>
    <w:p w:rsidR="00000000" w:rsidRDefault="0043639B">
      <w:pPr>
        <w:pStyle w:val="a3"/>
        <w:spacing w:before="120" w:beforeAutospacing="0" w:after="0" w:afterAutospacing="0"/>
        <w:jc w:val="both"/>
        <w:rPr>
          <w:sz w:val="20"/>
          <w:szCs w:val="20"/>
        </w:rPr>
      </w:pPr>
      <w:r>
        <w:rPr>
          <w:i/>
          <w:iCs/>
          <w:sz w:val="16"/>
          <w:szCs w:val="16"/>
        </w:rPr>
        <w:t>* Percentage not meaningful</w:t>
      </w:r>
      <w:r>
        <w:rPr>
          <w:i/>
          <w:iCs/>
          <w:sz w:val="16"/>
          <w:szCs w:val="16"/>
        </w:rPr>
        <w:t>.</w:t>
      </w:r>
    </w:p>
    <w:p w:rsidR="00000000" w:rsidRDefault="0043639B">
      <w:pPr>
        <w:pStyle w:val="a3"/>
        <w:spacing w:before="12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b/>
          <w:bCs/>
          <w:sz w:val="20"/>
          <w:szCs w:val="20"/>
        </w:rPr>
        <w:t>Revenues</w:t>
      </w:r>
      <w:r>
        <w:rPr>
          <w:b/>
          <w:bCs/>
          <w:sz w:val="20"/>
          <w:szCs w:val="20"/>
        </w:rPr>
        <w:t>.</w:t>
      </w:r>
      <w:r>
        <w:rPr>
          <w:sz w:val="20"/>
          <w:szCs w:val="20"/>
        </w:rPr>
        <w:t xml:space="preserve"> </w:t>
      </w:r>
      <w:r>
        <w:rPr>
          <w:sz w:val="20"/>
          <w:szCs w:val="20"/>
        </w:rPr>
        <w:t>Revenues increased by $3.0 million, or 11.3% to $29.3 million for the three months ended September 30, 2022 from $26.4 million for the three months ended September 30, 2021. The increase was principally due to a 117.3% growth in B2B revenue driven by an in</w:t>
      </w:r>
      <w:r>
        <w:rPr>
          <w:sz w:val="20"/>
          <w:szCs w:val="20"/>
        </w:rPr>
        <w:t>crease in covered lives from health plan clients and new enterprise clients, and a higher number of completed B2B sessions, partially offset by revenue reserves on receivables from our existing health plan clients and a 32.7% decrease in B2C revenue. Reven</w:t>
      </w:r>
      <w:r>
        <w:rPr>
          <w:sz w:val="20"/>
          <w:szCs w:val="20"/>
        </w:rPr>
        <w:t>ue, net of reserves, from our health plan clients increased by $6.3 million, or 196.9%, to $9.5 million for the three months ended September 30, 2022 from $3.2 million for the three months ended September 30, 2021. The Company recorded an increase in reven</w:t>
      </w:r>
      <w:r>
        <w:rPr>
          <w:sz w:val="20"/>
          <w:szCs w:val="20"/>
        </w:rPr>
        <w:t xml:space="preserve">ue reserves of $0.9 million related to receivables from its health plan clients during the three months ended September 30, 2022. Enterprise client contracts increased by 76 clients, or 54.7%, to 215 clients as of September 30, 2022 from 139 clients as of </w:t>
      </w:r>
      <w:r>
        <w:rPr>
          <w:sz w:val="20"/>
          <w:szCs w:val="20"/>
        </w:rPr>
        <w:t>September 30, 2021. This increase in the number of enterprise clients increased revenue by $2.8 million, or 62.2% to $7.3 million for the three months ended September 30, 2022 from $4.5 million for the three months ended September 30, 2021. B2C member subs</w:t>
      </w:r>
      <w:r>
        <w:rPr>
          <w:sz w:val="20"/>
          <w:szCs w:val="20"/>
        </w:rPr>
        <w:t>criptions revenue decreased by $6.1 million, or 32.7%, to $12.5 million for the three months ended September 30, 2022 from $18.6 million for the three months ended September 30, 2021 due to the Company's intentional and strategic decision to reduce marketi</w:t>
      </w:r>
      <w:r>
        <w:rPr>
          <w:sz w:val="20"/>
          <w:szCs w:val="20"/>
        </w:rPr>
        <w:t>ng spend</w:t>
      </w:r>
      <w:r>
        <w:rPr>
          <w:sz w:val="20"/>
          <w:szCs w:val="20"/>
        </w:rPr>
        <w:t>.</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2</w:t>
      </w:r>
      <w:r>
        <w:rPr>
          <w:sz w:val="20"/>
          <w:szCs w:val="20"/>
        </w:rPr>
        <w:t>1</w:t>
      </w:r>
    </w:p>
    <w:p w:rsidR="00000000" w:rsidRDefault="0043639B">
      <w:pPr>
        <w:rPr>
          <w:rFonts w:eastAsia="Times New Roman"/>
        </w:rPr>
      </w:pPr>
      <w:r>
        <w:rPr>
          <w:rFonts w:eastAsia="Times New Roman"/>
        </w:rPr>
        <w:pict>
          <v:rect id="_x0000_i1045"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sz w:val="20"/>
          <w:szCs w:val="20"/>
        </w:rPr>
        <w:t>Revenues increased by $4.8 million, or 5.7% to $89.3 million for the nine months ended September 30, 2022, from $84.5 million for the nine months ended S</w:t>
      </w:r>
      <w:r>
        <w:rPr>
          <w:sz w:val="20"/>
          <w:szCs w:val="20"/>
        </w:rPr>
        <w:t>eptember 30, 2021. The increase was principally due to a 72.2% growth in B2B revenue driven by an increase in covered lives from health plan clients and new enterprise clients, and a higher number of completed B2B sessions, partially offset by higher reven</w:t>
      </w:r>
      <w:r>
        <w:rPr>
          <w:sz w:val="20"/>
          <w:szCs w:val="20"/>
        </w:rPr>
        <w:t xml:space="preserve">ue reserves on receivables from our existing health plan clients and a 24.2% decrease in B2C revenue. Revenue, net of reserves, from our health plan clients increased by $10.9 million, or 74.7% to $25.5 million for the nine months ended September 30, 2022 </w:t>
      </w:r>
      <w:r>
        <w:rPr>
          <w:sz w:val="20"/>
          <w:szCs w:val="20"/>
        </w:rPr>
        <w:t>from $14.6 million for the nine months ended September 30, 2021. During the nine months ended September 30, 2022, the Company recorded an increase in revenue reserves of $1.9 million related to receivables from its health plan clients. Enterprise client co</w:t>
      </w:r>
      <w:r>
        <w:rPr>
          <w:sz w:val="20"/>
          <w:szCs w:val="20"/>
        </w:rPr>
        <w:t>ntracts increased by 76 clients, or 54.7%, to 215 clients as of September 30, 2022 from 139 clients as of September 30, 2021. This increase in the number of enterprise clients increased revenue by $8.0 million, or 69.0% to $19.6 million for the nine months</w:t>
      </w:r>
      <w:r>
        <w:rPr>
          <w:sz w:val="20"/>
          <w:szCs w:val="20"/>
        </w:rPr>
        <w:t xml:space="preserve"> ended September 30, 2022 from $11.6 million for the nine months ended September 30, 2021. B2C member subscriptions revenue decreased by $14.1 million, or 24.2% to $44.2 million for the nine months ended September 30, 2022 from $58.3 million for the nine m</w:t>
      </w:r>
      <w:r>
        <w:rPr>
          <w:sz w:val="20"/>
          <w:szCs w:val="20"/>
        </w:rPr>
        <w:t>onths ended September 30, 2021 due to the Company's intentional and strategic decision to reduce marketing spend</w:t>
      </w:r>
      <w:r>
        <w:rPr>
          <w:sz w:val="20"/>
          <w:szCs w:val="20"/>
        </w:rPr>
        <w:t>.</w:t>
      </w:r>
    </w:p>
    <w:p w:rsidR="00000000" w:rsidRDefault="0043639B">
      <w:pPr>
        <w:pStyle w:val="a3"/>
        <w:spacing w:before="240" w:beforeAutospacing="0" w:after="0" w:afterAutospacing="0"/>
        <w:jc w:val="both"/>
        <w:rPr>
          <w:sz w:val="20"/>
          <w:szCs w:val="20"/>
        </w:rPr>
      </w:pPr>
      <w:r>
        <w:rPr>
          <w:b/>
          <w:bCs/>
          <w:sz w:val="20"/>
          <w:szCs w:val="20"/>
        </w:rPr>
        <w:t>Costs of revenues</w:t>
      </w:r>
      <w:r>
        <w:rPr>
          <w:b/>
          <w:bCs/>
          <w:sz w:val="20"/>
          <w:szCs w:val="20"/>
        </w:rPr>
        <w:t>.</w:t>
      </w:r>
      <w:r>
        <w:rPr>
          <w:sz w:val="20"/>
          <w:szCs w:val="20"/>
        </w:rPr>
        <w:t xml:space="preserve"> Cost of revenues increased by $2.6 million, or 20.9%, to $14.7 million for the three months ended September 30, 2022 from $</w:t>
      </w:r>
      <w:r>
        <w:rPr>
          <w:sz w:val="20"/>
          <w:szCs w:val="20"/>
        </w:rPr>
        <w:t>12.2 million for the three months ended September 30, 2021, primarily due to costs associated with higher therapist compensation expense</w:t>
      </w:r>
      <w:r>
        <w:rPr>
          <w:sz w:val="20"/>
          <w:szCs w:val="20"/>
        </w:rPr>
        <w:t>.</w:t>
      </w:r>
    </w:p>
    <w:p w:rsidR="00000000" w:rsidRDefault="0043639B">
      <w:pPr>
        <w:pStyle w:val="a3"/>
        <w:spacing w:before="240" w:beforeAutospacing="0" w:after="0" w:afterAutospacing="0"/>
        <w:jc w:val="both"/>
        <w:rPr>
          <w:sz w:val="20"/>
          <w:szCs w:val="20"/>
        </w:rPr>
      </w:pPr>
      <w:r>
        <w:rPr>
          <w:sz w:val="20"/>
          <w:szCs w:val="20"/>
        </w:rPr>
        <w:t>Cost of revenues increased by $11.5 million, or 34.0%, to $45.2 million for the nine months ended September 30, 2022 f</w:t>
      </w:r>
      <w:r>
        <w:rPr>
          <w:sz w:val="20"/>
          <w:szCs w:val="20"/>
        </w:rPr>
        <w:t>rom $33.7 million for the nine months ended September 30, 2021, primarily due to costs associated with higher therapist compensation expense</w:t>
      </w:r>
      <w:r>
        <w:rPr>
          <w:sz w:val="20"/>
          <w:szCs w:val="20"/>
        </w:rPr>
        <w:t>.</w:t>
      </w:r>
    </w:p>
    <w:p w:rsidR="00000000" w:rsidRDefault="0043639B">
      <w:pPr>
        <w:pStyle w:val="a3"/>
        <w:spacing w:before="240" w:beforeAutospacing="0" w:after="0" w:afterAutospacing="0"/>
        <w:jc w:val="both"/>
        <w:rPr>
          <w:sz w:val="20"/>
          <w:szCs w:val="20"/>
        </w:rPr>
      </w:pPr>
      <w:r>
        <w:rPr>
          <w:b/>
          <w:bCs/>
          <w:sz w:val="20"/>
          <w:szCs w:val="20"/>
        </w:rPr>
        <w:t>Gross profi</w:t>
      </w:r>
      <w:r>
        <w:rPr>
          <w:b/>
          <w:bCs/>
          <w:sz w:val="20"/>
          <w:szCs w:val="20"/>
        </w:rPr>
        <w:t>t</w:t>
      </w:r>
      <w:r>
        <w:rPr>
          <w:b/>
          <w:bCs/>
          <w:i/>
          <w:iCs/>
          <w:sz w:val="20"/>
          <w:szCs w:val="20"/>
        </w:rPr>
        <w:t>.</w:t>
      </w:r>
      <w:r>
        <w:rPr>
          <w:b/>
          <w:bCs/>
          <w:sz w:val="20"/>
          <w:szCs w:val="20"/>
        </w:rPr>
        <w:t xml:space="preserve"> </w:t>
      </w:r>
      <w:r>
        <w:rPr>
          <w:sz w:val="20"/>
          <w:szCs w:val="20"/>
        </w:rPr>
        <w:t>Gross profit increased by $0.4 million, or 3.0%, to $14.6 million for the three months ended Septemb</w:t>
      </w:r>
      <w:r>
        <w:rPr>
          <w:sz w:val="20"/>
          <w:szCs w:val="20"/>
        </w:rPr>
        <w:t>er 30, 2022 from $14.2 million for the three months ended September 30, 2021, primarily due to higher revenues. Gross margin was 49.8% for the three months ended September 30, 2022, compared to 53.8% during the three months ended September 30, 2021. The de</w:t>
      </w:r>
      <w:r>
        <w:rPr>
          <w:sz w:val="20"/>
          <w:szCs w:val="20"/>
        </w:rPr>
        <w:t>crease in gross margin was due primarily to a revenue shift to our B2B business, which generally realize lower margins, and higher therapist compensation expense during the three months ended September 30, 2022</w:t>
      </w:r>
      <w:r>
        <w:rPr>
          <w:sz w:val="20"/>
          <w:szCs w:val="20"/>
        </w:rPr>
        <w:t>.</w:t>
      </w:r>
    </w:p>
    <w:p w:rsidR="00000000" w:rsidRDefault="0043639B">
      <w:pPr>
        <w:pStyle w:val="a3"/>
        <w:spacing w:before="240" w:beforeAutospacing="0" w:after="0" w:afterAutospacing="0"/>
        <w:jc w:val="both"/>
        <w:rPr>
          <w:sz w:val="20"/>
          <w:szCs w:val="20"/>
        </w:rPr>
      </w:pPr>
      <w:r>
        <w:rPr>
          <w:sz w:val="20"/>
          <w:szCs w:val="20"/>
        </w:rPr>
        <w:t>Gross profit decreased by $6.6 million, or 1</w:t>
      </w:r>
      <w:r>
        <w:rPr>
          <w:sz w:val="20"/>
          <w:szCs w:val="20"/>
        </w:rPr>
        <w:t>3.1%, to $44.2 million for the nine months ended September 30, 2022 from $50.8 million for the nine months ended September 30, 2021. Gross margin was 49.4% for the nine months ended September 30, 2022, compared to 60.1% during the nine months ended Septemb</w:t>
      </w:r>
      <w:r>
        <w:rPr>
          <w:sz w:val="20"/>
          <w:szCs w:val="20"/>
        </w:rPr>
        <w:t>er 30, 2021. The decrease in gross margin was due primarily to a revenue shift to our B2B business and higher therapist compensation expense during the nine months ended September 30, 2022</w:t>
      </w:r>
      <w:r>
        <w:rPr>
          <w:sz w:val="20"/>
          <w:szCs w:val="20"/>
        </w:rPr>
        <w:t>.</w:t>
      </w:r>
    </w:p>
    <w:p w:rsidR="00000000" w:rsidRDefault="0043639B">
      <w:pPr>
        <w:pStyle w:val="a3"/>
        <w:spacing w:before="240" w:beforeAutospacing="0" w:after="0" w:afterAutospacing="0"/>
        <w:jc w:val="both"/>
        <w:rPr>
          <w:sz w:val="20"/>
          <w:szCs w:val="20"/>
        </w:rPr>
      </w:pPr>
      <w:r>
        <w:rPr>
          <w:b/>
          <w:bCs/>
          <w:sz w:val="20"/>
          <w:szCs w:val="20"/>
        </w:rPr>
        <w:t>Research and development expense</w:t>
      </w:r>
      <w:r>
        <w:rPr>
          <w:b/>
          <w:bCs/>
          <w:sz w:val="20"/>
          <w:szCs w:val="20"/>
        </w:rPr>
        <w:t>s</w:t>
      </w:r>
      <w:r>
        <w:rPr>
          <w:b/>
          <w:bCs/>
          <w:i/>
          <w:iCs/>
          <w:sz w:val="20"/>
          <w:szCs w:val="20"/>
        </w:rPr>
        <w:t>.</w:t>
      </w:r>
      <w:r>
        <w:rPr>
          <w:b/>
          <w:bCs/>
          <w:sz w:val="20"/>
          <w:szCs w:val="20"/>
        </w:rPr>
        <w:t xml:space="preserve"> </w:t>
      </w:r>
      <w:r>
        <w:rPr>
          <w:sz w:val="20"/>
          <w:szCs w:val="20"/>
        </w:rPr>
        <w:t>Research and development expens</w:t>
      </w:r>
      <w:r>
        <w:rPr>
          <w:sz w:val="20"/>
          <w:szCs w:val="20"/>
        </w:rPr>
        <w:t>es increased by approximately $1.9 million, or 44.5% to $6.2 million for the three months ended September 30, 2022 from $4.3 million for the three months ended September 30, 2021. This was primarily due to an increase in employee-related costs, inclusive o</w:t>
      </w:r>
      <w:r>
        <w:rPr>
          <w:sz w:val="20"/>
          <w:szCs w:val="20"/>
        </w:rPr>
        <w:t>f non-cash stock compensation expense</w:t>
      </w:r>
      <w:r>
        <w:rPr>
          <w:sz w:val="20"/>
          <w:szCs w:val="20"/>
        </w:rPr>
        <w:t>.</w:t>
      </w:r>
      <w:r>
        <w:rPr>
          <w:sz w:val="20"/>
          <w:szCs w:val="20"/>
        </w:rPr>
        <w:t xml:space="preserve"> </w:t>
      </w:r>
    </w:p>
    <w:p w:rsidR="00000000" w:rsidRDefault="0043639B">
      <w:pPr>
        <w:pStyle w:val="a3"/>
        <w:spacing w:before="240" w:beforeAutospacing="0" w:after="0" w:afterAutospacing="0"/>
        <w:jc w:val="both"/>
        <w:rPr>
          <w:sz w:val="20"/>
          <w:szCs w:val="20"/>
        </w:rPr>
      </w:pPr>
      <w:r>
        <w:rPr>
          <w:sz w:val="20"/>
          <w:szCs w:val="20"/>
        </w:rPr>
        <w:t>Research and development expenses increased by approximately $4.8 million, or 39.7%, to $16.8 million for the nine months ended September 30, 2022 from $12.0 million for the nine months ended September 30, 2021. This</w:t>
      </w:r>
      <w:r>
        <w:rPr>
          <w:sz w:val="20"/>
          <w:szCs w:val="20"/>
        </w:rPr>
        <w:t xml:space="preserve"> was primarily due to an increase in employee-related costs, inclusive of non-cash stock compensation expense</w:t>
      </w:r>
      <w:r>
        <w:rPr>
          <w:sz w:val="20"/>
          <w:szCs w:val="20"/>
        </w:rPr>
        <w:t>.</w:t>
      </w:r>
      <w:r>
        <w:rPr>
          <w:sz w:val="20"/>
          <w:szCs w:val="20"/>
        </w:rPr>
        <w:t xml:space="preserve"> </w:t>
      </w:r>
    </w:p>
    <w:p w:rsidR="00000000" w:rsidRDefault="0043639B">
      <w:pPr>
        <w:pStyle w:val="a3"/>
        <w:spacing w:before="240" w:beforeAutospacing="0" w:after="0" w:afterAutospacing="0"/>
        <w:jc w:val="both"/>
        <w:rPr>
          <w:sz w:val="20"/>
          <w:szCs w:val="20"/>
        </w:rPr>
      </w:pPr>
      <w:r>
        <w:rPr>
          <w:b/>
          <w:bCs/>
          <w:sz w:val="20"/>
          <w:szCs w:val="20"/>
        </w:rPr>
        <w:t>Clinical operations expense</w:t>
      </w:r>
      <w:r>
        <w:rPr>
          <w:b/>
          <w:bCs/>
          <w:sz w:val="20"/>
          <w:szCs w:val="20"/>
        </w:rPr>
        <w:t>s</w:t>
      </w:r>
      <w:r>
        <w:rPr>
          <w:b/>
          <w:bCs/>
          <w:i/>
          <w:iCs/>
          <w:sz w:val="20"/>
          <w:szCs w:val="20"/>
        </w:rPr>
        <w:t>.</w:t>
      </w:r>
      <w:r>
        <w:rPr>
          <w:b/>
          <w:bCs/>
          <w:sz w:val="20"/>
          <w:szCs w:val="20"/>
        </w:rPr>
        <w:t xml:space="preserve"> </w:t>
      </w:r>
      <w:r>
        <w:rPr>
          <w:sz w:val="20"/>
          <w:szCs w:val="20"/>
        </w:rPr>
        <w:t>Clinical operations expenses increased by $0.3 million, or 17.2% to $2.2 million for the three months ended Septem</w:t>
      </w:r>
      <w:r>
        <w:rPr>
          <w:sz w:val="20"/>
          <w:szCs w:val="20"/>
        </w:rPr>
        <w:t>ber 30, 2022 from $1.9 million for the three months ended September 30, 2021. This was primarily due to an increase in employee-related costs, inclusive of non-cash stock compensation expense</w:t>
      </w:r>
      <w:r>
        <w:rPr>
          <w:sz w:val="20"/>
          <w:szCs w:val="20"/>
        </w:rPr>
        <w:t>.</w:t>
      </w:r>
    </w:p>
    <w:p w:rsidR="00000000" w:rsidRDefault="0043639B">
      <w:pPr>
        <w:pStyle w:val="a3"/>
        <w:spacing w:before="240" w:beforeAutospacing="0" w:after="0" w:afterAutospacing="0"/>
        <w:jc w:val="both"/>
        <w:rPr>
          <w:sz w:val="20"/>
          <w:szCs w:val="20"/>
        </w:rPr>
      </w:pPr>
      <w:r>
        <w:rPr>
          <w:sz w:val="20"/>
          <w:szCs w:val="20"/>
        </w:rPr>
        <w:t>Clinical operations expenses increased by $0.4 million, or 7.3%</w:t>
      </w:r>
      <w:r>
        <w:rPr>
          <w:sz w:val="20"/>
          <w:szCs w:val="20"/>
        </w:rPr>
        <w:t xml:space="preserve"> to $6.3 million for the nine months ended September 30, 2022 from $5.9 million for the nine months ended September 30, 2021. This was primarily due to an increase in research tools and subscription expenses partially offset by a decrease in employee-relat</w:t>
      </w:r>
      <w:r>
        <w:rPr>
          <w:sz w:val="20"/>
          <w:szCs w:val="20"/>
        </w:rPr>
        <w:t>ed costs, inclusive of non-cash stock compensation expense</w:t>
      </w:r>
      <w:r>
        <w:rPr>
          <w:sz w:val="20"/>
          <w:szCs w:val="20"/>
        </w:rPr>
        <w:t>.</w:t>
      </w:r>
    </w:p>
    <w:p w:rsidR="00000000" w:rsidRDefault="0043639B">
      <w:pPr>
        <w:pStyle w:val="a3"/>
        <w:spacing w:before="0" w:beforeAutospacing="0" w:after="0" w:afterAutospacing="0"/>
        <w:jc w:val="center"/>
        <w:rPr>
          <w:sz w:val="20"/>
          <w:szCs w:val="20"/>
        </w:rPr>
      </w:pPr>
      <w:r>
        <w:rPr>
          <w:sz w:val="20"/>
          <w:szCs w:val="20"/>
        </w:rPr>
        <w:t>2</w:t>
      </w:r>
      <w:r>
        <w:rPr>
          <w:sz w:val="20"/>
          <w:szCs w:val="20"/>
        </w:rPr>
        <w:t>2</w:t>
      </w:r>
    </w:p>
    <w:p w:rsidR="00000000" w:rsidRDefault="0043639B">
      <w:pPr>
        <w:rPr>
          <w:rFonts w:eastAsia="Times New Roman"/>
        </w:rPr>
      </w:pPr>
      <w:r>
        <w:rPr>
          <w:rFonts w:eastAsia="Times New Roman"/>
        </w:rPr>
        <w:pict>
          <v:rect id="_x0000_i1046"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240" w:beforeAutospacing="0" w:after="0" w:afterAutospacing="0"/>
        <w:jc w:val="both"/>
        <w:rPr>
          <w:sz w:val="20"/>
          <w:szCs w:val="20"/>
        </w:rPr>
      </w:pPr>
      <w:r>
        <w:rPr>
          <w:b/>
          <w:bCs/>
          <w:sz w:val="20"/>
          <w:szCs w:val="20"/>
        </w:rPr>
        <w:t>Sales and marketing expense</w:t>
      </w:r>
      <w:r>
        <w:rPr>
          <w:b/>
          <w:bCs/>
          <w:sz w:val="20"/>
          <w:szCs w:val="20"/>
        </w:rPr>
        <w:t>s</w:t>
      </w:r>
      <w:r>
        <w:rPr>
          <w:b/>
          <w:bCs/>
          <w:i/>
          <w:iCs/>
          <w:sz w:val="20"/>
          <w:szCs w:val="20"/>
        </w:rPr>
        <w:t>.</w:t>
      </w:r>
      <w:r>
        <w:rPr>
          <w:b/>
          <w:bCs/>
          <w:sz w:val="20"/>
          <w:szCs w:val="20"/>
        </w:rPr>
        <w:t xml:space="preserve"> </w:t>
      </w:r>
      <w:r>
        <w:rPr>
          <w:sz w:val="20"/>
          <w:szCs w:val="20"/>
        </w:rPr>
        <w:t>Sales and marketing expenses decreased by $8.1 million, or 30.5%, to $18.4 million for the three months ended September 30, 2022 from $26.4 million for the three months ended September 30, 2021. The decrease in sales and marketing expenses primarily consis</w:t>
      </w:r>
      <w:r>
        <w:rPr>
          <w:sz w:val="20"/>
          <w:szCs w:val="20"/>
        </w:rPr>
        <w:t>ted of a decrease in direct marketing and promotional costs for our B2C business</w:t>
      </w:r>
      <w:r>
        <w:rPr>
          <w:sz w:val="20"/>
          <w:szCs w:val="20"/>
        </w:rPr>
        <w:t>.</w:t>
      </w:r>
    </w:p>
    <w:p w:rsidR="00000000" w:rsidRDefault="0043639B">
      <w:pPr>
        <w:pStyle w:val="a3"/>
        <w:spacing w:before="240" w:beforeAutospacing="0" w:after="0" w:afterAutospacing="0"/>
        <w:jc w:val="both"/>
        <w:rPr>
          <w:sz w:val="20"/>
          <w:szCs w:val="20"/>
        </w:rPr>
      </w:pPr>
      <w:r>
        <w:rPr>
          <w:sz w:val="20"/>
          <w:szCs w:val="20"/>
        </w:rPr>
        <w:t xml:space="preserve">Sales and marketing expenses decreased by $16.4 million, or 21.8%, to $58.7 million for the nine months ended September 30, 2022 from $75.1 million for the nine months ended </w:t>
      </w:r>
      <w:r>
        <w:rPr>
          <w:sz w:val="20"/>
          <w:szCs w:val="20"/>
        </w:rPr>
        <w:t>September 30, 2021. The decrease in sales and marketing expenses primarily consisted of a decrease in direct marketing and promotional costs for our B2C business</w:t>
      </w:r>
      <w:r>
        <w:rPr>
          <w:sz w:val="20"/>
          <w:szCs w:val="20"/>
        </w:rPr>
        <w:t>.</w:t>
      </w:r>
    </w:p>
    <w:p w:rsidR="00000000" w:rsidRDefault="0043639B">
      <w:pPr>
        <w:pStyle w:val="a3"/>
        <w:spacing w:before="240" w:beforeAutospacing="0" w:after="0" w:afterAutospacing="0"/>
        <w:jc w:val="both"/>
        <w:rPr>
          <w:sz w:val="20"/>
          <w:szCs w:val="20"/>
        </w:rPr>
      </w:pPr>
      <w:r>
        <w:rPr>
          <w:b/>
          <w:bCs/>
          <w:sz w:val="20"/>
          <w:szCs w:val="20"/>
        </w:rPr>
        <w:t>General and administrative expenses</w:t>
      </w:r>
      <w:r>
        <w:rPr>
          <w:b/>
          <w:bCs/>
          <w:sz w:val="20"/>
          <w:szCs w:val="20"/>
        </w:rPr>
        <w:t>.</w:t>
      </w:r>
      <w:r>
        <w:rPr>
          <w:sz w:val="20"/>
          <w:szCs w:val="20"/>
        </w:rPr>
        <w:t xml:space="preserve"> General and administrative expenses increased by $0.9 mi</w:t>
      </w:r>
      <w:r>
        <w:rPr>
          <w:sz w:val="20"/>
          <w:szCs w:val="20"/>
        </w:rPr>
        <w:t>llion, or 12.8%, to $7.7 million for the three months ended September 30, 2022 from $6.8 million for the three months ended September 30, 2021. This was driven primarily by an increase in professional fees, insurance costs, and employee-related costs, incl</w:t>
      </w:r>
      <w:r>
        <w:rPr>
          <w:sz w:val="20"/>
          <w:szCs w:val="20"/>
        </w:rPr>
        <w:t>usive of non-cash stock compensation expense</w:t>
      </w:r>
      <w:r>
        <w:rPr>
          <w:sz w:val="20"/>
          <w:szCs w:val="20"/>
        </w:rPr>
        <w:t>.</w:t>
      </w:r>
    </w:p>
    <w:p w:rsidR="00000000" w:rsidRDefault="0043639B">
      <w:pPr>
        <w:pStyle w:val="a3"/>
        <w:spacing w:before="240" w:beforeAutospacing="0" w:after="0" w:afterAutospacing="0"/>
        <w:jc w:val="both"/>
        <w:rPr>
          <w:sz w:val="20"/>
          <w:szCs w:val="20"/>
        </w:rPr>
      </w:pPr>
      <w:r>
        <w:rPr>
          <w:sz w:val="20"/>
          <w:szCs w:val="20"/>
        </w:rPr>
        <w:t xml:space="preserve">General and administrative expenses increased by $1.4 million, or 5.9%, to $24.5 million for the nine months ended September 30, 2022 from $23.1 million for the nine months ended September 30, 2021. This was driven primarily by an increase in professional </w:t>
      </w:r>
      <w:r>
        <w:rPr>
          <w:sz w:val="20"/>
          <w:szCs w:val="20"/>
        </w:rPr>
        <w:t>fees and insurance costs partially offset by a decrease in employee-related costs, inclusive of non-cash stock compensation expense</w:t>
      </w:r>
      <w:r>
        <w:rPr>
          <w:sz w:val="20"/>
          <w:szCs w:val="20"/>
        </w:rPr>
        <w:t>.</w:t>
      </w:r>
    </w:p>
    <w:p w:rsidR="00000000" w:rsidRDefault="0043639B">
      <w:pPr>
        <w:pStyle w:val="a3"/>
        <w:spacing w:before="240" w:beforeAutospacing="0" w:after="0" w:afterAutospacing="0"/>
        <w:jc w:val="both"/>
        <w:rPr>
          <w:sz w:val="20"/>
          <w:szCs w:val="20"/>
        </w:rPr>
      </w:pPr>
      <w:r>
        <w:rPr>
          <w:b/>
          <w:bCs/>
          <w:sz w:val="20"/>
          <w:szCs w:val="20"/>
        </w:rPr>
        <w:t>Financial income, ne</w:t>
      </w:r>
      <w:r>
        <w:rPr>
          <w:b/>
          <w:bCs/>
          <w:sz w:val="20"/>
          <w:szCs w:val="20"/>
        </w:rPr>
        <w:t>t</w:t>
      </w:r>
      <w:r>
        <w:rPr>
          <w:b/>
          <w:bCs/>
          <w:i/>
          <w:iCs/>
          <w:sz w:val="20"/>
          <w:szCs w:val="20"/>
        </w:rPr>
        <w:t>.</w:t>
      </w:r>
      <w:r>
        <w:rPr>
          <w:b/>
          <w:bCs/>
          <w:sz w:val="20"/>
          <w:szCs w:val="20"/>
        </w:rPr>
        <w:t xml:space="preserve"> </w:t>
      </w:r>
      <w:r>
        <w:rPr>
          <w:sz w:val="20"/>
          <w:szCs w:val="20"/>
        </w:rPr>
        <w:t>Financial income, net was $1.9 million for the three months ended September 30, 2022, compared to fi</w:t>
      </w:r>
      <w:r>
        <w:rPr>
          <w:sz w:val="20"/>
          <w:szCs w:val="20"/>
        </w:rPr>
        <w:t>nancial income, net of $26.7 million for the three months ended September 30, 2021. For the three months ended September 30, 2022 and 2021, financial income, net was primarily driven by non-cash gains resulting from the revaluation of warrant liabilities</w:t>
      </w:r>
      <w:r>
        <w:rPr>
          <w:sz w:val="20"/>
          <w:szCs w:val="20"/>
        </w:rPr>
        <w:t>.</w:t>
      </w:r>
    </w:p>
    <w:p w:rsidR="00000000" w:rsidRDefault="0043639B">
      <w:pPr>
        <w:pStyle w:val="a3"/>
        <w:spacing w:before="240" w:beforeAutospacing="0" w:after="0" w:afterAutospacing="0"/>
        <w:jc w:val="both"/>
        <w:rPr>
          <w:sz w:val="20"/>
          <w:szCs w:val="20"/>
        </w:rPr>
      </w:pPr>
      <w:r>
        <w:rPr>
          <w:sz w:val="20"/>
          <w:szCs w:val="20"/>
        </w:rPr>
        <w:t>Financial income, net was $0.9 million for the nine months ended September 30, 2022, compared to financial income, net of $23.7 million for the nine months ended September 30, 2021. For the nine months ended September 30, 2022, financial income, net, prima</w:t>
      </w:r>
      <w:r>
        <w:rPr>
          <w:sz w:val="20"/>
          <w:szCs w:val="20"/>
        </w:rPr>
        <w:t xml:space="preserve">rily consisted of $0.4 million in non-cash gains resulting from the revaluation of warrant liabilities. For the nine months ended September 30, 2021, the change in financial income, net was primarily driven by non-cash gains resulting from the revaluation </w:t>
      </w:r>
      <w:r>
        <w:rPr>
          <w:sz w:val="20"/>
          <w:szCs w:val="20"/>
        </w:rPr>
        <w:t>of warrant liabilities, partially offset by $4.2 million in warrant issuance costs related to the closing of the Business Combination</w:t>
      </w:r>
      <w:r>
        <w:rPr>
          <w:sz w:val="20"/>
          <w:szCs w:val="20"/>
        </w:rPr>
        <w:t>.</w:t>
      </w:r>
    </w:p>
    <w:p w:rsidR="00000000" w:rsidRDefault="0043639B">
      <w:pPr>
        <w:pStyle w:val="a3"/>
        <w:spacing w:before="240" w:beforeAutospacing="0" w:after="0" w:afterAutospacing="0"/>
        <w:rPr>
          <w:sz w:val="20"/>
          <w:szCs w:val="20"/>
        </w:rPr>
      </w:pPr>
      <w:r>
        <w:rPr>
          <w:b/>
          <w:bCs/>
          <w:sz w:val="20"/>
          <w:szCs w:val="20"/>
        </w:rPr>
        <w:t>Liquidity and Capital Resource</w:t>
      </w:r>
      <w:r>
        <w:rPr>
          <w:b/>
          <w:bCs/>
          <w:sz w:val="20"/>
          <w:szCs w:val="20"/>
        </w:rPr>
        <w:t>s</w:t>
      </w:r>
      <w:r>
        <w:rPr>
          <w:b/>
          <w:bCs/>
          <w:sz w:val="20"/>
          <w:szCs w:val="20"/>
        </w:rPr>
        <w:t xml:space="preserve"> </w:t>
      </w:r>
    </w:p>
    <w:p w:rsidR="00000000" w:rsidRDefault="0043639B">
      <w:pPr>
        <w:pStyle w:val="a3"/>
        <w:spacing w:before="240" w:beforeAutospacing="0" w:after="0" w:afterAutospacing="0"/>
        <w:jc w:val="both"/>
        <w:rPr>
          <w:sz w:val="20"/>
          <w:szCs w:val="20"/>
        </w:rPr>
      </w:pPr>
      <w:r>
        <w:rPr>
          <w:sz w:val="20"/>
          <w:szCs w:val="20"/>
        </w:rPr>
        <w:t>As of September 30, 2022, we had $152.6 million of cash and cash equivalents ($198.3 mil</w:t>
      </w:r>
      <w:r>
        <w:rPr>
          <w:sz w:val="20"/>
          <w:szCs w:val="20"/>
        </w:rPr>
        <w:t>lion as of December 31, 2021), which we use to finance our operations. We had no debt as of September 30, 2022 or December 31, 2021. We expect to generate operating losses for the foreseeable future</w:t>
      </w:r>
      <w:r>
        <w:rPr>
          <w:sz w:val="20"/>
          <w:szCs w:val="20"/>
        </w:rPr>
        <w:t>.</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sz w:val="20"/>
          <w:szCs w:val="20"/>
        </w:rPr>
        <w:t>Our primary cash needs are to fund operating activitie</w:t>
      </w:r>
      <w:r>
        <w:rPr>
          <w:sz w:val="20"/>
          <w:szCs w:val="20"/>
        </w:rPr>
        <w:t>s and invest in technology development. Our future capital requirements will depend on many factors including our growth rate, contract renewal activity, the timing and extent of investments to support product development efforts, our expansion of sales an</w:t>
      </w:r>
      <w:r>
        <w:rPr>
          <w:sz w:val="20"/>
          <w:szCs w:val="20"/>
        </w:rPr>
        <w:t>d marketing activities, the introduction of new and enhanced service offerings, and the continuing market acceptance of virtual behavioral services. Additionally, we may in the future enter into arrangements to acquire or invest in complementary businesses</w:t>
      </w:r>
      <w:r>
        <w:rPr>
          <w:sz w:val="20"/>
          <w:szCs w:val="20"/>
        </w:rPr>
        <w:t>, services and technologies</w:t>
      </w:r>
      <w:r>
        <w:rPr>
          <w:sz w:val="20"/>
          <w:szCs w:val="20"/>
        </w:rPr>
        <w:t>.</w:t>
      </w:r>
      <w:r>
        <w:rPr>
          <w:sz w:val="20"/>
          <w:szCs w:val="20"/>
        </w:rPr>
        <w:t xml:space="preserve"> </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sz w:val="20"/>
          <w:szCs w:val="20"/>
        </w:rPr>
        <w:t>We currently anticipate to be able to fund our cash needs for at least the foreseeable future using available cash and cash equivalent balances as of September 30, 2022. However, in the future we may require additional capit</w:t>
      </w:r>
      <w:r>
        <w:rPr>
          <w:sz w:val="20"/>
          <w:szCs w:val="20"/>
        </w:rPr>
        <w:t>al to respond to technological advancements, competitive dynamics or technologies, customer demands, business opportunities, challenges, acquisitions or unforeseen circumstances and we may determine to engage in equity or debt financings or enter into cred</w:t>
      </w:r>
      <w:r>
        <w:rPr>
          <w:sz w:val="20"/>
          <w:szCs w:val="20"/>
        </w:rPr>
        <w:t>it facilities for other reasons. We may not be able to timely secure additional debt or equity financing on favorable terms, or at all. If we raise additional funds through the issuance of equity or convertible debt or other equity-linked securities, our e</w:t>
      </w:r>
      <w:r>
        <w:rPr>
          <w:sz w:val="20"/>
          <w:szCs w:val="20"/>
        </w:rPr>
        <w:t>xisting stockholders could experience significant dilution. Any debt financing obtained by us in the future could involve restrictive covenants relating to our capital raising activities and other financial and operational matters, which may make it more d</w:t>
      </w:r>
      <w:r>
        <w:rPr>
          <w:sz w:val="20"/>
          <w:szCs w:val="20"/>
        </w:rPr>
        <w:t>ifficult for us to obtain additional capital and to pursue business opportunities, including potential acquisitions</w:t>
      </w:r>
      <w:r>
        <w:rPr>
          <w:sz w:val="20"/>
          <w:szCs w:val="20"/>
        </w:rPr>
        <w:t>.</w:t>
      </w:r>
      <w:r>
        <w:rPr>
          <w:sz w:val="20"/>
          <w:szCs w:val="20"/>
        </w:rPr>
        <w:t xml:space="preserve"> </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sz w:val="20"/>
          <w:szCs w:val="20"/>
        </w:rPr>
        <w:t>If we are unable to obtain adequate financing or financing on terms satisfactory to us, when we require it, our ability to continue to g</w:t>
      </w:r>
      <w:r>
        <w:rPr>
          <w:sz w:val="20"/>
          <w:szCs w:val="20"/>
        </w:rPr>
        <w:t>row or support our business and to respond to business challenges could be significantly limited</w:t>
      </w:r>
      <w:r>
        <w:rPr>
          <w:sz w:val="20"/>
          <w:szCs w:val="20"/>
        </w:rPr>
        <w:t>.</w:t>
      </w:r>
      <w:r>
        <w:rPr>
          <w:sz w:val="20"/>
          <w:szCs w:val="20"/>
        </w:rPr>
        <w:t xml:space="preserve"> </w:t>
      </w:r>
    </w:p>
    <w:p w:rsidR="00000000" w:rsidRDefault="0043639B">
      <w:pPr>
        <w:pStyle w:val="a3"/>
        <w:spacing w:before="0" w:beforeAutospacing="0" w:after="0" w:afterAutospacing="0"/>
        <w:jc w:val="center"/>
        <w:rPr>
          <w:sz w:val="20"/>
          <w:szCs w:val="20"/>
        </w:rPr>
      </w:pPr>
      <w:r>
        <w:rPr>
          <w:sz w:val="20"/>
          <w:szCs w:val="20"/>
        </w:rPr>
        <w:t>2</w:t>
      </w:r>
      <w:r>
        <w:rPr>
          <w:sz w:val="20"/>
          <w:szCs w:val="20"/>
        </w:rPr>
        <w:t>3</w:t>
      </w:r>
    </w:p>
    <w:p w:rsidR="00000000" w:rsidRDefault="0043639B">
      <w:pPr>
        <w:rPr>
          <w:rFonts w:eastAsia="Times New Roman"/>
        </w:rPr>
      </w:pPr>
      <w:r>
        <w:rPr>
          <w:rFonts w:eastAsia="Times New Roman"/>
        </w:rPr>
        <w:pict>
          <v:rect id="_x0000_i1047"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240" w:beforeAutospacing="0" w:after="0" w:afterAutospacing="0"/>
        <w:rPr>
          <w:sz w:val="20"/>
          <w:szCs w:val="20"/>
        </w:rPr>
      </w:pPr>
      <w:r>
        <w:rPr>
          <w:b/>
          <w:bCs/>
          <w:i/>
          <w:iCs/>
          <w:sz w:val="20"/>
          <w:szCs w:val="20"/>
        </w:rPr>
        <w:t>Cash Flows from Operating, Investing and Financing Activitie</w:t>
      </w:r>
      <w:r>
        <w:rPr>
          <w:b/>
          <w:bCs/>
          <w:i/>
          <w:iCs/>
          <w:sz w:val="20"/>
          <w:szCs w:val="20"/>
        </w:rPr>
        <w:t>s</w:t>
      </w:r>
      <w:r>
        <w:rPr>
          <w:b/>
          <w:bCs/>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The fo</w:t>
      </w:r>
      <w:r>
        <w:rPr>
          <w:sz w:val="20"/>
          <w:szCs w:val="20"/>
        </w:rPr>
        <w:t>llowing table presents the summary condensed consolidated cash flow information for the periods presented</w:t>
      </w:r>
      <w:r>
        <w:rPr>
          <w:sz w:val="20"/>
          <w:szCs w:val="20"/>
        </w:rPr>
        <w:t>:</w:t>
      </w:r>
      <w:r>
        <w:rPr>
          <w:sz w:val="20"/>
          <w:szCs w:val="20"/>
        </w:rPr>
        <w:t xml:space="preserve"> </w:t>
      </w:r>
    </w:p>
    <w:p w:rsidR="00000000" w:rsidRDefault="0043639B">
      <w:pPr>
        <w:pStyle w:val="a3"/>
        <w:spacing w:before="240" w:beforeAutospacing="0" w:after="0" w:afterAutospacing="0"/>
        <w:rPr>
          <w:sz w:val="20"/>
          <w:szCs w:val="20"/>
        </w:rPr>
      </w:pPr>
      <w:r>
        <w:rPr>
          <w:b/>
          <w:bCs/>
          <w:i/>
          <w:iCs/>
          <w:sz w:val="20"/>
          <w:szCs w:val="20"/>
        </w:rPr>
        <w:t>Cash Flow</w:t>
      </w:r>
      <w:r>
        <w:rPr>
          <w:b/>
          <w:bCs/>
          <w:i/>
          <w:iCs/>
          <w:sz w:val="20"/>
          <w:szCs w:val="20"/>
        </w:rPr>
        <w:t>s</w:t>
      </w:r>
      <w:r>
        <w:rPr>
          <w:b/>
          <w:bCs/>
          <w:i/>
          <w:iCs/>
          <w:sz w:val="20"/>
          <w:szCs w:val="20"/>
        </w:rPr>
        <w:t xml:space="preserve"> </w:t>
      </w:r>
    </w:p>
    <w:p w:rsidR="00000000" w:rsidRDefault="0043639B">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910"/>
        <w:gridCol w:w="155"/>
        <w:gridCol w:w="160"/>
        <w:gridCol w:w="1239"/>
        <w:gridCol w:w="127"/>
        <w:gridCol w:w="155"/>
        <w:gridCol w:w="160"/>
        <w:gridCol w:w="1258"/>
        <w:gridCol w:w="142"/>
      </w:tblGrid>
      <w:tr w:rsidR="00000000">
        <w:trPr>
          <w:tblCellSpacing w:w="15" w:type="dxa"/>
        </w:trPr>
        <w:tc>
          <w:tcPr>
            <w:tcW w:w="3053" w:type="pct"/>
            <w:vAlign w:val="center"/>
            <w:hideMark/>
          </w:tcPr>
          <w:p w:rsidR="00000000" w:rsidRDefault="0043639B">
            <w:pPr>
              <w:rPr>
                <w:sz w:val="20"/>
                <w:szCs w:val="20"/>
              </w:rPr>
            </w:pPr>
          </w:p>
        </w:tc>
        <w:tc>
          <w:tcPr>
            <w:tcW w:w="95"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771"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95"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c>
          <w:tcPr>
            <w:tcW w:w="782" w:type="pct"/>
            <w:vAlign w:val="center"/>
            <w:hideMark/>
          </w:tcPr>
          <w:p w:rsidR="00000000" w:rsidRDefault="0043639B">
            <w:pPr>
              <w:rPr>
                <w:rFonts w:eastAsia="Times New Roman"/>
                <w:sz w:val="20"/>
                <w:szCs w:val="20"/>
              </w:rPr>
            </w:pPr>
          </w:p>
        </w:tc>
        <w:tc>
          <w:tcPr>
            <w:tcW w:w="50" w:type="pct"/>
            <w:vAlign w:val="center"/>
            <w:hideMark/>
          </w:tcPr>
          <w:p w:rsidR="00000000" w:rsidRDefault="0043639B">
            <w:pPr>
              <w:rPr>
                <w:rFonts w:eastAsia="Times New Roman"/>
                <w:sz w:val="20"/>
                <w:szCs w:val="20"/>
              </w:rPr>
            </w:pPr>
          </w:p>
        </w:tc>
      </w:tr>
      <w:tr w:rsidR="00000000">
        <w:trPr>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b/>
                <w:bCs/>
                <w:sz w:val="16"/>
                <w:szCs w:val="16"/>
              </w:rPr>
              <w:t>Unaudite</w:t>
            </w:r>
            <w:r>
              <w:rPr>
                <w:b/>
                <w:bCs/>
                <w:sz w:val="16"/>
                <w:szCs w:val="16"/>
              </w:rPr>
              <w:t>d</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6"/>
            <w:vAlign w:val="bottom"/>
            <w:hideMark/>
          </w:tcPr>
          <w:p w:rsidR="00000000" w:rsidRDefault="0043639B">
            <w:pPr>
              <w:pStyle w:val="a3"/>
              <w:spacing w:before="0" w:beforeAutospacing="0" w:after="0" w:afterAutospacing="0"/>
              <w:jc w:val="center"/>
              <w:rPr>
                <w:sz w:val="16"/>
                <w:szCs w:val="16"/>
              </w:rPr>
            </w:pPr>
            <w:r>
              <w:rPr>
                <w:b/>
                <w:bCs/>
                <w:sz w:val="16"/>
                <w:szCs w:val="16"/>
              </w:rPr>
              <w:t>Nine Months Ended</w:t>
            </w:r>
            <w:r>
              <w:rPr>
                <w:b/>
                <w:bCs/>
                <w:sz w:val="16"/>
                <w:szCs w:val="16"/>
              </w:rPr>
              <w:br/>
              <w:t>September 30</w:t>
            </w:r>
            <w:r>
              <w:rPr>
                <w:b/>
                <w:bCs/>
                <w:sz w:val="16"/>
                <w:szCs w:val="16"/>
              </w:rPr>
              <w:t>,</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160"/>
          <w:tblCellSpacing w:w="15" w:type="dxa"/>
        </w:trPr>
        <w:tc>
          <w:tcPr>
            <w:tcW w:w="0" w:type="auto"/>
            <w:vAlign w:val="bottom"/>
            <w:hideMark/>
          </w:tcPr>
          <w:p w:rsidR="00000000" w:rsidRDefault="0043639B">
            <w:pPr>
              <w:pStyle w:val="a3"/>
              <w:spacing w:before="0" w:beforeAutospacing="0" w:after="0" w:afterAutospacing="0"/>
              <w:rPr>
                <w:sz w:val="16"/>
                <w:szCs w:val="16"/>
              </w:rPr>
            </w:pPr>
            <w:r>
              <w:rPr>
                <w:i/>
                <w:iCs/>
                <w:sz w:val="16"/>
                <w:szCs w:val="16"/>
              </w:rPr>
              <w:t>(in thousands</w:t>
            </w:r>
            <w:r>
              <w:rPr>
                <w:i/>
                <w:iCs/>
                <w:sz w:val="16"/>
                <w:szCs w:val="16"/>
              </w:rPr>
              <w:t>)</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2</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c>
          <w:tcPr>
            <w:tcW w:w="0" w:type="auto"/>
            <w:vAlign w:val="bottom"/>
            <w:hideMark/>
          </w:tcPr>
          <w:p w:rsidR="00000000" w:rsidRDefault="0043639B">
            <w:pPr>
              <w:pStyle w:val="a3"/>
              <w:spacing w:before="0" w:beforeAutospacing="0" w:after="0" w:afterAutospacing="0"/>
              <w:rPr>
                <w:sz w:val="16"/>
                <w:szCs w:val="16"/>
              </w:rPr>
            </w:pPr>
            <w:r>
              <w:rPr>
                <w:sz w:val="16"/>
                <w:szCs w:val="16"/>
              </w:rPr>
              <w:t> </w:t>
            </w:r>
          </w:p>
        </w:tc>
        <w:tc>
          <w:tcPr>
            <w:tcW w:w="0" w:type="auto"/>
            <w:gridSpan w:val="2"/>
            <w:vAlign w:val="bottom"/>
            <w:hideMark/>
          </w:tcPr>
          <w:p w:rsidR="00000000" w:rsidRDefault="0043639B">
            <w:pPr>
              <w:pStyle w:val="a3"/>
              <w:spacing w:before="0" w:beforeAutospacing="0" w:after="0" w:afterAutospacing="0"/>
              <w:jc w:val="center"/>
              <w:rPr>
                <w:sz w:val="16"/>
                <w:szCs w:val="16"/>
              </w:rPr>
            </w:pPr>
            <w:r>
              <w:rPr>
                <w:b/>
                <w:bCs/>
                <w:sz w:val="16"/>
                <w:szCs w:val="16"/>
              </w:rPr>
              <w:t>202</w:t>
            </w:r>
            <w:r>
              <w:rPr>
                <w:b/>
                <w:bCs/>
                <w:sz w:val="16"/>
                <w:szCs w:val="16"/>
              </w:rPr>
              <w:t>1</w:t>
            </w:r>
          </w:p>
        </w:tc>
        <w:tc>
          <w:tcPr>
            <w:tcW w:w="0" w:type="auto"/>
            <w:vAlign w:val="bottom"/>
            <w:hideMark/>
          </w:tcPr>
          <w:p w:rsidR="00000000" w:rsidRDefault="0043639B">
            <w:pPr>
              <w:pStyle w:val="a3"/>
              <w:spacing w:before="0" w:beforeAutospacing="0" w:after="0" w:afterAutospacing="0"/>
              <w:jc w:val="center"/>
              <w:rPr>
                <w:sz w:val="16"/>
                <w:szCs w:val="16"/>
              </w:rPr>
            </w:pPr>
            <w:r>
              <w:rPr>
                <w:sz w:val="16"/>
                <w:szCs w:val="16"/>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Net cash used in operating activitie</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(46,85</w:t>
            </w:r>
            <w:r>
              <w:rPr>
                <w:sz w:val="20"/>
                <w:szCs w:val="20"/>
              </w:rPr>
              <w:t>6</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(41,10</w:t>
            </w:r>
            <w:r>
              <w:rPr>
                <w:sz w:val="20"/>
                <w:szCs w:val="20"/>
              </w:rPr>
              <w:t>9</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Net cash used in investing activitie</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(25</w:t>
            </w:r>
            <w:r>
              <w:rPr>
                <w:sz w:val="20"/>
                <w:szCs w:val="20"/>
              </w:rPr>
              <w:t>4</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(62</w:t>
            </w:r>
            <w:r>
              <w:rPr>
                <w:sz w:val="20"/>
                <w:szCs w:val="20"/>
              </w:rPr>
              <w:t>2</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Net cash provided by financing activitie</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1,49</w:t>
            </w:r>
            <w:r>
              <w:rPr>
                <w:sz w:val="20"/>
                <w:szCs w:val="20"/>
              </w:rPr>
              <w:t>3</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251,34</w:t>
            </w:r>
            <w:r>
              <w:rPr>
                <w:sz w:val="20"/>
                <w:szCs w:val="20"/>
              </w:rPr>
              <w:t>8</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hideMark/>
          </w:tcPr>
          <w:p w:rsidR="00000000" w:rsidRDefault="0043639B">
            <w:pPr>
              <w:pStyle w:val="a3"/>
              <w:spacing w:before="0" w:beforeAutospacing="0" w:after="0" w:afterAutospacing="0"/>
              <w:rPr>
                <w:sz w:val="20"/>
                <w:szCs w:val="20"/>
              </w:rPr>
            </w:pPr>
            <w:r>
              <w:rPr>
                <w:sz w:val="20"/>
                <w:szCs w:val="20"/>
              </w:rPr>
              <w:t>Net (decrease) increase in cash and cash equivalent</w:t>
            </w:r>
            <w:r>
              <w:rPr>
                <w:sz w:val="20"/>
                <w:szCs w:val="20"/>
              </w:rPr>
              <w:t>s</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(45,61</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w:t>
            </w:r>
          </w:p>
        </w:tc>
        <w:tc>
          <w:tcPr>
            <w:tcW w:w="0" w:type="auto"/>
            <w:vAlign w:val="bottom"/>
            <w:hideMark/>
          </w:tcPr>
          <w:p w:rsidR="00000000" w:rsidRDefault="0043639B">
            <w:pPr>
              <w:pStyle w:val="a3"/>
              <w:spacing w:before="0" w:beforeAutospacing="0" w:after="0" w:afterAutospacing="0"/>
              <w:jc w:val="right"/>
              <w:rPr>
                <w:sz w:val="20"/>
                <w:szCs w:val="20"/>
              </w:rPr>
            </w:pPr>
            <w:r>
              <w:rPr>
                <w:sz w:val="20"/>
                <w:szCs w:val="20"/>
              </w:rPr>
              <w:t>209,61</w:t>
            </w:r>
            <w:r>
              <w:rPr>
                <w:sz w:val="20"/>
                <w:szCs w:val="20"/>
              </w:rPr>
              <w:t>7</w:t>
            </w:r>
          </w:p>
        </w:tc>
        <w:tc>
          <w:tcPr>
            <w:tcW w:w="0" w:type="auto"/>
            <w:noWrap/>
            <w:vAlign w:val="bottom"/>
            <w:hideMark/>
          </w:tcPr>
          <w:p w:rsidR="00000000" w:rsidRDefault="0043639B">
            <w:pPr>
              <w:pStyle w:val="a3"/>
              <w:spacing w:before="0" w:beforeAutospacing="0" w:after="0" w:afterAutospacing="0"/>
              <w:rPr>
                <w:sz w:val="20"/>
                <w:szCs w:val="20"/>
              </w:rPr>
            </w:pPr>
            <w:r>
              <w:rPr>
                <w:sz w:val="20"/>
                <w:szCs w:val="20"/>
              </w:rPr>
              <w:t> </w:t>
            </w:r>
          </w:p>
        </w:tc>
      </w:tr>
    </w:tbl>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both"/>
        <w:rPr>
          <w:sz w:val="20"/>
          <w:szCs w:val="20"/>
        </w:rPr>
      </w:pPr>
      <w:r>
        <w:rPr>
          <w:b/>
          <w:bCs/>
          <w:i/>
          <w:iCs/>
          <w:sz w:val="20"/>
          <w:szCs w:val="20"/>
        </w:rPr>
        <w:t>Operating Activitie</w:t>
      </w:r>
      <w:r>
        <w:rPr>
          <w:b/>
          <w:bCs/>
          <w:i/>
          <w:iCs/>
          <w:sz w:val="20"/>
          <w:szCs w:val="20"/>
        </w:rPr>
        <w:t>s</w:t>
      </w:r>
      <w:r>
        <w:rPr>
          <w:b/>
          <w:bCs/>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Net cash used in operating activities was $46.9 million and $41.1 million for the nine months ended September 30, 2022 and 2021, respectively. The increase in net cash used in operating activities was driven primarily by the negative impact of the higher n</w:t>
      </w:r>
      <w:r>
        <w:rPr>
          <w:sz w:val="20"/>
          <w:szCs w:val="20"/>
        </w:rPr>
        <w:t>et loss and the unfavorable timing on collections of receivables during the current-year period offset by non-cash add back of stock based compensation, decrease in current assets and increase in account payables due to favorable timing of payments. The hi</w:t>
      </w:r>
      <w:r>
        <w:rPr>
          <w:sz w:val="20"/>
          <w:szCs w:val="20"/>
        </w:rPr>
        <w:t>gher net loss for the nine months ended September 30, 2022 was driven primarily by an increase in cost of revenues and research and development expenses partially offset by a decrease in sales and marketing expenses</w:t>
      </w:r>
      <w:r>
        <w:rPr>
          <w:sz w:val="20"/>
          <w:szCs w:val="20"/>
        </w:rPr>
        <w:t>.</w:t>
      </w:r>
    </w:p>
    <w:p w:rsidR="00000000" w:rsidRDefault="0043639B">
      <w:pPr>
        <w:pStyle w:val="a3"/>
        <w:spacing w:before="240" w:beforeAutospacing="0" w:after="0" w:afterAutospacing="0"/>
        <w:jc w:val="both"/>
        <w:rPr>
          <w:sz w:val="20"/>
          <w:szCs w:val="20"/>
        </w:rPr>
      </w:pPr>
      <w:r>
        <w:rPr>
          <w:b/>
          <w:bCs/>
          <w:i/>
          <w:iCs/>
          <w:sz w:val="20"/>
          <w:szCs w:val="20"/>
        </w:rPr>
        <w:t>Investing Activitie</w:t>
      </w:r>
      <w:r>
        <w:rPr>
          <w:b/>
          <w:bCs/>
          <w:i/>
          <w:iCs/>
          <w:sz w:val="20"/>
          <w:szCs w:val="20"/>
        </w:rPr>
        <w:t>s</w:t>
      </w:r>
      <w:r>
        <w:rPr>
          <w:b/>
          <w:bCs/>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 xml:space="preserve">Net cash used in </w:t>
      </w:r>
      <w:r>
        <w:rPr>
          <w:sz w:val="20"/>
          <w:szCs w:val="20"/>
        </w:rPr>
        <w:t>investing activities was $0.3 million for the nine months ended September 30, 2022, compared to $0.6 million for the nine months ended September 30, 2021. The change was driven primarily by a decrease in the purchases of computer equipment and software dur</w:t>
      </w:r>
      <w:r>
        <w:rPr>
          <w:sz w:val="20"/>
          <w:szCs w:val="20"/>
        </w:rPr>
        <w:t>ing the nine months ended September 30, 2022 compared to the nine months ended September 30, 2021</w:t>
      </w:r>
      <w:r>
        <w:rPr>
          <w:sz w:val="20"/>
          <w:szCs w:val="20"/>
        </w:rPr>
        <w:t>.</w:t>
      </w:r>
    </w:p>
    <w:p w:rsidR="00000000" w:rsidRDefault="0043639B">
      <w:pPr>
        <w:pStyle w:val="a3"/>
        <w:spacing w:before="240" w:beforeAutospacing="0" w:after="0" w:afterAutospacing="0"/>
        <w:jc w:val="both"/>
        <w:rPr>
          <w:sz w:val="20"/>
          <w:szCs w:val="20"/>
        </w:rPr>
      </w:pPr>
      <w:r>
        <w:rPr>
          <w:b/>
          <w:bCs/>
          <w:i/>
          <w:iCs/>
          <w:sz w:val="20"/>
          <w:szCs w:val="20"/>
        </w:rPr>
        <w:t>Financing Activitie</w:t>
      </w:r>
      <w:r>
        <w:rPr>
          <w:b/>
          <w:bCs/>
          <w:i/>
          <w:iCs/>
          <w:sz w:val="20"/>
          <w:szCs w:val="20"/>
        </w:rPr>
        <w:t>s</w:t>
      </w:r>
      <w:r>
        <w:rPr>
          <w:b/>
          <w:bCs/>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Net cash provided by financing activities was $1.5 million and $251.3 million for the nine months ended September 30, 2022 and 2021, re</w:t>
      </w:r>
      <w:r>
        <w:rPr>
          <w:sz w:val="20"/>
          <w:szCs w:val="20"/>
        </w:rPr>
        <w:t>spectively. The decrease was primarily driven by $251.3 million of proceeds, net of payment of transaction costs, received in the Business Combination during the nine months ended September 31, 2021</w:t>
      </w:r>
      <w:r>
        <w:rPr>
          <w:sz w:val="20"/>
          <w:szCs w:val="20"/>
        </w:rPr>
        <w:t>.</w:t>
      </w:r>
    </w:p>
    <w:p w:rsidR="00000000" w:rsidRDefault="0043639B">
      <w:pPr>
        <w:pStyle w:val="a3"/>
        <w:spacing w:before="240" w:beforeAutospacing="0" w:after="0" w:afterAutospacing="0"/>
        <w:rPr>
          <w:sz w:val="20"/>
          <w:szCs w:val="20"/>
        </w:rPr>
      </w:pPr>
      <w:r>
        <w:rPr>
          <w:b/>
          <w:bCs/>
          <w:sz w:val="20"/>
          <w:szCs w:val="20"/>
        </w:rPr>
        <w:t>Contractual Obligations, Commitments and Contingencie</w:t>
      </w:r>
      <w:r>
        <w:rPr>
          <w:b/>
          <w:bCs/>
          <w:sz w:val="20"/>
          <w:szCs w:val="20"/>
        </w:rPr>
        <w:t>s</w:t>
      </w:r>
      <w:r>
        <w:rPr>
          <w:b/>
          <w:bCs/>
          <w:sz w:val="20"/>
          <w:szCs w:val="20"/>
        </w:rPr>
        <w:t xml:space="preserve"> </w:t>
      </w:r>
    </w:p>
    <w:p w:rsidR="00000000" w:rsidRDefault="0043639B">
      <w:pPr>
        <w:pStyle w:val="a3"/>
        <w:spacing w:before="120" w:beforeAutospacing="0" w:after="0" w:afterAutospacing="0"/>
        <w:jc w:val="both"/>
        <w:rPr>
          <w:sz w:val="20"/>
          <w:szCs w:val="20"/>
        </w:rPr>
      </w:pPr>
      <w:r>
        <w:rPr>
          <w:sz w:val="20"/>
          <w:szCs w:val="20"/>
        </w:rPr>
        <w:t>As of September 30, 2022, we did not have any short-term or long-term debt, capital lease obligations, long-term operating lease obligations, or significant long-term liabilities</w:t>
      </w:r>
      <w:r>
        <w:rPr>
          <w:sz w:val="20"/>
          <w:szCs w:val="20"/>
        </w:rPr>
        <w:t>.</w:t>
      </w:r>
    </w:p>
    <w:p w:rsidR="00000000" w:rsidRDefault="0043639B">
      <w:pPr>
        <w:pStyle w:val="a3"/>
        <w:spacing w:before="240" w:beforeAutospacing="0" w:after="0" w:afterAutospacing="0"/>
        <w:jc w:val="both"/>
        <w:rPr>
          <w:sz w:val="20"/>
          <w:szCs w:val="20"/>
        </w:rPr>
      </w:pPr>
      <w:r>
        <w:rPr>
          <w:sz w:val="20"/>
          <w:szCs w:val="20"/>
        </w:rPr>
        <w:t>Our commercial contract arrangements generally include certain provisions fo</w:t>
      </w:r>
      <w:r>
        <w:rPr>
          <w:sz w:val="20"/>
          <w:szCs w:val="20"/>
        </w:rPr>
        <w:t>r indemnifying clients against liabilities if there is a breach of a client’s data or if our service infringes a third party’s intellectual property rights. To date, we have not incurred any material costs as a result of such indemnifications</w:t>
      </w:r>
      <w:r>
        <w:rPr>
          <w:sz w:val="20"/>
          <w:szCs w:val="20"/>
        </w:rPr>
        <w:t>.</w:t>
      </w:r>
    </w:p>
    <w:p w:rsidR="00000000" w:rsidRDefault="0043639B">
      <w:pPr>
        <w:pStyle w:val="a3"/>
        <w:spacing w:before="240" w:beforeAutospacing="0" w:after="0" w:afterAutospacing="0"/>
        <w:jc w:val="both"/>
        <w:rPr>
          <w:sz w:val="20"/>
          <w:szCs w:val="20"/>
        </w:rPr>
      </w:pPr>
      <w:r>
        <w:rPr>
          <w:sz w:val="20"/>
          <w:szCs w:val="20"/>
        </w:rPr>
        <w:t>We have also</w:t>
      </w:r>
      <w:r>
        <w:rPr>
          <w:sz w:val="20"/>
          <w:szCs w:val="20"/>
        </w:rPr>
        <w:t xml:space="preserve"> agreed to indemnify our officers and directors for costs associated with any fees, expenses, judgments, fines and settlement amounts incurred by any of these persons in any action or proceeding to which any of those persons is, or is threatened to be, mad</w:t>
      </w:r>
      <w:r>
        <w:rPr>
          <w:sz w:val="20"/>
          <w:szCs w:val="20"/>
        </w:rPr>
        <w:t>e a party by reason of the person’s service as a director or officer, including any action by us, arising out of that person’s services as our director or officer or that person’s services provided to any other company or enterprise at our request. We main</w:t>
      </w:r>
      <w:r>
        <w:rPr>
          <w:sz w:val="20"/>
          <w:szCs w:val="20"/>
        </w:rPr>
        <w:t>tain director and officer liability insurance coverage that would generally enable us to recover a portion of any future amounts paid. We may also be subject to indemnification obligations by law with respect to the actions of our employees under certain c</w:t>
      </w:r>
      <w:r>
        <w:rPr>
          <w:sz w:val="20"/>
          <w:szCs w:val="20"/>
        </w:rPr>
        <w:t>ircumstances and in certain jurisdictions</w:t>
      </w:r>
      <w:r>
        <w:rPr>
          <w:sz w:val="20"/>
          <w:szCs w:val="20"/>
        </w:rPr>
        <w:t>.</w:t>
      </w:r>
      <w:r>
        <w:rPr>
          <w:sz w:val="20"/>
          <w:szCs w:val="20"/>
        </w:rPr>
        <w:t xml:space="preserve"> </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2</w:t>
      </w:r>
      <w:r>
        <w:rPr>
          <w:sz w:val="20"/>
          <w:szCs w:val="20"/>
        </w:rPr>
        <w:t>4</w:t>
      </w:r>
    </w:p>
    <w:p w:rsidR="00000000" w:rsidRDefault="0043639B">
      <w:pPr>
        <w:rPr>
          <w:rFonts w:eastAsia="Times New Roman"/>
        </w:rPr>
      </w:pPr>
      <w:r>
        <w:rPr>
          <w:rFonts w:eastAsia="Times New Roman"/>
        </w:rPr>
        <w:pict>
          <v:rect id="_x0000_i1048"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360" w:beforeAutospacing="0" w:after="0" w:afterAutospacing="0"/>
        <w:rPr>
          <w:sz w:val="20"/>
          <w:szCs w:val="20"/>
        </w:rPr>
      </w:pPr>
      <w:r>
        <w:rPr>
          <w:b/>
          <w:bCs/>
          <w:sz w:val="20"/>
          <w:szCs w:val="20"/>
        </w:rPr>
        <w:t>Off-Balance Sheet Arrangement</w:t>
      </w:r>
      <w:r>
        <w:rPr>
          <w:b/>
          <w:bCs/>
          <w:sz w:val="20"/>
          <w:szCs w:val="20"/>
        </w:rPr>
        <w:t>s</w:t>
      </w:r>
      <w:r>
        <w:rPr>
          <w:b/>
          <w:bCs/>
          <w:sz w:val="20"/>
          <w:szCs w:val="20"/>
        </w:rPr>
        <w:t xml:space="preserve"> </w:t>
      </w:r>
    </w:p>
    <w:p w:rsidR="00000000" w:rsidRDefault="0043639B">
      <w:pPr>
        <w:pStyle w:val="a3"/>
        <w:spacing w:before="120" w:beforeAutospacing="0" w:after="0" w:afterAutospacing="0"/>
        <w:jc w:val="both"/>
        <w:rPr>
          <w:sz w:val="20"/>
          <w:szCs w:val="20"/>
        </w:rPr>
      </w:pPr>
      <w:r>
        <w:rPr>
          <w:sz w:val="20"/>
          <w:szCs w:val="20"/>
        </w:rPr>
        <w:t>We do not invest in any off-balance sheet vehicles that provide liquidity, capital resources, market or credit risk support, or engage in any activities that expose us to any liability that is not reflected in our condensed consolidated financial statement</w:t>
      </w:r>
      <w:r>
        <w:rPr>
          <w:sz w:val="20"/>
          <w:szCs w:val="20"/>
        </w:rPr>
        <w:t>s</w:t>
      </w:r>
      <w:r>
        <w:rPr>
          <w:sz w:val="20"/>
          <w:szCs w:val="20"/>
        </w:rPr>
        <w:t>.</w:t>
      </w:r>
      <w:r>
        <w:rPr>
          <w:sz w:val="20"/>
          <w:szCs w:val="20"/>
        </w:rPr>
        <w:t xml:space="preserve"> </w:t>
      </w:r>
    </w:p>
    <w:p w:rsidR="00000000" w:rsidRDefault="0043639B">
      <w:pPr>
        <w:pStyle w:val="a3"/>
        <w:spacing w:before="240" w:beforeAutospacing="0" w:after="0" w:afterAutospacing="0"/>
        <w:jc w:val="both"/>
        <w:rPr>
          <w:sz w:val="20"/>
          <w:szCs w:val="20"/>
        </w:rPr>
      </w:pPr>
      <w:r>
        <w:rPr>
          <w:b/>
          <w:bCs/>
          <w:sz w:val="20"/>
          <w:szCs w:val="20"/>
        </w:rPr>
        <w:t>Critical Accounting Policies and Estimate</w:t>
      </w:r>
      <w:r>
        <w:rPr>
          <w:b/>
          <w:bCs/>
          <w:sz w:val="20"/>
          <w:szCs w:val="20"/>
        </w:rPr>
        <w:t>s</w:t>
      </w:r>
    </w:p>
    <w:p w:rsidR="00000000" w:rsidRDefault="0043639B">
      <w:pPr>
        <w:pStyle w:val="a3"/>
        <w:spacing w:before="120" w:beforeAutospacing="0" w:after="0" w:afterAutospacing="0"/>
        <w:jc w:val="both"/>
        <w:rPr>
          <w:sz w:val="20"/>
          <w:szCs w:val="20"/>
        </w:rPr>
      </w:pPr>
      <w:r>
        <w:rPr>
          <w:sz w:val="20"/>
          <w:szCs w:val="20"/>
        </w:rPr>
        <w:t>The Company’s condensed consolidated financial statements have been prepared in accordance with accounting principles generally accepted in the United States of America. Reference is also made to the Company’s</w:t>
      </w:r>
      <w:r>
        <w:rPr>
          <w:sz w:val="20"/>
          <w:szCs w:val="20"/>
        </w:rPr>
        <w:t xml:space="preserve"> consolidated financial statements and notes thereto found in its Annual Report on Form 10-K for the year ended December 31, 2021</w:t>
      </w:r>
      <w:r>
        <w:rPr>
          <w:sz w:val="20"/>
          <w:szCs w:val="20"/>
        </w:rPr>
        <w:t>.</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sz w:val="20"/>
          <w:szCs w:val="20"/>
        </w:rPr>
        <w:t>The Company’s accounting policies are essential to understanding and interpreting the financial results reported on the con</w:t>
      </w:r>
      <w:r>
        <w:rPr>
          <w:sz w:val="20"/>
          <w:szCs w:val="20"/>
        </w:rPr>
        <w:t>densed consolidated financial statements. The significant accounting policies used in the preparation of the Company’s audited consolidated financial statements are summarized in Note 2 to those financial statements in the Company’s Annual Report on Form 1</w:t>
      </w:r>
      <w:r>
        <w:rPr>
          <w:sz w:val="20"/>
          <w:szCs w:val="20"/>
        </w:rPr>
        <w:t>0-K for the year ended December 31, 2021. Certain of those policies are considered to be particularly important to the presentation of the Company's financial results because they require management to make difficult, complex or subjective judgments, often</w:t>
      </w:r>
      <w:r>
        <w:rPr>
          <w:sz w:val="20"/>
          <w:szCs w:val="20"/>
        </w:rPr>
        <w:t xml:space="preserve"> as a result of matters that are inherently uncertain</w:t>
      </w:r>
      <w:r>
        <w:rPr>
          <w:sz w:val="20"/>
          <w:szCs w:val="20"/>
        </w:rPr>
        <w:t>.</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sz w:val="20"/>
          <w:szCs w:val="20"/>
        </w:rPr>
        <w:t>During the nine months ended September 30, 2022, there were no material changes to matters discussed under the heading “Critical Accounting Policies and Estimates” in Part II, Item 7 of the Company’s Annual Report on Form 10-K for the year ended December 3</w:t>
      </w:r>
      <w:r>
        <w:rPr>
          <w:sz w:val="20"/>
          <w:szCs w:val="20"/>
        </w:rPr>
        <w:t>1, 2021</w:t>
      </w:r>
      <w:r>
        <w:rPr>
          <w:sz w:val="20"/>
          <w:szCs w:val="20"/>
        </w:rPr>
        <w:t>.</w:t>
      </w:r>
    </w:p>
    <w:p w:rsidR="00000000" w:rsidRDefault="0043639B">
      <w:pPr>
        <w:pStyle w:val="a3"/>
        <w:spacing w:before="240" w:beforeAutospacing="0" w:after="0" w:afterAutospacing="0"/>
        <w:rPr>
          <w:sz w:val="20"/>
          <w:szCs w:val="20"/>
        </w:rPr>
      </w:pPr>
      <w:r>
        <w:rPr>
          <w:b/>
          <w:bCs/>
          <w:sz w:val="20"/>
          <w:szCs w:val="20"/>
        </w:rPr>
        <w:t>Recent Accounting Pronouncement</w:t>
      </w:r>
      <w:r>
        <w:rPr>
          <w:b/>
          <w:bCs/>
          <w:sz w:val="20"/>
          <w:szCs w:val="20"/>
        </w:rPr>
        <w:t>s</w:t>
      </w:r>
      <w:r>
        <w:rPr>
          <w:b/>
          <w:bCs/>
          <w:sz w:val="20"/>
          <w:szCs w:val="20"/>
        </w:rPr>
        <w:t xml:space="preserve"> </w:t>
      </w:r>
    </w:p>
    <w:p w:rsidR="00000000" w:rsidRDefault="0043639B">
      <w:pPr>
        <w:pStyle w:val="a3"/>
        <w:spacing w:before="120" w:beforeAutospacing="0" w:after="0" w:afterAutospacing="0"/>
        <w:jc w:val="both"/>
        <w:rPr>
          <w:sz w:val="20"/>
          <w:szCs w:val="20"/>
        </w:rPr>
      </w:pPr>
      <w:r>
        <w:rPr>
          <w:sz w:val="20"/>
          <w:szCs w:val="20"/>
        </w:rPr>
        <w:t>Information regarding recent accounting developments and their impact on our results can be found in “Part I, Item 1. Financial Statements – Note 2 – Significant Accounting Policies” of this Quarterly Report</w:t>
      </w:r>
      <w:r>
        <w:rPr>
          <w:sz w:val="20"/>
          <w:szCs w:val="20"/>
        </w:rPr>
        <w:t>.</w:t>
      </w:r>
    </w:p>
    <w:p w:rsidR="00000000" w:rsidRDefault="0043639B">
      <w:pPr>
        <w:pStyle w:val="a3"/>
        <w:spacing w:before="360" w:beforeAutospacing="0" w:after="0" w:afterAutospacing="0"/>
        <w:rPr>
          <w:sz w:val="20"/>
          <w:szCs w:val="20"/>
        </w:rPr>
      </w:pPr>
      <w:r>
        <w:rPr>
          <w:b/>
          <w:bCs/>
          <w:sz w:val="20"/>
          <w:szCs w:val="20"/>
        </w:rPr>
        <w:t>Item</w:t>
      </w:r>
      <w:r>
        <w:rPr>
          <w:b/>
          <w:bCs/>
          <w:sz w:val="20"/>
          <w:szCs w:val="20"/>
        </w:rPr>
        <w:t xml:space="preserve"> </w:t>
      </w:r>
      <w:r>
        <w:rPr>
          <w:b/>
          <w:bCs/>
          <w:sz w:val="20"/>
          <w:szCs w:val="20"/>
        </w:rPr>
        <w:t>3</w:t>
      </w:r>
      <w:r>
        <w:rPr>
          <w:b/>
          <w:bCs/>
          <w:sz w:val="20"/>
          <w:szCs w:val="20"/>
        </w:rPr>
        <w:t>. Quantitative and Qualitative Disclosures About Market Risk</w:t>
      </w:r>
      <w:r>
        <w:rPr>
          <w:b/>
          <w:bCs/>
          <w:sz w:val="20"/>
          <w:szCs w:val="20"/>
        </w:rPr>
        <w:t>.</w:t>
      </w:r>
    </w:p>
    <w:p w:rsidR="00000000" w:rsidRDefault="0043639B">
      <w:pPr>
        <w:pStyle w:val="a3"/>
        <w:spacing w:before="120" w:beforeAutospacing="0" w:after="0" w:afterAutospacing="0"/>
        <w:jc w:val="both"/>
        <w:rPr>
          <w:sz w:val="20"/>
          <w:szCs w:val="20"/>
        </w:rPr>
      </w:pPr>
      <w:r>
        <w:rPr>
          <w:sz w:val="20"/>
          <w:szCs w:val="20"/>
        </w:rPr>
        <w:t xml:space="preserve">During the nine months ended September 30, 2022, there were no material changes to the information contained in Part II, Item 7A of the Company’s Annual Report on Form 10-K for the year ended </w:t>
      </w:r>
      <w:r>
        <w:rPr>
          <w:sz w:val="20"/>
          <w:szCs w:val="20"/>
        </w:rPr>
        <w:t>December 31, 2021</w:t>
      </w:r>
      <w:r>
        <w:rPr>
          <w:sz w:val="20"/>
          <w:szCs w:val="20"/>
        </w:rPr>
        <w:t>.</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2</w:t>
      </w:r>
      <w:r>
        <w:rPr>
          <w:sz w:val="20"/>
          <w:szCs w:val="20"/>
        </w:rPr>
        <w:t>5</w:t>
      </w:r>
    </w:p>
    <w:p w:rsidR="00000000" w:rsidRDefault="0043639B">
      <w:pPr>
        <w:rPr>
          <w:rFonts w:eastAsia="Times New Roman"/>
        </w:rPr>
      </w:pPr>
      <w:r>
        <w:rPr>
          <w:rFonts w:eastAsia="Times New Roman"/>
        </w:rPr>
        <w:pict>
          <v:rect id="_x0000_i1049"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rPr>
          <w:sz w:val="20"/>
          <w:szCs w:val="20"/>
        </w:rPr>
      </w:pPr>
      <w:r>
        <w:rPr>
          <w:b/>
          <w:bCs/>
          <w:sz w:val="20"/>
          <w:szCs w:val="20"/>
        </w:rPr>
        <w:t xml:space="preserve">Item </w:t>
      </w:r>
      <w:r>
        <w:rPr>
          <w:b/>
          <w:bCs/>
          <w:sz w:val="20"/>
          <w:szCs w:val="20"/>
        </w:rPr>
        <w:t>4</w:t>
      </w:r>
      <w:r>
        <w:rPr>
          <w:b/>
          <w:bCs/>
          <w:sz w:val="20"/>
          <w:szCs w:val="20"/>
        </w:rPr>
        <w:t>. Controls and Procedures</w:t>
      </w:r>
      <w:r>
        <w:rPr>
          <w:b/>
          <w:bCs/>
          <w:sz w:val="20"/>
          <w:szCs w:val="20"/>
        </w:rPr>
        <w:t>.</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rPr>
          <w:sz w:val="20"/>
          <w:szCs w:val="20"/>
        </w:rPr>
      </w:pPr>
      <w:r>
        <w:rPr>
          <w:b/>
          <w:bCs/>
          <w:i/>
          <w:iCs/>
          <w:sz w:val="20"/>
          <w:szCs w:val="20"/>
        </w:rPr>
        <w:t>Limitations on Effectiveness of Disclosure Controls and Procedure</w:t>
      </w:r>
      <w:r>
        <w:rPr>
          <w:b/>
          <w:bCs/>
          <w:i/>
          <w:iCs/>
          <w:sz w:val="20"/>
          <w:szCs w:val="20"/>
        </w:rPr>
        <w:t>s</w:t>
      </w:r>
    </w:p>
    <w:p w:rsidR="00000000" w:rsidRDefault="0043639B">
      <w:pPr>
        <w:pStyle w:val="a3"/>
        <w:spacing w:before="120" w:beforeAutospacing="0" w:after="0" w:afterAutospacing="0"/>
        <w:jc w:val="both"/>
        <w:rPr>
          <w:sz w:val="20"/>
          <w:szCs w:val="20"/>
        </w:rPr>
      </w:pPr>
      <w:r>
        <w:rPr>
          <w:sz w:val="20"/>
          <w:szCs w:val="20"/>
        </w:rPr>
        <w:t xml:space="preserve">In designing and evaluating our disclosure </w:t>
      </w:r>
      <w:r>
        <w:rPr>
          <w:sz w:val="20"/>
          <w:szCs w:val="20"/>
        </w:rPr>
        <w:t>controls and procedures, management recognizes that any controls and procedures, no matter how well designed and operated, can provide only reasonable assurance of achieving the desired control objectives. In addition, the design of the disclosure controls</w:t>
      </w:r>
      <w:r>
        <w:rPr>
          <w:sz w:val="20"/>
          <w:szCs w:val="20"/>
        </w:rPr>
        <w:t xml:space="preserve"> and procedures must reflect the fact that there are resource constraints and that management is required to apply judgment in evaluating the benefits of possible controls and procedures relative to their costs</w:t>
      </w:r>
      <w:r>
        <w:rPr>
          <w:sz w:val="20"/>
          <w:szCs w:val="20"/>
        </w:rPr>
        <w:t>.</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b/>
          <w:bCs/>
          <w:i/>
          <w:iCs/>
          <w:sz w:val="20"/>
          <w:szCs w:val="20"/>
        </w:rPr>
        <w:t>Evaluation of Disclosure Controls and Proc</w:t>
      </w:r>
      <w:r>
        <w:rPr>
          <w:b/>
          <w:bCs/>
          <w:i/>
          <w:iCs/>
          <w:sz w:val="20"/>
          <w:szCs w:val="20"/>
        </w:rPr>
        <w:t>edure</w:t>
      </w:r>
      <w:r>
        <w:rPr>
          <w:b/>
          <w:bCs/>
          <w:i/>
          <w:iCs/>
          <w:sz w:val="20"/>
          <w:szCs w:val="20"/>
        </w:rPr>
        <w:t>s</w:t>
      </w:r>
    </w:p>
    <w:p w:rsidR="00000000" w:rsidRDefault="0043639B">
      <w:pPr>
        <w:pStyle w:val="a3"/>
        <w:spacing w:before="120" w:beforeAutospacing="0" w:after="0" w:afterAutospacing="0"/>
        <w:jc w:val="both"/>
        <w:rPr>
          <w:sz w:val="20"/>
          <w:szCs w:val="20"/>
        </w:rPr>
      </w:pPr>
      <w:r>
        <w:rPr>
          <w:sz w:val="20"/>
          <w:szCs w:val="20"/>
        </w:rPr>
        <w:t xml:space="preserve">Our management, with the participation of our principal executive officer and principal financial officer, evaluated, as of the end of the period covered by this Quarterly Report, the effectiveness of our disclosure controls and procedures (as that </w:t>
      </w:r>
      <w:r>
        <w:rPr>
          <w:sz w:val="20"/>
          <w:szCs w:val="20"/>
        </w:rPr>
        <w:t>term is defined in Rules 13a-15(e) and 15d-15(e) under the Exchange Act). Based on that evaluation, our principal executive officer and principal financial officer concluded that our disclosure controls and procedures were not effective at the reasonable a</w:t>
      </w:r>
      <w:r>
        <w:rPr>
          <w:sz w:val="20"/>
          <w:szCs w:val="20"/>
        </w:rPr>
        <w:t>ssurance level as of September 30, 2022 due to the material weaknesses in our internal control over financial reporting described below</w:t>
      </w:r>
      <w:r>
        <w:rPr>
          <w:sz w:val="20"/>
          <w:szCs w:val="20"/>
        </w:rPr>
        <w:t>.</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b/>
          <w:bCs/>
          <w:i/>
          <w:iCs/>
          <w:sz w:val="20"/>
          <w:szCs w:val="20"/>
        </w:rPr>
        <w:t>Material Weaknesse</w:t>
      </w:r>
      <w:r>
        <w:rPr>
          <w:b/>
          <w:bCs/>
          <w:i/>
          <w:iCs/>
          <w:sz w:val="20"/>
          <w:szCs w:val="20"/>
        </w:rPr>
        <w:t>s</w:t>
      </w:r>
    </w:p>
    <w:p w:rsidR="00000000" w:rsidRDefault="0043639B">
      <w:pPr>
        <w:pStyle w:val="a3"/>
        <w:spacing w:before="120" w:beforeAutospacing="0" w:after="0" w:afterAutospacing="0"/>
        <w:jc w:val="both"/>
        <w:rPr>
          <w:sz w:val="20"/>
          <w:szCs w:val="20"/>
        </w:rPr>
      </w:pPr>
      <w:r>
        <w:rPr>
          <w:sz w:val="20"/>
          <w:szCs w:val="20"/>
        </w:rPr>
        <w:t>A material weakness is a deficiency, or a combination of deficiencies, in internal control over f</w:t>
      </w:r>
      <w:r>
        <w:rPr>
          <w:sz w:val="20"/>
          <w:szCs w:val="20"/>
        </w:rPr>
        <w:t>inancial reporting, such that a reasonable possibility exists that a material misstatement of our annual or interim financial statements could not be prevented or detected on a timely basis. We have identified material weaknesses in our controls related to</w:t>
      </w:r>
      <w:r>
        <w:rPr>
          <w:sz w:val="20"/>
          <w:szCs w:val="20"/>
        </w:rPr>
        <w:t xml:space="preserve"> the following (a) the aggregation of open control deficiencies across the Company’s financial reporting processes because the controls were not fully designed and operating effectively, (b) not fully designing, implementing and monitoring general informat</w:t>
      </w:r>
      <w:r>
        <w:rPr>
          <w:sz w:val="20"/>
          <w:szCs w:val="20"/>
        </w:rPr>
        <w:t xml:space="preserve">ion technology controls in the areas of user access and program change-management for systems supporting all of the Company’s internal control processes and (c) our controls on accounting for complex financial instruments such as warrants, did not operate </w:t>
      </w:r>
      <w:r>
        <w:rPr>
          <w:sz w:val="20"/>
          <w:szCs w:val="20"/>
        </w:rPr>
        <w:t>effectively to appropriately apply the provisions of ASC 815-40, resulting in the failure to prevent a material error in our accounting for warrants and the resulting restatement of our previously issued financial statements</w:t>
      </w:r>
      <w:r>
        <w:rPr>
          <w:sz w:val="20"/>
          <w:szCs w:val="20"/>
        </w:rPr>
        <w:t>.</w:t>
      </w:r>
      <w:r>
        <w:rPr>
          <w:sz w:val="20"/>
          <w:szCs w:val="20"/>
        </w:rPr>
        <w:t xml:space="preserve"> </w:t>
      </w:r>
    </w:p>
    <w:p w:rsidR="00000000" w:rsidRDefault="0043639B">
      <w:pPr>
        <w:pStyle w:val="a3"/>
        <w:spacing w:before="120" w:beforeAutospacing="0" w:after="0" w:afterAutospacing="0"/>
        <w:jc w:val="both"/>
        <w:rPr>
          <w:sz w:val="20"/>
          <w:szCs w:val="20"/>
        </w:rPr>
      </w:pPr>
      <w:r>
        <w:rPr>
          <w:sz w:val="20"/>
          <w:szCs w:val="20"/>
        </w:rPr>
        <w:t>In addition, on April 12, 202</w:t>
      </w:r>
      <w:r>
        <w:rPr>
          <w:sz w:val="20"/>
          <w:szCs w:val="20"/>
        </w:rPr>
        <w:t xml:space="preserve">1, the Acting Director of the Division of Corporation Finance and Acting Chief Accountant of the SEC together issued a statement (the “SEC Statement”) regarding the accounting and reporting considerations for warrants issued by special purpose acquisition </w:t>
      </w:r>
      <w:r>
        <w:rPr>
          <w:sz w:val="20"/>
          <w:szCs w:val="20"/>
        </w:rPr>
        <w:t>companies entitled “Staff Statement on Accounting and Reporting Considerations for Warrants Issued by Special Purpose Acquisition Companies (“SPACs”). Specifically, the SEC Statement focused on certain settlement terms and provisions related to certain ten</w:t>
      </w:r>
      <w:r>
        <w:rPr>
          <w:sz w:val="20"/>
          <w:szCs w:val="20"/>
        </w:rPr>
        <w:t xml:space="preserve">der offers following a business combination, which terms are similar to those contained in the Warrant Agreement governing our warrants and the HEC Forward Purchase Agreement. Following the issuance of the SEC Statement, on May 4, 2021, HEC concluded that </w:t>
      </w:r>
      <w:r>
        <w:rPr>
          <w:sz w:val="20"/>
          <w:szCs w:val="20"/>
        </w:rPr>
        <w:t xml:space="preserve">it was appropriate to restate its previously issued audited financial statements as of December 31, 2020 and for the period from February 6, 2020 (inception) through December 31, 2020, as well as its financial data as of June 11, 2020, and as part of such </w:t>
      </w:r>
      <w:r>
        <w:rPr>
          <w:sz w:val="20"/>
          <w:szCs w:val="20"/>
        </w:rPr>
        <w:t>process, HEC identified a material weakness in its internal control over financial reporting. As the accounting acquirer in the Business Combination and the successful issuer of the warrants, we inherited this material weakness</w:t>
      </w:r>
      <w:r>
        <w:rPr>
          <w:sz w:val="20"/>
          <w:szCs w:val="20"/>
        </w:rPr>
        <w:t>.</w:t>
      </w:r>
      <w:r>
        <w:rPr>
          <w:sz w:val="20"/>
          <w:szCs w:val="20"/>
        </w:rPr>
        <w:t xml:space="preserve"> </w:t>
      </w:r>
    </w:p>
    <w:p w:rsidR="00000000" w:rsidRDefault="0043639B">
      <w:pPr>
        <w:pStyle w:val="a3"/>
        <w:spacing w:before="120" w:beforeAutospacing="0" w:after="0" w:afterAutospacing="0"/>
        <w:jc w:val="both"/>
        <w:rPr>
          <w:sz w:val="20"/>
          <w:szCs w:val="20"/>
        </w:rPr>
      </w:pPr>
      <w:r>
        <w:rPr>
          <w:sz w:val="20"/>
          <w:szCs w:val="20"/>
        </w:rPr>
        <w:t>In light of these material</w:t>
      </w:r>
      <w:r>
        <w:rPr>
          <w:sz w:val="20"/>
          <w:szCs w:val="20"/>
        </w:rPr>
        <w:t xml:space="preserve"> weaknesses, we performed additional analysis as deemed necessary to ensure that our financial statements were prepared in accordance with U.S. generally accepted accounting principles. Accordingly, management believes that the financial statements include</w:t>
      </w:r>
      <w:r>
        <w:rPr>
          <w:sz w:val="20"/>
          <w:szCs w:val="20"/>
        </w:rPr>
        <w:t>d in this Quarterly Report present fairly in all material respects our financial position, results of operations and cash flows for the periods presented</w:t>
      </w:r>
      <w:r>
        <w:rPr>
          <w:sz w:val="20"/>
          <w:szCs w:val="20"/>
        </w:rPr>
        <w:t>.</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b/>
          <w:bCs/>
          <w:i/>
          <w:iCs/>
          <w:sz w:val="20"/>
          <w:szCs w:val="20"/>
        </w:rPr>
        <w:t>Remediation Activitie</w:t>
      </w:r>
      <w:r>
        <w:rPr>
          <w:b/>
          <w:bCs/>
          <w:i/>
          <w:iCs/>
          <w:sz w:val="20"/>
          <w:szCs w:val="20"/>
        </w:rPr>
        <w:t>s</w:t>
      </w:r>
    </w:p>
    <w:p w:rsidR="00000000" w:rsidRDefault="0043639B">
      <w:pPr>
        <w:pStyle w:val="a3"/>
        <w:spacing w:before="120" w:beforeAutospacing="0" w:after="0" w:afterAutospacing="0"/>
        <w:jc w:val="both"/>
        <w:rPr>
          <w:sz w:val="20"/>
          <w:szCs w:val="20"/>
        </w:rPr>
      </w:pPr>
      <w:r>
        <w:rPr>
          <w:sz w:val="20"/>
          <w:szCs w:val="20"/>
        </w:rPr>
        <w:t>We currently are implementing several actions, as described below, to remediate the material weaknesses described in this Item 4. Management is committed to ensuring that our internal controls over financial reporting are designed and operating effectively</w:t>
      </w:r>
      <w:r>
        <w:rPr>
          <w:sz w:val="20"/>
          <w:szCs w:val="20"/>
        </w:rPr>
        <w:t>.</w:t>
      </w:r>
      <w:r>
        <w:rPr>
          <w:sz w:val="20"/>
          <w:szCs w:val="20"/>
        </w:rPr>
        <w:t xml:space="preserve"> </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2</w:t>
      </w:r>
      <w:r>
        <w:rPr>
          <w:sz w:val="20"/>
          <w:szCs w:val="20"/>
        </w:rPr>
        <w:t>6</w:t>
      </w:r>
    </w:p>
    <w:p w:rsidR="00000000" w:rsidRDefault="0043639B">
      <w:pPr>
        <w:rPr>
          <w:rFonts w:eastAsia="Times New Roman"/>
        </w:rPr>
      </w:pPr>
      <w:r>
        <w:rPr>
          <w:rFonts w:eastAsia="Times New Roman"/>
        </w:rPr>
        <w:pict>
          <v:rect id="_x0000_i1050"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i/>
          <w:iCs/>
          <w:sz w:val="20"/>
          <w:szCs w:val="20"/>
        </w:rPr>
        <w:t>Financial Reportin</w:t>
      </w:r>
      <w:r>
        <w:rPr>
          <w:i/>
          <w:iCs/>
          <w:sz w:val="20"/>
          <w:szCs w:val="20"/>
        </w:rPr>
        <w:t>g</w:t>
      </w:r>
    </w:p>
    <w:p w:rsidR="00000000" w:rsidRDefault="0043639B">
      <w:pPr>
        <w:pStyle w:val="a3"/>
        <w:spacing w:before="120" w:beforeAutospacing="0" w:after="0" w:afterAutospacing="0"/>
        <w:jc w:val="both"/>
        <w:rPr>
          <w:sz w:val="20"/>
          <w:szCs w:val="20"/>
        </w:rPr>
      </w:pPr>
      <w:r>
        <w:rPr>
          <w:sz w:val="20"/>
          <w:szCs w:val="20"/>
        </w:rPr>
        <w:t>We continue to make progress on our automated and manual business process controls, including reports generated from these IT systems, that</w:t>
      </w:r>
      <w:r>
        <w:rPr>
          <w:sz w:val="20"/>
          <w:szCs w:val="20"/>
        </w:rPr>
        <w:t xml:space="preserve"> are dependent upon the completeness and accuracy of information from the affected ITGC material weakness. We are leveraging these improvements in the design of our future state processes and controls within our new enterprise resource planning (“ERP”) sys</w:t>
      </w:r>
      <w:r>
        <w:rPr>
          <w:sz w:val="20"/>
          <w:szCs w:val="20"/>
        </w:rPr>
        <w:t>tem, which went live in the third quarter of 2022</w:t>
      </w:r>
      <w:r>
        <w:rPr>
          <w:sz w:val="20"/>
          <w:szCs w:val="20"/>
        </w:rPr>
        <w:t>.</w:t>
      </w:r>
    </w:p>
    <w:p w:rsidR="00000000" w:rsidRDefault="0043639B">
      <w:pPr>
        <w:pStyle w:val="a3"/>
        <w:spacing w:before="120" w:beforeAutospacing="0" w:after="0" w:afterAutospacing="0"/>
        <w:jc w:val="both"/>
        <w:rPr>
          <w:sz w:val="20"/>
          <w:szCs w:val="20"/>
        </w:rPr>
      </w:pPr>
      <w:r>
        <w:rPr>
          <w:sz w:val="20"/>
          <w:szCs w:val="20"/>
        </w:rPr>
        <w:t>Our remediation plan includes, but is not limited to</w:t>
      </w:r>
      <w:r>
        <w:rPr>
          <w:sz w:val="20"/>
          <w:szCs w:val="20"/>
        </w:rPr>
        <w:t>:</w:t>
      </w:r>
    </w:p>
    <w:p w:rsidR="00000000" w:rsidRDefault="0043639B">
      <w:pPr>
        <w:jc w:val="both"/>
        <w:divId w:val="1464738254"/>
        <w:rPr>
          <w:rFonts w:eastAsia="Times New Roman"/>
        </w:rPr>
      </w:pPr>
      <w:r>
        <w:rPr>
          <w:rFonts w:eastAsia="Times New Roman"/>
          <w:sz w:val="20"/>
          <w:szCs w:val="20"/>
        </w:rPr>
        <w:t>•</w:t>
      </w:r>
    </w:p>
    <w:p w:rsidR="00000000" w:rsidRDefault="0043639B">
      <w:pPr>
        <w:jc w:val="both"/>
        <w:divId w:val="1776903037"/>
        <w:rPr>
          <w:rFonts w:eastAsia="Times New Roman"/>
        </w:rPr>
      </w:pPr>
      <w:r>
        <w:rPr>
          <w:rFonts w:eastAsia="Times New Roman"/>
          <w:sz w:val="20"/>
          <w:szCs w:val="20"/>
        </w:rPr>
        <w:t>Frequent communications between our Audit Committee and management regarding our financial reporting and internal control environment</w:t>
      </w:r>
      <w:r>
        <w:rPr>
          <w:rFonts w:eastAsia="Times New Roman"/>
          <w:sz w:val="20"/>
          <w:szCs w:val="20"/>
        </w:rPr>
        <w:t>;</w:t>
      </w:r>
    </w:p>
    <w:p w:rsidR="00000000" w:rsidRDefault="0043639B">
      <w:pPr>
        <w:jc w:val="both"/>
        <w:divId w:val="1595673105"/>
        <w:rPr>
          <w:rFonts w:eastAsia="Times New Roman"/>
        </w:rPr>
      </w:pPr>
      <w:r>
        <w:rPr>
          <w:rFonts w:eastAsia="Times New Roman"/>
          <w:sz w:val="20"/>
          <w:szCs w:val="20"/>
        </w:rPr>
        <w:t>•</w:t>
      </w:r>
    </w:p>
    <w:p w:rsidR="00000000" w:rsidRDefault="0043639B">
      <w:pPr>
        <w:jc w:val="both"/>
        <w:divId w:val="2111272961"/>
        <w:rPr>
          <w:rFonts w:eastAsia="Times New Roman"/>
        </w:rPr>
      </w:pPr>
      <w:r>
        <w:rPr>
          <w:rFonts w:eastAsia="Times New Roman"/>
          <w:sz w:val="20"/>
          <w:szCs w:val="20"/>
        </w:rPr>
        <w:t>The expansio</w:t>
      </w:r>
      <w:r>
        <w:rPr>
          <w:rFonts w:eastAsia="Times New Roman"/>
          <w:sz w:val="20"/>
          <w:szCs w:val="20"/>
        </w:rPr>
        <w:t>n of the finance, accounting, reporting and information technology teams through the addition of experienced and qualified resources</w:t>
      </w:r>
      <w:r>
        <w:rPr>
          <w:rFonts w:eastAsia="Times New Roman"/>
          <w:sz w:val="20"/>
          <w:szCs w:val="20"/>
        </w:rPr>
        <w:t>;</w:t>
      </w:r>
    </w:p>
    <w:p w:rsidR="00000000" w:rsidRDefault="0043639B">
      <w:pPr>
        <w:jc w:val="both"/>
        <w:divId w:val="1340541633"/>
        <w:rPr>
          <w:rFonts w:eastAsia="Times New Roman"/>
        </w:rPr>
      </w:pPr>
      <w:r>
        <w:rPr>
          <w:rFonts w:eastAsia="Times New Roman"/>
          <w:sz w:val="20"/>
          <w:szCs w:val="20"/>
        </w:rPr>
        <w:t>•</w:t>
      </w:r>
    </w:p>
    <w:p w:rsidR="00000000" w:rsidRDefault="0043639B">
      <w:pPr>
        <w:jc w:val="both"/>
        <w:divId w:val="912862130"/>
        <w:rPr>
          <w:rFonts w:eastAsia="Times New Roman"/>
        </w:rPr>
      </w:pPr>
      <w:r>
        <w:rPr>
          <w:rFonts w:eastAsia="Times New Roman"/>
          <w:sz w:val="20"/>
          <w:szCs w:val="20"/>
        </w:rPr>
        <w:t>The improvement of the process and controls in the determination of the appropriate accounting and classification of our</w:t>
      </w:r>
      <w:r>
        <w:rPr>
          <w:rFonts w:eastAsia="Times New Roman"/>
          <w:sz w:val="20"/>
          <w:szCs w:val="20"/>
        </w:rPr>
        <w:t xml:space="preserve"> financial instruments and key agreements</w:t>
      </w:r>
      <w:r>
        <w:rPr>
          <w:rFonts w:eastAsia="Times New Roman"/>
          <w:sz w:val="20"/>
          <w:szCs w:val="20"/>
        </w:rPr>
        <w:t>;</w:t>
      </w:r>
    </w:p>
    <w:p w:rsidR="00000000" w:rsidRDefault="0043639B">
      <w:pPr>
        <w:jc w:val="both"/>
        <w:divId w:val="2049604167"/>
        <w:rPr>
          <w:rFonts w:eastAsia="Times New Roman"/>
        </w:rPr>
      </w:pPr>
      <w:r>
        <w:rPr>
          <w:rFonts w:eastAsia="Times New Roman"/>
          <w:sz w:val="20"/>
          <w:szCs w:val="20"/>
        </w:rPr>
        <w:t>•</w:t>
      </w:r>
    </w:p>
    <w:p w:rsidR="00000000" w:rsidRDefault="0043639B">
      <w:pPr>
        <w:jc w:val="both"/>
        <w:divId w:val="636186895"/>
        <w:rPr>
          <w:rFonts w:eastAsia="Times New Roman"/>
        </w:rPr>
      </w:pPr>
      <w:r>
        <w:rPr>
          <w:rFonts w:eastAsia="Times New Roman"/>
          <w:sz w:val="20"/>
          <w:szCs w:val="20"/>
        </w:rPr>
        <w:t>Delivery of additional internal controls training, as well as policy and control standardization where possible</w:t>
      </w:r>
      <w:r>
        <w:rPr>
          <w:rFonts w:eastAsia="Times New Roman"/>
          <w:sz w:val="20"/>
          <w:szCs w:val="20"/>
        </w:rPr>
        <w:t>;</w:t>
      </w:r>
    </w:p>
    <w:p w:rsidR="00000000" w:rsidRDefault="0043639B">
      <w:pPr>
        <w:jc w:val="both"/>
        <w:divId w:val="1273171756"/>
        <w:rPr>
          <w:rFonts w:eastAsia="Times New Roman"/>
        </w:rPr>
      </w:pPr>
      <w:r>
        <w:rPr>
          <w:rFonts w:eastAsia="Times New Roman"/>
          <w:sz w:val="20"/>
          <w:szCs w:val="20"/>
        </w:rPr>
        <w:t>•</w:t>
      </w:r>
    </w:p>
    <w:p w:rsidR="00000000" w:rsidRDefault="0043639B">
      <w:pPr>
        <w:jc w:val="both"/>
        <w:divId w:val="420420358"/>
        <w:rPr>
          <w:rFonts w:eastAsia="Times New Roman"/>
        </w:rPr>
      </w:pPr>
      <w:r>
        <w:rPr>
          <w:rFonts w:eastAsia="Times New Roman"/>
          <w:sz w:val="20"/>
          <w:szCs w:val="20"/>
        </w:rPr>
        <w:t>Re-designed internal controls processes as part of our Sarbanes-Oxley program to drive accountab</w:t>
      </w:r>
      <w:r>
        <w:rPr>
          <w:rFonts w:eastAsia="Times New Roman"/>
          <w:sz w:val="20"/>
          <w:szCs w:val="20"/>
        </w:rPr>
        <w:t>ility and efficiency</w:t>
      </w:r>
      <w:r>
        <w:rPr>
          <w:rFonts w:eastAsia="Times New Roman"/>
          <w:sz w:val="20"/>
          <w:szCs w:val="20"/>
        </w:rPr>
        <w:t>;</w:t>
      </w:r>
    </w:p>
    <w:p w:rsidR="00000000" w:rsidRDefault="0043639B">
      <w:pPr>
        <w:jc w:val="both"/>
        <w:divId w:val="172653354"/>
        <w:rPr>
          <w:rFonts w:eastAsia="Times New Roman"/>
        </w:rPr>
      </w:pPr>
      <w:r>
        <w:rPr>
          <w:rFonts w:eastAsia="Times New Roman"/>
          <w:sz w:val="20"/>
          <w:szCs w:val="20"/>
        </w:rPr>
        <w:t>•</w:t>
      </w:r>
    </w:p>
    <w:p w:rsidR="00000000" w:rsidRDefault="0043639B">
      <w:pPr>
        <w:jc w:val="both"/>
        <w:divId w:val="545146772"/>
        <w:rPr>
          <w:rFonts w:eastAsia="Times New Roman"/>
        </w:rPr>
      </w:pPr>
      <w:r>
        <w:rPr>
          <w:rFonts w:eastAsia="Times New Roman"/>
          <w:sz w:val="20"/>
          <w:szCs w:val="20"/>
        </w:rPr>
        <w:t>Instituted monthly review of financial statements to evaluate results, observe adherence to policies and agree on necessary actions;</w:t>
      </w:r>
      <w:r>
        <w:rPr>
          <w:rFonts w:eastAsia="Times New Roman"/>
          <w:sz w:val="20"/>
          <w:szCs w:val="20"/>
        </w:rPr>
        <w:t xml:space="preserve"> </w:t>
      </w:r>
    </w:p>
    <w:p w:rsidR="00000000" w:rsidRDefault="0043639B">
      <w:pPr>
        <w:jc w:val="both"/>
        <w:divId w:val="471597506"/>
        <w:rPr>
          <w:rFonts w:eastAsia="Times New Roman"/>
        </w:rPr>
      </w:pPr>
      <w:r>
        <w:rPr>
          <w:rFonts w:eastAsia="Times New Roman"/>
          <w:sz w:val="20"/>
          <w:szCs w:val="20"/>
        </w:rPr>
        <w:t>•</w:t>
      </w:r>
    </w:p>
    <w:p w:rsidR="00000000" w:rsidRDefault="0043639B">
      <w:pPr>
        <w:jc w:val="both"/>
        <w:divId w:val="470368878"/>
        <w:rPr>
          <w:rFonts w:eastAsia="Times New Roman"/>
        </w:rPr>
      </w:pPr>
      <w:r>
        <w:rPr>
          <w:rFonts w:eastAsia="Times New Roman"/>
          <w:sz w:val="20"/>
          <w:szCs w:val="20"/>
        </w:rPr>
        <w:t>Engaged outside resources to assist with the design and implementation of a risk-based internal controls plan, enhance p</w:t>
      </w:r>
      <w:r>
        <w:rPr>
          <w:rFonts w:eastAsia="Times New Roman"/>
          <w:sz w:val="20"/>
          <w:szCs w:val="20"/>
        </w:rPr>
        <w:t>rocess documentation, provide company-wide training, and help with management's self-assessment and testing of internal control</w:t>
      </w:r>
      <w:r>
        <w:rPr>
          <w:rFonts w:eastAsia="Times New Roman"/>
          <w:sz w:val="20"/>
          <w:szCs w:val="20"/>
        </w:rPr>
        <w:t>s</w:t>
      </w:r>
    </w:p>
    <w:p w:rsidR="00000000" w:rsidRDefault="0043639B">
      <w:pPr>
        <w:pStyle w:val="a3"/>
        <w:spacing w:before="0" w:beforeAutospacing="0" w:after="0" w:afterAutospacing="0"/>
        <w:jc w:val="both"/>
        <w:rPr>
          <w:sz w:val="20"/>
          <w:szCs w:val="20"/>
        </w:rPr>
      </w:pPr>
      <w:r>
        <w:rPr>
          <w:sz w:val="20"/>
          <w:szCs w:val="20"/>
        </w:rPr>
        <w:t> </w:t>
      </w:r>
    </w:p>
    <w:p w:rsidR="00000000" w:rsidRDefault="0043639B">
      <w:pPr>
        <w:pStyle w:val="a3"/>
        <w:spacing w:before="0" w:beforeAutospacing="0" w:after="0" w:afterAutospacing="0"/>
        <w:jc w:val="both"/>
        <w:rPr>
          <w:sz w:val="20"/>
          <w:szCs w:val="20"/>
        </w:rPr>
      </w:pPr>
      <w:r>
        <w:rPr>
          <w:i/>
          <w:iCs/>
          <w:sz w:val="20"/>
          <w:szCs w:val="20"/>
        </w:rPr>
        <w:t>Information Technology General Controls (“ITGCs”</w:t>
      </w:r>
      <w:r>
        <w:rPr>
          <w:i/>
          <w:iCs/>
          <w:sz w:val="20"/>
          <w:szCs w:val="20"/>
        </w:rPr>
        <w:t>)</w:t>
      </w:r>
    </w:p>
    <w:p w:rsidR="00000000" w:rsidRDefault="0043639B">
      <w:pPr>
        <w:pStyle w:val="a3"/>
        <w:spacing w:before="120" w:beforeAutospacing="0" w:after="0" w:afterAutospacing="0"/>
        <w:jc w:val="both"/>
        <w:rPr>
          <w:sz w:val="20"/>
          <w:szCs w:val="20"/>
        </w:rPr>
      </w:pPr>
      <w:r>
        <w:rPr>
          <w:sz w:val="20"/>
          <w:szCs w:val="20"/>
        </w:rPr>
        <w:t>We continue to make progress in advancing foundational elements of our ITGCs as it relates to financial reporting. We are leveraging these foundational elements in the design of our future state processes and controls within our new ERP system. Our remedia</w:t>
      </w:r>
      <w:r>
        <w:rPr>
          <w:sz w:val="20"/>
          <w:szCs w:val="20"/>
        </w:rPr>
        <w:t>tion plan includes, but is not limited to</w:t>
      </w:r>
      <w:r>
        <w:rPr>
          <w:sz w:val="20"/>
          <w:szCs w:val="20"/>
        </w:rPr>
        <w:t>:</w:t>
      </w:r>
    </w:p>
    <w:p w:rsidR="00000000" w:rsidRDefault="0043639B">
      <w:pPr>
        <w:jc w:val="both"/>
        <w:divId w:val="580602445"/>
        <w:rPr>
          <w:rFonts w:eastAsia="Times New Roman"/>
        </w:rPr>
      </w:pPr>
      <w:r>
        <w:rPr>
          <w:rFonts w:eastAsia="Times New Roman"/>
          <w:sz w:val="20"/>
          <w:szCs w:val="20"/>
        </w:rPr>
        <w:t>•</w:t>
      </w:r>
    </w:p>
    <w:p w:rsidR="00000000" w:rsidRDefault="0043639B">
      <w:pPr>
        <w:jc w:val="both"/>
        <w:divId w:val="48656222"/>
        <w:rPr>
          <w:rFonts w:eastAsia="Times New Roman"/>
        </w:rPr>
      </w:pPr>
      <w:r>
        <w:rPr>
          <w:rFonts w:eastAsia="Times New Roman"/>
          <w:sz w:val="20"/>
          <w:szCs w:val="20"/>
        </w:rPr>
        <w:t>Implementing new, relevant IT systems related to our revenue processes and financial reporting</w:t>
      </w:r>
      <w:r>
        <w:rPr>
          <w:rFonts w:eastAsia="Times New Roman"/>
          <w:sz w:val="20"/>
          <w:szCs w:val="20"/>
        </w:rPr>
        <w:t>;</w:t>
      </w:r>
    </w:p>
    <w:p w:rsidR="00000000" w:rsidRDefault="0043639B">
      <w:pPr>
        <w:jc w:val="both"/>
        <w:divId w:val="1781562822"/>
        <w:rPr>
          <w:rFonts w:eastAsia="Times New Roman"/>
        </w:rPr>
      </w:pPr>
      <w:r>
        <w:rPr>
          <w:rFonts w:eastAsia="Times New Roman"/>
          <w:sz w:val="20"/>
          <w:szCs w:val="20"/>
        </w:rPr>
        <w:t>•</w:t>
      </w:r>
    </w:p>
    <w:p w:rsidR="00000000" w:rsidRDefault="0043639B">
      <w:pPr>
        <w:jc w:val="both"/>
        <w:divId w:val="326205205"/>
        <w:rPr>
          <w:rFonts w:eastAsia="Times New Roman"/>
        </w:rPr>
      </w:pPr>
      <w:r>
        <w:rPr>
          <w:rFonts w:eastAsia="Times New Roman"/>
          <w:sz w:val="20"/>
          <w:szCs w:val="20"/>
        </w:rPr>
        <w:t>Implementing improved IT change management policies and procedures, control activities, and tools impacting finan</w:t>
      </w:r>
      <w:r>
        <w:rPr>
          <w:rFonts w:eastAsia="Times New Roman"/>
          <w:sz w:val="20"/>
          <w:szCs w:val="20"/>
        </w:rPr>
        <w:t>cial reporting to ensure changes affecting financial IT applications are identified, authorized, tested, and implemented appropriately</w:t>
      </w:r>
      <w:r>
        <w:rPr>
          <w:rFonts w:eastAsia="Times New Roman"/>
          <w:sz w:val="20"/>
          <w:szCs w:val="20"/>
        </w:rPr>
        <w:t>;</w:t>
      </w:r>
    </w:p>
    <w:p w:rsidR="00000000" w:rsidRDefault="0043639B">
      <w:pPr>
        <w:jc w:val="both"/>
        <w:divId w:val="1058211445"/>
        <w:rPr>
          <w:rFonts w:eastAsia="Times New Roman"/>
        </w:rPr>
      </w:pPr>
      <w:r>
        <w:rPr>
          <w:rFonts w:eastAsia="Times New Roman"/>
          <w:sz w:val="20"/>
          <w:szCs w:val="20"/>
        </w:rPr>
        <w:t>•</w:t>
      </w:r>
    </w:p>
    <w:p w:rsidR="00000000" w:rsidRDefault="0043639B">
      <w:pPr>
        <w:jc w:val="both"/>
        <w:divId w:val="1353412694"/>
        <w:rPr>
          <w:rFonts w:eastAsia="Times New Roman"/>
        </w:rPr>
      </w:pPr>
      <w:r>
        <w:rPr>
          <w:rFonts w:eastAsia="Times New Roman"/>
          <w:sz w:val="20"/>
          <w:szCs w:val="20"/>
        </w:rPr>
        <w:t>Implementing improved processes for requesting, authorizing, and reviewing user access to key systems which impact our</w:t>
      </w:r>
      <w:r>
        <w:rPr>
          <w:rFonts w:eastAsia="Times New Roman"/>
          <w:sz w:val="20"/>
          <w:szCs w:val="20"/>
        </w:rPr>
        <w:t xml:space="preserve"> financial reporting, including identifying access to roles where manual business process controls may be required</w:t>
      </w:r>
      <w:r>
        <w:rPr>
          <w:rFonts w:eastAsia="Times New Roman"/>
          <w:sz w:val="20"/>
          <w:szCs w:val="20"/>
        </w:rPr>
        <w:t>;</w:t>
      </w:r>
    </w:p>
    <w:p w:rsidR="00000000" w:rsidRDefault="0043639B">
      <w:pPr>
        <w:jc w:val="both"/>
        <w:divId w:val="955327275"/>
        <w:rPr>
          <w:rFonts w:eastAsia="Times New Roman"/>
        </w:rPr>
      </w:pPr>
      <w:r>
        <w:rPr>
          <w:rFonts w:eastAsia="Times New Roman"/>
          <w:sz w:val="20"/>
          <w:szCs w:val="20"/>
        </w:rPr>
        <w:t>•</w:t>
      </w:r>
    </w:p>
    <w:p w:rsidR="00000000" w:rsidRDefault="0043639B">
      <w:pPr>
        <w:jc w:val="both"/>
        <w:divId w:val="1191456706"/>
        <w:rPr>
          <w:rFonts w:eastAsia="Times New Roman"/>
        </w:rPr>
      </w:pPr>
      <w:r>
        <w:rPr>
          <w:rFonts w:eastAsia="Times New Roman"/>
          <w:sz w:val="20"/>
          <w:szCs w:val="20"/>
        </w:rPr>
        <w:t>Implementing appropriate segregation of duties in relevant systems that impact internal control over financial reporting</w:t>
      </w:r>
      <w:r>
        <w:rPr>
          <w:rFonts w:eastAsia="Times New Roman"/>
          <w:sz w:val="20"/>
          <w:szCs w:val="20"/>
        </w:rPr>
        <w:t>;</w:t>
      </w:r>
    </w:p>
    <w:p w:rsidR="00000000" w:rsidRDefault="0043639B">
      <w:pPr>
        <w:jc w:val="both"/>
        <w:divId w:val="740711322"/>
        <w:rPr>
          <w:rFonts w:eastAsia="Times New Roman"/>
        </w:rPr>
      </w:pPr>
      <w:r>
        <w:rPr>
          <w:rFonts w:eastAsia="Times New Roman"/>
          <w:sz w:val="20"/>
          <w:szCs w:val="20"/>
        </w:rPr>
        <w:t>•</w:t>
      </w:r>
    </w:p>
    <w:p w:rsidR="00000000" w:rsidRDefault="0043639B">
      <w:pPr>
        <w:jc w:val="both"/>
        <w:divId w:val="1158114853"/>
        <w:rPr>
          <w:rFonts w:eastAsia="Times New Roman"/>
        </w:rPr>
      </w:pPr>
      <w:r>
        <w:rPr>
          <w:rFonts w:eastAsia="Times New Roman"/>
          <w:sz w:val="20"/>
          <w:szCs w:val="20"/>
        </w:rPr>
        <w:t>Increasing res</w:t>
      </w:r>
      <w:r>
        <w:rPr>
          <w:rFonts w:eastAsia="Times New Roman"/>
          <w:sz w:val="20"/>
          <w:szCs w:val="20"/>
        </w:rPr>
        <w:t>ources dedicated to monitoring ITGCs related to financial reporting to ensure compliance with policies and procedures; an</w:t>
      </w:r>
      <w:r>
        <w:rPr>
          <w:rFonts w:eastAsia="Times New Roman"/>
          <w:sz w:val="20"/>
          <w:szCs w:val="20"/>
        </w:rPr>
        <w:t>d</w:t>
      </w:r>
    </w:p>
    <w:p w:rsidR="00000000" w:rsidRDefault="0043639B">
      <w:pPr>
        <w:jc w:val="both"/>
        <w:divId w:val="1680817312"/>
        <w:rPr>
          <w:rFonts w:eastAsia="Times New Roman"/>
        </w:rPr>
      </w:pPr>
      <w:r>
        <w:rPr>
          <w:rFonts w:eastAsia="Times New Roman"/>
          <w:sz w:val="20"/>
          <w:szCs w:val="20"/>
        </w:rPr>
        <w:t>•</w:t>
      </w:r>
    </w:p>
    <w:p w:rsidR="00000000" w:rsidRDefault="0043639B">
      <w:pPr>
        <w:jc w:val="both"/>
        <w:divId w:val="946929977"/>
        <w:rPr>
          <w:rFonts w:eastAsia="Times New Roman"/>
        </w:rPr>
      </w:pPr>
      <w:r>
        <w:rPr>
          <w:rFonts w:eastAsia="Times New Roman"/>
          <w:sz w:val="20"/>
          <w:szCs w:val="20"/>
        </w:rPr>
        <w:t xml:space="preserve">Implementing additional training to ensure a clear understanding of risk assessment and monitoring activities related to automated </w:t>
      </w:r>
      <w:r>
        <w:rPr>
          <w:rFonts w:eastAsia="Times New Roman"/>
          <w:sz w:val="20"/>
          <w:szCs w:val="20"/>
        </w:rPr>
        <w:t>processes and IT systems and ITGCs related to financial reporting</w:t>
      </w:r>
      <w:r>
        <w:rPr>
          <w:rFonts w:eastAsia="Times New Roman"/>
          <w:sz w:val="20"/>
          <w:szCs w:val="20"/>
        </w:rPr>
        <w:t>.</w:t>
      </w:r>
    </w:p>
    <w:p w:rsidR="00000000" w:rsidRDefault="0043639B">
      <w:pPr>
        <w:pStyle w:val="a3"/>
        <w:spacing w:before="120" w:beforeAutospacing="0" w:after="0" w:afterAutospacing="0"/>
        <w:rPr>
          <w:sz w:val="20"/>
          <w:szCs w:val="20"/>
        </w:rPr>
      </w:pPr>
      <w:r>
        <w:rPr>
          <w:sz w:val="20"/>
          <w:szCs w:val="20"/>
        </w:rPr>
        <w:t> </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2</w:t>
      </w:r>
      <w:r>
        <w:rPr>
          <w:sz w:val="20"/>
          <w:szCs w:val="20"/>
        </w:rPr>
        <w:t>7</w:t>
      </w:r>
    </w:p>
    <w:p w:rsidR="00000000" w:rsidRDefault="0043639B">
      <w:pPr>
        <w:rPr>
          <w:rFonts w:eastAsia="Times New Roman"/>
        </w:rPr>
      </w:pPr>
      <w:r>
        <w:rPr>
          <w:rFonts w:eastAsia="Times New Roman"/>
        </w:rPr>
        <w:pict>
          <v:rect id="_x0000_i1051"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rPr>
          <w:sz w:val="20"/>
          <w:szCs w:val="20"/>
        </w:rPr>
      </w:pPr>
      <w:r>
        <w:rPr>
          <w:i/>
          <w:iCs/>
          <w:sz w:val="20"/>
          <w:szCs w:val="20"/>
        </w:rPr>
        <w:t>Complex accounting requirements (such as warrants</w:t>
      </w:r>
      <w:r>
        <w:rPr>
          <w:i/>
          <w:iCs/>
          <w:sz w:val="20"/>
          <w:szCs w:val="20"/>
        </w:rPr>
        <w:t>)</w:t>
      </w:r>
      <w:r>
        <w:rPr>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We intend to address this material weakness by enhancing our processes to identify and appropriately apply applicable accounting requirements to better evaluate our research and understanding of the nuanc</w:t>
      </w:r>
      <w:r>
        <w:rPr>
          <w:sz w:val="20"/>
          <w:szCs w:val="20"/>
        </w:rPr>
        <w:t>es of the complex accounting standards that apply to our financial statements. We intend to provide enhanced access to accounting literature, research materials and documents and increased communication among our personnel and third-party professionals wit</w:t>
      </w:r>
      <w:r>
        <w:rPr>
          <w:sz w:val="20"/>
          <w:szCs w:val="20"/>
        </w:rPr>
        <w:t>h whom we consult regarding complex accounting applications. We have also retained the services of a valuation expert to assist in valuation analysis of our warrants on a quarterly basis</w:t>
      </w:r>
      <w:r>
        <w:rPr>
          <w:sz w:val="20"/>
          <w:szCs w:val="20"/>
        </w:rPr>
        <w:t>.</w:t>
      </w:r>
    </w:p>
    <w:p w:rsidR="00000000" w:rsidRDefault="0043639B">
      <w:pPr>
        <w:pStyle w:val="a3"/>
        <w:spacing w:before="120" w:beforeAutospacing="0" w:after="0" w:afterAutospacing="0"/>
        <w:jc w:val="both"/>
        <w:rPr>
          <w:sz w:val="20"/>
          <w:szCs w:val="20"/>
        </w:rPr>
      </w:pPr>
      <w:r>
        <w:rPr>
          <w:sz w:val="20"/>
          <w:szCs w:val="20"/>
        </w:rPr>
        <w:t>When fully implemented and operational, we believe the controls we h</w:t>
      </w:r>
      <w:r>
        <w:rPr>
          <w:sz w:val="20"/>
          <w:szCs w:val="20"/>
        </w:rPr>
        <w:t>ave designed or plan to design will remediate the control deficiencies that have led to the material weaknesses we have identified and strengthen our internal controls over financial reporting</w:t>
      </w:r>
      <w:r>
        <w:rPr>
          <w:sz w:val="20"/>
          <w:szCs w:val="20"/>
        </w:rPr>
        <w:t>.</w:t>
      </w:r>
    </w:p>
    <w:p w:rsidR="00000000" w:rsidRDefault="0043639B">
      <w:pPr>
        <w:pStyle w:val="a3"/>
        <w:spacing w:before="120" w:beforeAutospacing="0" w:after="0" w:afterAutospacing="0"/>
        <w:jc w:val="both"/>
        <w:rPr>
          <w:sz w:val="20"/>
          <w:szCs w:val="20"/>
        </w:rPr>
      </w:pPr>
      <w:r>
        <w:rPr>
          <w:sz w:val="20"/>
          <w:szCs w:val="20"/>
        </w:rPr>
        <w:t>The material weaknesses will not be considered remediated unti</w:t>
      </w:r>
      <w:r>
        <w:rPr>
          <w:sz w:val="20"/>
          <w:szCs w:val="20"/>
        </w:rPr>
        <w:t>l the applicable controls operate for a sufficient period of time and management has concluded, through testing, that these controls are operating effectively</w:t>
      </w:r>
      <w:r>
        <w:rPr>
          <w:sz w:val="20"/>
          <w:szCs w:val="20"/>
        </w:rPr>
        <w:t>.</w:t>
      </w:r>
    </w:p>
    <w:p w:rsidR="00000000" w:rsidRDefault="0043639B">
      <w:pPr>
        <w:pStyle w:val="a3"/>
        <w:spacing w:before="360" w:beforeAutospacing="0" w:after="0" w:afterAutospacing="0"/>
        <w:jc w:val="both"/>
        <w:rPr>
          <w:sz w:val="20"/>
          <w:szCs w:val="20"/>
        </w:rPr>
      </w:pPr>
      <w:r>
        <w:rPr>
          <w:b/>
          <w:bCs/>
          <w:i/>
          <w:iCs/>
          <w:sz w:val="20"/>
          <w:szCs w:val="20"/>
        </w:rPr>
        <w:t>Changes in Internal Control over Financial Reportin</w:t>
      </w:r>
      <w:r>
        <w:rPr>
          <w:b/>
          <w:bCs/>
          <w:i/>
          <w:iCs/>
          <w:sz w:val="20"/>
          <w:szCs w:val="20"/>
        </w:rPr>
        <w:t>g</w:t>
      </w:r>
      <w:r>
        <w:rPr>
          <w:b/>
          <w:bCs/>
          <w:i/>
          <w:iCs/>
          <w:sz w:val="20"/>
          <w:szCs w:val="20"/>
        </w:rPr>
        <w:t xml:space="preserve"> </w:t>
      </w:r>
    </w:p>
    <w:p w:rsidR="00000000" w:rsidRDefault="0043639B">
      <w:pPr>
        <w:pStyle w:val="a3"/>
        <w:spacing w:before="120" w:beforeAutospacing="0" w:after="0" w:afterAutospacing="0"/>
        <w:jc w:val="both"/>
        <w:rPr>
          <w:sz w:val="20"/>
          <w:szCs w:val="20"/>
        </w:rPr>
      </w:pPr>
      <w:r>
        <w:rPr>
          <w:sz w:val="20"/>
          <w:szCs w:val="20"/>
        </w:rPr>
        <w:t xml:space="preserve">Other than as described above, there were </w:t>
      </w:r>
      <w:r>
        <w:rPr>
          <w:sz w:val="20"/>
          <w:szCs w:val="20"/>
        </w:rPr>
        <w:t xml:space="preserve">no changes in our internal control over financial reporting (as such term is defined in Rules 13a-15(f) and 15d-15(f) of the Exchange Act) during the three and nine months ended September 30, 2022 that have materially affected, or are reasonably likely to </w:t>
      </w:r>
      <w:r>
        <w:rPr>
          <w:sz w:val="20"/>
          <w:szCs w:val="20"/>
        </w:rPr>
        <w:t>materially affect, our internal control over financial reporting</w:t>
      </w:r>
      <w:r>
        <w:rPr>
          <w:sz w:val="20"/>
          <w:szCs w:val="20"/>
        </w:rPr>
        <w:t>.</w:t>
      </w:r>
      <w:r>
        <w:rPr>
          <w:sz w:val="20"/>
          <w:szCs w:val="20"/>
        </w:rPr>
        <w:t xml:space="preserve"> </w:t>
      </w:r>
    </w:p>
    <w:p w:rsidR="00000000" w:rsidRDefault="0043639B">
      <w:pPr>
        <w:pStyle w:val="a3"/>
        <w:spacing w:before="0" w:beforeAutospacing="0" w:after="0" w:afterAutospacing="0"/>
        <w:jc w:val="center"/>
        <w:rPr>
          <w:sz w:val="20"/>
          <w:szCs w:val="20"/>
        </w:rPr>
      </w:pPr>
      <w:r>
        <w:rPr>
          <w:sz w:val="20"/>
          <w:szCs w:val="20"/>
        </w:rPr>
        <w:t>2</w:t>
      </w:r>
      <w:r>
        <w:rPr>
          <w:sz w:val="20"/>
          <w:szCs w:val="20"/>
        </w:rPr>
        <w:t>8</w:t>
      </w:r>
    </w:p>
    <w:p w:rsidR="00000000" w:rsidRDefault="0043639B">
      <w:pPr>
        <w:rPr>
          <w:rFonts w:eastAsia="Times New Roman"/>
        </w:rPr>
      </w:pPr>
      <w:r>
        <w:rPr>
          <w:rFonts w:eastAsia="Times New Roman"/>
        </w:rPr>
        <w:pict>
          <v:rect id="_x0000_i1052" style="width:0;height:1.5pt" o:hralign="center" o:hrstd="t" o:hr="t" fillcolor="#a0a0a0" stroked="f"/>
        </w:pict>
      </w:r>
    </w:p>
    <w:p w:rsidR="00000000" w:rsidRDefault="0043639B">
      <w:pPr>
        <w:pStyle w:val="a3"/>
        <w:spacing w:before="0" w:beforeAutospacing="0" w:after="0" w:afterAutospacing="0"/>
        <w:rPr>
          <w:sz w:val="20"/>
          <w:szCs w:val="20"/>
        </w:rPr>
      </w:pPr>
      <w:hyperlink w:anchor="toc_page" w:history="1">
        <w:r>
          <w:rPr>
            <w:rStyle w:val="a4"/>
            <w:sz w:val="18"/>
            <w:szCs w:val="18"/>
          </w:rPr>
          <w:t>Table of Content</w:t>
        </w:r>
        <w:r>
          <w:rPr>
            <w:rStyle w:val="a4"/>
            <w:sz w:val="18"/>
            <w:szCs w:val="18"/>
          </w:rPr>
          <w:t>s</w:t>
        </w:r>
      </w:hyperlink>
    </w:p>
    <w:p w:rsidR="00000000" w:rsidRDefault="0043639B">
      <w:pPr>
        <w:pStyle w:val="a3"/>
        <w:spacing w:before="0" w:beforeAutospacing="0" w:after="0" w:afterAutospacing="0"/>
        <w:jc w:val="center"/>
        <w:rPr>
          <w:sz w:val="20"/>
          <w:szCs w:val="20"/>
        </w:rPr>
      </w:pPr>
      <w:r>
        <w:rPr>
          <w:b/>
          <w:bCs/>
          <w:sz w:val="20"/>
          <w:szCs w:val="20"/>
        </w:rPr>
        <w:t>PART II—OTHER INFORMATIO</w:t>
      </w:r>
      <w:r>
        <w:rPr>
          <w:b/>
          <w:bCs/>
          <w:sz w:val="20"/>
          <w:szCs w:val="20"/>
        </w:rPr>
        <w:t>N</w:t>
      </w:r>
    </w:p>
    <w:p w:rsidR="00000000" w:rsidRDefault="0043639B">
      <w:pPr>
        <w:pStyle w:val="a3"/>
        <w:spacing w:before="300" w:beforeAutospacing="0" w:afterAutospacing="0"/>
        <w:rPr>
          <w:sz w:val="20"/>
          <w:szCs w:val="20"/>
        </w:rPr>
      </w:pPr>
      <w:r>
        <w:rPr>
          <w:b/>
          <w:bCs/>
          <w:sz w:val="20"/>
          <w:szCs w:val="20"/>
        </w:rPr>
        <w:t xml:space="preserve">Item </w:t>
      </w:r>
      <w:r>
        <w:rPr>
          <w:b/>
          <w:bCs/>
          <w:sz w:val="20"/>
          <w:szCs w:val="20"/>
        </w:rPr>
        <w:t>1</w:t>
      </w:r>
      <w:r>
        <w:rPr>
          <w:b/>
          <w:bCs/>
          <w:sz w:val="20"/>
          <w:szCs w:val="20"/>
        </w:rPr>
        <w:t>. Legal Proceedings</w:t>
      </w:r>
      <w:r>
        <w:rPr>
          <w:b/>
          <w:bCs/>
          <w:sz w:val="20"/>
          <w:szCs w:val="20"/>
        </w:rPr>
        <w:t>.</w:t>
      </w:r>
    </w:p>
    <w:p w:rsidR="00000000" w:rsidRDefault="0043639B">
      <w:pPr>
        <w:pStyle w:val="a3"/>
        <w:spacing w:before="0" w:beforeAutospacing="0" w:after="0" w:afterAutospacing="0"/>
        <w:jc w:val="both"/>
        <w:rPr>
          <w:sz w:val="20"/>
          <w:szCs w:val="20"/>
        </w:rPr>
      </w:pPr>
      <w:r>
        <w:rPr>
          <w:sz w:val="20"/>
          <w:szCs w:val="20"/>
        </w:rPr>
        <w:t>From time-to-time, we are party to various legal</w:t>
      </w:r>
      <w:r>
        <w:rPr>
          <w:sz w:val="20"/>
          <w:szCs w:val="20"/>
        </w:rPr>
        <w:t xml:space="preserve"> proceedings, claims and litigation that arise in the normal course of business. See Note 5, “Commitments and Contingent Liabilities,” for further details</w:t>
      </w:r>
      <w:r>
        <w:rPr>
          <w:sz w:val="20"/>
          <w:szCs w:val="20"/>
        </w:rPr>
        <w:t>.</w:t>
      </w:r>
    </w:p>
    <w:p w:rsidR="00000000" w:rsidRDefault="0043639B">
      <w:pPr>
        <w:pStyle w:val="a3"/>
        <w:spacing w:before="360" w:beforeAutospacing="0" w:after="0" w:afterAutospacing="0"/>
        <w:rPr>
          <w:sz w:val="20"/>
          <w:szCs w:val="20"/>
        </w:rPr>
      </w:pPr>
      <w:r>
        <w:rPr>
          <w:b/>
          <w:bCs/>
          <w:caps/>
          <w:sz w:val="20"/>
          <w:szCs w:val="20"/>
        </w:rPr>
        <w:t>I</w:t>
      </w:r>
      <w:r>
        <w:rPr>
          <w:b/>
          <w:bCs/>
          <w:sz w:val="20"/>
          <w:szCs w:val="20"/>
        </w:rPr>
        <w:t>t</w:t>
      </w:r>
      <w:r>
        <w:rPr>
          <w:b/>
          <w:bCs/>
          <w:sz w:val="20"/>
          <w:szCs w:val="20"/>
        </w:rPr>
        <w:t>e</w:t>
      </w:r>
      <w:r>
        <w:rPr>
          <w:b/>
          <w:bCs/>
          <w:sz w:val="20"/>
          <w:szCs w:val="20"/>
        </w:rPr>
        <w:t>m</w:t>
      </w:r>
      <w:r>
        <w:rPr>
          <w:b/>
          <w:bCs/>
          <w:caps/>
          <w:sz w:val="20"/>
          <w:szCs w:val="20"/>
        </w:rPr>
        <w:t xml:space="preserve"> 1a. </w:t>
      </w:r>
      <w:r>
        <w:rPr>
          <w:b/>
          <w:bCs/>
          <w:caps/>
          <w:sz w:val="20"/>
          <w:szCs w:val="20"/>
        </w:rPr>
        <w:t>R</w:t>
      </w:r>
      <w:r>
        <w:rPr>
          <w:b/>
          <w:bCs/>
          <w:sz w:val="20"/>
          <w:szCs w:val="20"/>
        </w:rPr>
        <w:t>isk Factors</w:t>
      </w:r>
      <w:r>
        <w:rPr>
          <w:b/>
          <w:bCs/>
          <w:sz w:val="20"/>
          <w:szCs w:val="20"/>
        </w:rPr>
        <w:t>.</w:t>
      </w:r>
    </w:p>
    <w:p w:rsidR="00000000" w:rsidRDefault="0043639B">
      <w:pPr>
        <w:pStyle w:val="a3"/>
        <w:spacing w:before="120" w:beforeAutospacing="0" w:after="0" w:afterAutospacing="0"/>
        <w:jc w:val="both"/>
        <w:rPr>
          <w:sz w:val="20"/>
          <w:szCs w:val="20"/>
        </w:rPr>
      </w:pPr>
      <w:r>
        <w:rPr>
          <w:sz w:val="20"/>
          <w:szCs w:val="20"/>
        </w:rPr>
        <w:t xml:space="preserve">In addition to the other information set forth in this Quarterly Report, you </w:t>
      </w:r>
      <w:r>
        <w:rPr>
          <w:sz w:val="20"/>
          <w:szCs w:val="20"/>
        </w:rPr>
        <w:t>should carefully consider the factors discussed under Part I, Item 1A. “Risk Factors” in the Company’s Annual Report on Form 10-K for the year ended December 31, 2021. These factors could materially adversely affect our business, financial condition, liqui</w:t>
      </w:r>
      <w:r>
        <w:rPr>
          <w:sz w:val="20"/>
          <w:szCs w:val="20"/>
        </w:rPr>
        <w:t>dity, results of operations and capital position, and could cause our actual results to differ materially from our historical results or the results contemplated by any forward-looking statements contained in this Quarterly Report. During the nine months e</w:t>
      </w:r>
      <w:r>
        <w:rPr>
          <w:sz w:val="20"/>
          <w:szCs w:val="20"/>
        </w:rPr>
        <w:t>nded September 30, 2022, there were no material changes to the information contained in Part I, Item 1A of the Company's Annual Report on Form 10-K for the year ended December 31, 2021</w:t>
      </w:r>
      <w:r>
        <w:rPr>
          <w:sz w:val="20"/>
          <w:szCs w:val="20"/>
        </w:rPr>
        <w:t>.</w:t>
      </w:r>
    </w:p>
    <w:p w:rsidR="00000000" w:rsidRDefault="0043639B">
      <w:pPr>
        <w:pStyle w:val="a3"/>
        <w:spacing w:before="360" w:beforeAutospacing="0" w:after="0" w:afterAutospacing="0"/>
        <w:jc w:val="both"/>
        <w:rPr>
          <w:sz w:val="20"/>
          <w:szCs w:val="20"/>
        </w:rPr>
      </w:pPr>
      <w:r>
        <w:rPr>
          <w:b/>
          <w:bCs/>
          <w:sz w:val="20"/>
          <w:szCs w:val="20"/>
        </w:rPr>
        <w:t xml:space="preserve">Item </w:t>
      </w:r>
      <w:r>
        <w:rPr>
          <w:b/>
          <w:bCs/>
          <w:sz w:val="20"/>
          <w:szCs w:val="20"/>
        </w:rPr>
        <w:t>2</w:t>
      </w:r>
      <w:r>
        <w:rPr>
          <w:b/>
          <w:bCs/>
          <w:sz w:val="20"/>
          <w:szCs w:val="20"/>
        </w:rPr>
        <w:t>. Unregistered Sales of Equity Securities and Use of Proceeds</w:t>
      </w:r>
      <w:r>
        <w:rPr>
          <w:b/>
          <w:bCs/>
          <w:sz w:val="20"/>
          <w:szCs w:val="20"/>
        </w:rPr>
        <w:t>.</w:t>
      </w:r>
    </w:p>
    <w:p w:rsidR="00000000" w:rsidRDefault="0043639B">
      <w:pPr>
        <w:pStyle w:val="a3"/>
        <w:spacing w:beforeAutospacing="0" w:after="0" w:afterAutospacing="0"/>
        <w:jc w:val="both"/>
        <w:rPr>
          <w:sz w:val="20"/>
          <w:szCs w:val="20"/>
        </w:rPr>
      </w:pPr>
      <w:r>
        <w:rPr>
          <w:sz w:val="20"/>
          <w:szCs w:val="20"/>
        </w:rPr>
        <w:t>N</w:t>
      </w:r>
      <w:r>
        <w:rPr>
          <w:sz w:val="20"/>
          <w:szCs w:val="20"/>
        </w:rPr>
        <w:t>ot applicable</w:t>
      </w:r>
      <w:r>
        <w:rPr>
          <w:sz w:val="20"/>
          <w:szCs w:val="20"/>
        </w:rPr>
        <w:t>.</w:t>
      </w:r>
    </w:p>
    <w:p w:rsidR="00000000" w:rsidRDefault="0043639B">
      <w:pPr>
        <w:pStyle w:val="a3"/>
        <w:spacing w:before="360" w:beforeAutospacing="0" w:after="0" w:afterAutospacing="0"/>
        <w:jc w:val="both"/>
        <w:rPr>
          <w:sz w:val="20"/>
          <w:szCs w:val="20"/>
        </w:rPr>
      </w:pPr>
      <w:r>
        <w:rPr>
          <w:b/>
          <w:bCs/>
          <w:sz w:val="20"/>
          <w:szCs w:val="20"/>
        </w:rPr>
        <w:t xml:space="preserve">Item </w:t>
      </w:r>
      <w:r>
        <w:rPr>
          <w:b/>
          <w:bCs/>
          <w:sz w:val="20"/>
          <w:szCs w:val="20"/>
        </w:rPr>
        <w:t>3</w:t>
      </w:r>
      <w:r>
        <w:rPr>
          <w:b/>
          <w:bCs/>
          <w:sz w:val="20"/>
          <w:szCs w:val="20"/>
        </w:rPr>
        <w:t>. Defaults Upon Senior Securities</w:t>
      </w:r>
      <w:r>
        <w:rPr>
          <w:b/>
          <w:bCs/>
          <w:sz w:val="20"/>
          <w:szCs w:val="20"/>
        </w:rPr>
        <w:t>.</w:t>
      </w:r>
    </w:p>
    <w:p w:rsidR="00000000" w:rsidRDefault="0043639B">
      <w:pPr>
        <w:pStyle w:val="a3"/>
        <w:spacing w:before="120" w:beforeAutospacing="0" w:after="0" w:afterAutospacing="0"/>
        <w:jc w:val="both"/>
        <w:rPr>
          <w:sz w:val="20"/>
          <w:szCs w:val="20"/>
        </w:rPr>
      </w:pPr>
      <w:r>
        <w:rPr>
          <w:sz w:val="20"/>
          <w:szCs w:val="20"/>
        </w:rPr>
        <w:t>None</w:t>
      </w:r>
      <w:r>
        <w:rPr>
          <w:sz w:val="20"/>
          <w:szCs w:val="20"/>
        </w:rPr>
        <w:t>.</w:t>
      </w:r>
    </w:p>
    <w:p w:rsidR="00000000" w:rsidRDefault="0043639B">
      <w:pPr>
        <w:pStyle w:val="a3"/>
        <w:spacing w:before="360" w:beforeAutospacing="0" w:after="0" w:afterAutospacing="0"/>
        <w:jc w:val="both"/>
        <w:rPr>
          <w:sz w:val="20"/>
          <w:szCs w:val="20"/>
        </w:rPr>
      </w:pPr>
      <w:r>
        <w:rPr>
          <w:b/>
          <w:bCs/>
          <w:sz w:val="20"/>
          <w:szCs w:val="20"/>
        </w:rPr>
        <w:t xml:space="preserve">Item </w:t>
      </w:r>
      <w:r>
        <w:rPr>
          <w:b/>
          <w:bCs/>
          <w:sz w:val="20"/>
          <w:szCs w:val="20"/>
        </w:rPr>
        <w:t>4</w:t>
      </w:r>
      <w:r>
        <w:rPr>
          <w:b/>
          <w:bCs/>
          <w:sz w:val="20"/>
          <w:szCs w:val="20"/>
        </w:rPr>
        <w:t>. Mine Safety Disclosures</w:t>
      </w:r>
      <w:r>
        <w:rPr>
          <w:b/>
          <w:bCs/>
          <w:sz w:val="20"/>
          <w:szCs w:val="20"/>
        </w:rPr>
        <w:t>.</w:t>
      </w:r>
    </w:p>
    <w:p w:rsidR="00000000" w:rsidRDefault="0043639B">
      <w:pPr>
        <w:pStyle w:val="a3"/>
        <w:spacing w:before="120" w:beforeAutospacing="0" w:after="0" w:afterAutospacing="0"/>
        <w:jc w:val="both"/>
        <w:rPr>
          <w:sz w:val="20"/>
          <w:szCs w:val="20"/>
        </w:rPr>
      </w:pPr>
      <w:r>
        <w:rPr>
          <w:sz w:val="20"/>
          <w:szCs w:val="20"/>
        </w:rPr>
        <w:t>Not applicable</w:t>
      </w:r>
      <w:r>
        <w:rPr>
          <w:sz w:val="20"/>
          <w:szCs w:val="20"/>
        </w:rPr>
        <w:t>.</w:t>
      </w:r>
    </w:p>
    <w:p w:rsidR="00000000" w:rsidRDefault="0043639B">
      <w:pPr>
        <w:pStyle w:val="a3"/>
        <w:spacing w:before="360" w:beforeAutospacing="0" w:after="0" w:afterAutospacing="0"/>
        <w:jc w:val="both"/>
        <w:rPr>
          <w:sz w:val="20"/>
          <w:szCs w:val="20"/>
        </w:rPr>
      </w:pPr>
      <w:r>
        <w:rPr>
          <w:b/>
          <w:bCs/>
          <w:sz w:val="20"/>
          <w:szCs w:val="20"/>
        </w:rPr>
        <w:t xml:space="preserve">Item </w:t>
      </w:r>
      <w:r>
        <w:rPr>
          <w:b/>
          <w:bCs/>
          <w:sz w:val="20"/>
          <w:szCs w:val="20"/>
        </w:rPr>
        <w:t>5</w:t>
      </w:r>
      <w:r>
        <w:rPr>
          <w:b/>
          <w:bCs/>
          <w:sz w:val="20"/>
          <w:szCs w:val="20"/>
        </w:rPr>
        <w:t>. Other Information</w:t>
      </w:r>
      <w:r>
        <w:rPr>
          <w:b/>
          <w:bCs/>
          <w:sz w:val="20"/>
          <w:szCs w:val="20"/>
        </w:rPr>
        <w:t>.</w:t>
      </w:r>
    </w:p>
    <w:p w:rsidR="00000000" w:rsidRDefault="0043639B">
      <w:pPr>
        <w:pStyle w:val="a3"/>
        <w:spacing w:before="120" w:beforeAutospacing="0" w:after="0" w:afterAutospacing="0"/>
        <w:jc w:val="both"/>
        <w:rPr>
          <w:sz w:val="20"/>
          <w:szCs w:val="20"/>
        </w:rPr>
      </w:pPr>
      <w:r>
        <w:rPr>
          <w:sz w:val="20"/>
          <w:szCs w:val="20"/>
        </w:rPr>
        <w:t>None</w:t>
      </w:r>
      <w:r>
        <w:rPr>
          <w:sz w:val="20"/>
          <w:szCs w:val="20"/>
        </w:rPr>
        <w:t>.</w:t>
      </w:r>
    </w:p>
    <w:p w:rsidR="00000000" w:rsidRDefault="0043639B">
      <w:pPr>
        <w:pStyle w:val="a3"/>
        <w:spacing w:before="0" w:beforeAutospacing="0" w:after="0" w:afterAutospacing="0"/>
        <w:jc w:val="center"/>
        <w:rPr>
          <w:sz w:val="20"/>
          <w:szCs w:val="20"/>
        </w:rPr>
      </w:pPr>
      <w:r>
        <w:rPr>
          <w:sz w:val="20"/>
          <w:szCs w:val="20"/>
        </w:rPr>
        <w:t>2</w:t>
      </w:r>
      <w:r>
        <w:rPr>
          <w:sz w:val="20"/>
          <w:szCs w:val="20"/>
        </w:rPr>
        <w:t>9</w:t>
      </w:r>
    </w:p>
    <w:p w:rsidR="00000000" w:rsidRDefault="0043639B">
      <w:pPr>
        <w:rPr>
          <w:rFonts w:eastAsia="Times New Roman"/>
        </w:rPr>
      </w:pPr>
      <w:r>
        <w:rPr>
          <w:rFonts w:eastAsia="Times New Roman"/>
        </w:rPr>
        <w:pict>
          <v:rect id="_x0000_i1053" style="width:0;height:1.5pt" o:hralign="center" o:hrstd="t" o:hr="t" fillcolor="#a0a0a0" stroked="f"/>
        </w:pic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360" w:beforeAutospacing="0" w:after="120" w:afterAutospacing="0"/>
        <w:jc w:val="both"/>
        <w:rPr>
          <w:sz w:val="20"/>
          <w:szCs w:val="20"/>
        </w:rPr>
      </w:pPr>
      <w:r>
        <w:rPr>
          <w:b/>
          <w:bCs/>
          <w:sz w:val="20"/>
          <w:szCs w:val="20"/>
        </w:rPr>
        <w:t xml:space="preserve">Item </w:t>
      </w:r>
      <w:r>
        <w:rPr>
          <w:b/>
          <w:bCs/>
          <w:sz w:val="20"/>
          <w:szCs w:val="20"/>
        </w:rPr>
        <w:t>6</w:t>
      </w:r>
      <w:r>
        <w:rPr>
          <w:b/>
          <w:bCs/>
          <w:sz w:val="20"/>
          <w:szCs w:val="20"/>
        </w:rPr>
        <w:t>. Exhibits</w:t>
      </w:r>
      <w:r>
        <w:rPr>
          <w:b/>
          <w:bCs/>
          <w:sz w:val="20"/>
          <w:szCs w:val="20"/>
        </w:rPr>
        <w:t>.</w:t>
      </w:r>
      <w:r>
        <w:rPr>
          <w:b/>
          <w:bCs/>
          <w:sz w:val="20"/>
          <w:szCs w:val="20"/>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88"/>
        <w:gridCol w:w="108"/>
        <w:gridCol w:w="6343"/>
        <w:gridCol w:w="108"/>
        <w:gridCol w:w="959"/>
      </w:tblGrid>
      <w:tr w:rsidR="00000000">
        <w:trPr>
          <w:tblCellSpacing w:w="15" w:type="dxa"/>
        </w:trPr>
        <w:tc>
          <w:tcPr>
            <w:tcW w:w="450" w:type="pct"/>
            <w:vAlign w:val="center"/>
            <w:hideMark/>
          </w:tcPr>
          <w:p w:rsidR="00000000" w:rsidRDefault="0043639B">
            <w:pPr>
              <w:rPr>
                <w:sz w:val="20"/>
                <w:szCs w:val="20"/>
              </w:rPr>
            </w:pPr>
          </w:p>
        </w:tc>
        <w:tc>
          <w:tcPr>
            <w:tcW w:w="49" w:type="pct"/>
            <w:vAlign w:val="center"/>
            <w:hideMark/>
          </w:tcPr>
          <w:p w:rsidR="00000000" w:rsidRDefault="0043639B">
            <w:pPr>
              <w:rPr>
                <w:rFonts w:eastAsia="Times New Roman"/>
                <w:sz w:val="20"/>
                <w:szCs w:val="20"/>
              </w:rPr>
            </w:pPr>
          </w:p>
        </w:tc>
        <w:tc>
          <w:tcPr>
            <w:tcW w:w="3885" w:type="pct"/>
            <w:vAlign w:val="center"/>
            <w:hideMark/>
          </w:tcPr>
          <w:p w:rsidR="00000000" w:rsidRDefault="0043639B">
            <w:pPr>
              <w:rPr>
                <w:rFonts w:eastAsia="Times New Roman"/>
                <w:sz w:val="20"/>
                <w:szCs w:val="20"/>
              </w:rPr>
            </w:pPr>
          </w:p>
        </w:tc>
        <w:tc>
          <w:tcPr>
            <w:tcW w:w="49" w:type="pct"/>
            <w:vAlign w:val="center"/>
            <w:hideMark/>
          </w:tcPr>
          <w:p w:rsidR="00000000" w:rsidRDefault="0043639B">
            <w:pPr>
              <w:rPr>
                <w:rFonts w:eastAsia="Times New Roman"/>
                <w:sz w:val="20"/>
                <w:szCs w:val="20"/>
              </w:rPr>
            </w:pPr>
          </w:p>
        </w:tc>
        <w:tc>
          <w:tcPr>
            <w:tcW w:w="564" w:type="pct"/>
            <w:vAlign w:val="center"/>
            <w:hideMark/>
          </w:tcPr>
          <w:p w:rsidR="00000000" w:rsidRDefault="0043639B">
            <w:pPr>
              <w:rPr>
                <w:rFonts w:eastAsia="Times New Roman"/>
                <w:sz w:val="20"/>
                <w:szCs w:val="20"/>
              </w:rPr>
            </w:pPr>
          </w:p>
        </w:tc>
      </w:tr>
      <w:tr w:rsidR="00000000">
        <w:trPr>
          <w:trHeight w:val="180"/>
          <w:tblCellSpacing w:w="15" w:type="dxa"/>
        </w:trPr>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vAlign w:val="bottom"/>
            <w:hideMark/>
          </w:tcPr>
          <w:p w:rsidR="00000000" w:rsidRDefault="0043639B">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43639B">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43639B">
            <w:pPr>
              <w:pStyle w:val="a3"/>
              <w:spacing w:before="0" w:beforeAutospacing="0" w:after="0" w:afterAutospacing="0"/>
              <w:jc w:val="center"/>
              <w:rPr>
                <w:sz w:val="19"/>
                <w:szCs w:val="19"/>
              </w:rPr>
            </w:pPr>
            <w:r>
              <w:rPr>
                <w:sz w:val="19"/>
                <w:szCs w:val="19"/>
              </w:rPr>
              <w:t> </w:t>
            </w:r>
          </w:p>
        </w:tc>
        <w:tc>
          <w:tcPr>
            <w:tcW w:w="0" w:type="auto"/>
            <w:vAlign w:val="bottom"/>
            <w:hideMark/>
          </w:tcPr>
          <w:p w:rsidR="00000000" w:rsidRDefault="0043639B">
            <w:pPr>
              <w:pStyle w:val="a3"/>
              <w:spacing w:before="0" w:beforeAutospacing="0" w:after="0" w:afterAutospacing="0"/>
              <w:jc w:val="center"/>
              <w:rPr>
                <w:sz w:val="19"/>
                <w:szCs w:val="19"/>
              </w:rPr>
            </w:pPr>
            <w:r>
              <w:rPr>
                <w:b/>
                <w:bCs/>
                <w:sz w:val="19"/>
                <w:szCs w:val="19"/>
              </w:rPr>
              <w:t>Filed</w:t>
            </w:r>
            <w:r>
              <w:rPr>
                <w:b/>
                <w:bCs/>
                <w:sz w:val="19"/>
                <w:szCs w:val="19"/>
              </w:rPr>
              <w:t>/</w:t>
            </w:r>
          </w:p>
        </w:tc>
      </w:tr>
      <w:tr w:rsidR="00000000">
        <w:trPr>
          <w:trHeight w:val="180"/>
          <w:tblCellSpacing w:w="15" w:type="dxa"/>
        </w:trPr>
        <w:tc>
          <w:tcPr>
            <w:tcW w:w="0" w:type="auto"/>
            <w:tcBorders>
              <w:bottom w:val="single" w:sz="4" w:space="0" w:color="auto"/>
            </w:tcBorders>
            <w:vAlign w:val="bottom"/>
            <w:hideMark/>
          </w:tcPr>
          <w:p w:rsidR="00000000" w:rsidRDefault="0043639B">
            <w:pPr>
              <w:pStyle w:val="a3"/>
              <w:spacing w:before="0" w:beforeAutospacing="0" w:after="0" w:afterAutospacing="0"/>
              <w:rPr>
                <w:sz w:val="19"/>
                <w:szCs w:val="19"/>
              </w:rPr>
            </w:pPr>
            <w:r>
              <w:rPr>
                <w:b/>
                <w:bCs/>
                <w:sz w:val="19"/>
                <w:szCs w:val="19"/>
              </w:rPr>
              <w:t>Exhibi</w:t>
            </w:r>
            <w:r>
              <w:rPr>
                <w:b/>
                <w:bCs/>
                <w:sz w:val="19"/>
                <w:szCs w:val="19"/>
              </w:rPr>
              <w:t>t</w:t>
            </w:r>
          </w:p>
          <w:p w:rsidR="00000000" w:rsidRDefault="0043639B">
            <w:pPr>
              <w:pStyle w:val="a3"/>
              <w:spacing w:before="0" w:beforeAutospacing="0" w:after="0" w:afterAutospacing="0"/>
              <w:rPr>
                <w:sz w:val="19"/>
                <w:szCs w:val="19"/>
              </w:rPr>
            </w:pPr>
            <w:r>
              <w:rPr>
                <w:b/>
                <w:bCs/>
                <w:sz w:val="19"/>
                <w:szCs w:val="19"/>
              </w:rPr>
              <w:t>Numbe</w:t>
            </w:r>
            <w:r>
              <w:rPr>
                <w:b/>
                <w:bCs/>
                <w:sz w:val="19"/>
                <w:szCs w:val="19"/>
              </w:rPr>
              <w:t>r</w:t>
            </w:r>
          </w:p>
        </w:tc>
        <w:tc>
          <w:tcPr>
            <w:tcW w:w="0" w:type="auto"/>
            <w:vAlign w:val="bottom"/>
            <w:hideMark/>
          </w:tcPr>
          <w:p w:rsidR="00000000" w:rsidRDefault="0043639B">
            <w:pPr>
              <w:pStyle w:val="a3"/>
              <w:spacing w:before="0" w:beforeAutospacing="0" w:after="0" w:afterAutospacing="0"/>
              <w:jc w:val="center"/>
              <w:rPr>
                <w:sz w:val="19"/>
                <w:szCs w:val="19"/>
              </w:rPr>
            </w:pPr>
            <w:r>
              <w:rPr>
                <w:sz w:val="19"/>
                <w:szCs w:val="19"/>
              </w:rPr>
              <w:t> </w:t>
            </w:r>
          </w:p>
        </w:tc>
        <w:tc>
          <w:tcPr>
            <w:tcW w:w="0" w:type="auto"/>
            <w:tcBorders>
              <w:bottom w:val="single" w:sz="4" w:space="0" w:color="auto"/>
            </w:tcBorders>
            <w:vAlign w:val="bottom"/>
            <w:hideMark/>
          </w:tcPr>
          <w:p w:rsidR="00000000" w:rsidRDefault="0043639B">
            <w:pPr>
              <w:pStyle w:val="a3"/>
              <w:spacing w:before="0" w:beforeAutospacing="0" w:after="0" w:afterAutospacing="0"/>
              <w:jc w:val="center"/>
              <w:rPr>
                <w:sz w:val="19"/>
                <w:szCs w:val="19"/>
              </w:rPr>
            </w:pPr>
            <w:r>
              <w:rPr>
                <w:b/>
                <w:bCs/>
                <w:sz w:val="19"/>
                <w:szCs w:val="19"/>
              </w:rPr>
              <w:t>Exhibit Descriptio</w:t>
            </w:r>
            <w:r>
              <w:rPr>
                <w:b/>
                <w:bCs/>
                <w:sz w:val="19"/>
                <w:szCs w:val="19"/>
              </w:rPr>
              <w:t>n</w:t>
            </w:r>
          </w:p>
        </w:tc>
        <w:tc>
          <w:tcPr>
            <w:tcW w:w="0" w:type="auto"/>
            <w:vAlign w:val="bottom"/>
            <w:hideMark/>
          </w:tcPr>
          <w:p w:rsidR="00000000" w:rsidRDefault="0043639B">
            <w:pPr>
              <w:pStyle w:val="a3"/>
              <w:spacing w:before="0" w:beforeAutospacing="0" w:after="0" w:afterAutospacing="0"/>
              <w:jc w:val="center"/>
              <w:rPr>
                <w:sz w:val="19"/>
                <w:szCs w:val="19"/>
              </w:rPr>
            </w:pPr>
            <w:r>
              <w:rPr>
                <w:sz w:val="19"/>
                <w:szCs w:val="19"/>
              </w:rPr>
              <w:t> </w:t>
            </w:r>
          </w:p>
        </w:tc>
        <w:tc>
          <w:tcPr>
            <w:tcW w:w="0" w:type="auto"/>
            <w:tcBorders>
              <w:bottom w:val="single" w:sz="4" w:space="0" w:color="auto"/>
            </w:tcBorders>
            <w:vAlign w:val="bottom"/>
            <w:hideMark/>
          </w:tcPr>
          <w:p w:rsidR="00000000" w:rsidRDefault="0043639B">
            <w:pPr>
              <w:pStyle w:val="a3"/>
              <w:spacing w:before="0" w:beforeAutospacing="0" w:after="0" w:afterAutospacing="0"/>
              <w:jc w:val="center"/>
              <w:rPr>
                <w:sz w:val="19"/>
                <w:szCs w:val="19"/>
              </w:rPr>
            </w:pPr>
            <w:r>
              <w:rPr>
                <w:b/>
                <w:bCs/>
                <w:sz w:val="19"/>
                <w:szCs w:val="19"/>
              </w:rPr>
              <w:t>Furnishe</w:t>
            </w:r>
            <w:r>
              <w:rPr>
                <w:b/>
                <w:bCs/>
                <w:sz w:val="19"/>
                <w:szCs w:val="19"/>
              </w:rPr>
              <w:t>d</w:t>
            </w:r>
          </w:p>
          <w:p w:rsidR="00000000" w:rsidRDefault="0043639B">
            <w:pPr>
              <w:pStyle w:val="a3"/>
              <w:spacing w:before="0" w:beforeAutospacing="0" w:after="0" w:afterAutospacing="0"/>
              <w:jc w:val="center"/>
              <w:rPr>
                <w:sz w:val="19"/>
                <w:szCs w:val="19"/>
              </w:rPr>
            </w:pPr>
            <w:r>
              <w:rPr>
                <w:b/>
                <w:bCs/>
                <w:sz w:val="19"/>
                <w:szCs w:val="19"/>
              </w:rPr>
              <w:t>Herewit</w:t>
            </w:r>
            <w:r>
              <w:rPr>
                <w:b/>
                <w:bCs/>
                <w:sz w:val="19"/>
                <w:szCs w:val="19"/>
              </w:rPr>
              <w:t>h</w:t>
            </w:r>
          </w:p>
        </w:tc>
      </w:tr>
      <w:tr w:rsidR="00000000">
        <w:trPr>
          <w:tblCellSpacing w:w="15" w:type="dxa"/>
        </w:trPr>
        <w:tc>
          <w:tcPr>
            <w:tcW w:w="0" w:type="auto"/>
            <w:hideMark/>
          </w:tcPr>
          <w:p w:rsidR="00000000" w:rsidRDefault="0043639B">
            <w:pPr>
              <w:pStyle w:val="a3"/>
              <w:spacing w:before="0" w:beforeAutospacing="0" w:after="0" w:afterAutospacing="0"/>
              <w:rPr>
                <w:sz w:val="19"/>
                <w:szCs w:val="19"/>
              </w:rPr>
            </w:pPr>
            <w:r>
              <w:rPr>
                <w:sz w:val="19"/>
                <w:szCs w:val="19"/>
              </w:rPr>
              <w:t> </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rPr>
                <w:sz w:val="19"/>
                <w:szCs w:val="19"/>
              </w:rPr>
            </w:pPr>
            <w:r>
              <w:rPr>
                <w:sz w:val="19"/>
                <w:szCs w:val="19"/>
              </w:rPr>
              <w:t> </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jc w:val="center"/>
              <w:rPr>
                <w:sz w:val="19"/>
                <w:szCs w:val="19"/>
              </w:rPr>
            </w:pPr>
            <w:r>
              <w:rPr>
                <w:sz w:val="19"/>
                <w:szCs w:val="19"/>
              </w:rPr>
              <w:t> </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9"/>
                <w:szCs w:val="19"/>
              </w:rPr>
            </w:pPr>
            <w:hyperlink r:id="rId4" w:history="1">
              <w:r>
                <w:rPr>
                  <w:rStyle w:val="a4"/>
                  <w:sz w:val="19"/>
                  <w:szCs w:val="19"/>
                </w:rPr>
                <w:t>31.</w:t>
              </w:r>
              <w:r>
                <w:rPr>
                  <w:rStyle w:val="a4"/>
                  <w:sz w:val="19"/>
                  <w:szCs w:val="19"/>
                </w:rPr>
                <w:t>1</w:t>
              </w:r>
            </w:hyperlink>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rPr>
                <w:sz w:val="19"/>
                <w:szCs w:val="19"/>
              </w:rPr>
            </w:pPr>
            <w:hyperlink r:id="rId5" w:history="1">
              <w:r>
                <w:rPr>
                  <w:rStyle w:val="a4"/>
                  <w:sz w:val="19"/>
                  <w:szCs w:val="19"/>
                </w:rPr>
                <w:t>Certification of Chief Executive Officer pursuant to Rule 13a-14(a)/15d-14(a)</w:t>
              </w:r>
              <w:r>
                <w:rPr>
                  <w:rStyle w:val="a4"/>
                  <w:sz w:val="19"/>
                  <w:szCs w:val="19"/>
                </w:rPr>
                <w:t>.</w:t>
              </w:r>
            </w:hyperlink>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9"/>
                <w:szCs w:val="19"/>
              </w:rPr>
            </w:pPr>
            <w:hyperlink r:id="rId6" w:history="1">
              <w:r>
                <w:rPr>
                  <w:rStyle w:val="a4"/>
                  <w:sz w:val="19"/>
                  <w:szCs w:val="19"/>
                </w:rPr>
                <w:t>31.</w:t>
              </w:r>
              <w:r>
                <w:rPr>
                  <w:rStyle w:val="a4"/>
                  <w:sz w:val="19"/>
                  <w:szCs w:val="19"/>
                </w:rPr>
                <w:t>2</w:t>
              </w:r>
            </w:hyperlink>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rPr>
                <w:sz w:val="19"/>
                <w:szCs w:val="19"/>
              </w:rPr>
            </w:pPr>
            <w:hyperlink r:id="rId7" w:history="1">
              <w:r>
                <w:rPr>
                  <w:rStyle w:val="a4"/>
                  <w:sz w:val="19"/>
                  <w:szCs w:val="19"/>
                </w:rPr>
                <w:t>Certification of Chief Financial Officer pursuant to Rule 13a-14(a)/15d-14(a)</w:t>
              </w:r>
              <w:r>
                <w:rPr>
                  <w:rStyle w:val="a4"/>
                  <w:sz w:val="19"/>
                  <w:szCs w:val="19"/>
                </w:rPr>
                <w:t>.</w:t>
              </w:r>
            </w:hyperlink>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9"/>
                <w:szCs w:val="19"/>
              </w:rPr>
            </w:pPr>
            <w:hyperlink r:id="rId8" w:history="1">
              <w:r>
                <w:rPr>
                  <w:rStyle w:val="a4"/>
                  <w:sz w:val="19"/>
                  <w:szCs w:val="19"/>
                </w:rPr>
                <w:t>32.</w:t>
              </w:r>
              <w:r>
                <w:rPr>
                  <w:rStyle w:val="a4"/>
                  <w:sz w:val="19"/>
                  <w:szCs w:val="19"/>
                </w:rPr>
                <w:t>1</w:t>
              </w:r>
            </w:hyperlink>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rPr>
                <w:sz w:val="19"/>
                <w:szCs w:val="19"/>
              </w:rPr>
            </w:pPr>
            <w:hyperlink r:id="rId9" w:history="1">
              <w:r>
                <w:rPr>
                  <w:rStyle w:val="a4"/>
                  <w:sz w:val="19"/>
                  <w:szCs w:val="19"/>
                </w:rPr>
                <w:t>Certification of Chief Executive Officer pursuant to 18 U.S.C. Section 1350</w:t>
              </w:r>
              <w:r>
                <w:rPr>
                  <w:rStyle w:val="a4"/>
                  <w:sz w:val="19"/>
                  <w:szCs w:val="19"/>
                </w:rPr>
                <w:t>.</w:t>
              </w:r>
            </w:hyperlink>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jc w:val="center"/>
              <w:rPr>
                <w:sz w:val="19"/>
                <w:szCs w:val="19"/>
              </w:rPr>
            </w:pPr>
            <w:r>
              <w:rPr>
                <w:sz w:val="19"/>
                <w:szCs w:val="19"/>
              </w:rPr>
              <w:t>*</w:t>
            </w:r>
            <w:r>
              <w:rPr>
                <w:sz w:val="19"/>
                <w:szCs w:val="19"/>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9"/>
                <w:szCs w:val="19"/>
              </w:rPr>
            </w:pPr>
            <w:hyperlink r:id="rId10" w:history="1">
              <w:r>
                <w:rPr>
                  <w:rStyle w:val="a4"/>
                  <w:sz w:val="19"/>
                  <w:szCs w:val="19"/>
                </w:rPr>
                <w:t>32.</w:t>
              </w:r>
              <w:r>
                <w:rPr>
                  <w:rStyle w:val="a4"/>
                  <w:sz w:val="19"/>
                  <w:szCs w:val="19"/>
                </w:rPr>
                <w:t>2</w:t>
              </w:r>
            </w:hyperlink>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rPr>
                <w:sz w:val="19"/>
                <w:szCs w:val="19"/>
              </w:rPr>
            </w:pPr>
            <w:hyperlink r:id="rId11" w:history="1">
              <w:r>
                <w:rPr>
                  <w:rStyle w:val="a4"/>
                  <w:sz w:val="19"/>
                  <w:szCs w:val="19"/>
                </w:rPr>
                <w:t>Certification of Chief Financial Officer pursuant to 18 U.S.C. Section 1350</w:t>
              </w:r>
              <w:r>
                <w:rPr>
                  <w:rStyle w:val="a4"/>
                  <w:sz w:val="19"/>
                  <w:szCs w:val="19"/>
                </w:rPr>
                <w:t>.</w:t>
              </w:r>
            </w:hyperlink>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jc w:val="center"/>
              <w:rPr>
                <w:sz w:val="19"/>
                <w:szCs w:val="19"/>
              </w:rPr>
            </w:pPr>
            <w:r>
              <w:rPr>
                <w:sz w:val="19"/>
                <w:szCs w:val="19"/>
              </w:rPr>
              <w:t>*</w:t>
            </w:r>
            <w:r>
              <w:rPr>
                <w:sz w:val="19"/>
                <w:szCs w:val="19"/>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9"/>
                <w:szCs w:val="19"/>
              </w:rPr>
            </w:pPr>
            <w:r>
              <w:rPr>
                <w:sz w:val="19"/>
                <w:szCs w:val="19"/>
              </w:rPr>
              <w:t>101.IN</w:t>
            </w:r>
            <w:r>
              <w:rPr>
                <w:sz w:val="19"/>
                <w:szCs w:val="19"/>
              </w:rPr>
              <w:t>S</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rPr>
                <w:sz w:val="19"/>
                <w:szCs w:val="19"/>
              </w:rPr>
            </w:pPr>
            <w:r>
              <w:rPr>
                <w:sz w:val="19"/>
                <w:szCs w:val="19"/>
              </w:rPr>
              <w:t>Inline XBRL Instance Document - the instance document does not appear in the Interactive Data file because its</w:t>
            </w:r>
            <w:r>
              <w:rPr>
                <w:sz w:val="19"/>
                <w:szCs w:val="19"/>
              </w:rPr>
              <w:t xml:space="preserve"> XBRL tags are embedded within the Inline XBRL document</w:t>
            </w:r>
            <w:r>
              <w:rPr>
                <w:sz w:val="19"/>
                <w:szCs w:val="19"/>
              </w:rPr>
              <w:t>.</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9"/>
                <w:szCs w:val="19"/>
              </w:rPr>
            </w:pPr>
            <w:r>
              <w:rPr>
                <w:sz w:val="19"/>
                <w:szCs w:val="19"/>
              </w:rPr>
              <w:t>101.SC</w:t>
            </w:r>
            <w:r>
              <w:rPr>
                <w:sz w:val="19"/>
                <w:szCs w:val="19"/>
              </w:rPr>
              <w:t>H</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rPr>
                <w:sz w:val="19"/>
                <w:szCs w:val="19"/>
              </w:rPr>
            </w:pPr>
            <w:r>
              <w:rPr>
                <w:sz w:val="19"/>
                <w:szCs w:val="19"/>
              </w:rPr>
              <w:t>Inline XBRL Taxonomy Extension Schema Document</w:t>
            </w:r>
            <w:r>
              <w:rPr>
                <w:sz w:val="19"/>
                <w:szCs w:val="19"/>
              </w:rPr>
              <w:t>.</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9"/>
                <w:szCs w:val="19"/>
              </w:rPr>
            </w:pPr>
            <w:r>
              <w:rPr>
                <w:sz w:val="19"/>
                <w:szCs w:val="19"/>
              </w:rPr>
              <w:t>101.CA</w:t>
            </w:r>
            <w:r>
              <w:rPr>
                <w:sz w:val="19"/>
                <w:szCs w:val="19"/>
              </w:rPr>
              <w:t>L</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rPr>
                <w:sz w:val="19"/>
                <w:szCs w:val="19"/>
              </w:rPr>
            </w:pPr>
            <w:r>
              <w:rPr>
                <w:sz w:val="19"/>
                <w:szCs w:val="19"/>
              </w:rPr>
              <w:t>Inline XBRL Taxonomy Extension Calculation Linkbase Document</w:t>
            </w:r>
            <w:r>
              <w:rPr>
                <w:sz w:val="19"/>
                <w:szCs w:val="19"/>
              </w:rPr>
              <w:t>.</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9"/>
                <w:szCs w:val="19"/>
              </w:rPr>
            </w:pPr>
            <w:r>
              <w:rPr>
                <w:sz w:val="19"/>
                <w:szCs w:val="19"/>
              </w:rPr>
              <w:t>101.DE</w:t>
            </w:r>
            <w:r>
              <w:rPr>
                <w:sz w:val="19"/>
                <w:szCs w:val="19"/>
              </w:rPr>
              <w:t>F</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rPr>
                <w:sz w:val="19"/>
                <w:szCs w:val="19"/>
              </w:rPr>
            </w:pPr>
            <w:r>
              <w:rPr>
                <w:sz w:val="19"/>
                <w:szCs w:val="19"/>
              </w:rPr>
              <w:t>Inline XBRL Taxonomy Extension Definition Linkbase Document</w:t>
            </w:r>
            <w:r>
              <w:rPr>
                <w:sz w:val="19"/>
                <w:szCs w:val="19"/>
              </w:rPr>
              <w:t>.</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9"/>
                <w:szCs w:val="19"/>
              </w:rPr>
            </w:pPr>
            <w:r>
              <w:rPr>
                <w:sz w:val="19"/>
                <w:szCs w:val="19"/>
              </w:rPr>
              <w:t>101.LA</w:t>
            </w:r>
            <w:r>
              <w:rPr>
                <w:sz w:val="19"/>
                <w:szCs w:val="19"/>
              </w:rPr>
              <w:t>B</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rPr>
                <w:sz w:val="19"/>
                <w:szCs w:val="19"/>
              </w:rPr>
            </w:pPr>
            <w:r>
              <w:rPr>
                <w:sz w:val="19"/>
                <w:szCs w:val="19"/>
              </w:rPr>
              <w:t>Inline XBRL Taxonomy Extension Label Linkbase Document</w:t>
            </w:r>
            <w:r>
              <w:rPr>
                <w:sz w:val="19"/>
                <w:szCs w:val="19"/>
              </w:rPr>
              <w:t>.</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9"/>
                <w:szCs w:val="19"/>
              </w:rPr>
            </w:pPr>
            <w:r>
              <w:rPr>
                <w:sz w:val="19"/>
                <w:szCs w:val="19"/>
              </w:rPr>
              <w:t>101.PR</w:t>
            </w:r>
            <w:r>
              <w:rPr>
                <w:sz w:val="19"/>
                <w:szCs w:val="19"/>
              </w:rPr>
              <w:t>E</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rPr>
                <w:sz w:val="19"/>
                <w:szCs w:val="19"/>
              </w:rPr>
            </w:pPr>
            <w:r>
              <w:rPr>
                <w:sz w:val="19"/>
                <w:szCs w:val="19"/>
              </w:rPr>
              <w:t>Inline XBRL Taxonomy Extension Presentation Linkbase Document</w:t>
            </w:r>
            <w:r>
              <w:rPr>
                <w:sz w:val="19"/>
                <w:szCs w:val="19"/>
              </w:rPr>
              <w:t>.</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jc w:val="center"/>
              <w:rPr>
                <w:sz w:val="19"/>
                <w:szCs w:val="19"/>
              </w:rPr>
            </w:pPr>
            <w:r>
              <w:rPr>
                <w:sz w:val="19"/>
                <w:szCs w:val="19"/>
              </w:rPr>
              <w:t>*</w:t>
            </w:r>
          </w:p>
        </w:tc>
      </w:tr>
      <w:tr w:rsidR="00000000">
        <w:trPr>
          <w:trHeight w:val="180"/>
          <w:tblCellSpacing w:w="15" w:type="dxa"/>
        </w:trPr>
        <w:tc>
          <w:tcPr>
            <w:tcW w:w="0" w:type="auto"/>
            <w:hideMark/>
          </w:tcPr>
          <w:p w:rsidR="00000000" w:rsidRDefault="0043639B">
            <w:pPr>
              <w:pStyle w:val="a3"/>
              <w:spacing w:before="0" w:beforeAutospacing="0" w:after="0" w:afterAutospacing="0"/>
              <w:rPr>
                <w:sz w:val="19"/>
                <w:szCs w:val="19"/>
              </w:rPr>
            </w:pPr>
            <w:r>
              <w:rPr>
                <w:sz w:val="19"/>
                <w:szCs w:val="19"/>
              </w:rPr>
              <w:t>10</w:t>
            </w:r>
            <w:r>
              <w:rPr>
                <w:sz w:val="19"/>
                <w:szCs w:val="19"/>
              </w:rPr>
              <w:t>4</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rPr>
                <w:sz w:val="19"/>
                <w:szCs w:val="19"/>
              </w:rPr>
            </w:pPr>
            <w:r>
              <w:rPr>
                <w:sz w:val="19"/>
                <w:szCs w:val="19"/>
              </w:rPr>
              <w:t>Cover Page Interactive Data File (as formatted as Inline XBRL and contained in Exhibit 101)</w:t>
            </w:r>
            <w:r>
              <w:rPr>
                <w:sz w:val="19"/>
                <w:szCs w:val="19"/>
              </w:rPr>
              <w:t>.</w:t>
            </w:r>
          </w:p>
        </w:tc>
        <w:tc>
          <w:tcPr>
            <w:tcW w:w="0" w:type="auto"/>
            <w:vAlign w:val="bottom"/>
            <w:hideMark/>
          </w:tcPr>
          <w:p w:rsidR="00000000" w:rsidRDefault="0043639B">
            <w:pPr>
              <w:pStyle w:val="a3"/>
              <w:spacing w:before="0" w:beforeAutospacing="0" w:after="0" w:afterAutospacing="0"/>
              <w:rPr>
                <w:sz w:val="19"/>
                <w:szCs w:val="19"/>
              </w:rPr>
            </w:pPr>
            <w:r>
              <w:rPr>
                <w:sz w:val="19"/>
                <w:szCs w:val="19"/>
              </w:rPr>
              <w:t> </w:t>
            </w:r>
          </w:p>
        </w:tc>
        <w:tc>
          <w:tcPr>
            <w:tcW w:w="0" w:type="auto"/>
            <w:hideMark/>
          </w:tcPr>
          <w:p w:rsidR="00000000" w:rsidRDefault="0043639B">
            <w:pPr>
              <w:pStyle w:val="a3"/>
              <w:spacing w:before="0" w:beforeAutospacing="0" w:after="0" w:afterAutospacing="0"/>
              <w:jc w:val="center"/>
              <w:rPr>
                <w:sz w:val="19"/>
                <w:szCs w:val="19"/>
              </w:rPr>
            </w:pPr>
            <w:r>
              <w:rPr>
                <w:sz w:val="19"/>
                <w:szCs w:val="19"/>
              </w:rPr>
              <w:t>*</w:t>
            </w:r>
          </w:p>
        </w:tc>
      </w:tr>
    </w:tbl>
    <w:p w:rsidR="00000000" w:rsidRDefault="0043639B">
      <w:pPr>
        <w:pStyle w:val="a3"/>
        <w:spacing w:before="240" w:beforeAutospacing="0" w:after="0" w:afterAutospacing="0"/>
        <w:jc w:val="both"/>
        <w:rPr>
          <w:sz w:val="20"/>
          <w:szCs w:val="20"/>
        </w:rPr>
      </w:pPr>
      <w:r>
        <w:rPr>
          <w:sz w:val="17"/>
          <w:szCs w:val="17"/>
        </w:rPr>
        <w:t>* Filed herewith</w:t>
      </w:r>
      <w:r>
        <w:rPr>
          <w:sz w:val="17"/>
          <w:szCs w:val="17"/>
        </w:rPr>
        <w:t>.</w:t>
      </w:r>
    </w:p>
    <w:p w:rsidR="00000000" w:rsidRDefault="0043639B">
      <w:pPr>
        <w:pStyle w:val="a3"/>
        <w:spacing w:before="0" w:beforeAutospacing="0" w:after="0" w:afterAutospacing="0"/>
        <w:jc w:val="both"/>
        <w:rPr>
          <w:sz w:val="20"/>
          <w:szCs w:val="20"/>
        </w:rPr>
      </w:pPr>
      <w:r>
        <w:rPr>
          <w:sz w:val="17"/>
          <w:szCs w:val="17"/>
        </w:rPr>
        <w:t>** Furnished herewith</w:t>
      </w:r>
      <w:r>
        <w:rPr>
          <w:sz w:val="17"/>
          <w:szCs w:val="17"/>
        </w:rPr>
        <w:t>.</w:t>
      </w:r>
    </w:p>
    <w:p w:rsidR="00000000" w:rsidRDefault="0043639B">
      <w:pPr>
        <w:pStyle w:val="a3"/>
        <w:spacing w:before="0" w:beforeAutospacing="0" w:after="0" w:afterAutospacing="0"/>
        <w:jc w:val="center"/>
        <w:rPr>
          <w:sz w:val="20"/>
          <w:szCs w:val="20"/>
        </w:rPr>
      </w:pPr>
      <w:r>
        <w:rPr>
          <w:sz w:val="20"/>
          <w:szCs w:val="20"/>
        </w:rPr>
        <w:t>3</w:t>
      </w:r>
      <w:r>
        <w:rPr>
          <w:sz w:val="20"/>
          <w:szCs w:val="20"/>
        </w:rPr>
        <w:t>0</w:t>
      </w:r>
    </w:p>
    <w:p w:rsidR="00000000" w:rsidRDefault="0043639B">
      <w:pPr>
        <w:rPr>
          <w:rFonts w:eastAsia="Times New Roman"/>
        </w:rPr>
      </w:pPr>
      <w:r>
        <w:rPr>
          <w:rFonts w:eastAsia="Times New Roman"/>
        </w:rPr>
        <w:pict>
          <v:rect id="_x0000_i1054" style="width:0;height:1.5pt" o:hralign="center" o:hrstd="t" o:hr="t" fillcolor="#a0a0a0" stroked="f"/>
        </w:pic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b/>
          <w:bCs/>
          <w:sz w:val="20"/>
          <w:szCs w:val="20"/>
        </w:rPr>
        <w:t>SI</w:t>
      </w:r>
      <w:r>
        <w:rPr>
          <w:b/>
          <w:bCs/>
          <w:sz w:val="20"/>
          <w:szCs w:val="20"/>
        </w:rPr>
        <w:t>G</w:t>
      </w:r>
      <w:r>
        <w:rPr>
          <w:b/>
          <w:bCs/>
          <w:sz w:val="20"/>
          <w:szCs w:val="20"/>
        </w:rPr>
        <w:t>NATURE</w:t>
      </w:r>
      <w:r>
        <w:rPr>
          <w:b/>
          <w:bCs/>
          <w:sz w:val="20"/>
          <w:szCs w:val="20"/>
        </w:rPr>
        <w:t>S</w:t>
      </w:r>
    </w:p>
    <w:p w:rsidR="00000000" w:rsidRDefault="0043639B">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r>
        <w:rPr>
          <w:sz w:val="20"/>
          <w:szCs w:val="20"/>
        </w:rPr>
        <w:t>.</w:t>
      </w:r>
    </w:p>
    <w:p w:rsidR="00000000" w:rsidRDefault="0043639B">
      <w:pPr>
        <w:pStyle w:val="a3"/>
        <w:spacing w:before="0" w:beforeAutospacing="0" w:after="0" w:afterAutospacing="0"/>
        <w:rPr>
          <w:sz w:val="20"/>
          <w:szCs w:val="20"/>
        </w:rPr>
      </w:pPr>
      <w:r>
        <w:rPr>
          <w:sz w:val="20"/>
          <w:szCs w:val="20"/>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4"/>
        <w:gridCol w:w="172"/>
        <w:gridCol w:w="642"/>
        <w:gridCol w:w="3738"/>
      </w:tblGrid>
      <w:tr w:rsidR="00000000">
        <w:trPr>
          <w:tblCellSpacing w:w="15" w:type="dxa"/>
        </w:trPr>
        <w:tc>
          <w:tcPr>
            <w:tcW w:w="2273" w:type="pct"/>
            <w:vAlign w:val="center"/>
            <w:hideMark/>
          </w:tcPr>
          <w:p w:rsidR="00000000" w:rsidRDefault="0043639B">
            <w:pPr>
              <w:rPr>
                <w:sz w:val="20"/>
                <w:szCs w:val="20"/>
              </w:rPr>
            </w:pPr>
          </w:p>
        </w:tc>
        <w:tc>
          <w:tcPr>
            <w:tcW w:w="87" w:type="pct"/>
            <w:vAlign w:val="center"/>
            <w:hideMark/>
          </w:tcPr>
          <w:p w:rsidR="00000000" w:rsidRDefault="0043639B">
            <w:pPr>
              <w:rPr>
                <w:rFonts w:eastAsia="Times New Roman"/>
                <w:sz w:val="20"/>
                <w:szCs w:val="20"/>
              </w:rPr>
            </w:pPr>
          </w:p>
        </w:tc>
        <w:tc>
          <w:tcPr>
            <w:tcW w:w="375" w:type="pct"/>
            <w:vAlign w:val="center"/>
            <w:hideMark/>
          </w:tcPr>
          <w:p w:rsidR="00000000" w:rsidRDefault="0043639B">
            <w:pPr>
              <w:rPr>
                <w:rFonts w:eastAsia="Times New Roman"/>
                <w:sz w:val="20"/>
                <w:szCs w:val="20"/>
              </w:rPr>
            </w:pPr>
          </w:p>
        </w:tc>
        <w:tc>
          <w:tcPr>
            <w:tcW w:w="2263" w:type="pct"/>
            <w:vAlign w:val="center"/>
            <w:hideMark/>
          </w:tcPr>
          <w:p w:rsidR="00000000" w:rsidRDefault="0043639B">
            <w:pPr>
              <w:rPr>
                <w:rFonts w:eastAsia="Times New Roman"/>
                <w:sz w:val="20"/>
                <w:szCs w:val="20"/>
              </w:rPr>
            </w:pPr>
          </w:p>
        </w:tc>
      </w:tr>
      <w:tr w:rsidR="00000000">
        <w:trPr>
          <w:trHeight w:val="200"/>
          <w:tblCellSpacing w:w="15" w:type="dxa"/>
        </w:trPr>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gridSpan w:val="2"/>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b/>
                <w:bCs/>
                <w:sz w:val="20"/>
                <w:szCs w:val="20"/>
              </w:rPr>
              <w:t>Talkspace, Inc</w:t>
            </w:r>
            <w:r>
              <w:rPr>
                <w:b/>
                <w:bCs/>
                <w:sz w:val="20"/>
                <w:szCs w:val="20"/>
              </w:rPr>
              <w:t>.</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xml:space="preserve">Date: </w:t>
            </w:r>
            <w:r>
              <w:rPr>
                <w:sz w:val="20"/>
                <w:szCs w:val="20"/>
              </w:rPr>
              <w:t>November 8, 202</w:t>
            </w:r>
            <w:r>
              <w:rPr>
                <w:sz w:val="20"/>
                <w:szCs w:val="20"/>
              </w:rPr>
              <w:t>2</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/s/ Douglas Braunstei</w:t>
            </w:r>
            <w:r>
              <w:rPr>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Douglas Braunstei</w:t>
            </w:r>
            <w:r>
              <w:rPr>
                <w:sz w:val="20"/>
                <w:szCs w:val="20"/>
              </w:rPr>
              <w:t>n</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Interim Chief Executive Office</w:t>
            </w:r>
            <w:r>
              <w:rPr>
                <w:sz w:val="20"/>
                <w:szCs w:val="20"/>
              </w:rPr>
              <w:t>r</w:t>
            </w:r>
          </w:p>
        </w:tc>
      </w:tr>
      <w:tr w:rsidR="00000000">
        <w:trPr>
          <w:trHeight w:val="200"/>
          <w:tblCellSpacing w:w="15" w:type="dxa"/>
        </w:trPr>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Date: November 8, 202</w:t>
            </w:r>
            <w:r>
              <w:rPr>
                <w:sz w:val="20"/>
                <w:szCs w:val="20"/>
              </w:rPr>
              <w:t>2</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hideMark/>
          </w:tcPr>
          <w:p w:rsidR="00000000" w:rsidRDefault="0043639B">
            <w:pPr>
              <w:pStyle w:val="a3"/>
              <w:spacing w:before="0" w:beforeAutospacing="0" w:after="0" w:afterAutospacing="0"/>
              <w:rPr>
                <w:sz w:val="20"/>
                <w:szCs w:val="20"/>
              </w:rPr>
            </w:pPr>
            <w:r>
              <w:rPr>
                <w:sz w:val="20"/>
                <w:szCs w:val="20"/>
              </w:rPr>
              <w:t>By</w:t>
            </w:r>
            <w:r>
              <w:rPr>
                <w:sz w:val="20"/>
                <w:szCs w:val="20"/>
              </w:rPr>
              <w:t>:</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/s/ Jennifer Ful</w:t>
            </w:r>
            <w:r>
              <w:rPr>
                <w:sz w:val="20"/>
                <w:szCs w:val="20"/>
              </w:rPr>
              <w:t>k</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center"/>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Jennifer Ful</w:t>
            </w:r>
            <w:r>
              <w:rPr>
                <w:sz w:val="20"/>
                <w:szCs w:val="20"/>
              </w:rPr>
              <w:t>k</w:t>
            </w:r>
          </w:p>
        </w:tc>
      </w:tr>
      <w:tr w:rsidR="00000000">
        <w:trPr>
          <w:trHeight w:val="200"/>
          <w:tblCellSpacing w:w="15" w:type="dxa"/>
        </w:trPr>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 </w:t>
            </w:r>
          </w:p>
        </w:tc>
        <w:tc>
          <w:tcPr>
            <w:tcW w:w="0" w:type="auto"/>
            <w:tcMar>
              <w:top w:w="14" w:type="dxa"/>
              <w:left w:w="15" w:type="dxa"/>
              <w:bottom w:w="15" w:type="dxa"/>
              <w:right w:w="14" w:type="dxa"/>
            </w:tcMar>
            <w:vAlign w:val="bottom"/>
            <w:hideMark/>
          </w:tcPr>
          <w:p w:rsidR="00000000" w:rsidRDefault="0043639B">
            <w:pPr>
              <w:pStyle w:val="a3"/>
              <w:spacing w:before="0" w:beforeAutospacing="0" w:after="0" w:afterAutospacing="0"/>
              <w:rPr>
                <w:sz w:val="20"/>
                <w:szCs w:val="20"/>
              </w:rPr>
            </w:pPr>
            <w:r>
              <w:rPr>
                <w:sz w:val="20"/>
                <w:szCs w:val="20"/>
              </w:rPr>
              <w:t>Chief Financial Office</w:t>
            </w:r>
            <w:r>
              <w:rPr>
                <w:sz w:val="20"/>
                <w:szCs w:val="20"/>
              </w:rPr>
              <w:t>r</w:t>
            </w:r>
          </w:p>
        </w:tc>
      </w:tr>
    </w:tbl>
    <w:p w:rsidR="00000000" w:rsidRDefault="0043639B">
      <w:pPr>
        <w:pStyle w:val="a3"/>
        <w:spacing w:before="0" w:beforeAutospacing="0" w:after="0" w:afterAutospacing="0"/>
        <w:rPr>
          <w:sz w:val="20"/>
          <w:szCs w:val="20"/>
        </w:rPr>
      </w:pPr>
      <w:r>
        <w:rPr>
          <w:sz w:val="20"/>
          <w:szCs w:val="20"/>
        </w:rPr>
        <w:t> </w:t>
      </w:r>
    </w:p>
    <w:p w:rsidR="00000000" w:rsidRDefault="0043639B">
      <w:pPr>
        <w:pStyle w:val="a3"/>
        <w:spacing w:before="0" w:beforeAutospacing="0" w:after="0" w:afterAutospacing="0"/>
        <w:jc w:val="center"/>
        <w:rPr>
          <w:sz w:val="20"/>
          <w:szCs w:val="20"/>
        </w:rPr>
      </w:pPr>
      <w:r>
        <w:rPr>
          <w:sz w:val="20"/>
          <w:szCs w:val="20"/>
        </w:rPr>
        <w:t>3</w:t>
      </w:r>
      <w:r>
        <w:rPr>
          <w:sz w:val="20"/>
          <w:szCs w:val="20"/>
        </w:rPr>
        <w:t>1</w:t>
      </w:r>
    </w:p>
    <w:p w:rsidR="0043639B" w:rsidRDefault="0043639B">
      <w:pPr>
        <w:rPr>
          <w:rFonts w:eastAsia="Times New Roman"/>
        </w:rPr>
      </w:pPr>
      <w:r>
        <w:rPr>
          <w:rFonts w:eastAsia="Times New Roman"/>
        </w:rPr>
        <w:pict>
          <v:rect id="_x0000_i1055" style="width:0;height:1.5pt" o:hralign="center" o:hrstd="t" o:hr="t" fillcolor="#a0a0a0" stroked="f"/>
        </w:pict>
      </w:r>
    </w:p>
    <w:sectPr w:rsidR="0043639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3639B"/>
    <w:rsid w:val="0043639B"/>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xbrl.org/2005/xbrldt"/>
  <w:attachedSchema w:val="http://www.xbrl.org/2003/instance"/>
  <w:attachedSchema w:val="http://www.xbrl.org/2003/linkbase"/>
  <w:attachedSchema w:val="http://www.w3.org/1999/xlink"/>
  <w:attachedSchema w:val="http://www.xbrl.org/2013/inlineXBRL"/>
  <w:attachedSchema w:val="http://www.xbrl.org/dtr/type/non-numeric"/>
  <w:attachedSchema w:val="http://www.xbrl.org/inlineXBRL/transformation/2015-02-26"/>
  <w:attachedSchema w:val="http://www.sec.gov/inlineXBRL/transformation/2015-08-31"/>
  <w:attachedSchema w:val="http://xbrl.sec.gov/dei/2022"/>
  <w:attachedSchema w:val="http://fasb.org/us-gaap/2022"/>
  <w:attachedSchema w:val="http://www.xbrl.org/2003/iso4217"/>
  <w:attachedSchema w:val="http://www.xbrl.org/dtr/type/2020-01-21"/>
  <w:attachedSchema w:val="http://www.talkspace.com/20220930"/>
  <w:attachedSchema w:val="http://fasb.org/srt/2022"/>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6947">
      <w:marLeft w:val="0"/>
      <w:marRight w:val="0"/>
      <w:marTop w:val="0"/>
      <w:marBottom w:val="0"/>
      <w:divBdr>
        <w:top w:val="none" w:sz="0" w:space="0" w:color="auto"/>
        <w:left w:val="none" w:sz="0" w:space="0" w:color="auto"/>
        <w:bottom w:val="none" w:sz="0" w:space="0" w:color="auto"/>
        <w:right w:val="none" w:sz="0" w:space="0" w:color="auto"/>
      </w:divBdr>
      <w:divsChild>
        <w:div w:id="436022362">
          <w:marLeft w:val="0"/>
          <w:marRight w:val="0"/>
          <w:marTop w:val="0"/>
          <w:marBottom w:val="0"/>
          <w:divBdr>
            <w:top w:val="none" w:sz="0" w:space="0" w:color="auto"/>
            <w:left w:val="none" w:sz="0" w:space="0" w:color="auto"/>
            <w:bottom w:val="none" w:sz="0" w:space="0" w:color="auto"/>
            <w:right w:val="none" w:sz="0" w:space="0" w:color="auto"/>
          </w:divBdr>
        </w:div>
      </w:divsChild>
    </w:div>
    <w:div w:id="118038733">
      <w:marLeft w:val="3"/>
      <w:marRight w:val="0"/>
      <w:marTop w:val="120"/>
      <w:marBottom w:val="0"/>
      <w:divBdr>
        <w:top w:val="none" w:sz="0" w:space="0" w:color="auto"/>
        <w:left w:val="none" w:sz="0" w:space="0" w:color="auto"/>
        <w:bottom w:val="none" w:sz="0" w:space="0" w:color="auto"/>
        <w:right w:val="none" w:sz="0" w:space="0" w:color="auto"/>
      </w:divBdr>
      <w:divsChild>
        <w:div w:id="1334911485">
          <w:marLeft w:val="0"/>
          <w:marRight w:val="0"/>
          <w:marTop w:val="0"/>
          <w:marBottom w:val="0"/>
          <w:divBdr>
            <w:top w:val="none" w:sz="0" w:space="0" w:color="auto"/>
            <w:left w:val="none" w:sz="0" w:space="0" w:color="auto"/>
            <w:bottom w:val="none" w:sz="0" w:space="0" w:color="auto"/>
            <w:right w:val="none" w:sz="0" w:space="0" w:color="auto"/>
          </w:divBdr>
        </w:div>
      </w:divsChild>
    </w:div>
    <w:div w:id="119880794">
      <w:marLeft w:val="0"/>
      <w:marRight w:val="0"/>
      <w:marTop w:val="0"/>
      <w:marBottom w:val="0"/>
      <w:divBdr>
        <w:top w:val="none" w:sz="0" w:space="0" w:color="auto"/>
        <w:left w:val="none" w:sz="0" w:space="0" w:color="auto"/>
        <w:bottom w:val="none" w:sz="0" w:space="0" w:color="auto"/>
        <w:right w:val="none" w:sz="0" w:space="0" w:color="auto"/>
      </w:divBdr>
      <w:divsChild>
        <w:div w:id="373047197">
          <w:marLeft w:val="0"/>
          <w:marRight w:val="0"/>
          <w:marTop w:val="0"/>
          <w:marBottom w:val="0"/>
          <w:divBdr>
            <w:top w:val="none" w:sz="0" w:space="0" w:color="auto"/>
            <w:left w:val="none" w:sz="0" w:space="0" w:color="auto"/>
            <w:bottom w:val="none" w:sz="0" w:space="0" w:color="auto"/>
            <w:right w:val="none" w:sz="0" w:space="0" w:color="auto"/>
          </w:divBdr>
        </w:div>
      </w:divsChild>
    </w:div>
    <w:div w:id="121309739">
      <w:marLeft w:val="0"/>
      <w:marRight w:val="0"/>
      <w:marTop w:val="0"/>
      <w:marBottom w:val="0"/>
      <w:divBdr>
        <w:top w:val="none" w:sz="0" w:space="0" w:color="auto"/>
        <w:left w:val="none" w:sz="0" w:space="0" w:color="auto"/>
        <w:bottom w:val="none" w:sz="0" w:space="0" w:color="auto"/>
        <w:right w:val="none" w:sz="0" w:space="0" w:color="auto"/>
      </w:divBdr>
    </w:div>
    <w:div w:id="172653354">
      <w:marLeft w:val="4"/>
      <w:marRight w:val="0"/>
      <w:marTop w:val="120"/>
      <w:marBottom w:val="0"/>
      <w:divBdr>
        <w:top w:val="none" w:sz="0" w:space="0" w:color="auto"/>
        <w:left w:val="none" w:sz="0" w:space="0" w:color="auto"/>
        <w:bottom w:val="none" w:sz="0" w:space="0" w:color="auto"/>
        <w:right w:val="none" w:sz="0" w:space="0" w:color="auto"/>
      </w:divBdr>
      <w:divsChild>
        <w:div w:id="545146772">
          <w:marLeft w:val="0"/>
          <w:marRight w:val="0"/>
          <w:marTop w:val="0"/>
          <w:marBottom w:val="0"/>
          <w:divBdr>
            <w:top w:val="none" w:sz="0" w:space="0" w:color="auto"/>
            <w:left w:val="none" w:sz="0" w:space="0" w:color="auto"/>
            <w:bottom w:val="none" w:sz="0" w:space="0" w:color="auto"/>
            <w:right w:val="none" w:sz="0" w:space="0" w:color="auto"/>
          </w:divBdr>
        </w:div>
      </w:divsChild>
    </w:div>
    <w:div w:id="211501803">
      <w:marLeft w:val="3"/>
      <w:marRight w:val="0"/>
      <w:marTop w:val="120"/>
      <w:marBottom w:val="0"/>
      <w:divBdr>
        <w:top w:val="none" w:sz="0" w:space="0" w:color="auto"/>
        <w:left w:val="none" w:sz="0" w:space="0" w:color="auto"/>
        <w:bottom w:val="none" w:sz="0" w:space="0" w:color="auto"/>
        <w:right w:val="none" w:sz="0" w:space="0" w:color="auto"/>
      </w:divBdr>
      <w:divsChild>
        <w:div w:id="1449934823">
          <w:marLeft w:val="0"/>
          <w:marRight w:val="0"/>
          <w:marTop w:val="0"/>
          <w:marBottom w:val="0"/>
          <w:divBdr>
            <w:top w:val="none" w:sz="0" w:space="0" w:color="auto"/>
            <w:left w:val="none" w:sz="0" w:space="0" w:color="auto"/>
            <w:bottom w:val="none" w:sz="0" w:space="0" w:color="auto"/>
            <w:right w:val="none" w:sz="0" w:space="0" w:color="auto"/>
          </w:divBdr>
        </w:div>
      </w:divsChild>
    </w:div>
    <w:div w:id="263001797">
      <w:marLeft w:val="3"/>
      <w:marRight w:val="0"/>
      <w:marTop w:val="120"/>
      <w:marBottom w:val="0"/>
      <w:divBdr>
        <w:top w:val="none" w:sz="0" w:space="0" w:color="auto"/>
        <w:left w:val="none" w:sz="0" w:space="0" w:color="auto"/>
        <w:bottom w:val="none" w:sz="0" w:space="0" w:color="auto"/>
        <w:right w:val="none" w:sz="0" w:space="0" w:color="auto"/>
      </w:divBdr>
      <w:divsChild>
        <w:div w:id="929394309">
          <w:marLeft w:val="0"/>
          <w:marRight w:val="0"/>
          <w:marTop w:val="0"/>
          <w:marBottom w:val="0"/>
          <w:divBdr>
            <w:top w:val="none" w:sz="0" w:space="0" w:color="auto"/>
            <w:left w:val="none" w:sz="0" w:space="0" w:color="auto"/>
            <w:bottom w:val="none" w:sz="0" w:space="0" w:color="auto"/>
            <w:right w:val="none" w:sz="0" w:space="0" w:color="auto"/>
          </w:divBdr>
        </w:div>
      </w:divsChild>
    </w:div>
    <w:div w:id="339047032">
      <w:marLeft w:val="0"/>
      <w:marRight w:val="0"/>
      <w:marTop w:val="0"/>
      <w:marBottom w:val="0"/>
      <w:divBdr>
        <w:top w:val="none" w:sz="0" w:space="0" w:color="auto"/>
        <w:left w:val="none" w:sz="0" w:space="0" w:color="auto"/>
        <w:bottom w:val="none" w:sz="0" w:space="0" w:color="auto"/>
        <w:right w:val="none" w:sz="0" w:space="0" w:color="auto"/>
      </w:divBdr>
      <w:divsChild>
        <w:div w:id="1909999131">
          <w:marLeft w:val="0"/>
          <w:marRight w:val="0"/>
          <w:marTop w:val="0"/>
          <w:marBottom w:val="0"/>
          <w:divBdr>
            <w:top w:val="none" w:sz="0" w:space="0" w:color="auto"/>
            <w:left w:val="none" w:sz="0" w:space="0" w:color="auto"/>
            <w:bottom w:val="none" w:sz="0" w:space="0" w:color="auto"/>
            <w:right w:val="none" w:sz="0" w:space="0" w:color="auto"/>
          </w:divBdr>
        </w:div>
      </w:divsChild>
    </w:div>
    <w:div w:id="340548150">
      <w:marLeft w:val="3"/>
      <w:marRight w:val="0"/>
      <w:marTop w:val="120"/>
      <w:marBottom w:val="0"/>
      <w:divBdr>
        <w:top w:val="none" w:sz="0" w:space="0" w:color="auto"/>
        <w:left w:val="none" w:sz="0" w:space="0" w:color="auto"/>
        <w:bottom w:val="none" w:sz="0" w:space="0" w:color="auto"/>
        <w:right w:val="none" w:sz="0" w:space="0" w:color="auto"/>
      </w:divBdr>
      <w:divsChild>
        <w:div w:id="2051371103">
          <w:marLeft w:val="0"/>
          <w:marRight w:val="0"/>
          <w:marTop w:val="0"/>
          <w:marBottom w:val="0"/>
          <w:divBdr>
            <w:top w:val="none" w:sz="0" w:space="0" w:color="auto"/>
            <w:left w:val="none" w:sz="0" w:space="0" w:color="auto"/>
            <w:bottom w:val="none" w:sz="0" w:space="0" w:color="auto"/>
            <w:right w:val="none" w:sz="0" w:space="0" w:color="auto"/>
          </w:divBdr>
        </w:div>
      </w:divsChild>
    </w:div>
    <w:div w:id="462311292">
      <w:marLeft w:val="3"/>
      <w:marRight w:val="0"/>
      <w:marTop w:val="120"/>
      <w:marBottom w:val="0"/>
      <w:divBdr>
        <w:top w:val="none" w:sz="0" w:space="0" w:color="auto"/>
        <w:left w:val="none" w:sz="0" w:space="0" w:color="auto"/>
        <w:bottom w:val="none" w:sz="0" w:space="0" w:color="auto"/>
        <w:right w:val="none" w:sz="0" w:space="0" w:color="auto"/>
      </w:divBdr>
      <w:divsChild>
        <w:div w:id="987174921">
          <w:marLeft w:val="0"/>
          <w:marRight w:val="0"/>
          <w:marTop w:val="0"/>
          <w:marBottom w:val="0"/>
          <w:divBdr>
            <w:top w:val="none" w:sz="0" w:space="0" w:color="auto"/>
            <w:left w:val="none" w:sz="0" w:space="0" w:color="auto"/>
            <w:bottom w:val="none" w:sz="0" w:space="0" w:color="auto"/>
            <w:right w:val="none" w:sz="0" w:space="0" w:color="auto"/>
          </w:divBdr>
        </w:div>
      </w:divsChild>
    </w:div>
    <w:div w:id="471597506">
      <w:marLeft w:val="4"/>
      <w:marRight w:val="0"/>
      <w:marTop w:val="120"/>
      <w:marBottom w:val="0"/>
      <w:divBdr>
        <w:top w:val="none" w:sz="0" w:space="0" w:color="auto"/>
        <w:left w:val="none" w:sz="0" w:space="0" w:color="auto"/>
        <w:bottom w:val="none" w:sz="0" w:space="0" w:color="auto"/>
        <w:right w:val="none" w:sz="0" w:space="0" w:color="auto"/>
      </w:divBdr>
      <w:divsChild>
        <w:div w:id="470368878">
          <w:marLeft w:val="0"/>
          <w:marRight w:val="0"/>
          <w:marTop w:val="0"/>
          <w:marBottom w:val="0"/>
          <w:divBdr>
            <w:top w:val="none" w:sz="0" w:space="0" w:color="auto"/>
            <w:left w:val="none" w:sz="0" w:space="0" w:color="auto"/>
            <w:bottom w:val="none" w:sz="0" w:space="0" w:color="auto"/>
            <w:right w:val="none" w:sz="0" w:space="0" w:color="auto"/>
          </w:divBdr>
        </w:div>
      </w:divsChild>
    </w:div>
    <w:div w:id="519780766">
      <w:marLeft w:val="3"/>
      <w:marRight w:val="0"/>
      <w:marTop w:val="120"/>
      <w:marBottom w:val="0"/>
      <w:divBdr>
        <w:top w:val="none" w:sz="0" w:space="0" w:color="auto"/>
        <w:left w:val="none" w:sz="0" w:space="0" w:color="auto"/>
        <w:bottom w:val="none" w:sz="0" w:space="0" w:color="auto"/>
        <w:right w:val="none" w:sz="0" w:space="0" w:color="auto"/>
      </w:divBdr>
      <w:divsChild>
        <w:div w:id="1429815575">
          <w:marLeft w:val="0"/>
          <w:marRight w:val="0"/>
          <w:marTop w:val="0"/>
          <w:marBottom w:val="0"/>
          <w:divBdr>
            <w:top w:val="none" w:sz="0" w:space="0" w:color="auto"/>
            <w:left w:val="none" w:sz="0" w:space="0" w:color="auto"/>
            <w:bottom w:val="none" w:sz="0" w:space="0" w:color="auto"/>
            <w:right w:val="none" w:sz="0" w:space="0" w:color="auto"/>
          </w:divBdr>
        </w:div>
      </w:divsChild>
    </w:div>
    <w:div w:id="524829272">
      <w:marLeft w:val="0"/>
      <w:marRight w:val="0"/>
      <w:marTop w:val="0"/>
      <w:marBottom w:val="0"/>
      <w:divBdr>
        <w:top w:val="none" w:sz="0" w:space="0" w:color="auto"/>
        <w:left w:val="none" w:sz="0" w:space="0" w:color="auto"/>
        <w:bottom w:val="none" w:sz="0" w:space="0" w:color="auto"/>
        <w:right w:val="none" w:sz="0" w:space="0" w:color="auto"/>
      </w:divBdr>
    </w:div>
    <w:div w:id="526213509">
      <w:marLeft w:val="3"/>
      <w:marRight w:val="0"/>
      <w:marTop w:val="120"/>
      <w:marBottom w:val="0"/>
      <w:divBdr>
        <w:top w:val="none" w:sz="0" w:space="0" w:color="auto"/>
        <w:left w:val="none" w:sz="0" w:space="0" w:color="auto"/>
        <w:bottom w:val="none" w:sz="0" w:space="0" w:color="auto"/>
        <w:right w:val="none" w:sz="0" w:space="0" w:color="auto"/>
      </w:divBdr>
      <w:divsChild>
        <w:div w:id="2057075458">
          <w:marLeft w:val="0"/>
          <w:marRight w:val="0"/>
          <w:marTop w:val="0"/>
          <w:marBottom w:val="0"/>
          <w:divBdr>
            <w:top w:val="none" w:sz="0" w:space="0" w:color="auto"/>
            <w:left w:val="none" w:sz="0" w:space="0" w:color="auto"/>
            <w:bottom w:val="none" w:sz="0" w:space="0" w:color="auto"/>
            <w:right w:val="none" w:sz="0" w:space="0" w:color="auto"/>
          </w:divBdr>
        </w:div>
      </w:divsChild>
    </w:div>
    <w:div w:id="534461312">
      <w:marLeft w:val="0"/>
      <w:marRight w:val="0"/>
      <w:marTop w:val="0"/>
      <w:marBottom w:val="0"/>
      <w:divBdr>
        <w:top w:val="none" w:sz="0" w:space="0" w:color="auto"/>
        <w:left w:val="none" w:sz="0" w:space="0" w:color="auto"/>
        <w:bottom w:val="none" w:sz="0" w:space="0" w:color="auto"/>
        <w:right w:val="none" w:sz="0" w:space="0" w:color="auto"/>
      </w:divBdr>
      <w:divsChild>
        <w:div w:id="1530802574">
          <w:marLeft w:val="0"/>
          <w:marRight w:val="0"/>
          <w:marTop w:val="0"/>
          <w:marBottom w:val="0"/>
          <w:divBdr>
            <w:top w:val="none" w:sz="0" w:space="0" w:color="auto"/>
            <w:left w:val="none" w:sz="0" w:space="0" w:color="auto"/>
            <w:bottom w:val="none" w:sz="0" w:space="0" w:color="auto"/>
            <w:right w:val="none" w:sz="0" w:space="0" w:color="auto"/>
          </w:divBdr>
        </w:div>
      </w:divsChild>
    </w:div>
    <w:div w:id="551042771">
      <w:marLeft w:val="3"/>
      <w:marRight w:val="0"/>
      <w:marTop w:val="120"/>
      <w:marBottom w:val="0"/>
      <w:divBdr>
        <w:top w:val="none" w:sz="0" w:space="0" w:color="auto"/>
        <w:left w:val="none" w:sz="0" w:space="0" w:color="auto"/>
        <w:bottom w:val="none" w:sz="0" w:space="0" w:color="auto"/>
        <w:right w:val="none" w:sz="0" w:space="0" w:color="auto"/>
      </w:divBdr>
      <w:divsChild>
        <w:div w:id="899439970">
          <w:marLeft w:val="0"/>
          <w:marRight w:val="0"/>
          <w:marTop w:val="0"/>
          <w:marBottom w:val="0"/>
          <w:divBdr>
            <w:top w:val="none" w:sz="0" w:space="0" w:color="auto"/>
            <w:left w:val="none" w:sz="0" w:space="0" w:color="auto"/>
            <w:bottom w:val="none" w:sz="0" w:space="0" w:color="auto"/>
            <w:right w:val="none" w:sz="0" w:space="0" w:color="auto"/>
          </w:divBdr>
        </w:div>
      </w:divsChild>
    </w:div>
    <w:div w:id="580602445">
      <w:marLeft w:val="4"/>
      <w:marRight w:val="0"/>
      <w:marTop w:val="120"/>
      <w:marBottom w:val="0"/>
      <w:divBdr>
        <w:top w:val="none" w:sz="0" w:space="0" w:color="auto"/>
        <w:left w:val="none" w:sz="0" w:space="0" w:color="auto"/>
        <w:bottom w:val="none" w:sz="0" w:space="0" w:color="auto"/>
        <w:right w:val="none" w:sz="0" w:space="0" w:color="auto"/>
      </w:divBdr>
      <w:divsChild>
        <w:div w:id="48656222">
          <w:marLeft w:val="0"/>
          <w:marRight w:val="0"/>
          <w:marTop w:val="0"/>
          <w:marBottom w:val="0"/>
          <w:divBdr>
            <w:top w:val="none" w:sz="0" w:space="0" w:color="auto"/>
            <w:left w:val="none" w:sz="0" w:space="0" w:color="auto"/>
            <w:bottom w:val="none" w:sz="0" w:space="0" w:color="auto"/>
            <w:right w:val="none" w:sz="0" w:space="0" w:color="auto"/>
          </w:divBdr>
        </w:div>
      </w:divsChild>
    </w:div>
    <w:div w:id="599220693">
      <w:marLeft w:val="3"/>
      <w:marRight w:val="0"/>
      <w:marTop w:val="120"/>
      <w:marBottom w:val="0"/>
      <w:divBdr>
        <w:top w:val="none" w:sz="0" w:space="0" w:color="auto"/>
        <w:left w:val="none" w:sz="0" w:space="0" w:color="auto"/>
        <w:bottom w:val="none" w:sz="0" w:space="0" w:color="auto"/>
        <w:right w:val="none" w:sz="0" w:space="0" w:color="auto"/>
      </w:divBdr>
      <w:divsChild>
        <w:div w:id="416512359">
          <w:marLeft w:val="0"/>
          <w:marRight w:val="0"/>
          <w:marTop w:val="0"/>
          <w:marBottom w:val="0"/>
          <w:divBdr>
            <w:top w:val="none" w:sz="0" w:space="0" w:color="auto"/>
            <w:left w:val="none" w:sz="0" w:space="0" w:color="auto"/>
            <w:bottom w:val="none" w:sz="0" w:space="0" w:color="auto"/>
            <w:right w:val="none" w:sz="0" w:space="0" w:color="auto"/>
          </w:divBdr>
        </w:div>
      </w:divsChild>
    </w:div>
    <w:div w:id="602540425">
      <w:marLeft w:val="3"/>
      <w:marRight w:val="0"/>
      <w:marTop w:val="120"/>
      <w:marBottom w:val="0"/>
      <w:divBdr>
        <w:top w:val="none" w:sz="0" w:space="0" w:color="auto"/>
        <w:left w:val="none" w:sz="0" w:space="0" w:color="auto"/>
        <w:bottom w:val="none" w:sz="0" w:space="0" w:color="auto"/>
        <w:right w:val="none" w:sz="0" w:space="0" w:color="auto"/>
      </w:divBdr>
      <w:divsChild>
        <w:div w:id="2043431779">
          <w:marLeft w:val="0"/>
          <w:marRight w:val="0"/>
          <w:marTop w:val="0"/>
          <w:marBottom w:val="0"/>
          <w:divBdr>
            <w:top w:val="none" w:sz="0" w:space="0" w:color="auto"/>
            <w:left w:val="none" w:sz="0" w:space="0" w:color="auto"/>
            <w:bottom w:val="none" w:sz="0" w:space="0" w:color="auto"/>
            <w:right w:val="none" w:sz="0" w:space="0" w:color="auto"/>
          </w:divBdr>
        </w:div>
      </w:divsChild>
    </w:div>
    <w:div w:id="625623806">
      <w:marLeft w:val="3"/>
      <w:marRight w:val="0"/>
      <w:marTop w:val="120"/>
      <w:marBottom w:val="0"/>
      <w:divBdr>
        <w:top w:val="none" w:sz="0" w:space="0" w:color="auto"/>
        <w:left w:val="none" w:sz="0" w:space="0" w:color="auto"/>
        <w:bottom w:val="none" w:sz="0" w:space="0" w:color="auto"/>
        <w:right w:val="none" w:sz="0" w:space="0" w:color="auto"/>
      </w:divBdr>
      <w:divsChild>
        <w:div w:id="1386611473">
          <w:marLeft w:val="0"/>
          <w:marRight w:val="0"/>
          <w:marTop w:val="0"/>
          <w:marBottom w:val="0"/>
          <w:divBdr>
            <w:top w:val="none" w:sz="0" w:space="0" w:color="auto"/>
            <w:left w:val="none" w:sz="0" w:space="0" w:color="auto"/>
            <w:bottom w:val="none" w:sz="0" w:space="0" w:color="auto"/>
            <w:right w:val="none" w:sz="0" w:space="0" w:color="auto"/>
          </w:divBdr>
        </w:div>
      </w:divsChild>
    </w:div>
    <w:div w:id="740711322">
      <w:marLeft w:val="4"/>
      <w:marRight w:val="0"/>
      <w:marTop w:val="120"/>
      <w:marBottom w:val="0"/>
      <w:divBdr>
        <w:top w:val="none" w:sz="0" w:space="0" w:color="auto"/>
        <w:left w:val="none" w:sz="0" w:space="0" w:color="auto"/>
        <w:bottom w:val="none" w:sz="0" w:space="0" w:color="auto"/>
        <w:right w:val="none" w:sz="0" w:space="0" w:color="auto"/>
      </w:divBdr>
      <w:divsChild>
        <w:div w:id="1158114853">
          <w:marLeft w:val="0"/>
          <w:marRight w:val="0"/>
          <w:marTop w:val="0"/>
          <w:marBottom w:val="0"/>
          <w:divBdr>
            <w:top w:val="none" w:sz="0" w:space="0" w:color="auto"/>
            <w:left w:val="none" w:sz="0" w:space="0" w:color="auto"/>
            <w:bottom w:val="none" w:sz="0" w:space="0" w:color="auto"/>
            <w:right w:val="none" w:sz="0" w:space="0" w:color="auto"/>
          </w:divBdr>
        </w:div>
      </w:divsChild>
    </w:div>
    <w:div w:id="790784289">
      <w:marLeft w:val="3"/>
      <w:marRight w:val="0"/>
      <w:marTop w:val="120"/>
      <w:marBottom w:val="0"/>
      <w:divBdr>
        <w:top w:val="none" w:sz="0" w:space="0" w:color="auto"/>
        <w:left w:val="none" w:sz="0" w:space="0" w:color="auto"/>
        <w:bottom w:val="none" w:sz="0" w:space="0" w:color="auto"/>
        <w:right w:val="none" w:sz="0" w:space="0" w:color="auto"/>
      </w:divBdr>
      <w:divsChild>
        <w:div w:id="890923397">
          <w:marLeft w:val="0"/>
          <w:marRight w:val="0"/>
          <w:marTop w:val="0"/>
          <w:marBottom w:val="0"/>
          <w:divBdr>
            <w:top w:val="none" w:sz="0" w:space="0" w:color="auto"/>
            <w:left w:val="none" w:sz="0" w:space="0" w:color="auto"/>
            <w:bottom w:val="none" w:sz="0" w:space="0" w:color="auto"/>
            <w:right w:val="none" w:sz="0" w:space="0" w:color="auto"/>
          </w:divBdr>
        </w:div>
      </w:divsChild>
    </w:div>
    <w:div w:id="955327275">
      <w:marLeft w:val="4"/>
      <w:marRight w:val="0"/>
      <w:marTop w:val="120"/>
      <w:marBottom w:val="0"/>
      <w:divBdr>
        <w:top w:val="none" w:sz="0" w:space="0" w:color="auto"/>
        <w:left w:val="none" w:sz="0" w:space="0" w:color="auto"/>
        <w:bottom w:val="none" w:sz="0" w:space="0" w:color="auto"/>
        <w:right w:val="none" w:sz="0" w:space="0" w:color="auto"/>
      </w:divBdr>
      <w:divsChild>
        <w:div w:id="1191456706">
          <w:marLeft w:val="0"/>
          <w:marRight w:val="0"/>
          <w:marTop w:val="0"/>
          <w:marBottom w:val="0"/>
          <w:divBdr>
            <w:top w:val="none" w:sz="0" w:space="0" w:color="auto"/>
            <w:left w:val="none" w:sz="0" w:space="0" w:color="auto"/>
            <w:bottom w:val="none" w:sz="0" w:space="0" w:color="auto"/>
            <w:right w:val="none" w:sz="0" w:space="0" w:color="auto"/>
          </w:divBdr>
        </w:div>
      </w:divsChild>
    </w:div>
    <w:div w:id="983972761">
      <w:marLeft w:val="0"/>
      <w:marRight w:val="0"/>
      <w:marTop w:val="0"/>
      <w:marBottom w:val="0"/>
      <w:divBdr>
        <w:top w:val="none" w:sz="0" w:space="0" w:color="auto"/>
        <w:left w:val="none" w:sz="0" w:space="0" w:color="auto"/>
        <w:bottom w:val="none" w:sz="0" w:space="0" w:color="auto"/>
        <w:right w:val="none" w:sz="0" w:space="0" w:color="auto"/>
      </w:divBdr>
      <w:divsChild>
        <w:div w:id="1351908753">
          <w:marLeft w:val="0"/>
          <w:marRight w:val="0"/>
          <w:marTop w:val="0"/>
          <w:marBottom w:val="0"/>
          <w:divBdr>
            <w:top w:val="none" w:sz="0" w:space="0" w:color="auto"/>
            <w:left w:val="none" w:sz="0" w:space="0" w:color="auto"/>
            <w:bottom w:val="none" w:sz="0" w:space="0" w:color="auto"/>
            <w:right w:val="none" w:sz="0" w:space="0" w:color="auto"/>
          </w:divBdr>
        </w:div>
        <w:div w:id="1608539582">
          <w:marLeft w:val="0"/>
          <w:marRight w:val="0"/>
          <w:marTop w:val="0"/>
          <w:marBottom w:val="0"/>
          <w:divBdr>
            <w:top w:val="none" w:sz="0" w:space="0" w:color="auto"/>
            <w:left w:val="none" w:sz="0" w:space="0" w:color="auto"/>
            <w:bottom w:val="none" w:sz="0" w:space="0" w:color="auto"/>
            <w:right w:val="none" w:sz="0" w:space="0" w:color="auto"/>
          </w:divBdr>
        </w:div>
        <w:div w:id="1952589261">
          <w:marLeft w:val="0"/>
          <w:marRight w:val="0"/>
          <w:marTop w:val="0"/>
          <w:marBottom w:val="0"/>
          <w:divBdr>
            <w:top w:val="none" w:sz="0" w:space="0" w:color="auto"/>
            <w:left w:val="none" w:sz="0" w:space="0" w:color="auto"/>
            <w:bottom w:val="none" w:sz="0" w:space="0" w:color="auto"/>
            <w:right w:val="none" w:sz="0" w:space="0" w:color="auto"/>
          </w:divBdr>
        </w:div>
      </w:divsChild>
    </w:div>
    <w:div w:id="1058211445">
      <w:marLeft w:val="4"/>
      <w:marRight w:val="0"/>
      <w:marTop w:val="120"/>
      <w:marBottom w:val="0"/>
      <w:divBdr>
        <w:top w:val="none" w:sz="0" w:space="0" w:color="auto"/>
        <w:left w:val="none" w:sz="0" w:space="0" w:color="auto"/>
        <w:bottom w:val="none" w:sz="0" w:space="0" w:color="auto"/>
        <w:right w:val="none" w:sz="0" w:space="0" w:color="auto"/>
      </w:divBdr>
      <w:divsChild>
        <w:div w:id="1353412694">
          <w:marLeft w:val="0"/>
          <w:marRight w:val="0"/>
          <w:marTop w:val="0"/>
          <w:marBottom w:val="0"/>
          <w:divBdr>
            <w:top w:val="none" w:sz="0" w:space="0" w:color="auto"/>
            <w:left w:val="none" w:sz="0" w:space="0" w:color="auto"/>
            <w:bottom w:val="none" w:sz="0" w:space="0" w:color="auto"/>
            <w:right w:val="none" w:sz="0" w:space="0" w:color="auto"/>
          </w:divBdr>
        </w:div>
      </w:divsChild>
    </w:div>
    <w:div w:id="1092891161">
      <w:marLeft w:val="0"/>
      <w:marRight w:val="0"/>
      <w:marTop w:val="0"/>
      <w:marBottom w:val="0"/>
      <w:divBdr>
        <w:top w:val="none" w:sz="0" w:space="0" w:color="auto"/>
        <w:left w:val="none" w:sz="0" w:space="0" w:color="auto"/>
        <w:bottom w:val="none" w:sz="0" w:space="0" w:color="auto"/>
        <w:right w:val="none" w:sz="0" w:space="0" w:color="auto"/>
      </w:divBdr>
    </w:div>
    <w:div w:id="1124278065">
      <w:marLeft w:val="3"/>
      <w:marRight w:val="0"/>
      <w:marTop w:val="120"/>
      <w:marBottom w:val="0"/>
      <w:divBdr>
        <w:top w:val="none" w:sz="0" w:space="0" w:color="auto"/>
        <w:left w:val="none" w:sz="0" w:space="0" w:color="auto"/>
        <w:bottom w:val="none" w:sz="0" w:space="0" w:color="auto"/>
        <w:right w:val="none" w:sz="0" w:space="0" w:color="auto"/>
      </w:divBdr>
      <w:divsChild>
        <w:div w:id="1887638805">
          <w:marLeft w:val="0"/>
          <w:marRight w:val="0"/>
          <w:marTop w:val="0"/>
          <w:marBottom w:val="0"/>
          <w:divBdr>
            <w:top w:val="none" w:sz="0" w:space="0" w:color="auto"/>
            <w:left w:val="none" w:sz="0" w:space="0" w:color="auto"/>
            <w:bottom w:val="none" w:sz="0" w:space="0" w:color="auto"/>
            <w:right w:val="none" w:sz="0" w:space="0" w:color="auto"/>
          </w:divBdr>
        </w:div>
      </w:divsChild>
    </w:div>
    <w:div w:id="1206797318">
      <w:marLeft w:val="3"/>
      <w:marRight w:val="0"/>
      <w:marTop w:val="120"/>
      <w:marBottom w:val="0"/>
      <w:divBdr>
        <w:top w:val="none" w:sz="0" w:space="0" w:color="auto"/>
        <w:left w:val="none" w:sz="0" w:space="0" w:color="auto"/>
        <w:bottom w:val="none" w:sz="0" w:space="0" w:color="auto"/>
        <w:right w:val="none" w:sz="0" w:space="0" w:color="auto"/>
      </w:divBdr>
      <w:divsChild>
        <w:div w:id="1898658862">
          <w:marLeft w:val="0"/>
          <w:marRight w:val="0"/>
          <w:marTop w:val="0"/>
          <w:marBottom w:val="0"/>
          <w:divBdr>
            <w:top w:val="none" w:sz="0" w:space="0" w:color="auto"/>
            <w:left w:val="none" w:sz="0" w:space="0" w:color="auto"/>
            <w:bottom w:val="none" w:sz="0" w:space="0" w:color="auto"/>
            <w:right w:val="none" w:sz="0" w:space="0" w:color="auto"/>
          </w:divBdr>
        </w:div>
      </w:divsChild>
    </w:div>
    <w:div w:id="1239286037">
      <w:marLeft w:val="0"/>
      <w:marRight w:val="0"/>
      <w:marTop w:val="0"/>
      <w:marBottom w:val="0"/>
      <w:divBdr>
        <w:top w:val="none" w:sz="0" w:space="0" w:color="auto"/>
        <w:left w:val="none" w:sz="0" w:space="0" w:color="auto"/>
        <w:bottom w:val="none" w:sz="0" w:space="0" w:color="auto"/>
        <w:right w:val="none" w:sz="0" w:space="0" w:color="auto"/>
      </w:divBdr>
      <w:divsChild>
        <w:div w:id="440029508">
          <w:marLeft w:val="0"/>
          <w:marRight w:val="0"/>
          <w:marTop w:val="0"/>
          <w:marBottom w:val="0"/>
          <w:divBdr>
            <w:top w:val="none" w:sz="0" w:space="0" w:color="auto"/>
            <w:left w:val="none" w:sz="0" w:space="0" w:color="auto"/>
            <w:bottom w:val="none" w:sz="0" w:space="0" w:color="auto"/>
            <w:right w:val="none" w:sz="0" w:space="0" w:color="auto"/>
          </w:divBdr>
        </w:div>
      </w:divsChild>
    </w:div>
    <w:div w:id="1273171756">
      <w:marLeft w:val="4"/>
      <w:marRight w:val="0"/>
      <w:marTop w:val="120"/>
      <w:marBottom w:val="0"/>
      <w:divBdr>
        <w:top w:val="none" w:sz="0" w:space="0" w:color="auto"/>
        <w:left w:val="none" w:sz="0" w:space="0" w:color="auto"/>
        <w:bottom w:val="none" w:sz="0" w:space="0" w:color="auto"/>
        <w:right w:val="none" w:sz="0" w:space="0" w:color="auto"/>
      </w:divBdr>
      <w:divsChild>
        <w:div w:id="420420358">
          <w:marLeft w:val="0"/>
          <w:marRight w:val="0"/>
          <w:marTop w:val="0"/>
          <w:marBottom w:val="0"/>
          <w:divBdr>
            <w:top w:val="none" w:sz="0" w:space="0" w:color="auto"/>
            <w:left w:val="none" w:sz="0" w:space="0" w:color="auto"/>
            <w:bottom w:val="none" w:sz="0" w:space="0" w:color="auto"/>
            <w:right w:val="none" w:sz="0" w:space="0" w:color="auto"/>
          </w:divBdr>
        </w:div>
      </w:divsChild>
    </w:div>
    <w:div w:id="1290473596">
      <w:marLeft w:val="3"/>
      <w:marRight w:val="0"/>
      <w:marTop w:val="120"/>
      <w:marBottom w:val="0"/>
      <w:divBdr>
        <w:top w:val="none" w:sz="0" w:space="0" w:color="auto"/>
        <w:left w:val="none" w:sz="0" w:space="0" w:color="auto"/>
        <w:bottom w:val="none" w:sz="0" w:space="0" w:color="auto"/>
        <w:right w:val="none" w:sz="0" w:space="0" w:color="auto"/>
      </w:divBdr>
      <w:divsChild>
        <w:div w:id="1462266496">
          <w:marLeft w:val="0"/>
          <w:marRight w:val="0"/>
          <w:marTop w:val="0"/>
          <w:marBottom w:val="0"/>
          <w:divBdr>
            <w:top w:val="none" w:sz="0" w:space="0" w:color="auto"/>
            <w:left w:val="none" w:sz="0" w:space="0" w:color="auto"/>
            <w:bottom w:val="none" w:sz="0" w:space="0" w:color="auto"/>
            <w:right w:val="none" w:sz="0" w:space="0" w:color="auto"/>
          </w:divBdr>
        </w:div>
      </w:divsChild>
    </w:div>
    <w:div w:id="1340541633">
      <w:marLeft w:val="4"/>
      <w:marRight w:val="0"/>
      <w:marTop w:val="120"/>
      <w:marBottom w:val="0"/>
      <w:divBdr>
        <w:top w:val="none" w:sz="0" w:space="0" w:color="auto"/>
        <w:left w:val="none" w:sz="0" w:space="0" w:color="auto"/>
        <w:bottom w:val="none" w:sz="0" w:space="0" w:color="auto"/>
        <w:right w:val="none" w:sz="0" w:space="0" w:color="auto"/>
      </w:divBdr>
      <w:divsChild>
        <w:div w:id="912862130">
          <w:marLeft w:val="0"/>
          <w:marRight w:val="0"/>
          <w:marTop w:val="0"/>
          <w:marBottom w:val="0"/>
          <w:divBdr>
            <w:top w:val="none" w:sz="0" w:space="0" w:color="auto"/>
            <w:left w:val="none" w:sz="0" w:space="0" w:color="auto"/>
            <w:bottom w:val="none" w:sz="0" w:space="0" w:color="auto"/>
            <w:right w:val="none" w:sz="0" w:space="0" w:color="auto"/>
          </w:divBdr>
        </w:div>
      </w:divsChild>
    </w:div>
    <w:div w:id="1366828832">
      <w:marLeft w:val="3"/>
      <w:marRight w:val="0"/>
      <w:marTop w:val="120"/>
      <w:marBottom w:val="0"/>
      <w:divBdr>
        <w:top w:val="none" w:sz="0" w:space="0" w:color="auto"/>
        <w:left w:val="none" w:sz="0" w:space="0" w:color="auto"/>
        <w:bottom w:val="none" w:sz="0" w:space="0" w:color="auto"/>
        <w:right w:val="none" w:sz="0" w:space="0" w:color="auto"/>
      </w:divBdr>
      <w:divsChild>
        <w:div w:id="1325621557">
          <w:marLeft w:val="0"/>
          <w:marRight w:val="0"/>
          <w:marTop w:val="0"/>
          <w:marBottom w:val="0"/>
          <w:divBdr>
            <w:top w:val="none" w:sz="0" w:space="0" w:color="auto"/>
            <w:left w:val="none" w:sz="0" w:space="0" w:color="auto"/>
            <w:bottom w:val="none" w:sz="0" w:space="0" w:color="auto"/>
            <w:right w:val="none" w:sz="0" w:space="0" w:color="auto"/>
          </w:divBdr>
        </w:div>
      </w:divsChild>
    </w:div>
    <w:div w:id="1464738254">
      <w:marLeft w:val="4"/>
      <w:marRight w:val="0"/>
      <w:marTop w:val="120"/>
      <w:marBottom w:val="0"/>
      <w:divBdr>
        <w:top w:val="none" w:sz="0" w:space="0" w:color="auto"/>
        <w:left w:val="none" w:sz="0" w:space="0" w:color="auto"/>
        <w:bottom w:val="none" w:sz="0" w:space="0" w:color="auto"/>
        <w:right w:val="none" w:sz="0" w:space="0" w:color="auto"/>
      </w:divBdr>
      <w:divsChild>
        <w:div w:id="1776903037">
          <w:marLeft w:val="0"/>
          <w:marRight w:val="0"/>
          <w:marTop w:val="0"/>
          <w:marBottom w:val="0"/>
          <w:divBdr>
            <w:top w:val="none" w:sz="0" w:space="0" w:color="auto"/>
            <w:left w:val="none" w:sz="0" w:space="0" w:color="auto"/>
            <w:bottom w:val="none" w:sz="0" w:space="0" w:color="auto"/>
            <w:right w:val="none" w:sz="0" w:space="0" w:color="auto"/>
          </w:divBdr>
        </w:div>
      </w:divsChild>
    </w:div>
    <w:div w:id="1551576022">
      <w:marLeft w:val="0"/>
      <w:marRight w:val="0"/>
      <w:marTop w:val="0"/>
      <w:marBottom w:val="0"/>
      <w:divBdr>
        <w:top w:val="none" w:sz="0" w:space="0" w:color="auto"/>
        <w:left w:val="none" w:sz="0" w:space="0" w:color="auto"/>
        <w:bottom w:val="none" w:sz="0" w:space="0" w:color="auto"/>
        <w:right w:val="none" w:sz="0" w:space="0" w:color="auto"/>
      </w:divBdr>
    </w:div>
    <w:div w:id="1595673105">
      <w:marLeft w:val="4"/>
      <w:marRight w:val="0"/>
      <w:marTop w:val="120"/>
      <w:marBottom w:val="0"/>
      <w:divBdr>
        <w:top w:val="none" w:sz="0" w:space="0" w:color="auto"/>
        <w:left w:val="none" w:sz="0" w:space="0" w:color="auto"/>
        <w:bottom w:val="none" w:sz="0" w:space="0" w:color="auto"/>
        <w:right w:val="none" w:sz="0" w:space="0" w:color="auto"/>
      </w:divBdr>
      <w:divsChild>
        <w:div w:id="2111272961">
          <w:marLeft w:val="0"/>
          <w:marRight w:val="0"/>
          <w:marTop w:val="0"/>
          <w:marBottom w:val="0"/>
          <w:divBdr>
            <w:top w:val="none" w:sz="0" w:space="0" w:color="auto"/>
            <w:left w:val="none" w:sz="0" w:space="0" w:color="auto"/>
            <w:bottom w:val="none" w:sz="0" w:space="0" w:color="auto"/>
            <w:right w:val="none" w:sz="0" w:space="0" w:color="auto"/>
          </w:divBdr>
        </w:div>
      </w:divsChild>
    </w:div>
    <w:div w:id="1680817312">
      <w:marLeft w:val="4"/>
      <w:marRight w:val="0"/>
      <w:marTop w:val="120"/>
      <w:marBottom w:val="0"/>
      <w:divBdr>
        <w:top w:val="none" w:sz="0" w:space="0" w:color="auto"/>
        <w:left w:val="none" w:sz="0" w:space="0" w:color="auto"/>
        <w:bottom w:val="none" w:sz="0" w:space="0" w:color="auto"/>
        <w:right w:val="none" w:sz="0" w:space="0" w:color="auto"/>
      </w:divBdr>
      <w:divsChild>
        <w:div w:id="946929977">
          <w:marLeft w:val="0"/>
          <w:marRight w:val="0"/>
          <w:marTop w:val="0"/>
          <w:marBottom w:val="0"/>
          <w:divBdr>
            <w:top w:val="none" w:sz="0" w:space="0" w:color="auto"/>
            <w:left w:val="none" w:sz="0" w:space="0" w:color="auto"/>
            <w:bottom w:val="none" w:sz="0" w:space="0" w:color="auto"/>
            <w:right w:val="none" w:sz="0" w:space="0" w:color="auto"/>
          </w:divBdr>
        </w:div>
      </w:divsChild>
    </w:div>
    <w:div w:id="1694769730">
      <w:marLeft w:val="3"/>
      <w:marRight w:val="0"/>
      <w:marTop w:val="120"/>
      <w:marBottom w:val="0"/>
      <w:divBdr>
        <w:top w:val="none" w:sz="0" w:space="0" w:color="auto"/>
        <w:left w:val="none" w:sz="0" w:space="0" w:color="auto"/>
        <w:bottom w:val="none" w:sz="0" w:space="0" w:color="auto"/>
        <w:right w:val="none" w:sz="0" w:space="0" w:color="auto"/>
      </w:divBdr>
      <w:divsChild>
        <w:div w:id="1277836768">
          <w:marLeft w:val="0"/>
          <w:marRight w:val="0"/>
          <w:marTop w:val="0"/>
          <w:marBottom w:val="0"/>
          <w:divBdr>
            <w:top w:val="none" w:sz="0" w:space="0" w:color="auto"/>
            <w:left w:val="none" w:sz="0" w:space="0" w:color="auto"/>
            <w:bottom w:val="none" w:sz="0" w:space="0" w:color="auto"/>
            <w:right w:val="none" w:sz="0" w:space="0" w:color="auto"/>
          </w:divBdr>
        </w:div>
      </w:divsChild>
    </w:div>
    <w:div w:id="1781562822">
      <w:marLeft w:val="4"/>
      <w:marRight w:val="0"/>
      <w:marTop w:val="120"/>
      <w:marBottom w:val="0"/>
      <w:divBdr>
        <w:top w:val="none" w:sz="0" w:space="0" w:color="auto"/>
        <w:left w:val="none" w:sz="0" w:space="0" w:color="auto"/>
        <w:bottom w:val="none" w:sz="0" w:space="0" w:color="auto"/>
        <w:right w:val="none" w:sz="0" w:space="0" w:color="auto"/>
      </w:divBdr>
      <w:divsChild>
        <w:div w:id="326205205">
          <w:marLeft w:val="0"/>
          <w:marRight w:val="0"/>
          <w:marTop w:val="0"/>
          <w:marBottom w:val="0"/>
          <w:divBdr>
            <w:top w:val="none" w:sz="0" w:space="0" w:color="auto"/>
            <w:left w:val="none" w:sz="0" w:space="0" w:color="auto"/>
            <w:bottom w:val="none" w:sz="0" w:space="0" w:color="auto"/>
            <w:right w:val="none" w:sz="0" w:space="0" w:color="auto"/>
          </w:divBdr>
        </w:div>
      </w:divsChild>
    </w:div>
    <w:div w:id="1930656379">
      <w:marLeft w:val="0"/>
      <w:marRight w:val="0"/>
      <w:marTop w:val="0"/>
      <w:marBottom w:val="0"/>
      <w:divBdr>
        <w:top w:val="none" w:sz="0" w:space="0" w:color="auto"/>
        <w:left w:val="none" w:sz="0" w:space="0" w:color="auto"/>
        <w:bottom w:val="none" w:sz="0" w:space="0" w:color="auto"/>
        <w:right w:val="none" w:sz="0" w:space="0" w:color="auto"/>
      </w:divBdr>
    </w:div>
    <w:div w:id="2008358230">
      <w:marLeft w:val="0"/>
      <w:marRight w:val="0"/>
      <w:marTop w:val="0"/>
      <w:marBottom w:val="0"/>
      <w:divBdr>
        <w:top w:val="none" w:sz="0" w:space="0" w:color="auto"/>
        <w:left w:val="none" w:sz="0" w:space="0" w:color="auto"/>
        <w:bottom w:val="none" w:sz="0" w:space="0" w:color="auto"/>
        <w:right w:val="none" w:sz="0" w:space="0" w:color="auto"/>
      </w:divBdr>
      <w:divsChild>
        <w:div w:id="2095740429">
          <w:marLeft w:val="0"/>
          <w:marRight w:val="0"/>
          <w:marTop w:val="0"/>
          <w:marBottom w:val="0"/>
          <w:divBdr>
            <w:top w:val="none" w:sz="0" w:space="0" w:color="auto"/>
            <w:left w:val="none" w:sz="0" w:space="0" w:color="auto"/>
            <w:bottom w:val="none" w:sz="0" w:space="0" w:color="auto"/>
            <w:right w:val="none" w:sz="0" w:space="0" w:color="auto"/>
          </w:divBdr>
        </w:div>
      </w:divsChild>
    </w:div>
    <w:div w:id="2049604167">
      <w:marLeft w:val="4"/>
      <w:marRight w:val="0"/>
      <w:marTop w:val="120"/>
      <w:marBottom w:val="0"/>
      <w:divBdr>
        <w:top w:val="none" w:sz="0" w:space="0" w:color="auto"/>
        <w:left w:val="none" w:sz="0" w:space="0" w:color="auto"/>
        <w:bottom w:val="none" w:sz="0" w:space="0" w:color="auto"/>
        <w:right w:val="none" w:sz="0" w:space="0" w:color="auto"/>
      </w:divBdr>
      <w:divsChild>
        <w:div w:id="63618689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alk-ex32_1.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talk-ex31_2.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alk-ex31_2.htm" TargetMode="External"/><Relationship Id="rId11" Type="http://schemas.openxmlformats.org/officeDocument/2006/relationships/hyperlink" Target="talk-ex32_2.htm" TargetMode="External"/><Relationship Id="rId5" Type="http://schemas.openxmlformats.org/officeDocument/2006/relationships/hyperlink" Target="talk-ex31_1.htm" TargetMode="External"/><Relationship Id="rId10" Type="http://schemas.openxmlformats.org/officeDocument/2006/relationships/hyperlink" Target="talk-ex32_2.htm" TargetMode="External"/><Relationship Id="rId4" Type="http://schemas.openxmlformats.org/officeDocument/2006/relationships/hyperlink" Target="talk-ex31_1.htm" TargetMode="External"/><Relationship Id="rId9" Type="http://schemas.openxmlformats.org/officeDocument/2006/relationships/hyperlink" Target="talk-ex32_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17153</Words>
  <Characters>97777</Characters>
  <Application>Microsoft Office Word</Application>
  <DocSecurity>0</DocSecurity>
  <Lines>814</Lines>
  <Paragraphs>229</Paragraphs>
  <ScaleCrop>false</ScaleCrop>
  <Company/>
  <LinksUpToDate>false</LinksUpToDate>
  <CharactersWithSpaces>114701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10-Q</dc:title>
  <dc:subject/>
  <dc:creator>Chongjian.Yue</dc:creator>
  <cp:keywords/>
  <dc:description/>
  <cp:lastModifiedBy>Yue Chongjian</cp:lastModifiedBy>
  <cp:revision>1</cp:revision>
  <dcterms:created xsi:type="dcterms:W3CDTF">2024-01-04T16:00:00Z</dcterms:created>
  <dcterms:modified xsi:type="dcterms:W3CDTF">2024-01-04T16:00:00Z</dcterms:modified>
</cp:coreProperties>
</file>