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479B" w14:textId="77777777" w:rsidR="00000000" w:rsidRDefault="00EF48A2">
      <w:pPr>
        <w:divId w:val="305552592"/>
        <w:rPr>
          <w:rFonts w:eastAsia="Times New Roman"/>
          <w:vanish/>
        </w:rPr>
      </w:pPr>
      <w:r>
        <w:rPr>
          <w:rFonts w:eastAsia="Times New Roman"/>
          <w:vanish/>
        </w:rPr>
        <w:t>--12-310001803901http://fasb.org/us-gaap/2022#Liabilitieshttp://fasb.org/us-gaap/2022#OtherAssetsNoncurrentFYfalse0001803901srt:MaximumMembertalk:NoCustomerMemberus-gaap:CustomerConcentrationRiskMember2021-01-012021-12-310001803901</w:t>
      </w:r>
      <w:r>
        <w:rPr>
          <w:rFonts w:eastAsia="Times New Roman"/>
          <w:vanish/>
        </w:rPr>
        <w:t>us-gaap:AdditionalPaidInCapitalMember2019-12-310001803901us-gaap:RetainedEarningsMember2022-01-012022-12-310001803901us-gaap:ConvertiblePreferredStockMember2021-12-310001803901us-gaap:GeneralAndAdministrativeExpenseMember2021-01-012021-12-310001803901us-ga</w:t>
      </w:r>
      <w:r>
        <w:rPr>
          <w:rFonts w:eastAsia="Times New Roman"/>
          <w:vanish/>
        </w:rPr>
        <w:t>ap:CustomerRelationshipsMember2022-12-310001803901us-gaap:AccountsReceivableMember2021-12-310001803901us-gaap:GeneralAndAdministrativeExpenseMember2022-01-012022-12-310001803901talk:ClinicalOperationsMember2020-01-012020-12-3100018039012021-12-310001803901</w:t>
      </w:r>
      <w:r>
        <w:rPr>
          <w:rFonts w:eastAsia="Times New Roman"/>
          <w:vanish/>
        </w:rPr>
        <w:t>2022-11-300001803901talk:PublicWarrantMember2022-12-310001803901us-gaap:WarrantMember2022-01-012022-12-310001803901talk:BtwocrevenueMember2021-01-012021-12-310001803901us-gaap:SellingAndMarketingExpenseMember2022-01-012022-12-310001803901us-gaap:Restricted</w:t>
      </w:r>
      <w:r>
        <w:rPr>
          <w:rFonts w:eastAsia="Times New Roman"/>
          <w:vanish/>
        </w:rPr>
        <w:t>StockUnitsRSUMember2022-01-012022-12-310001803901talk:PrivatePlacementWarrantMember2022-12-310001803901us-gaap:AdditionalPaidInCapitalMember2021-12-310001803901us-gaap:EmployeeStockOptionMember2022-12-310001803901us-gaap:FederalMinistryOfFinanceGermanyMemb</w:t>
      </w:r>
      <w:r>
        <w:rPr>
          <w:rFonts w:eastAsia="Times New Roman"/>
          <w:vanish/>
        </w:rPr>
        <w:t>er2022-12-310001803901us-gaap:CommonStockMember2022-01-012022-12-3100018039012021-01-012021-12-310001803901us-gaap:ConvertiblePreferredStockMember2020-01-012020-12-310001803901talk:HealthPlansAndEapCustomersMember2021-12-310001803901us-gaap:RetainedEarning</w:t>
      </w:r>
      <w:r>
        <w:rPr>
          <w:rFonts w:eastAsia="Times New Roman"/>
          <w:vanish/>
        </w:rPr>
        <w:t>sMember2021-01-012021-12-310001803901srt:MinimumMember2021-01-012021-12-310001803901talk:BtwobrevenueMember2020-01-012020-12-310001803901talk:ClinicalOperationsMember2022-01-012022-12-310001803901us-gaap:CommonStockMember2022-01-012022-12-310001803901us-ga</w:t>
      </w:r>
      <w:r>
        <w:rPr>
          <w:rFonts w:eastAsia="Times New Roman"/>
          <w:vanish/>
        </w:rPr>
        <w:t>ap:RecourseMember2022-01-012022-12-310001803901srt:MaximumMember2020-01-012020-12-310001803901us-gaap:SellingAndMarketingExpenseMember2021-01-012021-12-310001803901us-gaap:ConvertiblePreferredStockMember2021-01-012021-12-310001803901talk:MrAndMsFrankMember</w:t>
      </w:r>
      <w:r>
        <w:rPr>
          <w:rFonts w:eastAsia="Times New Roman"/>
          <w:vanish/>
        </w:rPr>
        <w:t>2021-01-012021-12-3100018039012019-12-310001803901us-gaap:AdditionalPaidInCapitalMember2022-12-310001803901us-gaap:RestrictedStockUnitsRSUMember2021-12-310001803901talk:WarrantsMemberus-gaap:CommonStockMember2020-01-012020-12-310001803901us-gaap:EmployeeSt</w:t>
      </w:r>
      <w:r>
        <w:rPr>
          <w:rFonts w:eastAsia="Times New Roman"/>
          <w:vanish/>
        </w:rPr>
        <w:t>ockOptionMember2022-01-012022-12-310001803901us-gaap:StateAndLocalJurisdictionMember2022-12-310001803901srt:MaximumMember2021-01-012021-12-310001803901us-gaap:SellingAndMarketingExpenseMember2020-01-012020-12-310001803901us-gaap:EmployeeStockOptionMember20</w:t>
      </w:r>
      <w:r>
        <w:rPr>
          <w:rFonts w:eastAsia="Times New Roman"/>
          <w:vanish/>
        </w:rPr>
        <w:t>21-06-300001803901us-gaap:CustomerRelationshipsMember2021-12-310001803901talk:BtwobrevenueMember2021-01-012021-12-310001803901us-gaap:NoncompeteAgreementsMember2022-12-3100018039012023-03-080001803901talk:PrivatePlacementWarrantMember2021-12-310001803901us</w:t>
      </w:r>
      <w:r>
        <w:rPr>
          <w:rFonts w:eastAsia="Times New Roman"/>
          <w:vanish/>
        </w:rPr>
        <w:t>-gaap:AccountsReceivableMember2022-12-310001803901talk:PrivatePlacementWarrantMember2021-01-012021-12-310001803901talk:CustomerTwoMembersrt:MaximumMembertalk:NoCustomerMemberus-gaap:CustomerConcentrationRiskMember2022-01-012022-12-310001803901us-gaap:Emplo</w:t>
      </w:r>
      <w:r>
        <w:rPr>
          <w:rFonts w:eastAsia="Times New Roman"/>
          <w:vanish/>
        </w:rPr>
        <w:t>yeeStockOptionMember2021-01-012021-12-310001803901us-gaap:NoncompeteAgreementsMember2021-12-310001803901us-gaap:EmployeeStockOptionMember2021-01-012021-12-310001803901us-gaap:CommonStockMember2022-12-310001803901us-gaap:CustomerConcentrationRiskMemberus-ga</w:t>
      </w:r>
      <w:r>
        <w:rPr>
          <w:rFonts w:eastAsia="Times New Roman"/>
          <w:vanish/>
        </w:rPr>
        <w:t>ap:AccountsReceivableMembertalk:CustomerFourMember2022-01-012022-12-310001803901talk:PrivatePlacementWarrantMember2022-01-012022-12-310001803901talk:CustomerTwoMemberus-gaap:CustomerConcentrationRiskMemberus-gaap:AccountsReceivableMember2022-01-012022-12-3</w:t>
      </w:r>
      <w:r>
        <w:rPr>
          <w:rFonts w:eastAsia="Times New Roman"/>
          <w:vanish/>
        </w:rPr>
        <w:t>10001803901us-gaap:RestrictedStockMember2021-01-012021-12-3100018039012020-12-310001803901talk:PublicWarrantsMember2022-01-012022-12-310001803901us-gaap:GeneralAndAdministrativeExpenseMember2020-01-012020-12-310001803901srt:MaximumMembertalk:NoCustomerMemb</w:t>
      </w:r>
      <w:r>
        <w:rPr>
          <w:rFonts w:eastAsia="Times New Roman"/>
          <w:vanish/>
        </w:rPr>
        <w:t>erus-gaap:CustomerConcentrationRiskMember2020-01-012020-12-310001803901us-gaap:TechnologyBasedIntangibleAssetsMember2021-12-3100018039012022-12-310001803901us-gaap:ConvertiblePreferredStockMember2019-12-310001803901talk:ClinicalOperationsMember2021-01-0120</w:t>
      </w:r>
      <w:r>
        <w:rPr>
          <w:rFonts w:eastAsia="Times New Roman"/>
          <w:vanish/>
        </w:rPr>
        <w:t>21-12-310001803901talk:ElectronicEquipmentMember2022-01-012022-12-310001803901us-gaap:CommonStockMember2021-01-012021-12-310001803901talk:CustomerThreeMemberus-gaap:CustomerConcentrationRiskMemberus-gaap:AccountsReceivableMember2022-01-012022-12-3100018039</w:t>
      </w:r>
      <w:r>
        <w:rPr>
          <w:rFonts w:eastAsia="Times New Roman"/>
          <w:vanish/>
        </w:rPr>
        <w:t>01srt:MinimumMember2020-01-012020-12-310001803901us-gaap:CommonStockMember2019-12-310001803901talk:HealthPlansAndEapCustomersMember2022-12-310001803901talk:CustomerOneMemberus-gaap:CustomerConcentrationRiskMemberus-gaap:AccountsReceivableMember2022-01-0120</w:t>
      </w:r>
      <w:r>
        <w:rPr>
          <w:rFonts w:eastAsia="Times New Roman"/>
          <w:vanish/>
        </w:rPr>
        <w:t>22-12-310001803901us-gaap:AdditionalPaidInCapitalMember2020-12-310001803901us-gaap:CommonStockMember2021-12-310001803901us-gaap:AdditionalPaidInCapitalMember2020-01-012020-12-310001803901us-gaap:RetainedEarningsMember2020-12-310001803901us-gaap:RetainedEar</w:t>
      </w:r>
      <w:r>
        <w:rPr>
          <w:rFonts w:eastAsia="Times New Roman"/>
          <w:vanish/>
        </w:rPr>
        <w:t>ningsMember2021-12-310001803901us-gaap:ResearchAndDevelopmentExpenseMember2020-01-012020-12-310001803901talk:VariableInterestEntityMember2022-12-310001803901us-gaap:TechnologyBasedIntangibleAssetsMember2022-12-310001803901us-gaap:AdditionalPaidInCapitalMem</w:t>
      </w:r>
      <w:r>
        <w:rPr>
          <w:rFonts w:eastAsia="Times New Roman"/>
          <w:vanish/>
        </w:rPr>
        <w:t>ber2022-01-012022-12-310001803901talk:BtwocrevenueMember2020-01-012020-12-310001803901us-gaap:AdditionalPaidInCapitalMember2021-01-012021-12-3100018039012022-01-012022-12-310001803901us-gaap:ConvertiblePreferredStockMember2022-12-310001803901us-gaap:Resear</w:t>
      </w:r>
      <w:r>
        <w:rPr>
          <w:rFonts w:eastAsia="Times New Roman"/>
          <w:vanish/>
        </w:rPr>
        <w:t>chAndDevelopmentExpenseMember2021-01-012021-12-310001803901us-gaap:ConvertiblePreferredStockMember2020-12-3100018039012022-06-300001803901us-gaap:RestrictedStockUnitsRSUMember2022-12-310001803901us-gaap:CommonStockMember2020-12-310001803901srt:MaximumMembe</w:t>
      </w:r>
      <w:r>
        <w:rPr>
          <w:rFonts w:eastAsia="Times New Roman"/>
          <w:vanish/>
        </w:rPr>
        <w:t>r2022-01-012022-12-310001803901us-gaap:RestrictedStockMember2022-01-012022-12-310001803901talk:PublicWarrantsMember2021-01-012021-12-310001803901us-gaap:RetainedEarningsMember2022-12-310001803901us-gaap:EmployeeStockOptionMember2020-01-012020-12-3100018039</w:t>
      </w:r>
      <w:r>
        <w:rPr>
          <w:rFonts w:eastAsia="Times New Roman"/>
          <w:vanish/>
        </w:rPr>
        <w:t>01talk:WarrantsMembertalk:SeriesDConvertiblePreferredStockMember2020-01-012020-12-310001803901us-gaap:RetainedEarningsMember2020-01-012020-12-310001803901talk:CustomerOneMemberus-gaap:CustomerConcentrationRiskMemberus-gaap:AccountsReceivableMember2021-01-0</w:t>
      </w:r>
      <w:r>
        <w:rPr>
          <w:rFonts w:eastAsia="Times New Roman"/>
          <w:vanish/>
        </w:rPr>
        <w:t>12021-12-310001803901us-gaap:ResearchAndDevelopmentExpenseMember2022-01-012022-12-310001803901talk:BtwobrevenueMember2022-01-012022-12-310001803901us-gaap:EmployeeStockOptionMember2022-01-012022-12-310001803901talk:PublicWarrantMember2021-12-310001803901sr</w:t>
      </w:r>
      <w:r>
        <w:rPr>
          <w:rFonts w:eastAsia="Times New Roman"/>
          <w:vanish/>
        </w:rPr>
        <w:t>t:MinimumMember2022-01-012022-12-310001803901us-gaap:CommonStockMember2020-01-012020-12-310001803901us-gaap:ComputerEquipmentMember2022-01-012022-12-310001803901talk:BtwocrevenueMember2022-01-012022-12-3100018039012020-01-012020-12-310001803901us-gaap:Reta</w:t>
      </w:r>
      <w:r>
        <w:rPr>
          <w:rFonts w:eastAsia="Times New Roman"/>
          <w:vanish/>
        </w:rPr>
        <w:t>inedEarningsMember2019-12-31talk:Agexbrli:pureiso4217:USDxbrli:sharesxbrli:sharestalk:Segmentiso4217:USD</w:t>
      </w:r>
    </w:p>
    <w:p w14:paraId="764DE4D7"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550FCA6" w14:textId="77777777" w:rsidR="00000000" w:rsidRDefault="00EF48A2">
      <w:pPr>
        <w:pStyle w:val="a3"/>
        <w:pBdr>
          <w:top w:val="double" w:sz="6" w:space="1" w:color="auto"/>
        </w:pBdr>
        <w:spacing w:before="0" w:beforeAutospacing="0" w:after="0" w:afterAutospacing="0"/>
        <w:rPr>
          <w:sz w:val="20"/>
          <w:szCs w:val="20"/>
        </w:rPr>
      </w:pPr>
      <w:r>
        <w:rPr>
          <w:sz w:val="16"/>
          <w:szCs w:val="16"/>
        </w:rPr>
        <w:t> </w:t>
      </w:r>
    </w:p>
    <w:p w14:paraId="2EF93F8D" w14:textId="77777777" w:rsidR="00000000" w:rsidRDefault="00EF48A2">
      <w:pPr>
        <w:pStyle w:val="a3"/>
        <w:spacing w:before="0" w:beforeAutospacing="0" w:after="0" w:afterAutospacing="0"/>
        <w:jc w:val="center"/>
        <w:rPr>
          <w:sz w:val="20"/>
          <w:szCs w:val="20"/>
        </w:rPr>
      </w:pPr>
      <w:r>
        <w:rPr>
          <w:b/>
          <w:bCs/>
          <w:sz w:val="36"/>
          <w:szCs w:val="36"/>
        </w:rPr>
        <w:t>UNITED STATE</w:t>
      </w:r>
      <w:r>
        <w:rPr>
          <w:b/>
          <w:bCs/>
          <w:sz w:val="36"/>
          <w:szCs w:val="36"/>
        </w:rPr>
        <w:t>S</w:t>
      </w:r>
    </w:p>
    <w:p w14:paraId="2B07D67F" w14:textId="77777777" w:rsidR="00000000" w:rsidRDefault="00EF48A2">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14:paraId="66BC8A8B" w14:textId="77777777" w:rsidR="00000000" w:rsidRDefault="00EF48A2">
      <w:pPr>
        <w:pStyle w:val="a3"/>
        <w:spacing w:before="0" w:beforeAutospacing="0" w:after="0" w:afterAutospacing="0"/>
        <w:jc w:val="center"/>
        <w:rPr>
          <w:sz w:val="20"/>
          <w:szCs w:val="20"/>
        </w:rPr>
      </w:pPr>
      <w:r>
        <w:rPr>
          <w:b/>
          <w:bCs/>
          <w:sz w:val="20"/>
          <w:szCs w:val="20"/>
        </w:rPr>
        <w:t>Washington, D.C. 2054</w:t>
      </w:r>
      <w:r>
        <w:rPr>
          <w:b/>
          <w:bCs/>
          <w:sz w:val="20"/>
          <w:szCs w:val="20"/>
        </w:rPr>
        <w:t>9</w:t>
      </w:r>
    </w:p>
    <w:p w14:paraId="6A1BF07A" w14:textId="77777777" w:rsidR="00000000" w:rsidRDefault="00EF48A2">
      <w:pPr>
        <w:pStyle w:val="a3"/>
        <w:spacing w:before="0" w:beforeAutospacing="0" w:after="0" w:afterAutospacing="0"/>
        <w:jc w:val="center"/>
        <w:rPr>
          <w:sz w:val="20"/>
          <w:szCs w:val="20"/>
        </w:rPr>
      </w:pPr>
      <w:r>
        <w:rPr>
          <w:sz w:val="20"/>
          <w:szCs w:val="20"/>
        </w:rPr>
        <w:t> </w:t>
      </w:r>
    </w:p>
    <w:p w14:paraId="4CE56D6F" w14:textId="77777777" w:rsidR="00000000" w:rsidRDefault="00EF48A2">
      <w:pPr>
        <w:pStyle w:val="a3"/>
        <w:pBdr>
          <w:bottom w:val="single" w:sz="8" w:space="1" w:color="auto"/>
        </w:pBdr>
        <w:spacing w:before="0" w:beforeAutospacing="0" w:after="0" w:afterAutospacing="0"/>
        <w:ind w:left="4762" w:right="4762"/>
        <w:jc w:val="center"/>
        <w:rPr>
          <w:sz w:val="20"/>
          <w:szCs w:val="20"/>
        </w:rPr>
      </w:pPr>
      <w:r>
        <w:rPr>
          <w:sz w:val="6"/>
          <w:szCs w:val="6"/>
        </w:rPr>
        <w:t> </w:t>
      </w:r>
    </w:p>
    <w:p w14:paraId="18A4117F" w14:textId="77777777" w:rsidR="00000000" w:rsidRDefault="00EF48A2">
      <w:pPr>
        <w:pStyle w:val="a3"/>
        <w:spacing w:before="6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14:paraId="693FE444" w14:textId="77777777" w:rsidR="00000000" w:rsidRDefault="00EF48A2">
      <w:pPr>
        <w:pStyle w:val="a3"/>
        <w:pBdr>
          <w:bottom w:val="single" w:sz="8" w:space="1" w:color="auto"/>
        </w:pBdr>
        <w:spacing w:before="0" w:beforeAutospacing="0" w:after="0" w:afterAutospacing="0"/>
        <w:ind w:left="4762" w:right="4762"/>
        <w:jc w:val="center"/>
        <w:rPr>
          <w:sz w:val="20"/>
          <w:szCs w:val="20"/>
        </w:rPr>
      </w:pPr>
      <w:r>
        <w:rPr>
          <w:sz w:val="6"/>
          <w:szCs w:val="6"/>
        </w:rPr>
        <w:t> </w:t>
      </w:r>
    </w:p>
    <w:p w14:paraId="5324E835" w14:textId="77777777" w:rsidR="00000000" w:rsidRDefault="00EF48A2">
      <w:pPr>
        <w:pStyle w:val="a3"/>
        <w:spacing w:before="60" w:beforeAutospacing="0" w:after="0" w:afterAutospacing="0"/>
        <w:rPr>
          <w:sz w:val="20"/>
          <w:szCs w:val="20"/>
        </w:rPr>
      </w:pPr>
      <w:r>
        <w:rPr>
          <w:b/>
          <w:bCs/>
          <w:sz w:val="16"/>
          <w:szCs w:val="16"/>
        </w:rPr>
        <w:t>(Mark One</w:t>
      </w:r>
      <w:r>
        <w:rPr>
          <w:b/>
          <w:bCs/>
          <w:sz w:val="16"/>
          <w:szCs w:val="16"/>
        </w:rPr>
        <w:t>)</w:t>
      </w:r>
      <w:r>
        <w:rPr>
          <w:b/>
          <w:bCs/>
          <w:sz w:val="16"/>
          <w:szCs w:val="16"/>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14:paraId="5DC79678" w14:textId="77777777">
        <w:trPr>
          <w:tblCellSpacing w:w="15" w:type="dxa"/>
        </w:trPr>
        <w:tc>
          <w:tcPr>
            <w:tcW w:w="200" w:type="pct"/>
            <w:vAlign w:val="center"/>
            <w:hideMark/>
          </w:tcPr>
          <w:p w14:paraId="49ED1B7C" w14:textId="77777777" w:rsidR="00000000" w:rsidRDefault="00EF48A2">
            <w:pPr>
              <w:rPr>
                <w:sz w:val="20"/>
                <w:szCs w:val="20"/>
              </w:rPr>
            </w:pPr>
          </w:p>
        </w:tc>
        <w:tc>
          <w:tcPr>
            <w:tcW w:w="4800" w:type="pct"/>
            <w:vAlign w:val="center"/>
            <w:hideMark/>
          </w:tcPr>
          <w:p w14:paraId="284442E8" w14:textId="77777777" w:rsidR="00000000" w:rsidRDefault="00EF48A2">
            <w:pPr>
              <w:rPr>
                <w:rFonts w:eastAsia="Times New Roman"/>
                <w:sz w:val="20"/>
                <w:szCs w:val="20"/>
              </w:rPr>
            </w:pPr>
          </w:p>
        </w:tc>
      </w:tr>
      <w:tr w:rsidR="00000000" w14:paraId="68097709" w14:textId="77777777">
        <w:trPr>
          <w:trHeight w:val="240"/>
          <w:tblCellSpacing w:w="15" w:type="dxa"/>
        </w:trPr>
        <w:tc>
          <w:tcPr>
            <w:tcW w:w="0" w:type="auto"/>
            <w:tcMar>
              <w:top w:w="15" w:type="dxa"/>
              <w:left w:w="14" w:type="dxa"/>
              <w:bottom w:w="15" w:type="dxa"/>
              <w:right w:w="14" w:type="dxa"/>
            </w:tcMar>
            <w:hideMark/>
          </w:tcPr>
          <w:p w14:paraId="4CE471C7" w14:textId="77777777" w:rsidR="00000000" w:rsidRDefault="00EF48A2">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tcMar>
              <w:top w:w="15" w:type="dxa"/>
              <w:left w:w="14" w:type="dxa"/>
              <w:bottom w:w="15" w:type="dxa"/>
              <w:right w:w="14" w:type="dxa"/>
            </w:tcMar>
            <w:hideMark/>
          </w:tcPr>
          <w:p w14:paraId="72EDC69E" w14:textId="77777777" w:rsidR="00000000" w:rsidRDefault="00EF48A2">
            <w:pPr>
              <w:pStyle w:val="a3"/>
              <w:spacing w:before="0" w:beforeAutospacing="0" w:after="0" w:afterAutospacing="0"/>
            </w:pPr>
            <w:r>
              <w:rPr>
                <w:b/>
                <w:bCs/>
              </w:rPr>
              <w:t>ANNUAL REPORT PURSUANT TO SECTION 13 OR 15(d) OF THE SECURITIES EXCHANGE ACT OF 193</w:t>
            </w:r>
            <w:r>
              <w:rPr>
                <w:b/>
                <w:bCs/>
              </w:rPr>
              <w:t>4</w:t>
            </w:r>
            <w:r>
              <w:rPr>
                <w:b/>
                <w:bCs/>
              </w:rPr>
              <w:t xml:space="preserve"> </w:t>
            </w:r>
          </w:p>
          <w:p w14:paraId="26E987BF" w14:textId="77777777" w:rsidR="00000000" w:rsidRDefault="00EF48A2">
            <w:pPr>
              <w:pStyle w:val="a3"/>
              <w:spacing w:before="0" w:beforeAutospacing="0" w:after="0" w:afterAutospacing="0"/>
            </w:pPr>
            <w:r>
              <w:t> </w:t>
            </w:r>
          </w:p>
        </w:tc>
      </w:tr>
    </w:tbl>
    <w:p w14:paraId="4E288D81" w14:textId="77777777" w:rsidR="00000000" w:rsidRDefault="00EF48A2">
      <w:pPr>
        <w:pStyle w:val="a3"/>
        <w:spacing w:before="6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rPr>
        <w:t>December 31,</w:t>
      </w:r>
      <w:r>
        <w:rPr>
          <w:b/>
          <w:bCs/>
          <w:sz w:val="20"/>
          <w:szCs w:val="20"/>
        </w:rPr>
        <w:t xml:space="preserve"> </w:t>
      </w:r>
      <w:r>
        <w:rPr>
          <w:b/>
          <w:bCs/>
          <w:sz w:val="20"/>
          <w:szCs w:val="20"/>
        </w:rPr>
        <w:t>202</w:t>
      </w:r>
      <w:r>
        <w:rPr>
          <w:b/>
          <w:bCs/>
          <w:sz w:val="20"/>
          <w:szCs w:val="20"/>
        </w:rPr>
        <w:t>2</w:t>
      </w:r>
    </w:p>
    <w:p w14:paraId="04C963A9" w14:textId="77777777" w:rsidR="00000000" w:rsidRDefault="00EF48A2">
      <w:pPr>
        <w:pStyle w:val="a3"/>
        <w:spacing w:before="60" w:beforeAutospacing="0" w:after="240" w:afterAutospacing="0"/>
        <w:jc w:val="center"/>
        <w:rPr>
          <w:sz w:val="20"/>
          <w:szCs w:val="20"/>
        </w:rPr>
      </w:pPr>
      <w:r>
        <w:rPr>
          <w:b/>
          <w:bCs/>
          <w:sz w:val="20"/>
          <w:szCs w:val="20"/>
        </w:rPr>
        <w:t>O</w:t>
      </w:r>
      <w:r>
        <w:rPr>
          <w:b/>
          <w:bCs/>
          <w:sz w:val="20"/>
          <w:szCs w:val="20"/>
        </w:rPr>
        <w:t>R</w:t>
      </w:r>
      <w:r>
        <w:rPr>
          <w:b/>
          <w:b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14:paraId="7E63F72A" w14:textId="77777777">
        <w:trPr>
          <w:tblCellSpacing w:w="15" w:type="dxa"/>
        </w:trPr>
        <w:tc>
          <w:tcPr>
            <w:tcW w:w="200" w:type="pct"/>
            <w:vAlign w:val="center"/>
            <w:hideMark/>
          </w:tcPr>
          <w:p w14:paraId="3D00FD0C" w14:textId="77777777" w:rsidR="00000000" w:rsidRDefault="00EF48A2">
            <w:pPr>
              <w:rPr>
                <w:sz w:val="20"/>
                <w:szCs w:val="20"/>
              </w:rPr>
            </w:pPr>
          </w:p>
        </w:tc>
        <w:tc>
          <w:tcPr>
            <w:tcW w:w="4800" w:type="pct"/>
            <w:vAlign w:val="center"/>
            <w:hideMark/>
          </w:tcPr>
          <w:p w14:paraId="69F8871B" w14:textId="77777777" w:rsidR="00000000" w:rsidRDefault="00EF48A2">
            <w:pPr>
              <w:rPr>
                <w:rFonts w:eastAsia="Times New Roman"/>
                <w:sz w:val="20"/>
                <w:szCs w:val="20"/>
              </w:rPr>
            </w:pPr>
          </w:p>
        </w:tc>
      </w:tr>
      <w:tr w:rsidR="00000000" w14:paraId="60088D43" w14:textId="77777777">
        <w:trPr>
          <w:trHeight w:val="240"/>
          <w:tblCellSpacing w:w="15" w:type="dxa"/>
        </w:trPr>
        <w:tc>
          <w:tcPr>
            <w:tcW w:w="0" w:type="auto"/>
            <w:tcMar>
              <w:top w:w="15" w:type="dxa"/>
              <w:left w:w="14" w:type="dxa"/>
              <w:bottom w:w="15" w:type="dxa"/>
              <w:right w:w="14" w:type="dxa"/>
            </w:tcMar>
            <w:hideMark/>
          </w:tcPr>
          <w:p w14:paraId="5C0DF6B9" w14:textId="77777777" w:rsidR="00000000" w:rsidRDefault="00EF48A2">
            <w:pPr>
              <w:pStyle w:val="a3"/>
              <w:spacing w:before="60" w:beforeAutospacing="0" w:after="0" w:afterAutospacing="0"/>
              <w:rPr>
                <w:sz w:val="20"/>
                <w:szCs w:val="20"/>
              </w:rPr>
            </w:pPr>
            <w:r>
              <w:rPr>
                <w:rFonts w:ascii="Segoe UI Symbol" w:hAnsi="Segoe UI Symbol" w:cs="Segoe UI Symbol"/>
                <w:b/>
                <w:bCs/>
                <w:sz w:val="18"/>
                <w:szCs w:val="18"/>
              </w:rPr>
              <w:t>☐</w:t>
            </w:r>
          </w:p>
        </w:tc>
        <w:tc>
          <w:tcPr>
            <w:tcW w:w="0" w:type="auto"/>
            <w:tcMar>
              <w:top w:w="15" w:type="dxa"/>
              <w:left w:w="14" w:type="dxa"/>
              <w:bottom w:w="15" w:type="dxa"/>
              <w:right w:w="14" w:type="dxa"/>
            </w:tcMar>
            <w:hideMark/>
          </w:tcPr>
          <w:p w14:paraId="1EBF09C6" w14:textId="77777777" w:rsidR="00000000" w:rsidRDefault="00EF48A2">
            <w:pPr>
              <w:pStyle w:val="a3"/>
              <w:spacing w:before="60" w:beforeAutospacing="0" w:after="0" w:afterAutospacing="0"/>
            </w:pPr>
            <w:r>
              <w:rPr>
                <w:b/>
                <w:bCs/>
              </w:rPr>
              <w:t>TRANSITION REPORT PURSUANT TO SECTION 13 OR 15(d) OF THE SECURITIES EXCHANGE ACT OF 193</w:t>
            </w:r>
            <w:r>
              <w:rPr>
                <w:b/>
                <w:bCs/>
              </w:rPr>
              <w:t>4</w:t>
            </w:r>
          </w:p>
          <w:p w14:paraId="21E6C05B" w14:textId="77777777" w:rsidR="00000000" w:rsidRDefault="00EF48A2">
            <w:pPr>
              <w:pStyle w:val="a3"/>
              <w:spacing w:before="60" w:beforeAutospacing="0" w:after="0" w:afterAutospacing="0"/>
            </w:pPr>
            <w:r>
              <w:t> </w:t>
            </w:r>
          </w:p>
          <w:p w14:paraId="2C6E2B37" w14:textId="77777777" w:rsidR="00000000" w:rsidRDefault="00EF48A2">
            <w:pPr>
              <w:pStyle w:val="a3"/>
              <w:spacing w:before="60" w:beforeAutospacing="0" w:after="0" w:afterAutospacing="0"/>
              <w:jc w:val="center"/>
              <w:rPr>
                <w:sz w:val="20"/>
                <w:szCs w:val="20"/>
              </w:rPr>
            </w:pPr>
            <w:r>
              <w:rPr>
                <w:b/>
                <w:bCs/>
                <w:sz w:val="20"/>
                <w:szCs w:val="20"/>
              </w:rPr>
              <w:t>For the transition period from t</w:t>
            </w:r>
            <w:r>
              <w:rPr>
                <w:b/>
                <w:bCs/>
                <w:sz w:val="20"/>
                <w:szCs w:val="20"/>
              </w:rPr>
              <w:t>o</w:t>
            </w:r>
            <w:r>
              <w:rPr>
                <w:b/>
                <w:bCs/>
                <w:sz w:val="20"/>
                <w:szCs w:val="20"/>
              </w:rPr>
              <w:t xml:space="preserve"> </w:t>
            </w:r>
          </w:p>
          <w:p w14:paraId="197CB3C0" w14:textId="77777777" w:rsidR="00000000" w:rsidRDefault="00EF48A2">
            <w:pPr>
              <w:pStyle w:val="a3"/>
              <w:spacing w:before="60" w:beforeAutospacing="0" w:after="0" w:afterAutospacing="0"/>
              <w:jc w:val="center"/>
              <w:rPr>
                <w:sz w:val="18"/>
                <w:szCs w:val="18"/>
              </w:rPr>
            </w:pPr>
            <w:r>
              <w:rPr>
                <w:b/>
                <w:bCs/>
                <w:sz w:val="18"/>
                <w:szCs w:val="18"/>
              </w:rPr>
              <w:t> </w:t>
            </w:r>
          </w:p>
        </w:tc>
      </w:tr>
    </w:tbl>
    <w:p w14:paraId="43202C3D" w14:textId="77777777" w:rsidR="00000000" w:rsidRDefault="00EF48A2">
      <w:pPr>
        <w:pStyle w:val="a3"/>
        <w:spacing w:before="6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14:paraId="444E0563" w14:textId="77777777" w:rsidR="00000000" w:rsidRDefault="00EF48A2">
      <w:pPr>
        <w:pStyle w:val="a3"/>
        <w:spacing w:before="60" w:beforeAutospacing="0" w:after="0" w:afterAutospacing="0"/>
        <w:jc w:val="center"/>
        <w:rPr>
          <w:sz w:val="20"/>
          <w:szCs w:val="20"/>
        </w:rPr>
      </w:pPr>
      <w:r>
        <w:rPr>
          <w:sz w:val="20"/>
          <w:szCs w:val="20"/>
        </w:rPr>
        <w:t> </w:t>
      </w:r>
    </w:p>
    <w:p w14:paraId="00319005" w14:textId="77777777" w:rsidR="00000000" w:rsidRDefault="00EF48A2">
      <w:pPr>
        <w:pStyle w:val="a3"/>
        <w:pBdr>
          <w:bottom w:val="single" w:sz="8" w:space="1" w:color="auto"/>
        </w:pBdr>
        <w:spacing w:before="0" w:beforeAutospacing="0" w:after="0" w:afterAutospacing="0"/>
        <w:ind w:left="4762" w:right="4762"/>
        <w:jc w:val="center"/>
        <w:rPr>
          <w:sz w:val="20"/>
          <w:szCs w:val="20"/>
        </w:rPr>
      </w:pPr>
      <w:r>
        <w:rPr>
          <w:sz w:val="6"/>
          <w:szCs w:val="6"/>
        </w:rPr>
        <w:t> </w:t>
      </w:r>
    </w:p>
    <w:p w14:paraId="086EB642" w14:textId="77777777" w:rsidR="00000000" w:rsidRDefault="00EF48A2">
      <w:pPr>
        <w:pStyle w:val="a3"/>
        <w:spacing w:before="60" w:beforeAutospacing="0" w:after="0" w:afterAutospacing="0"/>
        <w:jc w:val="center"/>
        <w:rPr>
          <w:sz w:val="20"/>
          <w:szCs w:val="20"/>
        </w:rPr>
      </w:pPr>
      <w:r>
        <w:rPr>
          <w:b/>
          <w:bCs/>
          <w:sz w:val="48"/>
          <w:szCs w:val="48"/>
        </w:rPr>
        <w:t>TALKSPACE, INC</w:t>
      </w:r>
      <w:r>
        <w:rPr>
          <w:b/>
          <w:bCs/>
          <w:sz w:val="48"/>
          <w:szCs w:val="48"/>
        </w:rPr>
        <w:t>.</w:t>
      </w:r>
    </w:p>
    <w:p w14:paraId="1A52BC6D" w14:textId="77777777" w:rsidR="00000000" w:rsidRDefault="00EF48A2">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14:paraId="73135729" w14:textId="77777777" w:rsidR="00000000" w:rsidRDefault="00EF48A2">
      <w:pPr>
        <w:pStyle w:val="a3"/>
        <w:spacing w:before="0" w:beforeAutospacing="0" w:after="0" w:afterAutospacing="0"/>
        <w:jc w:val="center"/>
        <w:rPr>
          <w:sz w:val="20"/>
          <w:szCs w:val="20"/>
        </w:rPr>
      </w:pPr>
      <w:r>
        <w:rPr>
          <w:sz w:val="18"/>
          <w:szCs w:val="18"/>
        </w:rPr>
        <w:t> </w:t>
      </w:r>
    </w:p>
    <w:p w14:paraId="4803ABFA" w14:textId="77777777" w:rsidR="00000000" w:rsidRDefault="00EF48A2">
      <w:pPr>
        <w:pStyle w:val="a3"/>
        <w:pBdr>
          <w:bottom w:val="single" w:sz="8" w:space="1" w:color="auto"/>
        </w:pBdr>
        <w:spacing w:before="0" w:beforeAutospacing="0" w:after="0" w:afterAutospacing="0"/>
        <w:ind w:left="4762" w:right="4762"/>
        <w:jc w:val="center"/>
        <w:rPr>
          <w:sz w:val="20"/>
          <w:szCs w:val="20"/>
        </w:rPr>
      </w:pPr>
      <w:r>
        <w:rPr>
          <w:sz w:val="6"/>
          <w:szCs w:val="6"/>
        </w:rPr>
        <w:t> </w:t>
      </w:r>
    </w:p>
    <w:p w14:paraId="4FE98397" w14:textId="77777777" w:rsidR="00000000" w:rsidRDefault="00EF48A2">
      <w:pPr>
        <w:pStyle w:val="a3"/>
        <w:spacing w:before="0" w:beforeAutospacing="0" w:after="0" w:afterAutospacing="0"/>
        <w:rPr>
          <w:sz w:val="20"/>
          <w:szCs w:val="20"/>
        </w:rPr>
      </w:pPr>
      <w:r>
        <w:rPr>
          <w:sz w:val="6"/>
          <w:szCs w:val="6"/>
        </w:rPr>
        <w:t> </w:t>
      </w:r>
    </w:p>
    <w:p w14:paraId="4C6A15AA" w14:textId="77777777" w:rsidR="00000000" w:rsidRDefault="00EF48A2">
      <w:pPr>
        <w:pStyle w:val="a3"/>
        <w:spacing w:before="0" w:beforeAutospacing="0" w:after="0" w:afterAutospacing="0"/>
        <w:rPr>
          <w:sz w:val="20"/>
          <w:szCs w:val="20"/>
        </w:rPr>
      </w:pPr>
      <w:r>
        <w:rPr>
          <w:sz w:val="6"/>
          <w:szCs w:val="6"/>
        </w:rPr>
        <w:t> </w:t>
      </w:r>
    </w:p>
    <w:p w14:paraId="1CCE047C" w14:textId="77777777" w:rsidR="00000000" w:rsidRDefault="00EF48A2">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14:paraId="4E97F593" w14:textId="77777777">
        <w:trPr>
          <w:tblCellSpacing w:w="15" w:type="dxa"/>
        </w:trPr>
        <w:tc>
          <w:tcPr>
            <w:tcW w:w="2500" w:type="pct"/>
            <w:vAlign w:val="center"/>
            <w:hideMark/>
          </w:tcPr>
          <w:p w14:paraId="268EC7D7" w14:textId="77777777" w:rsidR="00000000" w:rsidRDefault="00EF48A2">
            <w:pPr>
              <w:rPr>
                <w:sz w:val="20"/>
                <w:szCs w:val="20"/>
              </w:rPr>
            </w:pPr>
          </w:p>
        </w:tc>
        <w:tc>
          <w:tcPr>
            <w:tcW w:w="2500" w:type="pct"/>
            <w:vAlign w:val="center"/>
            <w:hideMark/>
          </w:tcPr>
          <w:p w14:paraId="4E953ED3" w14:textId="77777777" w:rsidR="00000000" w:rsidRDefault="00EF48A2">
            <w:pPr>
              <w:rPr>
                <w:rFonts w:eastAsia="Times New Roman"/>
                <w:sz w:val="20"/>
                <w:szCs w:val="20"/>
              </w:rPr>
            </w:pPr>
          </w:p>
        </w:tc>
      </w:tr>
      <w:tr w:rsidR="00000000" w14:paraId="3F585BEF" w14:textId="77777777">
        <w:trPr>
          <w:trHeight w:val="200"/>
          <w:tblCellSpacing w:w="15" w:type="dxa"/>
        </w:trPr>
        <w:tc>
          <w:tcPr>
            <w:tcW w:w="0" w:type="auto"/>
            <w:tcMar>
              <w:top w:w="15" w:type="dxa"/>
              <w:left w:w="15" w:type="dxa"/>
              <w:bottom w:w="15" w:type="dxa"/>
              <w:right w:w="14" w:type="dxa"/>
            </w:tcMar>
            <w:vAlign w:val="bottom"/>
            <w:hideMark/>
          </w:tcPr>
          <w:p w14:paraId="36B4E8D6" w14:textId="77777777" w:rsidR="00000000" w:rsidRDefault="00EF48A2">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tcMar>
              <w:top w:w="15" w:type="dxa"/>
              <w:left w:w="15" w:type="dxa"/>
              <w:bottom w:w="15" w:type="dxa"/>
              <w:right w:w="14" w:type="dxa"/>
            </w:tcMar>
            <w:vAlign w:val="bottom"/>
            <w:hideMark/>
          </w:tcPr>
          <w:p w14:paraId="55552AD0" w14:textId="77777777" w:rsidR="00000000" w:rsidRDefault="00EF48A2">
            <w:pPr>
              <w:pStyle w:val="a3"/>
              <w:spacing w:before="0" w:beforeAutospacing="0" w:after="0" w:afterAutospacing="0"/>
              <w:jc w:val="center"/>
              <w:rPr>
                <w:sz w:val="20"/>
                <w:szCs w:val="20"/>
              </w:rPr>
            </w:pPr>
            <w:r>
              <w:rPr>
                <w:b/>
                <w:bCs/>
                <w:sz w:val="20"/>
                <w:szCs w:val="20"/>
              </w:rPr>
              <w:t>84-463660</w:t>
            </w:r>
            <w:r>
              <w:rPr>
                <w:b/>
                <w:bCs/>
                <w:sz w:val="20"/>
                <w:szCs w:val="20"/>
              </w:rPr>
              <w:t>4</w:t>
            </w:r>
          </w:p>
        </w:tc>
      </w:tr>
      <w:tr w:rsidR="00000000" w14:paraId="02FB4FBB" w14:textId="77777777">
        <w:trPr>
          <w:trHeight w:val="160"/>
          <w:tblCellSpacing w:w="15" w:type="dxa"/>
        </w:trPr>
        <w:tc>
          <w:tcPr>
            <w:tcW w:w="0" w:type="auto"/>
            <w:tcMar>
              <w:top w:w="15" w:type="dxa"/>
              <w:left w:w="15" w:type="dxa"/>
              <w:bottom w:w="15" w:type="dxa"/>
              <w:right w:w="14" w:type="dxa"/>
            </w:tcMar>
            <w:vAlign w:val="bottom"/>
            <w:hideMark/>
          </w:tcPr>
          <w:p w14:paraId="3BCBA8A8" w14:textId="77777777" w:rsidR="00000000" w:rsidRDefault="00EF48A2">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p w14:paraId="0F11FDCA" w14:textId="77777777" w:rsidR="00000000" w:rsidRDefault="00EF48A2">
            <w:pPr>
              <w:pStyle w:val="a3"/>
              <w:spacing w:before="0" w:beforeAutospacing="0" w:after="15" w:afterAutospacing="0"/>
              <w:jc w:val="center"/>
              <w:rPr>
                <w:sz w:val="16"/>
                <w:szCs w:val="16"/>
              </w:rPr>
            </w:pPr>
            <w:r>
              <w:rPr>
                <w:b/>
                <w:bCs/>
                <w:sz w:val="16"/>
                <w:szCs w:val="16"/>
              </w:rPr>
              <w:t>incorporation or organization</w:t>
            </w:r>
            <w:r>
              <w:rPr>
                <w:b/>
                <w:bCs/>
                <w:sz w:val="16"/>
                <w:szCs w:val="16"/>
              </w:rPr>
              <w:t>)</w:t>
            </w:r>
          </w:p>
        </w:tc>
        <w:tc>
          <w:tcPr>
            <w:tcW w:w="0" w:type="auto"/>
            <w:tcMar>
              <w:top w:w="15" w:type="dxa"/>
              <w:left w:w="15" w:type="dxa"/>
              <w:bottom w:w="15" w:type="dxa"/>
              <w:right w:w="14" w:type="dxa"/>
            </w:tcMar>
            <w:vAlign w:val="bottom"/>
            <w:hideMark/>
          </w:tcPr>
          <w:p w14:paraId="4041F02C" w14:textId="77777777" w:rsidR="00000000" w:rsidRDefault="00EF48A2">
            <w:pPr>
              <w:pStyle w:val="a3"/>
              <w:spacing w:before="0" w:beforeAutospacing="0" w:after="0" w:afterAutospacing="0"/>
              <w:jc w:val="center"/>
              <w:rPr>
                <w:sz w:val="16"/>
                <w:szCs w:val="16"/>
              </w:rPr>
            </w:pPr>
            <w:r>
              <w:rPr>
                <w:b/>
                <w:bCs/>
                <w:sz w:val="16"/>
                <w:szCs w:val="16"/>
              </w:rPr>
              <w:t>(I.R.S. Employe</w:t>
            </w:r>
            <w:r>
              <w:rPr>
                <w:b/>
                <w:bCs/>
                <w:sz w:val="16"/>
                <w:szCs w:val="16"/>
              </w:rPr>
              <w:t>r</w:t>
            </w:r>
          </w:p>
          <w:p w14:paraId="3CA78DE5" w14:textId="77777777" w:rsidR="00000000" w:rsidRDefault="00EF48A2">
            <w:pPr>
              <w:pStyle w:val="a3"/>
              <w:spacing w:before="0" w:beforeAutospacing="0" w:after="0" w:afterAutospacing="0"/>
              <w:jc w:val="center"/>
              <w:rPr>
                <w:sz w:val="16"/>
                <w:szCs w:val="16"/>
              </w:rPr>
            </w:pPr>
            <w:r>
              <w:rPr>
                <w:b/>
                <w:bCs/>
                <w:sz w:val="16"/>
                <w:szCs w:val="16"/>
              </w:rPr>
              <w:t>Identification No.</w:t>
            </w:r>
            <w:r>
              <w:rPr>
                <w:b/>
                <w:bCs/>
                <w:sz w:val="16"/>
                <w:szCs w:val="16"/>
              </w:rPr>
              <w:t>)</w:t>
            </w:r>
          </w:p>
        </w:tc>
      </w:tr>
      <w:tr w:rsidR="00000000" w14:paraId="200B9FE3" w14:textId="77777777">
        <w:trPr>
          <w:trHeight w:val="200"/>
          <w:tblCellSpacing w:w="15" w:type="dxa"/>
        </w:trPr>
        <w:tc>
          <w:tcPr>
            <w:tcW w:w="0" w:type="auto"/>
            <w:tcMar>
              <w:top w:w="15" w:type="dxa"/>
              <w:left w:w="15" w:type="dxa"/>
              <w:bottom w:w="15" w:type="dxa"/>
              <w:right w:w="14" w:type="dxa"/>
            </w:tcMar>
            <w:vAlign w:val="bottom"/>
            <w:hideMark/>
          </w:tcPr>
          <w:p w14:paraId="7E2E5B9F" w14:textId="77777777" w:rsidR="00000000" w:rsidRDefault="00EF48A2">
            <w:pPr>
              <w:pStyle w:val="a3"/>
              <w:spacing w:before="120" w:beforeAutospacing="0" w:after="15" w:afterAutospacing="0"/>
              <w:jc w:val="center"/>
              <w:rPr>
                <w:sz w:val="20"/>
                <w:szCs w:val="20"/>
              </w:rPr>
            </w:pPr>
            <w:r>
              <w:rPr>
                <w:b/>
                <w:bCs/>
                <w:sz w:val="20"/>
                <w:szCs w:val="20"/>
              </w:rPr>
              <w:t>622 Third Avenu</w:t>
            </w:r>
            <w:r>
              <w:rPr>
                <w:b/>
                <w:bCs/>
                <w:sz w:val="20"/>
                <w:szCs w:val="20"/>
              </w:rPr>
              <w:t>e</w:t>
            </w:r>
            <w:r>
              <w:rPr>
                <w:b/>
                <w:bCs/>
                <w:sz w:val="20"/>
                <w:szCs w:val="20"/>
              </w:rPr>
              <w:t>,</w:t>
            </w:r>
            <w:r>
              <w:rPr>
                <w:b/>
                <w:bCs/>
                <w:sz w:val="20"/>
                <w:szCs w:val="20"/>
              </w:rPr>
              <w:t xml:space="preserve"> </w:t>
            </w:r>
            <w:r>
              <w:rPr>
                <w:b/>
                <w:bCs/>
                <w:sz w:val="20"/>
                <w:szCs w:val="20"/>
              </w:rPr>
              <w:t>New Yor</w:t>
            </w:r>
            <w:r>
              <w:rPr>
                <w:b/>
                <w:bCs/>
                <w:sz w:val="20"/>
                <w:szCs w:val="20"/>
              </w:rPr>
              <w:t>k</w:t>
            </w:r>
            <w:r>
              <w:rPr>
                <w:b/>
                <w:bCs/>
                <w:sz w:val="20"/>
                <w:szCs w:val="20"/>
              </w:rPr>
              <w:t>,</w:t>
            </w:r>
            <w:r>
              <w:rPr>
                <w:b/>
                <w:bCs/>
                <w:sz w:val="20"/>
                <w:szCs w:val="20"/>
              </w:rPr>
              <w:t xml:space="preserve"> </w:t>
            </w:r>
            <w:r>
              <w:rPr>
                <w:b/>
                <w:bCs/>
                <w:sz w:val="20"/>
                <w:szCs w:val="20"/>
              </w:rPr>
              <w:t>N</w:t>
            </w:r>
            <w:r>
              <w:rPr>
                <w:b/>
                <w:bCs/>
                <w:sz w:val="20"/>
                <w:szCs w:val="20"/>
              </w:rPr>
              <w:t>Y</w:t>
            </w:r>
            <w:r>
              <w:rPr>
                <w:b/>
                <w:bCs/>
                <w:sz w:val="20"/>
                <w:szCs w:val="20"/>
              </w:rPr>
              <w:t xml:space="preserve"> </w:t>
            </w:r>
          </w:p>
        </w:tc>
        <w:tc>
          <w:tcPr>
            <w:tcW w:w="0" w:type="auto"/>
            <w:tcMar>
              <w:top w:w="15" w:type="dxa"/>
              <w:left w:w="15" w:type="dxa"/>
              <w:bottom w:w="15" w:type="dxa"/>
              <w:right w:w="14" w:type="dxa"/>
            </w:tcMar>
            <w:vAlign w:val="bottom"/>
            <w:hideMark/>
          </w:tcPr>
          <w:p w14:paraId="537DE6C9" w14:textId="77777777" w:rsidR="00000000" w:rsidRDefault="00EF48A2">
            <w:pPr>
              <w:pStyle w:val="a3"/>
              <w:spacing w:before="0" w:beforeAutospacing="0" w:after="0" w:afterAutospacing="0"/>
              <w:jc w:val="center"/>
              <w:rPr>
                <w:sz w:val="20"/>
                <w:szCs w:val="20"/>
              </w:rPr>
            </w:pPr>
            <w:r>
              <w:rPr>
                <w:b/>
                <w:bCs/>
                <w:sz w:val="20"/>
                <w:szCs w:val="20"/>
              </w:rPr>
              <w:t>1001</w:t>
            </w:r>
            <w:r>
              <w:rPr>
                <w:b/>
                <w:bCs/>
                <w:sz w:val="20"/>
                <w:szCs w:val="20"/>
              </w:rPr>
              <w:t>7</w:t>
            </w:r>
          </w:p>
        </w:tc>
      </w:tr>
      <w:tr w:rsidR="00000000" w14:paraId="3CA761B2" w14:textId="77777777">
        <w:trPr>
          <w:trHeight w:val="160"/>
          <w:tblCellSpacing w:w="15" w:type="dxa"/>
        </w:trPr>
        <w:tc>
          <w:tcPr>
            <w:tcW w:w="0" w:type="auto"/>
            <w:tcMar>
              <w:top w:w="15" w:type="dxa"/>
              <w:left w:w="15" w:type="dxa"/>
              <w:bottom w:w="15" w:type="dxa"/>
              <w:right w:w="14" w:type="dxa"/>
            </w:tcMar>
            <w:vAlign w:val="bottom"/>
            <w:hideMark/>
          </w:tcPr>
          <w:p w14:paraId="79018C65" w14:textId="77777777" w:rsidR="00000000" w:rsidRDefault="00EF48A2">
            <w:pPr>
              <w:pStyle w:val="a3"/>
              <w:spacing w:before="0" w:beforeAutospacing="0" w:after="0" w:afterAutospacing="0"/>
              <w:jc w:val="center"/>
              <w:rPr>
                <w:sz w:val="16"/>
                <w:szCs w:val="16"/>
              </w:rPr>
            </w:pPr>
            <w:r>
              <w:rPr>
                <w:b/>
                <w:bCs/>
                <w:sz w:val="16"/>
                <w:szCs w:val="16"/>
              </w:rPr>
              <w:t>(Address of principal executive offices</w:t>
            </w:r>
            <w:r>
              <w:rPr>
                <w:b/>
                <w:bCs/>
                <w:sz w:val="16"/>
                <w:szCs w:val="16"/>
              </w:rPr>
              <w:t>)</w:t>
            </w:r>
          </w:p>
        </w:tc>
        <w:tc>
          <w:tcPr>
            <w:tcW w:w="0" w:type="auto"/>
            <w:tcMar>
              <w:top w:w="15" w:type="dxa"/>
              <w:left w:w="15" w:type="dxa"/>
              <w:bottom w:w="15" w:type="dxa"/>
              <w:right w:w="14" w:type="dxa"/>
            </w:tcMar>
            <w:vAlign w:val="bottom"/>
            <w:hideMark/>
          </w:tcPr>
          <w:p w14:paraId="4B740317" w14:textId="77777777" w:rsidR="00000000" w:rsidRDefault="00EF48A2">
            <w:pPr>
              <w:pStyle w:val="a3"/>
              <w:spacing w:before="0" w:beforeAutospacing="0" w:after="0" w:afterAutospacing="0"/>
              <w:jc w:val="center"/>
              <w:rPr>
                <w:sz w:val="16"/>
                <w:szCs w:val="16"/>
              </w:rPr>
            </w:pPr>
            <w:r>
              <w:rPr>
                <w:b/>
                <w:bCs/>
                <w:sz w:val="16"/>
                <w:szCs w:val="16"/>
              </w:rPr>
              <w:t>(Zip Code</w:t>
            </w:r>
            <w:r>
              <w:rPr>
                <w:b/>
                <w:bCs/>
                <w:sz w:val="16"/>
                <w:szCs w:val="16"/>
              </w:rPr>
              <w:t>)</w:t>
            </w:r>
          </w:p>
        </w:tc>
      </w:tr>
    </w:tbl>
    <w:p w14:paraId="7C5BC96B" w14:textId="77777777" w:rsidR="00000000" w:rsidRDefault="00EF48A2">
      <w:pPr>
        <w:pStyle w:val="a3"/>
        <w:spacing w:before="60" w:beforeAutospacing="0" w:after="0" w:afterAutospacing="0"/>
        <w:jc w:val="center"/>
        <w:rPr>
          <w:sz w:val="20"/>
          <w:szCs w:val="20"/>
        </w:rPr>
      </w:pPr>
      <w:r>
        <w:rPr>
          <w:sz w:val="18"/>
          <w:szCs w:val="18"/>
        </w:rPr>
        <w:t> </w:t>
      </w:r>
    </w:p>
    <w:p w14:paraId="684B1351" w14:textId="77777777" w:rsidR="00000000" w:rsidRDefault="00EF48A2">
      <w:pPr>
        <w:pStyle w:val="a3"/>
        <w:spacing w:before="0" w:beforeAutospacing="0" w:after="0" w:afterAutospacing="0"/>
        <w:jc w:val="center"/>
        <w:rPr>
          <w:sz w:val="20"/>
          <w:szCs w:val="20"/>
        </w:rPr>
      </w:pPr>
      <w:r>
        <w:rPr>
          <w:b/>
          <w:bCs/>
          <w:sz w:val="20"/>
          <w:szCs w:val="20"/>
        </w:rPr>
        <w:t xml:space="preserve">Registrant’s telephone number, including area code: </w:t>
      </w:r>
      <w:r>
        <w:rPr>
          <w:b/>
          <w:bCs/>
          <w:sz w:val="20"/>
          <w:szCs w:val="20"/>
        </w:rPr>
        <w:t>(</w:t>
      </w:r>
      <w:r>
        <w:rPr>
          <w:b/>
          <w:bCs/>
          <w:sz w:val="20"/>
          <w:szCs w:val="20"/>
        </w:rPr>
        <w:t>21</w:t>
      </w:r>
      <w:r>
        <w:rPr>
          <w:b/>
          <w:bCs/>
          <w:sz w:val="20"/>
          <w:szCs w:val="20"/>
        </w:rPr>
        <w:t>2</w:t>
      </w:r>
      <w:r>
        <w:rPr>
          <w:b/>
          <w:bCs/>
          <w:sz w:val="20"/>
          <w:szCs w:val="20"/>
        </w:rPr>
        <w:t>)</w:t>
      </w:r>
      <w:r>
        <w:rPr>
          <w:b/>
          <w:bCs/>
          <w:sz w:val="20"/>
          <w:szCs w:val="20"/>
        </w:rPr>
        <w:t xml:space="preserve"> </w:t>
      </w:r>
      <w:r>
        <w:rPr>
          <w:b/>
          <w:bCs/>
          <w:sz w:val="20"/>
          <w:szCs w:val="20"/>
        </w:rPr>
        <w:t>284-720</w:t>
      </w:r>
      <w:r>
        <w:rPr>
          <w:b/>
          <w:bCs/>
          <w:sz w:val="20"/>
          <w:szCs w:val="20"/>
        </w:rPr>
        <w:t>6</w:t>
      </w:r>
    </w:p>
    <w:p w14:paraId="2330F799" w14:textId="77777777" w:rsidR="00000000" w:rsidRDefault="00EF48A2">
      <w:pPr>
        <w:pStyle w:val="a3"/>
        <w:spacing w:before="0" w:beforeAutospacing="0" w:after="0" w:afterAutospacing="0"/>
        <w:ind w:left="4762" w:right="4762"/>
        <w:jc w:val="center"/>
        <w:rPr>
          <w:sz w:val="20"/>
          <w:szCs w:val="20"/>
        </w:rPr>
      </w:pPr>
      <w:r>
        <w:rPr>
          <w:sz w:val="6"/>
          <w:szCs w:val="6"/>
        </w:rPr>
        <w:t> </w:t>
      </w:r>
    </w:p>
    <w:p w14:paraId="28977503" w14:textId="77777777" w:rsidR="00000000" w:rsidRDefault="00EF48A2">
      <w:pPr>
        <w:pStyle w:val="a3"/>
        <w:pBdr>
          <w:bottom w:val="single" w:sz="8" w:space="1" w:color="auto"/>
        </w:pBdr>
        <w:spacing w:before="0" w:beforeAutospacing="0" w:after="0" w:afterAutospacing="0"/>
        <w:ind w:left="4762" w:right="4762"/>
        <w:jc w:val="center"/>
        <w:rPr>
          <w:sz w:val="20"/>
          <w:szCs w:val="20"/>
        </w:rPr>
      </w:pPr>
      <w:r>
        <w:rPr>
          <w:sz w:val="6"/>
          <w:szCs w:val="6"/>
        </w:rPr>
        <w:t> </w:t>
      </w:r>
    </w:p>
    <w:p w14:paraId="5570B20E" w14:textId="77777777" w:rsidR="00000000" w:rsidRDefault="00EF48A2">
      <w:pPr>
        <w:pStyle w:val="a3"/>
        <w:spacing w:before="60" w:beforeAutospacing="0" w:after="0" w:afterAutospacing="0"/>
        <w:jc w:val="center"/>
        <w:rPr>
          <w:sz w:val="20"/>
          <w:szCs w:val="20"/>
        </w:rPr>
      </w:pPr>
      <w:r>
        <w:rPr>
          <w:sz w:val="17"/>
          <w:szCs w:val="17"/>
        </w:rPr>
        <w:t> </w:t>
      </w:r>
    </w:p>
    <w:p w14:paraId="5F6BA53E" w14:textId="77777777" w:rsidR="00000000" w:rsidRDefault="00EF48A2">
      <w:pPr>
        <w:pStyle w:val="a3"/>
        <w:spacing w:before="60" w:beforeAutospacing="0" w:after="0" w:afterAutospacing="0"/>
        <w:jc w:val="center"/>
        <w:rPr>
          <w:sz w:val="20"/>
          <w:szCs w:val="20"/>
        </w:rPr>
      </w:pPr>
      <w:r>
        <w:rPr>
          <w:sz w:val="20"/>
          <w:szCs w:val="20"/>
        </w:rPr>
        <w:t>Securities registered pursuant to Section 12(b) of the Act</w:t>
      </w:r>
      <w:r>
        <w:rPr>
          <w:sz w:val="20"/>
          <w:szCs w:val="20"/>
        </w:rPr>
        <w:t>:</w:t>
      </w:r>
    </w:p>
    <w:p w14:paraId="3FAF136A" w14:textId="77777777" w:rsidR="00000000" w:rsidRDefault="00EF48A2">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4"/>
        <w:gridCol w:w="109"/>
        <w:gridCol w:w="3410"/>
        <w:gridCol w:w="109"/>
        <w:gridCol w:w="1964"/>
      </w:tblGrid>
      <w:tr w:rsidR="00000000" w14:paraId="5A800A42" w14:textId="77777777">
        <w:trPr>
          <w:tblCellSpacing w:w="15" w:type="dxa"/>
        </w:trPr>
        <w:tc>
          <w:tcPr>
            <w:tcW w:w="1900" w:type="pct"/>
            <w:vAlign w:val="center"/>
            <w:hideMark/>
          </w:tcPr>
          <w:p w14:paraId="3A88A5D2" w14:textId="77777777" w:rsidR="00000000" w:rsidRDefault="00EF48A2">
            <w:pPr>
              <w:rPr>
                <w:sz w:val="20"/>
                <w:szCs w:val="20"/>
              </w:rPr>
            </w:pPr>
          </w:p>
        </w:tc>
        <w:tc>
          <w:tcPr>
            <w:tcW w:w="50" w:type="pct"/>
            <w:vAlign w:val="center"/>
            <w:hideMark/>
          </w:tcPr>
          <w:p w14:paraId="274E3ABD" w14:textId="77777777" w:rsidR="00000000" w:rsidRDefault="00EF48A2">
            <w:pPr>
              <w:rPr>
                <w:rFonts w:eastAsia="Times New Roman"/>
                <w:sz w:val="20"/>
                <w:szCs w:val="20"/>
              </w:rPr>
            </w:pPr>
          </w:p>
        </w:tc>
        <w:tc>
          <w:tcPr>
            <w:tcW w:w="1050" w:type="pct"/>
            <w:vAlign w:val="center"/>
            <w:hideMark/>
          </w:tcPr>
          <w:p w14:paraId="7F302924" w14:textId="77777777" w:rsidR="00000000" w:rsidRDefault="00EF48A2">
            <w:pPr>
              <w:rPr>
                <w:rFonts w:eastAsia="Times New Roman"/>
                <w:sz w:val="20"/>
                <w:szCs w:val="20"/>
              </w:rPr>
            </w:pPr>
          </w:p>
        </w:tc>
        <w:tc>
          <w:tcPr>
            <w:tcW w:w="50" w:type="pct"/>
            <w:vAlign w:val="center"/>
            <w:hideMark/>
          </w:tcPr>
          <w:p w14:paraId="75A74B07" w14:textId="77777777" w:rsidR="00000000" w:rsidRDefault="00EF48A2">
            <w:pPr>
              <w:rPr>
                <w:rFonts w:eastAsia="Times New Roman"/>
                <w:sz w:val="20"/>
                <w:szCs w:val="20"/>
              </w:rPr>
            </w:pPr>
          </w:p>
        </w:tc>
        <w:tc>
          <w:tcPr>
            <w:tcW w:w="1950" w:type="pct"/>
            <w:vAlign w:val="center"/>
            <w:hideMark/>
          </w:tcPr>
          <w:p w14:paraId="2DF63C9C" w14:textId="77777777" w:rsidR="00000000" w:rsidRDefault="00EF48A2">
            <w:pPr>
              <w:rPr>
                <w:rFonts w:eastAsia="Times New Roman"/>
                <w:sz w:val="20"/>
                <w:szCs w:val="20"/>
              </w:rPr>
            </w:pPr>
          </w:p>
        </w:tc>
      </w:tr>
      <w:tr w:rsidR="00000000" w14:paraId="5B06F2F6" w14:textId="77777777">
        <w:trPr>
          <w:tblCellSpacing w:w="15" w:type="dxa"/>
        </w:trPr>
        <w:tc>
          <w:tcPr>
            <w:tcW w:w="0" w:type="auto"/>
            <w:tcBorders>
              <w:bottom w:val="single" w:sz="2" w:space="0" w:color="auto"/>
            </w:tcBorders>
            <w:tcMar>
              <w:top w:w="14" w:type="dxa"/>
              <w:left w:w="15" w:type="dxa"/>
              <w:bottom w:w="15" w:type="dxa"/>
              <w:right w:w="14" w:type="dxa"/>
            </w:tcMar>
            <w:hideMark/>
          </w:tcPr>
          <w:p w14:paraId="7D165ACB" w14:textId="77777777" w:rsidR="00000000" w:rsidRDefault="00EF48A2">
            <w:pPr>
              <w:pStyle w:val="a3"/>
              <w:spacing w:before="0" w:beforeAutospacing="0" w:after="0" w:afterAutospacing="0"/>
              <w:jc w:val="center"/>
              <w:rPr>
                <w:sz w:val="20"/>
                <w:szCs w:val="20"/>
              </w:rPr>
            </w:pPr>
            <w:r>
              <w:rPr>
                <w:b/>
                <w:bCs/>
                <w:sz w:val="20"/>
                <w:szCs w:val="20"/>
              </w:rPr>
              <w:br/>
              <w:t>Title of each clas</w:t>
            </w:r>
            <w:r>
              <w:rPr>
                <w:b/>
                <w:bCs/>
                <w:sz w:val="20"/>
                <w:szCs w:val="20"/>
              </w:rPr>
              <w:t>s</w:t>
            </w:r>
          </w:p>
        </w:tc>
        <w:tc>
          <w:tcPr>
            <w:tcW w:w="0" w:type="auto"/>
            <w:tcMar>
              <w:top w:w="14" w:type="dxa"/>
              <w:left w:w="15" w:type="dxa"/>
              <w:bottom w:w="15" w:type="dxa"/>
              <w:right w:w="14" w:type="dxa"/>
            </w:tcMar>
            <w:hideMark/>
          </w:tcPr>
          <w:p w14:paraId="5DA60F43" w14:textId="77777777" w:rsidR="00000000" w:rsidRDefault="00EF48A2">
            <w:pPr>
              <w:pStyle w:val="a3"/>
              <w:spacing w:before="0" w:beforeAutospacing="0" w:after="0" w:afterAutospacing="0"/>
              <w:rPr>
                <w:sz w:val="20"/>
                <w:szCs w:val="20"/>
              </w:rPr>
            </w:pPr>
            <w:r>
              <w:rPr>
                <w:sz w:val="20"/>
                <w:szCs w:val="20"/>
              </w:rPr>
              <w:t> </w:t>
            </w:r>
          </w:p>
        </w:tc>
        <w:tc>
          <w:tcPr>
            <w:tcW w:w="0" w:type="auto"/>
            <w:tcBorders>
              <w:bottom w:val="single" w:sz="2" w:space="0" w:color="auto"/>
            </w:tcBorders>
            <w:tcMar>
              <w:top w:w="14" w:type="dxa"/>
              <w:left w:w="15" w:type="dxa"/>
              <w:bottom w:w="15" w:type="dxa"/>
              <w:right w:w="14" w:type="dxa"/>
            </w:tcMar>
            <w:hideMark/>
          </w:tcPr>
          <w:p w14:paraId="46A45E5F" w14:textId="77777777" w:rsidR="00000000" w:rsidRDefault="00EF48A2">
            <w:pPr>
              <w:pStyle w:val="a3"/>
              <w:spacing w:before="0" w:beforeAutospacing="0" w:after="0" w:afterAutospacing="0"/>
              <w:jc w:val="center"/>
              <w:rPr>
                <w:sz w:val="20"/>
                <w:szCs w:val="20"/>
              </w:rPr>
            </w:pPr>
            <w:r>
              <w:rPr>
                <w:b/>
                <w:bCs/>
                <w:sz w:val="20"/>
                <w:szCs w:val="20"/>
              </w:rPr>
              <w:t>                                    </w:t>
            </w:r>
            <w:r>
              <w:rPr>
                <w:b/>
                <w:bCs/>
                <w:sz w:val="20"/>
                <w:szCs w:val="20"/>
              </w:rPr>
              <w:t>                 Trading Symbol(s</w:t>
            </w:r>
            <w:r>
              <w:rPr>
                <w:b/>
                <w:bCs/>
                <w:sz w:val="20"/>
                <w:szCs w:val="20"/>
              </w:rPr>
              <w:t>)</w:t>
            </w:r>
          </w:p>
        </w:tc>
        <w:tc>
          <w:tcPr>
            <w:tcW w:w="0" w:type="auto"/>
            <w:tcMar>
              <w:top w:w="14" w:type="dxa"/>
              <w:left w:w="15" w:type="dxa"/>
              <w:bottom w:w="15" w:type="dxa"/>
              <w:right w:w="14" w:type="dxa"/>
            </w:tcMar>
            <w:hideMark/>
          </w:tcPr>
          <w:p w14:paraId="2AC544F8" w14:textId="77777777" w:rsidR="00000000" w:rsidRDefault="00EF48A2">
            <w:pPr>
              <w:pStyle w:val="a3"/>
              <w:spacing w:before="0" w:beforeAutospacing="0" w:after="0" w:afterAutospacing="0"/>
              <w:rPr>
                <w:sz w:val="20"/>
                <w:szCs w:val="20"/>
              </w:rPr>
            </w:pPr>
            <w:r>
              <w:rPr>
                <w:sz w:val="20"/>
                <w:szCs w:val="20"/>
              </w:rPr>
              <w:t> </w:t>
            </w:r>
          </w:p>
        </w:tc>
        <w:tc>
          <w:tcPr>
            <w:tcW w:w="0" w:type="auto"/>
            <w:tcBorders>
              <w:bottom w:val="single" w:sz="2" w:space="0" w:color="auto"/>
            </w:tcBorders>
            <w:tcMar>
              <w:top w:w="14" w:type="dxa"/>
              <w:left w:w="15" w:type="dxa"/>
              <w:bottom w:w="15" w:type="dxa"/>
              <w:right w:w="14" w:type="dxa"/>
            </w:tcMar>
            <w:hideMark/>
          </w:tcPr>
          <w:p w14:paraId="6CF3AB7E" w14:textId="77777777" w:rsidR="00000000" w:rsidRDefault="00EF48A2">
            <w:pPr>
              <w:pStyle w:val="a3"/>
              <w:spacing w:before="0" w:beforeAutospacing="0" w:after="0" w:afterAutospacing="0"/>
              <w:jc w:val="center"/>
              <w:rPr>
                <w:sz w:val="20"/>
                <w:szCs w:val="20"/>
              </w:rPr>
            </w:pPr>
            <w:r>
              <w:rPr>
                <w:b/>
                <w:bCs/>
                <w:sz w:val="20"/>
                <w:szCs w:val="20"/>
              </w:rPr>
              <w:br/>
              <w:t>Name of each exchange on which registere</w:t>
            </w:r>
            <w:r>
              <w:rPr>
                <w:b/>
                <w:bCs/>
                <w:sz w:val="20"/>
                <w:szCs w:val="20"/>
              </w:rPr>
              <w:t>d</w:t>
            </w:r>
          </w:p>
        </w:tc>
      </w:tr>
      <w:tr w:rsidR="00000000" w14:paraId="1206E3DB" w14:textId="77777777">
        <w:trPr>
          <w:trHeight w:val="200"/>
          <w:tblCellSpacing w:w="15" w:type="dxa"/>
        </w:trPr>
        <w:tc>
          <w:tcPr>
            <w:tcW w:w="0" w:type="auto"/>
            <w:tcMar>
              <w:top w:w="14" w:type="dxa"/>
              <w:left w:w="15" w:type="dxa"/>
              <w:bottom w:w="15" w:type="dxa"/>
              <w:right w:w="14" w:type="dxa"/>
            </w:tcMar>
            <w:hideMark/>
          </w:tcPr>
          <w:p w14:paraId="34A3C0AD" w14:textId="77777777" w:rsidR="00000000" w:rsidRDefault="00EF48A2">
            <w:pPr>
              <w:pStyle w:val="a3"/>
              <w:spacing w:before="0" w:beforeAutospacing="0" w:after="0" w:afterAutospacing="0"/>
              <w:jc w:val="center"/>
              <w:rPr>
                <w:sz w:val="20"/>
                <w:szCs w:val="20"/>
              </w:rPr>
            </w:pPr>
            <w:r>
              <w:rPr>
                <w:sz w:val="20"/>
                <w:szCs w:val="20"/>
              </w:rPr>
              <w:t>Common stock, par value $0.0001 per shar</w:t>
            </w:r>
            <w:r>
              <w:rPr>
                <w:sz w:val="20"/>
                <w:szCs w:val="20"/>
              </w:rPr>
              <w:t>e</w:t>
            </w:r>
          </w:p>
        </w:tc>
        <w:tc>
          <w:tcPr>
            <w:tcW w:w="0" w:type="auto"/>
            <w:tcMar>
              <w:top w:w="14" w:type="dxa"/>
              <w:left w:w="15" w:type="dxa"/>
              <w:bottom w:w="15" w:type="dxa"/>
              <w:right w:w="14" w:type="dxa"/>
            </w:tcMar>
            <w:hideMark/>
          </w:tcPr>
          <w:p w14:paraId="0923899D" w14:textId="77777777" w:rsidR="00000000" w:rsidRDefault="00EF48A2">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14:paraId="3362FA91" w14:textId="77777777" w:rsidR="00000000" w:rsidRDefault="00EF48A2">
            <w:pPr>
              <w:pStyle w:val="a3"/>
              <w:spacing w:before="0" w:beforeAutospacing="0" w:after="0" w:afterAutospacing="0"/>
              <w:jc w:val="center"/>
              <w:rPr>
                <w:sz w:val="20"/>
                <w:szCs w:val="20"/>
              </w:rPr>
            </w:pPr>
            <w:r>
              <w:rPr>
                <w:sz w:val="20"/>
                <w:szCs w:val="20"/>
              </w:rPr>
              <w:t>TAL</w:t>
            </w:r>
            <w:r>
              <w:rPr>
                <w:sz w:val="20"/>
                <w:szCs w:val="20"/>
              </w:rPr>
              <w:t>K</w:t>
            </w:r>
          </w:p>
        </w:tc>
        <w:tc>
          <w:tcPr>
            <w:tcW w:w="0" w:type="auto"/>
            <w:tcMar>
              <w:top w:w="14" w:type="dxa"/>
              <w:left w:w="15" w:type="dxa"/>
              <w:bottom w:w="15" w:type="dxa"/>
              <w:right w:w="14" w:type="dxa"/>
            </w:tcMar>
            <w:hideMark/>
          </w:tcPr>
          <w:p w14:paraId="77335ECB" w14:textId="77777777" w:rsidR="00000000" w:rsidRDefault="00EF48A2">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14:paraId="08C894F3" w14:textId="77777777" w:rsidR="00000000" w:rsidRDefault="00EF48A2">
            <w:pPr>
              <w:pStyle w:val="a3"/>
              <w:spacing w:before="0" w:beforeAutospacing="0" w:after="0" w:afterAutospacing="0"/>
              <w:jc w:val="center"/>
              <w:rPr>
                <w:sz w:val="20"/>
                <w:szCs w:val="20"/>
              </w:rPr>
            </w:pPr>
            <w:r>
              <w:rPr>
                <w:sz w:val="20"/>
                <w:szCs w:val="20"/>
              </w:rPr>
              <w:t>The NASDAQ Stock Market LL</w:t>
            </w:r>
            <w:r>
              <w:rPr>
                <w:sz w:val="20"/>
                <w:szCs w:val="20"/>
              </w:rPr>
              <w:t>C</w:t>
            </w:r>
          </w:p>
        </w:tc>
      </w:tr>
      <w:tr w:rsidR="00000000" w14:paraId="1175E86C" w14:textId="77777777">
        <w:trPr>
          <w:trHeight w:val="200"/>
          <w:tblCellSpacing w:w="15" w:type="dxa"/>
        </w:trPr>
        <w:tc>
          <w:tcPr>
            <w:tcW w:w="0" w:type="auto"/>
            <w:tcMar>
              <w:top w:w="14" w:type="dxa"/>
              <w:left w:w="15" w:type="dxa"/>
              <w:bottom w:w="15" w:type="dxa"/>
              <w:right w:w="14" w:type="dxa"/>
            </w:tcMar>
            <w:hideMark/>
          </w:tcPr>
          <w:p w14:paraId="2D5FF72A" w14:textId="77777777" w:rsidR="00000000" w:rsidRDefault="00EF48A2">
            <w:pPr>
              <w:pStyle w:val="a3"/>
              <w:spacing w:before="0" w:beforeAutospacing="0" w:after="0" w:afterAutospacing="0"/>
              <w:jc w:val="center"/>
              <w:rPr>
                <w:sz w:val="20"/>
                <w:szCs w:val="20"/>
              </w:rPr>
            </w:pPr>
            <w:r>
              <w:rPr>
                <w:sz w:val="20"/>
                <w:szCs w:val="20"/>
              </w:rPr>
              <w:t>Warrants to purchase common stoc</w:t>
            </w:r>
            <w:r>
              <w:rPr>
                <w:sz w:val="20"/>
                <w:szCs w:val="20"/>
              </w:rPr>
              <w:t>k</w:t>
            </w:r>
          </w:p>
        </w:tc>
        <w:tc>
          <w:tcPr>
            <w:tcW w:w="0" w:type="auto"/>
            <w:tcMar>
              <w:top w:w="14" w:type="dxa"/>
              <w:left w:w="15" w:type="dxa"/>
              <w:bottom w:w="15" w:type="dxa"/>
              <w:right w:w="14" w:type="dxa"/>
            </w:tcMar>
            <w:hideMark/>
          </w:tcPr>
          <w:p w14:paraId="5599DF59" w14:textId="77777777" w:rsidR="00000000" w:rsidRDefault="00EF48A2">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14:paraId="0B1A320D" w14:textId="77777777" w:rsidR="00000000" w:rsidRDefault="00EF48A2">
            <w:pPr>
              <w:pStyle w:val="a3"/>
              <w:spacing w:before="0" w:beforeAutospacing="0" w:after="0" w:afterAutospacing="0"/>
              <w:jc w:val="center"/>
              <w:rPr>
                <w:sz w:val="20"/>
                <w:szCs w:val="20"/>
              </w:rPr>
            </w:pPr>
            <w:r>
              <w:rPr>
                <w:sz w:val="20"/>
                <w:szCs w:val="20"/>
              </w:rPr>
              <w:t>TALK</w:t>
            </w:r>
            <w:r>
              <w:rPr>
                <w:sz w:val="20"/>
                <w:szCs w:val="20"/>
              </w:rPr>
              <w:t>W</w:t>
            </w:r>
          </w:p>
        </w:tc>
        <w:tc>
          <w:tcPr>
            <w:tcW w:w="0" w:type="auto"/>
            <w:tcMar>
              <w:top w:w="14" w:type="dxa"/>
              <w:left w:w="15" w:type="dxa"/>
              <w:bottom w:w="15" w:type="dxa"/>
              <w:right w:w="14" w:type="dxa"/>
            </w:tcMar>
            <w:hideMark/>
          </w:tcPr>
          <w:p w14:paraId="06FED29A" w14:textId="77777777" w:rsidR="00000000" w:rsidRDefault="00EF48A2">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14:paraId="78E2020F" w14:textId="77777777" w:rsidR="00000000" w:rsidRDefault="00EF48A2">
            <w:pPr>
              <w:pStyle w:val="a3"/>
              <w:spacing w:before="0" w:beforeAutospacing="0" w:after="0" w:afterAutospacing="0"/>
              <w:jc w:val="center"/>
              <w:rPr>
                <w:sz w:val="20"/>
                <w:szCs w:val="20"/>
              </w:rPr>
            </w:pPr>
            <w:r>
              <w:rPr>
                <w:sz w:val="20"/>
                <w:szCs w:val="20"/>
              </w:rPr>
              <w:t>The NASDAQ Stock Market LL</w:t>
            </w:r>
            <w:r>
              <w:rPr>
                <w:sz w:val="20"/>
                <w:szCs w:val="20"/>
              </w:rPr>
              <w:t>C</w:t>
            </w:r>
          </w:p>
        </w:tc>
      </w:tr>
    </w:tbl>
    <w:p w14:paraId="73622B28" w14:textId="77777777" w:rsidR="00000000" w:rsidRDefault="00EF48A2">
      <w:pPr>
        <w:pStyle w:val="a3"/>
        <w:spacing w:before="60" w:beforeAutospacing="0" w:after="0" w:afterAutospacing="0"/>
        <w:jc w:val="center"/>
        <w:rPr>
          <w:sz w:val="20"/>
          <w:szCs w:val="20"/>
        </w:rPr>
      </w:pPr>
      <w:r>
        <w:rPr>
          <w:sz w:val="16"/>
          <w:szCs w:val="16"/>
        </w:rPr>
        <w:t> </w:t>
      </w:r>
    </w:p>
    <w:p w14:paraId="181E9904" w14:textId="77777777" w:rsidR="00000000" w:rsidRDefault="00EF48A2">
      <w:pPr>
        <w:pStyle w:val="a3"/>
        <w:spacing w:before="60" w:beforeAutospacing="0" w:after="0" w:afterAutospacing="0"/>
        <w:jc w:val="center"/>
        <w:rPr>
          <w:sz w:val="20"/>
          <w:szCs w:val="20"/>
        </w:rPr>
      </w:pPr>
      <w:r>
        <w:rPr>
          <w:sz w:val="20"/>
          <w:szCs w:val="20"/>
        </w:rPr>
        <w:t>Securities registered pursuant to Section 12(g) of the Act</w:t>
      </w:r>
      <w:r>
        <w:rPr>
          <w:sz w:val="20"/>
          <w:szCs w:val="20"/>
        </w:rPr>
        <w:t>:</w:t>
      </w:r>
    </w:p>
    <w:p w14:paraId="68E0EF1D" w14:textId="77777777" w:rsidR="00000000" w:rsidRDefault="00EF48A2">
      <w:pPr>
        <w:pStyle w:val="a3"/>
        <w:spacing w:before="120" w:beforeAutospacing="0" w:after="0" w:afterAutospacing="0"/>
        <w:jc w:val="center"/>
        <w:rPr>
          <w:sz w:val="20"/>
          <w:szCs w:val="20"/>
        </w:rPr>
      </w:pPr>
      <w:r>
        <w:rPr>
          <w:b/>
          <w:bCs/>
          <w:sz w:val="20"/>
          <w:szCs w:val="20"/>
          <w:u w:val="single"/>
        </w:rPr>
        <w:lastRenderedPageBreak/>
        <w:t>Not Applicabl</w:t>
      </w:r>
      <w:r>
        <w:rPr>
          <w:b/>
          <w:bCs/>
          <w:sz w:val="20"/>
          <w:szCs w:val="20"/>
          <w:u w:val="single"/>
        </w:rPr>
        <w:t>e</w:t>
      </w:r>
    </w:p>
    <w:p w14:paraId="18422260" w14:textId="77777777" w:rsidR="00000000" w:rsidRDefault="00EF48A2">
      <w:pPr>
        <w:pStyle w:val="a3"/>
        <w:spacing w:before="0" w:beforeAutospacing="0" w:after="0" w:afterAutospacing="0"/>
        <w:jc w:val="center"/>
        <w:rPr>
          <w:sz w:val="20"/>
          <w:szCs w:val="20"/>
        </w:rPr>
      </w:pPr>
      <w:r>
        <w:rPr>
          <w:b/>
          <w:bCs/>
          <w:sz w:val="16"/>
          <w:szCs w:val="16"/>
          <w:u w:val="single"/>
        </w:rPr>
        <w:t>(Title of class</w:t>
      </w:r>
      <w:r>
        <w:rPr>
          <w:b/>
          <w:bCs/>
          <w:sz w:val="16"/>
          <w:szCs w:val="16"/>
          <w:u w:val="single"/>
        </w:rPr>
        <w:t>)</w:t>
      </w:r>
    </w:p>
    <w:p w14:paraId="3C2D7380" w14:textId="77777777" w:rsidR="00000000" w:rsidRDefault="00EF48A2">
      <w:pPr>
        <w:pStyle w:val="a3"/>
        <w:spacing w:before="0" w:beforeAutospacing="0" w:after="0" w:afterAutospacing="0"/>
        <w:jc w:val="center"/>
        <w:rPr>
          <w:sz w:val="20"/>
          <w:szCs w:val="20"/>
        </w:rPr>
      </w:pPr>
      <w:r>
        <w:rPr>
          <w:sz w:val="20"/>
          <w:szCs w:val="20"/>
        </w:rPr>
        <w:t> </w:t>
      </w:r>
    </w:p>
    <w:p w14:paraId="36B4B8F0" w14:textId="77777777" w:rsidR="00000000" w:rsidRDefault="00EF48A2">
      <w:pPr>
        <w:pStyle w:val="a3"/>
        <w:spacing w:before="0" w:beforeAutospacing="0" w:after="0" w:afterAutospacing="0"/>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w:t>
      </w:r>
      <w:r>
        <w:rPr>
          <w:caps/>
          <w:sz w:val="20"/>
          <w:szCs w:val="20"/>
        </w:rPr>
        <w:t>N</w:t>
      </w:r>
      <w:r>
        <w:rPr>
          <w:caps/>
          <w:sz w:val="20"/>
          <w:szCs w:val="20"/>
        </w:rPr>
        <w:t>o</w:t>
      </w:r>
      <w:r>
        <w:rPr>
          <w:sz w:val="20"/>
          <w:szCs w:val="20"/>
        </w:rPr>
        <w:t xml:space="preserve"> </w:t>
      </w:r>
      <w:r>
        <w:rPr>
          <w:rFonts w:ascii="Segoe UI Symbol" w:hAnsi="Segoe UI Symbol" w:cs="Segoe UI Symbol"/>
          <w:sz w:val="20"/>
          <w:szCs w:val="20"/>
        </w:rPr>
        <w:t>☒</w:t>
      </w:r>
    </w:p>
    <w:p w14:paraId="4E2794F2" w14:textId="77777777" w:rsidR="00000000" w:rsidRDefault="00EF48A2">
      <w:pPr>
        <w:pStyle w:val="a3"/>
        <w:spacing w:before="180" w:beforeAutospacing="0" w:after="0" w:afterAutospacing="0"/>
        <w:rPr>
          <w:sz w:val="20"/>
          <w:szCs w:val="20"/>
        </w:rPr>
      </w:pPr>
      <w:r>
        <w:rPr>
          <w:sz w:val="20"/>
          <w:szCs w:val="20"/>
        </w:rPr>
        <w:t xml:space="preserve">Indicate 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w:t>
      </w:r>
      <w:r>
        <w:rPr>
          <w:caps/>
          <w:sz w:val="20"/>
          <w:szCs w:val="20"/>
        </w:rPr>
        <w:t>N</w:t>
      </w:r>
      <w:r>
        <w:rPr>
          <w:caps/>
          <w:sz w:val="20"/>
          <w:szCs w:val="20"/>
        </w:rPr>
        <w:t>o</w:t>
      </w:r>
      <w:r>
        <w:rPr>
          <w:sz w:val="20"/>
          <w:szCs w:val="20"/>
        </w:rPr>
        <w:t xml:space="preserve"> </w:t>
      </w:r>
      <w:r>
        <w:rPr>
          <w:rFonts w:ascii="Segoe UI Symbol" w:hAnsi="Segoe UI Symbol" w:cs="Segoe UI Symbol"/>
          <w:sz w:val="20"/>
          <w:szCs w:val="20"/>
        </w:rPr>
        <w:t>☒</w:t>
      </w:r>
    </w:p>
    <w:p w14:paraId="5F89E5DF" w14:textId="77777777" w:rsidR="00000000" w:rsidRDefault="00EF48A2">
      <w:pPr>
        <w:pStyle w:val="a3"/>
        <w:spacing w:before="180" w:beforeAutospacing="0" w:after="0" w:afterAutospacing="0"/>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20"/>
          <w:szCs w:val="20"/>
        </w:rPr>
        <w:t>such reports), and (2) has been subject to such filing requirements for the past 90 days.</w:t>
      </w:r>
      <w:r>
        <w:rPr>
          <w:sz w:val="20"/>
          <w:szCs w:val="20"/>
        </w:rPr>
        <w:t xml:space="preserve"> </w:t>
      </w:r>
      <w:r>
        <w:rPr>
          <w:caps/>
          <w:sz w:val="20"/>
          <w:szCs w:val="20"/>
        </w:rPr>
        <w:t>Ye</w:t>
      </w:r>
      <w:r>
        <w:rPr>
          <w:caps/>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84493AC" w14:textId="77777777" w:rsidR="00000000" w:rsidRDefault="00EF48A2">
      <w:pPr>
        <w:pStyle w:val="a3"/>
        <w:spacing w:before="0" w:beforeAutospacing="0" w:after="0" w:afterAutospacing="0"/>
        <w:rPr>
          <w:sz w:val="20"/>
          <w:szCs w:val="20"/>
        </w:rPr>
      </w:pPr>
      <w:r>
        <w:rPr>
          <w:sz w:val="20"/>
          <w:szCs w:val="20"/>
        </w:rPr>
        <w:t> </w:t>
      </w:r>
    </w:p>
    <w:p w14:paraId="09E20A66" w14:textId="77777777" w:rsidR="00000000" w:rsidRDefault="00EF48A2">
      <w:pPr>
        <w:rPr>
          <w:rFonts w:eastAsia="Times New Roman"/>
        </w:rPr>
      </w:pPr>
      <w:r>
        <w:rPr>
          <w:rFonts w:eastAsia="Times New Roman"/>
        </w:rPr>
        <w:pict w14:anchorId="565A2BF1">
          <v:rect id="_x0000_i1025" style="width:0;height:1.5pt" o:hralign="center" o:hrstd="t" o:hr="t" fillcolor="#a0a0a0" stroked="f"/>
        </w:pict>
      </w:r>
    </w:p>
    <w:p w14:paraId="3FB5A786"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6E8898F" w14:textId="77777777" w:rsidR="00000000" w:rsidRDefault="00EF48A2">
      <w:pPr>
        <w:pStyle w:val="a3"/>
        <w:spacing w:before="180" w:beforeAutospacing="0" w:after="0" w:afterAutospacing="0"/>
        <w:rPr>
          <w:sz w:val="20"/>
          <w:szCs w:val="20"/>
        </w:rPr>
      </w:pPr>
      <w:r>
        <w:rPr>
          <w:sz w:val="20"/>
          <w:szCs w:val="20"/>
        </w:rPr>
        <w:t> </w:t>
      </w:r>
    </w:p>
    <w:p w14:paraId="11F2108A" w14:textId="77777777" w:rsidR="00000000" w:rsidRDefault="00EF48A2">
      <w:pPr>
        <w:pStyle w:val="a3"/>
        <w:spacing w:before="180" w:beforeAutospacing="0" w:after="0" w:afterAutospacing="0"/>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t the Registrant was required to submit such files).</w:t>
      </w:r>
      <w:r>
        <w:rPr>
          <w:sz w:val="20"/>
          <w:szCs w:val="20"/>
        </w:rPr>
        <w:t xml:space="preserve"> </w:t>
      </w:r>
      <w:r>
        <w:rPr>
          <w:caps/>
          <w:sz w:val="20"/>
          <w:szCs w:val="20"/>
        </w:rPr>
        <w:t>Ye</w:t>
      </w:r>
      <w:r>
        <w:rPr>
          <w:caps/>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E712C97" w14:textId="77777777" w:rsidR="00000000" w:rsidRDefault="00EF48A2">
      <w:pPr>
        <w:pStyle w:val="a3"/>
        <w:spacing w:before="180" w:beforeAutospacing="0" w:after="120" w:afterAutospacing="0"/>
        <w:rPr>
          <w:sz w:val="20"/>
          <w:szCs w:val="20"/>
        </w:rPr>
      </w:pPr>
      <w:r>
        <w:rPr>
          <w:sz w:val="20"/>
          <w:szCs w:val="20"/>
        </w:rPr>
        <w:t>Indicate by check mark whether the registrant is a large accelerated filer, an accelerated filer, a non-accelerated filer, a smaller reporting company, or an emerging growth company. See the d</w:t>
      </w:r>
      <w:r>
        <w:rPr>
          <w:sz w:val="20"/>
          <w:szCs w:val="20"/>
        </w:rPr>
        <w:t>efinitions of “large accelerated filer,” “accelerated filer,” “smaller reporting company,” and “emerging growth company” in Rule 12b-2 of the Exchange Act</w:t>
      </w:r>
      <w:r>
        <w:rPr>
          <w:sz w:val="20"/>
          <w:szCs w:val="20"/>
        </w:rPr>
        <w:t>.</w:t>
      </w:r>
    </w:p>
    <w:p w14:paraId="26C86803" w14:textId="77777777" w:rsidR="00000000" w:rsidRDefault="00EF48A2">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6"/>
        <w:gridCol w:w="109"/>
        <w:gridCol w:w="4503"/>
        <w:gridCol w:w="109"/>
        <w:gridCol w:w="1653"/>
        <w:gridCol w:w="109"/>
        <w:gridCol w:w="247"/>
      </w:tblGrid>
      <w:tr w:rsidR="00000000" w14:paraId="696BECE6" w14:textId="77777777">
        <w:trPr>
          <w:tblCellSpacing w:w="15" w:type="dxa"/>
        </w:trPr>
        <w:tc>
          <w:tcPr>
            <w:tcW w:w="956" w:type="pct"/>
            <w:vAlign w:val="center"/>
            <w:hideMark/>
          </w:tcPr>
          <w:p w14:paraId="714AF5AE" w14:textId="77777777" w:rsidR="00000000" w:rsidRDefault="00EF48A2">
            <w:pPr>
              <w:rPr>
                <w:sz w:val="20"/>
                <w:szCs w:val="20"/>
              </w:rPr>
            </w:pPr>
          </w:p>
        </w:tc>
        <w:tc>
          <w:tcPr>
            <w:tcW w:w="50" w:type="pct"/>
            <w:vAlign w:val="center"/>
            <w:hideMark/>
          </w:tcPr>
          <w:p w14:paraId="63C0160F" w14:textId="77777777" w:rsidR="00000000" w:rsidRDefault="00EF48A2">
            <w:pPr>
              <w:rPr>
                <w:rFonts w:eastAsia="Times New Roman"/>
                <w:sz w:val="20"/>
                <w:szCs w:val="20"/>
              </w:rPr>
            </w:pPr>
          </w:p>
        </w:tc>
        <w:tc>
          <w:tcPr>
            <w:tcW w:w="2782" w:type="pct"/>
            <w:vAlign w:val="center"/>
            <w:hideMark/>
          </w:tcPr>
          <w:p w14:paraId="5B1B3568" w14:textId="77777777" w:rsidR="00000000" w:rsidRDefault="00EF48A2">
            <w:pPr>
              <w:rPr>
                <w:rFonts w:eastAsia="Times New Roman"/>
                <w:sz w:val="20"/>
                <w:szCs w:val="20"/>
              </w:rPr>
            </w:pPr>
          </w:p>
        </w:tc>
        <w:tc>
          <w:tcPr>
            <w:tcW w:w="50" w:type="pct"/>
            <w:vAlign w:val="center"/>
            <w:hideMark/>
          </w:tcPr>
          <w:p w14:paraId="3DDCCF91" w14:textId="77777777" w:rsidR="00000000" w:rsidRDefault="00EF48A2">
            <w:pPr>
              <w:rPr>
                <w:rFonts w:eastAsia="Times New Roman"/>
                <w:sz w:val="20"/>
                <w:szCs w:val="20"/>
              </w:rPr>
            </w:pPr>
          </w:p>
        </w:tc>
        <w:tc>
          <w:tcPr>
            <w:tcW w:w="1016" w:type="pct"/>
            <w:vAlign w:val="center"/>
            <w:hideMark/>
          </w:tcPr>
          <w:p w14:paraId="5B13C005" w14:textId="77777777" w:rsidR="00000000" w:rsidRDefault="00EF48A2">
            <w:pPr>
              <w:rPr>
                <w:rFonts w:eastAsia="Times New Roman"/>
                <w:sz w:val="20"/>
                <w:szCs w:val="20"/>
              </w:rPr>
            </w:pPr>
          </w:p>
        </w:tc>
        <w:tc>
          <w:tcPr>
            <w:tcW w:w="50" w:type="pct"/>
            <w:vAlign w:val="center"/>
            <w:hideMark/>
          </w:tcPr>
          <w:p w14:paraId="1FBA718F" w14:textId="77777777" w:rsidR="00000000" w:rsidRDefault="00EF48A2">
            <w:pPr>
              <w:rPr>
                <w:rFonts w:eastAsia="Times New Roman"/>
                <w:sz w:val="20"/>
                <w:szCs w:val="20"/>
              </w:rPr>
            </w:pPr>
          </w:p>
        </w:tc>
        <w:tc>
          <w:tcPr>
            <w:tcW w:w="94" w:type="pct"/>
            <w:vAlign w:val="center"/>
            <w:hideMark/>
          </w:tcPr>
          <w:p w14:paraId="4EA34A73" w14:textId="77777777" w:rsidR="00000000" w:rsidRDefault="00EF48A2">
            <w:pPr>
              <w:rPr>
                <w:rFonts w:eastAsia="Times New Roman"/>
                <w:sz w:val="20"/>
                <w:szCs w:val="20"/>
              </w:rPr>
            </w:pPr>
          </w:p>
        </w:tc>
      </w:tr>
      <w:tr w:rsidR="00000000" w14:paraId="026E33AB" w14:textId="77777777">
        <w:trPr>
          <w:trHeight w:val="200"/>
          <w:tblCellSpacing w:w="15" w:type="dxa"/>
        </w:trPr>
        <w:tc>
          <w:tcPr>
            <w:tcW w:w="0" w:type="auto"/>
            <w:tcMar>
              <w:top w:w="14" w:type="dxa"/>
              <w:left w:w="15" w:type="dxa"/>
              <w:bottom w:w="15" w:type="dxa"/>
              <w:right w:w="14" w:type="dxa"/>
            </w:tcMar>
            <w:hideMark/>
          </w:tcPr>
          <w:p w14:paraId="6C6C2C90" w14:textId="77777777" w:rsidR="00000000" w:rsidRDefault="00EF48A2">
            <w:pPr>
              <w:pStyle w:val="a3"/>
              <w:spacing w:before="0" w:beforeAutospacing="0" w:after="0" w:afterAutospacing="0"/>
              <w:rPr>
                <w:sz w:val="20"/>
                <w:szCs w:val="20"/>
              </w:rPr>
            </w:pPr>
            <w:r>
              <w:rPr>
                <w:sz w:val="20"/>
                <w:szCs w:val="20"/>
              </w:rPr>
              <w:t>Large accelerated file</w:t>
            </w:r>
            <w:r>
              <w:rPr>
                <w:sz w:val="20"/>
                <w:szCs w:val="20"/>
              </w:rPr>
              <w:t>r</w:t>
            </w:r>
          </w:p>
        </w:tc>
        <w:tc>
          <w:tcPr>
            <w:tcW w:w="0" w:type="auto"/>
            <w:tcMar>
              <w:top w:w="14" w:type="dxa"/>
              <w:left w:w="15" w:type="dxa"/>
              <w:bottom w:w="15" w:type="dxa"/>
              <w:right w:w="14" w:type="dxa"/>
            </w:tcMar>
            <w:hideMark/>
          </w:tcPr>
          <w:p w14:paraId="0CF67791"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6655B4D7" w14:textId="77777777" w:rsidR="00000000" w:rsidRDefault="00EF48A2">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14:paraId="01077AAB"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16F9AE71" w14:textId="77777777" w:rsidR="00000000" w:rsidRDefault="00EF48A2">
            <w:pPr>
              <w:pStyle w:val="a3"/>
              <w:spacing w:before="0" w:beforeAutospacing="0" w:after="0" w:afterAutospacing="0"/>
              <w:rPr>
                <w:sz w:val="20"/>
                <w:szCs w:val="20"/>
              </w:rPr>
            </w:pPr>
            <w:r>
              <w:rPr>
                <w:sz w:val="20"/>
                <w:szCs w:val="20"/>
              </w:rPr>
              <w:t>Accelerated file</w:t>
            </w:r>
            <w:r>
              <w:rPr>
                <w:sz w:val="20"/>
                <w:szCs w:val="20"/>
              </w:rPr>
              <w:t>r</w:t>
            </w:r>
          </w:p>
        </w:tc>
        <w:tc>
          <w:tcPr>
            <w:tcW w:w="0" w:type="auto"/>
            <w:tcMar>
              <w:top w:w="14" w:type="dxa"/>
              <w:left w:w="15" w:type="dxa"/>
              <w:bottom w:w="15" w:type="dxa"/>
              <w:right w:w="14" w:type="dxa"/>
            </w:tcMar>
            <w:hideMark/>
          </w:tcPr>
          <w:p w14:paraId="03A5E100"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0DB5619B" w14:textId="77777777" w:rsidR="00000000" w:rsidRDefault="00EF48A2">
            <w:pPr>
              <w:pStyle w:val="a3"/>
              <w:spacing w:before="0" w:beforeAutospacing="0" w:after="0" w:afterAutospacing="0"/>
              <w:rPr>
                <w:sz w:val="20"/>
                <w:szCs w:val="20"/>
              </w:rPr>
            </w:pPr>
            <w:r>
              <w:rPr>
                <w:rFonts w:ascii="Segoe UI Symbol" w:hAnsi="Segoe UI Symbol" w:cs="Segoe UI Symbol"/>
                <w:sz w:val="20"/>
                <w:szCs w:val="20"/>
              </w:rPr>
              <w:t>☒</w:t>
            </w:r>
          </w:p>
        </w:tc>
      </w:tr>
      <w:tr w:rsidR="00000000" w14:paraId="2C81EF88" w14:textId="77777777">
        <w:trPr>
          <w:trHeight w:val="200"/>
          <w:tblCellSpacing w:w="15" w:type="dxa"/>
        </w:trPr>
        <w:tc>
          <w:tcPr>
            <w:tcW w:w="0" w:type="auto"/>
            <w:tcMar>
              <w:top w:w="14" w:type="dxa"/>
              <w:left w:w="15" w:type="dxa"/>
              <w:bottom w:w="15" w:type="dxa"/>
              <w:right w:w="14" w:type="dxa"/>
            </w:tcMar>
            <w:hideMark/>
          </w:tcPr>
          <w:p w14:paraId="58C0D35D" w14:textId="77777777" w:rsidR="00000000" w:rsidRDefault="00EF48A2">
            <w:pPr>
              <w:pStyle w:val="a3"/>
              <w:spacing w:before="0" w:beforeAutospacing="0" w:after="0" w:afterAutospacing="0"/>
              <w:rPr>
                <w:sz w:val="20"/>
                <w:szCs w:val="20"/>
              </w:rPr>
            </w:pPr>
            <w:r>
              <w:rPr>
                <w:sz w:val="20"/>
                <w:szCs w:val="20"/>
              </w:rPr>
              <w:t> </w:t>
            </w:r>
          </w:p>
          <w:p w14:paraId="78798DBC" w14:textId="77777777" w:rsidR="00000000" w:rsidRDefault="00EF48A2">
            <w:pPr>
              <w:pStyle w:val="a3"/>
              <w:spacing w:before="0" w:beforeAutospacing="0" w:after="0" w:afterAutospacing="0"/>
              <w:rPr>
                <w:sz w:val="20"/>
                <w:szCs w:val="20"/>
              </w:rPr>
            </w:pPr>
            <w:r>
              <w:rPr>
                <w:sz w:val="20"/>
                <w:szCs w:val="20"/>
              </w:rPr>
              <w:t>Non-accelerated file</w:t>
            </w:r>
            <w:r>
              <w:rPr>
                <w:sz w:val="20"/>
                <w:szCs w:val="20"/>
              </w:rPr>
              <w:t>r</w:t>
            </w:r>
          </w:p>
        </w:tc>
        <w:tc>
          <w:tcPr>
            <w:tcW w:w="0" w:type="auto"/>
            <w:tcMar>
              <w:top w:w="14" w:type="dxa"/>
              <w:left w:w="15" w:type="dxa"/>
              <w:bottom w:w="15" w:type="dxa"/>
              <w:right w:w="14" w:type="dxa"/>
            </w:tcMar>
            <w:hideMark/>
          </w:tcPr>
          <w:p w14:paraId="6A3F5084"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1A00D576" w14:textId="77777777" w:rsidR="00000000" w:rsidRDefault="00EF48A2">
            <w:pPr>
              <w:pStyle w:val="a3"/>
              <w:spacing w:before="0" w:beforeAutospacing="0" w:after="0" w:afterAutospacing="0"/>
              <w:rPr>
                <w:sz w:val="20"/>
                <w:szCs w:val="20"/>
              </w:rPr>
            </w:pPr>
            <w:r>
              <w:rPr>
                <w:sz w:val="20"/>
                <w:szCs w:val="20"/>
              </w:rPr>
              <w:t> </w:t>
            </w:r>
          </w:p>
          <w:p w14:paraId="2D09CCDC" w14:textId="77777777" w:rsidR="00000000" w:rsidRDefault="00EF48A2">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14:paraId="6C04E837"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134D6D16" w14:textId="77777777" w:rsidR="00000000" w:rsidRDefault="00EF48A2">
            <w:pPr>
              <w:pStyle w:val="a3"/>
              <w:spacing w:before="120" w:beforeAutospacing="0" w:after="0" w:afterAutospacing="0"/>
              <w:rPr>
                <w:sz w:val="20"/>
                <w:szCs w:val="20"/>
              </w:rPr>
            </w:pPr>
            <w:r>
              <w:rPr>
                <w:sz w:val="20"/>
                <w:szCs w:val="20"/>
              </w:rPr>
              <w:t>Smaller reporting compan</w:t>
            </w:r>
            <w:r>
              <w:rPr>
                <w:sz w:val="20"/>
                <w:szCs w:val="20"/>
              </w:rPr>
              <w:t>y</w:t>
            </w:r>
          </w:p>
        </w:tc>
        <w:tc>
          <w:tcPr>
            <w:tcW w:w="0" w:type="auto"/>
            <w:tcMar>
              <w:top w:w="14" w:type="dxa"/>
              <w:left w:w="15" w:type="dxa"/>
              <w:bottom w:w="15" w:type="dxa"/>
              <w:right w:w="14" w:type="dxa"/>
            </w:tcMar>
            <w:hideMark/>
          </w:tcPr>
          <w:p w14:paraId="1C5E9613" w14:textId="77777777" w:rsidR="00000000" w:rsidRDefault="00EF48A2">
            <w:pPr>
              <w:pStyle w:val="a3"/>
              <w:spacing w:before="12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3B00967" w14:textId="77777777" w:rsidR="00000000" w:rsidRDefault="00EF48A2">
            <w:pPr>
              <w:pStyle w:val="a3"/>
              <w:spacing w:before="0" w:beforeAutospacing="0" w:after="0" w:afterAutospacing="0"/>
              <w:rPr>
                <w:sz w:val="20"/>
                <w:szCs w:val="20"/>
              </w:rPr>
            </w:pPr>
            <w:r>
              <w:rPr>
                <w:sz w:val="20"/>
                <w:szCs w:val="20"/>
              </w:rPr>
              <w:t> </w:t>
            </w:r>
          </w:p>
          <w:p w14:paraId="43659E97" w14:textId="77777777" w:rsidR="00000000" w:rsidRDefault="00EF48A2">
            <w:pPr>
              <w:pStyle w:val="a3"/>
              <w:spacing w:before="0" w:beforeAutospacing="0" w:after="0" w:afterAutospacing="0"/>
              <w:rPr>
                <w:sz w:val="20"/>
                <w:szCs w:val="20"/>
              </w:rPr>
            </w:pPr>
            <w:r>
              <w:rPr>
                <w:rFonts w:ascii="Segoe UI Symbol" w:hAnsi="Segoe UI Symbol" w:cs="Segoe UI Symbol"/>
                <w:sz w:val="20"/>
                <w:szCs w:val="20"/>
              </w:rPr>
              <w:t>☒</w:t>
            </w:r>
          </w:p>
        </w:tc>
      </w:tr>
      <w:tr w:rsidR="00000000" w14:paraId="050B0058" w14:textId="77777777">
        <w:trPr>
          <w:trHeight w:val="200"/>
          <w:tblCellSpacing w:w="15" w:type="dxa"/>
        </w:trPr>
        <w:tc>
          <w:tcPr>
            <w:tcW w:w="0" w:type="auto"/>
            <w:tcMar>
              <w:top w:w="14" w:type="dxa"/>
              <w:left w:w="15" w:type="dxa"/>
              <w:bottom w:w="15" w:type="dxa"/>
              <w:right w:w="14" w:type="dxa"/>
            </w:tcMar>
            <w:hideMark/>
          </w:tcPr>
          <w:p w14:paraId="0FCF04BC" w14:textId="77777777" w:rsidR="00000000" w:rsidRDefault="00EF48A2">
            <w:pPr>
              <w:pStyle w:val="a3"/>
              <w:spacing w:before="60" w:beforeAutospacing="0" w:after="0" w:afterAutospacing="0"/>
              <w:rPr>
                <w:sz w:val="20"/>
                <w:szCs w:val="20"/>
              </w:rPr>
            </w:pPr>
            <w:r>
              <w:rPr>
                <w:sz w:val="20"/>
                <w:szCs w:val="20"/>
              </w:rPr>
              <w:t>Emerging growth compan</w:t>
            </w:r>
            <w:r>
              <w:rPr>
                <w:sz w:val="20"/>
                <w:szCs w:val="20"/>
              </w:rPr>
              <w:t>y</w:t>
            </w:r>
          </w:p>
        </w:tc>
        <w:tc>
          <w:tcPr>
            <w:tcW w:w="0" w:type="auto"/>
            <w:tcMar>
              <w:top w:w="14" w:type="dxa"/>
              <w:left w:w="15" w:type="dxa"/>
              <w:bottom w:w="15" w:type="dxa"/>
              <w:right w:w="14" w:type="dxa"/>
            </w:tcMar>
            <w:hideMark/>
          </w:tcPr>
          <w:p w14:paraId="13F548FC" w14:textId="77777777" w:rsidR="00000000" w:rsidRDefault="00EF48A2">
            <w:pPr>
              <w:pStyle w:val="a3"/>
              <w:spacing w:before="6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43FDB739" w14:textId="77777777" w:rsidR="00000000" w:rsidRDefault="00EF48A2">
            <w:pPr>
              <w:pStyle w:val="a3"/>
              <w:spacing w:before="6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14:paraId="776AF114" w14:textId="77777777" w:rsidR="00000000" w:rsidRDefault="00EF48A2">
            <w:pPr>
              <w:pStyle w:val="a3"/>
              <w:spacing w:before="6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5CAF7144" w14:textId="77777777" w:rsidR="00000000" w:rsidRDefault="00EF48A2">
            <w:pPr>
              <w:pStyle w:val="a3"/>
              <w:spacing w:before="6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51993836" w14:textId="77777777" w:rsidR="00000000" w:rsidRDefault="00EF48A2">
            <w:pPr>
              <w:pStyle w:val="a3"/>
              <w:spacing w:before="6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E0E48C7" w14:textId="77777777" w:rsidR="00000000" w:rsidRDefault="00EF48A2">
            <w:pPr>
              <w:pStyle w:val="a3"/>
              <w:spacing w:before="60" w:beforeAutospacing="0" w:after="0" w:afterAutospacing="0"/>
              <w:rPr>
                <w:sz w:val="20"/>
                <w:szCs w:val="20"/>
              </w:rPr>
            </w:pPr>
            <w:r>
              <w:rPr>
                <w:sz w:val="20"/>
                <w:szCs w:val="20"/>
              </w:rPr>
              <w:t> </w:t>
            </w:r>
          </w:p>
        </w:tc>
      </w:tr>
    </w:tbl>
    <w:p w14:paraId="1218E1CD" w14:textId="77777777" w:rsidR="00000000" w:rsidRDefault="00EF48A2">
      <w:pPr>
        <w:pStyle w:val="a3"/>
        <w:spacing w:before="0" w:beforeAutospacing="0" w:after="0" w:afterAutospacing="0"/>
        <w:rPr>
          <w:sz w:val="20"/>
          <w:szCs w:val="20"/>
        </w:rPr>
      </w:pPr>
      <w:r>
        <w:rPr>
          <w:sz w:val="6"/>
          <w:szCs w:val="6"/>
        </w:rPr>
        <w:t> </w:t>
      </w:r>
    </w:p>
    <w:p w14:paraId="5F9B20EE" w14:textId="77777777" w:rsidR="00000000" w:rsidRDefault="00EF48A2">
      <w:pPr>
        <w:pStyle w:val="a3"/>
        <w:spacing w:before="180" w:beforeAutospacing="0" w:after="0" w:afterAutospacing="0"/>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5D4B31C9" w14:textId="77777777" w:rsidR="00000000" w:rsidRDefault="00EF48A2">
      <w:pPr>
        <w:pStyle w:val="a3"/>
        <w:spacing w:before="180" w:beforeAutospacing="0" w:after="0" w:afterAutospacing="0"/>
        <w:rPr>
          <w:sz w:val="20"/>
          <w:szCs w:val="20"/>
        </w:rPr>
      </w:pPr>
      <w:r>
        <w:rPr>
          <w:sz w:val="20"/>
          <w:szCs w:val="20"/>
        </w:rPr>
        <w:t>Ind</w:t>
      </w:r>
      <w:r>
        <w:rPr>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20"/>
          <w:szCs w:val="20"/>
        </w:rPr>
        <w:t>registered public accounting firm that prepared or issued its audit report.</w:t>
      </w:r>
      <w:r>
        <w:rPr>
          <w:sz w:val="20"/>
          <w:szCs w:val="20"/>
        </w:rPr>
        <w:t xml:space="preserve"> </w:t>
      </w:r>
      <w:r>
        <w:rPr>
          <w:rFonts w:ascii="Segoe UI Symbol" w:hAnsi="Segoe UI Symbol" w:cs="Segoe UI Symbol"/>
          <w:sz w:val="20"/>
          <w:szCs w:val="20"/>
        </w:rPr>
        <w:t>☒</w:t>
      </w:r>
    </w:p>
    <w:p w14:paraId="28C1D85E" w14:textId="77777777" w:rsidR="00000000" w:rsidRDefault="00EF48A2">
      <w:pPr>
        <w:pStyle w:val="a3"/>
        <w:spacing w:before="180" w:beforeAutospacing="0" w:after="0" w:afterAutospacing="0"/>
        <w:rPr>
          <w:sz w:val="20"/>
          <w:szCs w:val="20"/>
        </w:rPr>
      </w:pPr>
      <w:r>
        <w:rPr>
          <w:sz w:val="20"/>
          <w:szCs w:val="20"/>
        </w:rPr>
        <w:t>If securities are registered pursuant to Section 12(b) of the Act, indicate by check mark whether the financial statements of the registrant included in the filing reflect the co</w:t>
      </w:r>
      <w:r>
        <w:rPr>
          <w:sz w:val="20"/>
          <w:szCs w:val="20"/>
        </w:rPr>
        <w:t xml:space="preserve">rrection of an error to previously issued financial statements. </w:t>
      </w:r>
      <w:r>
        <w:rPr>
          <w:rFonts w:ascii="Segoe UI Symbol" w:hAnsi="Segoe UI Symbol" w:cs="Segoe UI Symbol"/>
          <w:sz w:val="20"/>
          <w:szCs w:val="20"/>
        </w:rPr>
        <w:t>☐</w:t>
      </w:r>
    </w:p>
    <w:p w14:paraId="2F965AA7" w14:textId="77777777" w:rsidR="00000000" w:rsidRDefault="00EF48A2">
      <w:pPr>
        <w:pStyle w:val="a3"/>
        <w:spacing w:before="180" w:beforeAutospacing="0" w:after="0" w:afterAutospacing="0"/>
        <w:rPr>
          <w:sz w:val="20"/>
          <w:szCs w:val="20"/>
        </w:rPr>
      </w:pPr>
      <w:r>
        <w:rPr>
          <w:sz w:val="20"/>
          <w:szCs w:val="20"/>
        </w:rPr>
        <w:t>Indicate by check mark whether any of those error corrections are restatements that required a recovery analysis of incentive-based compensation received by any of the registrant’s executive</w:t>
      </w:r>
      <w:r>
        <w:rPr>
          <w:sz w:val="20"/>
          <w:szCs w:val="20"/>
        </w:rPr>
        <w:t xml:space="preserve"> o</w:t>
      </w:r>
      <w:r>
        <w:rPr>
          <w:sz w:val="20"/>
          <w:szCs w:val="20"/>
        </w:rPr>
        <w:t>ﬃ</w:t>
      </w:r>
      <w:r>
        <w:rPr>
          <w:sz w:val="20"/>
          <w:szCs w:val="20"/>
        </w:rPr>
        <w:t xml:space="preserve">cers during the relevant recovery period pursuant to §240.10D-1(b). </w:t>
      </w:r>
      <w:r>
        <w:rPr>
          <w:rFonts w:ascii="Segoe UI Symbol" w:hAnsi="Segoe UI Symbol" w:cs="Segoe UI Symbol"/>
          <w:sz w:val="20"/>
          <w:szCs w:val="20"/>
        </w:rPr>
        <w:t>☐</w:t>
      </w:r>
    </w:p>
    <w:p w14:paraId="36207D9A" w14:textId="77777777" w:rsidR="00000000" w:rsidRDefault="00EF48A2">
      <w:pPr>
        <w:pStyle w:val="a3"/>
        <w:spacing w:before="180" w:beforeAutospacing="0" w:after="0" w:afterAutospacing="0"/>
        <w:rPr>
          <w:sz w:val="20"/>
          <w:szCs w:val="20"/>
        </w:rPr>
      </w:pPr>
      <w:r>
        <w:rPr>
          <w:sz w:val="20"/>
          <w:szCs w:val="20"/>
        </w:rPr>
        <w:t>Indicate by check mark whether the Registrant is a shell company (as defined in Rule 12b-2 of the Act). YES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77F5AFC" w14:textId="77777777" w:rsidR="00000000" w:rsidRDefault="00EF48A2">
      <w:pPr>
        <w:pStyle w:val="a3"/>
        <w:spacing w:before="180" w:beforeAutospacing="0" w:after="0" w:afterAutospacing="0"/>
        <w:rPr>
          <w:sz w:val="20"/>
          <w:szCs w:val="20"/>
        </w:rPr>
      </w:pPr>
      <w:r>
        <w:rPr>
          <w:sz w:val="20"/>
          <w:szCs w:val="20"/>
        </w:rPr>
        <w:t>The</w:t>
      </w:r>
      <w:r>
        <w:rPr>
          <w:sz w:val="20"/>
          <w:szCs w:val="20"/>
        </w:rPr>
        <w:t xml:space="preserve"> </w:t>
      </w:r>
      <w:r>
        <w:rPr>
          <w:sz w:val="20"/>
          <w:szCs w:val="20"/>
        </w:rPr>
        <w:t>aggregate market value of the voting common stock held by non-af</w:t>
      </w:r>
      <w:r>
        <w:rPr>
          <w:sz w:val="20"/>
          <w:szCs w:val="20"/>
        </w:rPr>
        <w:t xml:space="preserve">filiates of the Company at June 30, 2022 was </w:t>
      </w:r>
      <w:r>
        <w:rPr>
          <w:sz w:val="20"/>
          <w:szCs w:val="20"/>
        </w:rPr>
        <w:t>$</w:t>
      </w:r>
      <w:r>
        <w:rPr>
          <w:sz w:val="20"/>
          <w:szCs w:val="20"/>
        </w:rPr>
        <w:t>167.</w:t>
      </w:r>
      <w:r>
        <w:rPr>
          <w:sz w:val="20"/>
          <w:szCs w:val="20"/>
        </w:rPr>
        <w:t>7</w:t>
      </w:r>
      <w:r>
        <w:rPr>
          <w:sz w:val="20"/>
          <w:szCs w:val="20"/>
        </w:rPr>
        <w:t xml:space="preserve"> million based on the per share </w:t>
      </w:r>
      <w:r>
        <w:rPr>
          <w:sz w:val="20"/>
          <w:szCs w:val="20"/>
        </w:rPr>
        <w:t>c</w:t>
      </w:r>
      <w:r>
        <w:rPr>
          <w:sz w:val="20"/>
          <w:szCs w:val="20"/>
        </w:rPr>
        <w:t>losing price of the Company's common stock on June 30, 2022 of $1.70</w:t>
      </w:r>
      <w:r>
        <w:rPr>
          <w:sz w:val="20"/>
          <w:szCs w:val="20"/>
        </w:rPr>
        <w:t>.</w:t>
      </w:r>
    </w:p>
    <w:p w14:paraId="0BD22774" w14:textId="77777777" w:rsidR="00000000" w:rsidRDefault="00EF48A2">
      <w:pPr>
        <w:pStyle w:val="a3"/>
        <w:spacing w:before="180" w:beforeAutospacing="0" w:after="60" w:afterAutospacing="0"/>
        <w:rPr>
          <w:sz w:val="20"/>
          <w:szCs w:val="20"/>
        </w:rPr>
      </w:pPr>
      <w:r>
        <w:rPr>
          <w:sz w:val="20"/>
          <w:szCs w:val="20"/>
        </w:rPr>
        <w:lastRenderedPageBreak/>
        <w:t>The number of shares of common stock outstanding on March</w:t>
      </w:r>
      <w:r>
        <w:rPr>
          <w:sz w:val="20"/>
          <w:szCs w:val="20"/>
        </w:rPr>
        <w:t xml:space="preserve"> </w:t>
      </w:r>
      <w:r>
        <w:rPr>
          <w:sz w:val="20"/>
          <w:szCs w:val="20"/>
        </w:rPr>
        <w:t>8, 2023 was</w:t>
      </w:r>
      <w:r>
        <w:rPr>
          <w:sz w:val="20"/>
          <w:szCs w:val="20"/>
        </w:rPr>
        <w:t xml:space="preserve"> </w:t>
      </w:r>
      <w:r>
        <w:rPr>
          <w:sz w:val="20"/>
          <w:szCs w:val="20"/>
        </w:rPr>
        <w:t>162,195,72</w:t>
      </w:r>
      <w:r>
        <w:rPr>
          <w:sz w:val="20"/>
          <w:szCs w:val="20"/>
        </w:rPr>
        <w:t>3</w:t>
      </w:r>
      <w:r>
        <w:rPr>
          <w:sz w:val="20"/>
          <w:szCs w:val="20"/>
        </w:rPr>
        <w:t>.</w:t>
      </w:r>
    </w:p>
    <w:p w14:paraId="18403F92" w14:textId="77777777" w:rsidR="00000000" w:rsidRDefault="00EF48A2">
      <w:pPr>
        <w:pStyle w:val="a3"/>
        <w:spacing w:before="360" w:beforeAutospacing="0" w:after="0" w:afterAutospacing="0"/>
        <w:jc w:val="center"/>
        <w:divId w:val="650838836"/>
        <w:rPr>
          <w:sz w:val="20"/>
          <w:szCs w:val="20"/>
        </w:rPr>
      </w:pPr>
      <w:r>
        <w:rPr>
          <w:b/>
          <w:bCs/>
          <w:sz w:val="20"/>
          <w:szCs w:val="20"/>
        </w:rPr>
        <w:t>DOCUMENTS INCORPORA</w:t>
      </w:r>
      <w:r>
        <w:rPr>
          <w:b/>
          <w:bCs/>
          <w:sz w:val="20"/>
          <w:szCs w:val="20"/>
        </w:rPr>
        <w:t>TED BY REFERENC</w:t>
      </w:r>
      <w:r>
        <w:rPr>
          <w:b/>
          <w:bCs/>
          <w:sz w:val="20"/>
          <w:szCs w:val="20"/>
        </w:rPr>
        <w:t>E</w:t>
      </w:r>
    </w:p>
    <w:p w14:paraId="73D380E1" w14:textId="77777777" w:rsidR="00000000" w:rsidRDefault="00EF48A2">
      <w:pPr>
        <w:pStyle w:val="a3"/>
        <w:spacing w:before="120" w:beforeAutospacing="0" w:after="120" w:afterAutospacing="0"/>
        <w:divId w:val="650838836"/>
        <w:rPr>
          <w:sz w:val="20"/>
          <w:szCs w:val="20"/>
        </w:rPr>
      </w:pPr>
      <w:r>
        <w:rPr>
          <w:sz w:val="20"/>
          <w:szCs w:val="20"/>
        </w:rPr>
        <w:t>The Company's definitive Proxy Statement for the 2023 Annual Meeting of Stockholders to be filed by the Company pursuant to Regulation 14A is incorporated into Items 10, 11, 12, 13 and 14 of Part III of this Form 10-K</w:t>
      </w:r>
      <w:r>
        <w:rPr>
          <w:sz w:val="20"/>
          <w:szCs w:val="20"/>
        </w:rPr>
        <w:t>.</w:t>
      </w:r>
    </w:p>
    <w:p w14:paraId="14042476" w14:textId="77777777" w:rsidR="00000000" w:rsidRDefault="00EF48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
        <w:gridCol w:w="921"/>
        <w:gridCol w:w="921"/>
        <w:gridCol w:w="2459"/>
        <w:gridCol w:w="1082"/>
        <w:gridCol w:w="1886"/>
      </w:tblGrid>
      <w:tr w:rsidR="00000000" w14:paraId="2CE930DF" w14:textId="77777777">
        <w:trPr>
          <w:tblCellSpacing w:w="15" w:type="dxa"/>
        </w:trPr>
        <w:tc>
          <w:tcPr>
            <w:tcW w:w="612" w:type="pct"/>
            <w:vAlign w:val="center"/>
            <w:hideMark/>
          </w:tcPr>
          <w:p w14:paraId="7DF78BEB" w14:textId="77777777" w:rsidR="00000000" w:rsidRDefault="00EF48A2">
            <w:pPr>
              <w:rPr>
                <w:sz w:val="20"/>
                <w:szCs w:val="20"/>
              </w:rPr>
            </w:pPr>
          </w:p>
        </w:tc>
        <w:tc>
          <w:tcPr>
            <w:tcW w:w="550" w:type="pct"/>
            <w:vAlign w:val="center"/>
            <w:hideMark/>
          </w:tcPr>
          <w:p w14:paraId="1CBFBA66" w14:textId="77777777" w:rsidR="00000000" w:rsidRDefault="00EF48A2">
            <w:pPr>
              <w:rPr>
                <w:rFonts w:eastAsia="Times New Roman"/>
                <w:sz w:val="20"/>
                <w:szCs w:val="20"/>
              </w:rPr>
            </w:pPr>
          </w:p>
        </w:tc>
        <w:tc>
          <w:tcPr>
            <w:tcW w:w="550" w:type="pct"/>
            <w:vAlign w:val="center"/>
            <w:hideMark/>
          </w:tcPr>
          <w:p w14:paraId="025E90A2" w14:textId="77777777" w:rsidR="00000000" w:rsidRDefault="00EF48A2">
            <w:pPr>
              <w:rPr>
                <w:rFonts w:eastAsia="Times New Roman"/>
                <w:sz w:val="20"/>
                <w:szCs w:val="20"/>
              </w:rPr>
            </w:pPr>
          </w:p>
        </w:tc>
        <w:tc>
          <w:tcPr>
            <w:tcW w:w="1500" w:type="pct"/>
            <w:vAlign w:val="center"/>
            <w:hideMark/>
          </w:tcPr>
          <w:p w14:paraId="00DF4576" w14:textId="77777777" w:rsidR="00000000" w:rsidRDefault="00EF48A2">
            <w:pPr>
              <w:rPr>
                <w:rFonts w:eastAsia="Times New Roman"/>
                <w:sz w:val="20"/>
                <w:szCs w:val="20"/>
              </w:rPr>
            </w:pPr>
          </w:p>
        </w:tc>
        <w:tc>
          <w:tcPr>
            <w:tcW w:w="650" w:type="pct"/>
            <w:vAlign w:val="center"/>
            <w:hideMark/>
          </w:tcPr>
          <w:p w14:paraId="10787299" w14:textId="77777777" w:rsidR="00000000" w:rsidRDefault="00EF48A2">
            <w:pPr>
              <w:rPr>
                <w:rFonts w:eastAsia="Times New Roman"/>
                <w:sz w:val="20"/>
                <w:szCs w:val="20"/>
              </w:rPr>
            </w:pPr>
          </w:p>
        </w:tc>
        <w:tc>
          <w:tcPr>
            <w:tcW w:w="1137" w:type="pct"/>
            <w:vAlign w:val="center"/>
            <w:hideMark/>
          </w:tcPr>
          <w:p w14:paraId="77D120EE" w14:textId="77777777" w:rsidR="00000000" w:rsidRDefault="00EF48A2">
            <w:pPr>
              <w:rPr>
                <w:rFonts w:eastAsia="Times New Roman"/>
                <w:sz w:val="20"/>
                <w:szCs w:val="20"/>
              </w:rPr>
            </w:pPr>
          </w:p>
        </w:tc>
      </w:tr>
      <w:tr w:rsidR="00000000" w14:paraId="650EAA9C" w14:textId="77777777">
        <w:trPr>
          <w:trHeight w:val="160"/>
          <w:tblCellSpacing w:w="15" w:type="dxa"/>
        </w:trPr>
        <w:tc>
          <w:tcPr>
            <w:tcW w:w="0" w:type="auto"/>
            <w:tcMar>
              <w:top w:w="14" w:type="dxa"/>
              <w:left w:w="15" w:type="dxa"/>
              <w:bottom w:w="15" w:type="dxa"/>
              <w:right w:w="14" w:type="dxa"/>
            </w:tcMar>
            <w:hideMark/>
          </w:tcPr>
          <w:p w14:paraId="0904A1F9" w14:textId="77777777" w:rsidR="00000000" w:rsidRDefault="00EF48A2">
            <w:pPr>
              <w:pStyle w:val="a3"/>
              <w:spacing w:before="0" w:beforeAutospacing="0" w:after="0" w:afterAutospacing="0"/>
              <w:rPr>
                <w:sz w:val="17"/>
                <w:szCs w:val="17"/>
              </w:rPr>
            </w:pPr>
            <w:r>
              <w:rPr>
                <w:b/>
                <w:bCs/>
                <w:sz w:val="17"/>
                <w:szCs w:val="17"/>
              </w:rPr>
              <w:t>Auditor Fir</w:t>
            </w:r>
            <w:r>
              <w:rPr>
                <w:b/>
                <w:bCs/>
                <w:sz w:val="17"/>
                <w:szCs w:val="17"/>
              </w:rPr>
              <w:t>m Id</w:t>
            </w:r>
            <w:r>
              <w:rPr>
                <w:b/>
                <w:bCs/>
                <w:sz w:val="17"/>
                <w:szCs w:val="17"/>
              </w:rPr>
              <w:t>:</w:t>
            </w:r>
          </w:p>
        </w:tc>
        <w:tc>
          <w:tcPr>
            <w:tcW w:w="0" w:type="auto"/>
            <w:tcMar>
              <w:top w:w="14" w:type="dxa"/>
              <w:left w:w="15" w:type="dxa"/>
              <w:bottom w:w="15" w:type="dxa"/>
              <w:right w:w="14" w:type="dxa"/>
            </w:tcMar>
            <w:hideMark/>
          </w:tcPr>
          <w:p w14:paraId="11C68176" w14:textId="77777777" w:rsidR="00000000" w:rsidRDefault="00EF48A2">
            <w:pPr>
              <w:pStyle w:val="a3"/>
              <w:spacing w:before="0" w:beforeAutospacing="0" w:after="0" w:afterAutospacing="0"/>
              <w:rPr>
                <w:sz w:val="20"/>
                <w:szCs w:val="20"/>
              </w:rPr>
            </w:pPr>
            <w:r>
              <w:rPr>
                <w:sz w:val="17"/>
                <w:szCs w:val="17"/>
              </w:rPr>
              <w:t>128</w:t>
            </w:r>
            <w:r>
              <w:rPr>
                <w:sz w:val="17"/>
                <w:szCs w:val="17"/>
              </w:rPr>
              <w:t>1</w:t>
            </w:r>
          </w:p>
        </w:tc>
        <w:tc>
          <w:tcPr>
            <w:tcW w:w="0" w:type="auto"/>
            <w:tcMar>
              <w:top w:w="14" w:type="dxa"/>
              <w:left w:w="15" w:type="dxa"/>
              <w:bottom w:w="15" w:type="dxa"/>
              <w:right w:w="14" w:type="dxa"/>
            </w:tcMar>
            <w:hideMark/>
          </w:tcPr>
          <w:p w14:paraId="07614198" w14:textId="77777777" w:rsidR="00000000" w:rsidRDefault="00EF48A2">
            <w:pPr>
              <w:pStyle w:val="a3"/>
              <w:spacing w:before="0" w:beforeAutospacing="0" w:after="0" w:afterAutospacing="0"/>
              <w:rPr>
                <w:sz w:val="17"/>
                <w:szCs w:val="17"/>
              </w:rPr>
            </w:pPr>
            <w:r>
              <w:rPr>
                <w:b/>
                <w:bCs/>
                <w:sz w:val="17"/>
                <w:szCs w:val="17"/>
              </w:rPr>
              <w:t>Auditor Name</w:t>
            </w:r>
            <w:r>
              <w:rPr>
                <w:b/>
                <w:bCs/>
                <w:sz w:val="17"/>
                <w:szCs w:val="17"/>
              </w:rPr>
              <w:t>:</w:t>
            </w:r>
            <w:r>
              <w:rPr>
                <w:sz w:val="17"/>
                <w:szCs w:val="17"/>
              </w:rPr>
              <w:t xml:space="preserve"> </w:t>
            </w:r>
          </w:p>
        </w:tc>
        <w:tc>
          <w:tcPr>
            <w:tcW w:w="0" w:type="auto"/>
            <w:tcMar>
              <w:top w:w="14" w:type="dxa"/>
              <w:left w:w="15" w:type="dxa"/>
              <w:bottom w:w="15" w:type="dxa"/>
              <w:right w:w="14" w:type="dxa"/>
            </w:tcMar>
            <w:hideMark/>
          </w:tcPr>
          <w:p w14:paraId="391E20C3" w14:textId="77777777" w:rsidR="00000000" w:rsidRDefault="00EF48A2">
            <w:pPr>
              <w:pStyle w:val="a3"/>
              <w:spacing w:before="0" w:beforeAutospacing="0" w:after="0" w:afterAutospacing="0"/>
              <w:rPr>
                <w:sz w:val="20"/>
                <w:szCs w:val="20"/>
              </w:rPr>
            </w:pPr>
            <w:r>
              <w:rPr>
                <w:sz w:val="17"/>
                <w:szCs w:val="17"/>
              </w:rPr>
              <w:t>Kost Forer Gabbay &amp; Kasierer, a member of Ernst &amp; Young Globa</w:t>
            </w:r>
            <w:r>
              <w:rPr>
                <w:sz w:val="17"/>
                <w:szCs w:val="17"/>
              </w:rPr>
              <w:t>l</w:t>
            </w:r>
          </w:p>
        </w:tc>
        <w:tc>
          <w:tcPr>
            <w:tcW w:w="0" w:type="auto"/>
            <w:tcMar>
              <w:top w:w="14" w:type="dxa"/>
              <w:left w:w="15" w:type="dxa"/>
              <w:bottom w:w="15" w:type="dxa"/>
              <w:right w:w="14" w:type="dxa"/>
            </w:tcMar>
            <w:hideMark/>
          </w:tcPr>
          <w:p w14:paraId="53DBA9B0" w14:textId="77777777" w:rsidR="00000000" w:rsidRDefault="00EF48A2">
            <w:pPr>
              <w:pStyle w:val="a3"/>
              <w:spacing w:before="0" w:beforeAutospacing="0" w:after="0" w:afterAutospacing="0"/>
              <w:rPr>
                <w:sz w:val="17"/>
                <w:szCs w:val="17"/>
              </w:rPr>
            </w:pPr>
            <w:r>
              <w:rPr>
                <w:b/>
                <w:bCs/>
                <w:sz w:val="17"/>
                <w:szCs w:val="17"/>
              </w:rPr>
              <w:t>Auditor Location</w:t>
            </w:r>
            <w:r>
              <w:rPr>
                <w:b/>
                <w:bCs/>
                <w:sz w:val="17"/>
                <w:szCs w:val="17"/>
              </w:rPr>
              <w:t>:</w:t>
            </w:r>
          </w:p>
        </w:tc>
        <w:tc>
          <w:tcPr>
            <w:tcW w:w="0" w:type="auto"/>
            <w:tcMar>
              <w:top w:w="14" w:type="dxa"/>
              <w:left w:w="15" w:type="dxa"/>
              <w:bottom w:w="15" w:type="dxa"/>
              <w:right w:w="14" w:type="dxa"/>
            </w:tcMar>
            <w:hideMark/>
          </w:tcPr>
          <w:p w14:paraId="2D099E67" w14:textId="77777777" w:rsidR="00000000" w:rsidRDefault="00EF48A2">
            <w:pPr>
              <w:pStyle w:val="a3"/>
              <w:spacing w:before="0" w:beforeAutospacing="0" w:after="0" w:afterAutospacing="0"/>
              <w:rPr>
                <w:sz w:val="20"/>
                <w:szCs w:val="20"/>
              </w:rPr>
            </w:pPr>
            <w:r>
              <w:rPr>
                <w:sz w:val="17"/>
                <w:szCs w:val="17"/>
              </w:rPr>
              <w:t>Tel-Aviv, Israe</w:t>
            </w:r>
            <w:r>
              <w:rPr>
                <w:sz w:val="17"/>
                <w:szCs w:val="17"/>
              </w:rPr>
              <w:t>l</w:t>
            </w:r>
          </w:p>
        </w:tc>
      </w:tr>
    </w:tbl>
    <w:p w14:paraId="7EB410AA" w14:textId="77777777" w:rsidR="00000000" w:rsidRDefault="00EF48A2">
      <w:pPr>
        <w:pStyle w:val="a3"/>
        <w:pBdr>
          <w:bottom w:val="double" w:sz="6" w:space="1" w:color="auto"/>
        </w:pBdr>
        <w:spacing w:before="0" w:beforeAutospacing="0" w:after="0" w:afterAutospacing="0"/>
        <w:rPr>
          <w:sz w:val="20"/>
          <w:szCs w:val="20"/>
        </w:rPr>
      </w:pPr>
      <w:r>
        <w:rPr>
          <w:sz w:val="16"/>
          <w:szCs w:val="16"/>
        </w:rPr>
        <w:t> </w:t>
      </w:r>
    </w:p>
    <w:p w14:paraId="5CF03C79" w14:textId="77777777" w:rsidR="00000000" w:rsidRDefault="00EF48A2">
      <w:pPr>
        <w:pStyle w:val="a3"/>
        <w:spacing w:before="0" w:beforeAutospacing="0" w:after="0" w:afterAutospacing="0"/>
        <w:rPr>
          <w:sz w:val="20"/>
          <w:szCs w:val="20"/>
        </w:rPr>
      </w:pPr>
      <w:r>
        <w:rPr>
          <w:sz w:val="20"/>
          <w:szCs w:val="20"/>
        </w:rPr>
        <w:t> </w:t>
      </w:r>
    </w:p>
    <w:p w14:paraId="074CCB65" w14:textId="77777777" w:rsidR="00000000" w:rsidRDefault="00EF48A2">
      <w:pPr>
        <w:pStyle w:val="a3"/>
        <w:spacing w:before="0" w:beforeAutospacing="0" w:after="0" w:afterAutospacing="0"/>
        <w:rPr>
          <w:sz w:val="20"/>
          <w:szCs w:val="20"/>
        </w:rPr>
      </w:pPr>
      <w:r>
        <w:rPr>
          <w:sz w:val="20"/>
          <w:szCs w:val="20"/>
        </w:rPr>
        <w:t> </w:t>
      </w:r>
    </w:p>
    <w:p w14:paraId="2823A893" w14:textId="77777777" w:rsidR="00000000" w:rsidRDefault="00EF48A2">
      <w:pPr>
        <w:rPr>
          <w:rFonts w:eastAsia="Times New Roman"/>
        </w:rPr>
      </w:pPr>
      <w:r>
        <w:rPr>
          <w:rFonts w:eastAsia="Times New Roman"/>
        </w:rPr>
        <w:pict w14:anchorId="5C54974A">
          <v:rect id="_x0000_i1026" style="width:0;height:1.5pt" o:hralign="center" o:hrstd="t" o:hr="t" fillcolor="#a0a0a0" stroked="f"/>
        </w:pict>
      </w:r>
    </w:p>
    <w:p w14:paraId="7B06E2C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2378C51" w14:textId="77777777" w:rsidR="00000000" w:rsidRDefault="00EF48A2">
      <w:pPr>
        <w:pStyle w:val="a3"/>
        <w:spacing w:before="0" w:beforeAutospacing="0" w:after="0" w:afterAutospacing="0"/>
        <w:jc w:val="center"/>
        <w:rPr>
          <w:sz w:val="20"/>
          <w:szCs w:val="20"/>
        </w:rPr>
      </w:pPr>
      <w:r>
        <w:rPr>
          <w:b/>
          <w:bCs/>
          <w:sz w:val="22"/>
          <w:szCs w:val="22"/>
        </w:rPr>
        <w:t xml:space="preserve">Table </w:t>
      </w:r>
      <w:r>
        <w:rPr>
          <w:b/>
          <w:bCs/>
          <w:sz w:val="22"/>
          <w:szCs w:val="22"/>
        </w:rPr>
        <w:t>o</w:t>
      </w:r>
      <w:r>
        <w:rPr>
          <w:b/>
          <w:bCs/>
          <w:sz w:val="22"/>
          <w:szCs w:val="22"/>
        </w:rPr>
        <w:t>f Content</w:t>
      </w:r>
      <w:r>
        <w:rPr>
          <w:b/>
          <w:bCs/>
          <w:sz w:val="22"/>
          <w:szCs w:val="22"/>
        </w:rPr>
        <w:t>s</w:t>
      </w:r>
    </w:p>
    <w:p w14:paraId="380EE1F5" w14:textId="77777777" w:rsidR="00000000" w:rsidRDefault="00EF48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6801"/>
        <w:gridCol w:w="559"/>
      </w:tblGrid>
      <w:tr w:rsidR="00000000" w14:paraId="093FA205" w14:textId="77777777">
        <w:trPr>
          <w:tblCellSpacing w:w="15" w:type="dxa"/>
        </w:trPr>
        <w:tc>
          <w:tcPr>
            <w:tcW w:w="550" w:type="pct"/>
            <w:vAlign w:val="center"/>
            <w:hideMark/>
          </w:tcPr>
          <w:p w14:paraId="2DFF4860" w14:textId="77777777" w:rsidR="00000000" w:rsidRDefault="00EF48A2">
            <w:pPr>
              <w:rPr>
                <w:sz w:val="20"/>
                <w:szCs w:val="20"/>
              </w:rPr>
            </w:pPr>
          </w:p>
        </w:tc>
        <w:tc>
          <w:tcPr>
            <w:tcW w:w="4134" w:type="pct"/>
            <w:vAlign w:val="center"/>
            <w:hideMark/>
          </w:tcPr>
          <w:p w14:paraId="35885295" w14:textId="77777777" w:rsidR="00000000" w:rsidRDefault="00EF48A2">
            <w:pPr>
              <w:rPr>
                <w:rFonts w:eastAsia="Times New Roman"/>
                <w:sz w:val="20"/>
                <w:szCs w:val="20"/>
              </w:rPr>
            </w:pPr>
          </w:p>
        </w:tc>
        <w:tc>
          <w:tcPr>
            <w:tcW w:w="314" w:type="pct"/>
            <w:vAlign w:val="center"/>
            <w:hideMark/>
          </w:tcPr>
          <w:p w14:paraId="49D4F173" w14:textId="77777777" w:rsidR="00000000" w:rsidRDefault="00EF48A2">
            <w:pPr>
              <w:rPr>
                <w:rFonts w:eastAsia="Times New Roman"/>
                <w:sz w:val="20"/>
                <w:szCs w:val="20"/>
              </w:rPr>
            </w:pPr>
          </w:p>
        </w:tc>
      </w:tr>
      <w:tr w:rsidR="00000000" w14:paraId="056EE8BE" w14:textId="77777777">
        <w:trPr>
          <w:trHeight w:val="160"/>
          <w:tblCellSpacing w:w="15" w:type="dxa"/>
        </w:trPr>
        <w:tc>
          <w:tcPr>
            <w:tcW w:w="0" w:type="auto"/>
            <w:tcMar>
              <w:top w:w="14" w:type="dxa"/>
              <w:left w:w="15" w:type="dxa"/>
              <w:bottom w:w="15" w:type="dxa"/>
              <w:right w:w="14" w:type="dxa"/>
            </w:tcMar>
            <w:vAlign w:val="center"/>
            <w:hideMark/>
          </w:tcPr>
          <w:p w14:paraId="69375A1A"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0B8891CF" w14:textId="77777777" w:rsidR="00000000" w:rsidRDefault="00EF48A2">
            <w:pPr>
              <w:pStyle w:val="a3"/>
              <w:spacing w:before="0" w:beforeAutospacing="0" w:after="0" w:afterAutospacing="0"/>
              <w:rPr>
                <w:sz w:val="16"/>
                <w:szCs w:val="16"/>
              </w:rPr>
            </w:pPr>
            <w:r>
              <w:rPr>
                <w:rFonts w:ascii="Calibri" w:hAnsi="Calibri" w:cs="Calibri"/>
                <w:sz w:val="16"/>
                <w:szCs w:val="16"/>
              </w:rPr>
              <w:t> </w:t>
            </w:r>
          </w:p>
        </w:tc>
        <w:tc>
          <w:tcPr>
            <w:tcW w:w="0" w:type="auto"/>
            <w:tcMar>
              <w:top w:w="14" w:type="dxa"/>
              <w:left w:w="15" w:type="dxa"/>
              <w:bottom w:w="15" w:type="dxa"/>
              <w:right w:w="14" w:type="dxa"/>
            </w:tcMar>
            <w:vAlign w:val="bottom"/>
            <w:hideMark/>
          </w:tcPr>
          <w:p w14:paraId="114E5711" w14:textId="77777777" w:rsidR="00000000" w:rsidRDefault="00EF48A2">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14:paraId="584C2B68" w14:textId="77777777">
        <w:trPr>
          <w:trHeight w:val="200"/>
          <w:tblCellSpacing w:w="15" w:type="dxa"/>
        </w:trPr>
        <w:tc>
          <w:tcPr>
            <w:tcW w:w="0" w:type="auto"/>
            <w:tcMar>
              <w:top w:w="14" w:type="dxa"/>
              <w:left w:w="15" w:type="dxa"/>
              <w:bottom w:w="15" w:type="dxa"/>
              <w:right w:w="14" w:type="dxa"/>
            </w:tcMar>
            <w:hideMark/>
          </w:tcPr>
          <w:p w14:paraId="0AE37208" w14:textId="77777777" w:rsidR="00000000" w:rsidRDefault="00EF48A2">
            <w:pPr>
              <w:pStyle w:val="a3"/>
              <w:spacing w:before="0" w:beforeAutospacing="0" w:after="0" w:afterAutospacing="0"/>
              <w:rPr>
                <w:sz w:val="20"/>
                <w:szCs w:val="20"/>
              </w:rPr>
            </w:pPr>
            <w:r>
              <w:rPr>
                <w:b/>
                <w:bCs/>
                <w:sz w:val="20"/>
                <w:szCs w:val="20"/>
              </w:rPr>
              <w:t xml:space="preserve">PART </w:t>
            </w:r>
            <w:r>
              <w:rPr>
                <w:b/>
                <w:bCs/>
                <w:sz w:val="20"/>
                <w:szCs w:val="20"/>
              </w:rPr>
              <w:t>I</w:t>
            </w:r>
          </w:p>
        </w:tc>
        <w:tc>
          <w:tcPr>
            <w:tcW w:w="0" w:type="auto"/>
            <w:tcMar>
              <w:top w:w="14" w:type="dxa"/>
              <w:left w:w="15" w:type="dxa"/>
              <w:bottom w:w="15" w:type="dxa"/>
              <w:right w:w="14" w:type="dxa"/>
            </w:tcMar>
            <w:hideMark/>
          </w:tcPr>
          <w:p w14:paraId="529A4870"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3D9DEFC" w14:textId="77777777" w:rsidR="00000000" w:rsidRDefault="00EF48A2">
            <w:pPr>
              <w:pStyle w:val="a3"/>
              <w:spacing w:before="0" w:beforeAutospacing="0" w:after="0" w:afterAutospacing="0"/>
              <w:jc w:val="right"/>
              <w:rPr>
                <w:sz w:val="20"/>
                <w:szCs w:val="20"/>
              </w:rPr>
            </w:pPr>
            <w:r>
              <w:rPr>
                <w:sz w:val="20"/>
                <w:szCs w:val="20"/>
              </w:rPr>
              <w:t> </w:t>
            </w:r>
          </w:p>
        </w:tc>
      </w:tr>
      <w:tr w:rsidR="00000000" w14:paraId="0289D151" w14:textId="77777777">
        <w:trPr>
          <w:trHeight w:val="200"/>
          <w:tblCellSpacing w:w="15" w:type="dxa"/>
        </w:trPr>
        <w:tc>
          <w:tcPr>
            <w:tcW w:w="0" w:type="auto"/>
            <w:tcMar>
              <w:top w:w="14" w:type="dxa"/>
              <w:left w:w="15" w:type="dxa"/>
              <w:bottom w:w="15" w:type="dxa"/>
              <w:right w:w="14" w:type="dxa"/>
            </w:tcMar>
            <w:hideMark/>
          </w:tcPr>
          <w:p w14:paraId="7D2A2804" w14:textId="77777777" w:rsidR="00000000" w:rsidRDefault="00EF48A2">
            <w:pPr>
              <w:pStyle w:val="a3"/>
              <w:spacing w:before="0" w:beforeAutospacing="0" w:after="0" w:afterAutospacing="0"/>
              <w:ind w:left="137"/>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14:paraId="554E2F97" w14:textId="77777777" w:rsidR="00000000" w:rsidRDefault="00EF48A2">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tcMar>
              <w:top w:w="14" w:type="dxa"/>
              <w:left w:w="15" w:type="dxa"/>
              <w:bottom w:w="15" w:type="dxa"/>
              <w:right w:w="14" w:type="dxa"/>
            </w:tcMar>
            <w:vAlign w:val="bottom"/>
            <w:hideMark/>
          </w:tcPr>
          <w:p w14:paraId="3384A3B9" w14:textId="77777777" w:rsidR="00000000" w:rsidRDefault="00EF48A2">
            <w:pPr>
              <w:pStyle w:val="a3"/>
              <w:spacing w:before="0" w:beforeAutospacing="0" w:after="0" w:afterAutospacing="0"/>
              <w:jc w:val="right"/>
              <w:rPr>
                <w:sz w:val="20"/>
                <w:szCs w:val="20"/>
              </w:rPr>
            </w:pPr>
            <w:r>
              <w:rPr>
                <w:sz w:val="20"/>
                <w:szCs w:val="20"/>
              </w:rPr>
              <w:t>2</w:t>
            </w:r>
          </w:p>
        </w:tc>
      </w:tr>
      <w:tr w:rsidR="00000000" w14:paraId="11040975" w14:textId="77777777">
        <w:trPr>
          <w:trHeight w:val="200"/>
          <w:tblCellSpacing w:w="15" w:type="dxa"/>
        </w:trPr>
        <w:tc>
          <w:tcPr>
            <w:tcW w:w="0" w:type="auto"/>
            <w:tcMar>
              <w:top w:w="14" w:type="dxa"/>
              <w:left w:w="15" w:type="dxa"/>
              <w:bottom w:w="15" w:type="dxa"/>
              <w:right w:w="14" w:type="dxa"/>
            </w:tcMar>
            <w:hideMark/>
          </w:tcPr>
          <w:p w14:paraId="7C2FD37C" w14:textId="77777777" w:rsidR="00000000" w:rsidRDefault="00EF48A2">
            <w:pPr>
              <w:pStyle w:val="a3"/>
              <w:spacing w:before="0" w:beforeAutospacing="0" w:after="0" w:afterAutospacing="0"/>
              <w:ind w:left="137"/>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14:paraId="51D12BB1" w14:textId="77777777" w:rsidR="00000000" w:rsidRDefault="00EF48A2">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14:paraId="60860894" w14:textId="77777777" w:rsidR="00000000" w:rsidRDefault="00EF48A2">
            <w:pPr>
              <w:pStyle w:val="a3"/>
              <w:spacing w:before="0" w:beforeAutospacing="0" w:after="0" w:afterAutospacing="0"/>
              <w:jc w:val="right"/>
              <w:rPr>
                <w:sz w:val="20"/>
                <w:szCs w:val="20"/>
              </w:rPr>
            </w:pPr>
            <w:r>
              <w:rPr>
                <w:sz w:val="20"/>
                <w:szCs w:val="20"/>
              </w:rPr>
              <w:t>1</w:t>
            </w:r>
            <w:r>
              <w:rPr>
                <w:sz w:val="20"/>
                <w:szCs w:val="20"/>
              </w:rPr>
              <w:t>3</w:t>
            </w:r>
          </w:p>
        </w:tc>
      </w:tr>
      <w:tr w:rsidR="00000000" w14:paraId="5194878C" w14:textId="77777777">
        <w:trPr>
          <w:trHeight w:val="200"/>
          <w:tblCellSpacing w:w="15" w:type="dxa"/>
        </w:trPr>
        <w:tc>
          <w:tcPr>
            <w:tcW w:w="0" w:type="auto"/>
            <w:tcMar>
              <w:top w:w="14" w:type="dxa"/>
              <w:left w:w="15" w:type="dxa"/>
              <w:bottom w:w="15" w:type="dxa"/>
              <w:right w:w="14" w:type="dxa"/>
            </w:tcMar>
            <w:hideMark/>
          </w:tcPr>
          <w:p w14:paraId="62EB925C" w14:textId="77777777" w:rsidR="00000000" w:rsidRDefault="00EF48A2">
            <w:pPr>
              <w:pStyle w:val="a3"/>
              <w:spacing w:before="0" w:beforeAutospacing="0" w:after="0" w:afterAutospacing="0"/>
              <w:ind w:left="137"/>
              <w:rPr>
                <w:sz w:val="20"/>
                <w:szCs w:val="20"/>
              </w:rPr>
            </w:pPr>
            <w:r>
              <w:rPr>
                <w:sz w:val="20"/>
                <w:szCs w:val="20"/>
              </w:rPr>
              <w:t>Item 1B</w:t>
            </w:r>
            <w:r>
              <w:rPr>
                <w:sz w:val="20"/>
                <w:szCs w:val="20"/>
              </w:rPr>
              <w:t>.</w:t>
            </w:r>
          </w:p>
        </w:tc>
        <w:tc>
          <w:tcPr>
            <w:tcW w:w="0" w:type="auto"/>
            <w:tcMar>
              <w:top w:w="14" w:type="dxa"/>
              <w:left w:w="15" w:type="dxa"/>
              <w:bottom w:w="15" w:type="dxa"/>
              <w:right w:w="14" w:type="dxa"/>
            </w:tcMar>
            <w:hideMark/>
          </w:tcPr>
          <w:p w14:paraId="025AD0DB" w14:textId="77777777" w:rsidR="00000000" w:rsidRDefault="00EF48A2">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tcMar>
              <w:top w:w="14" w:type="dxa"/>
              <w:left w:w="15" w:type="dxa"/>
              <w:bottom w:w="15" w:type="dxa"/>
              <w:right w:w="14" w:type="dxa"/>
            </w:tcMar>
            <w:vAlign w:val="bottom"/>
            <w:hideMark/>
          </w:tcPr>
          <w:p w14:paraId="710B1794" w14:textId="77777777" w:rsidR="00000000" w:rsidRDefault="00EF48A2">
            <w:pPr>
              <w:pStyle w:val="a3"/>
              <w:spacing w:before="0" w:beforeAutospacing="0" w:after="0" w:afterAutospacing="0"/>
              <w:jc w:val="right"/>
              <w:rPr>
                <w:sz w:val="20"/>
                <w:szCs w:val="20"/>
              </w:rPr>
            </w:pPr>
            <w:r>
              <w:rPr>
                <w:sz w:val="20"/>
                <w:szCs w:val="20"/>
              </w:rPr>
              <w:t>4</w:t>
            </w:r>
            <w:r>
              <w:rPr>
                <w:sz w:val="20"/>
                <w:szCs w:val="20"/>
              </w:rPr>
              <w:t>3</w:t>
            </w:r>
          </w:p>
        </w:tc>
      </w:tr>
      <w:tr w:rsidR="00000000" w14:paraId="52946B9B" w14:textId="77777777">
        <w:trPr>
          <w:trHeight w:val="200"/>
          <w:tblCellSpacing w:w="15" w:type="dxa"/>
        </w:trPr>
        <w:tc>
          <w:tcPr>
            <w:tcW w:w="0" w:type="auto"/>
            <w:tcMar>
              <w:top w:w="14" w:type="dxa"/>
              <w:left w:w="15" w:type="dxa"/>
              <w:bottom w:w="15" w:type="dxa"/>
              <w:right w:w="14" w:type="dxa"/>
            </w:tcMar>
            <w:hideMark/>
          </w:tcPr>
          <w:p w14:paraId="4A20DD4D" w14:textId="77777777" w:rsidR="00000000" w:rsidRDefault="00EF48A2">
            <w:pPr>
              <w:pStyle w:val="a3"/>
              <w:spacing w:before="0" w:beforeAutospacing="0" w:after="0" w:afterAutospacing="0"/>
              <w:ind w:left="137"/>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14:paraId="69D6ABD6" w14:textId="77777777" w:rsidR="00000000" w:rsidRDefault="00EF48A2">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tcMar>
              <w:top w:w="14" w:type="dxa"/>
              <w:left w:w="15" w:type="dxa"/>
              <w:bottom w:w="15" w:type="dxa"/>
              <w:right w:w="14" w:type="dxa"/>
            </w:tcMar>
            <w:vAlign w:val="bottom"/>
            <w:hideMark/>
          </w:tcPr>
          <w:p w14:paraId="6B8B1AEA" w14:textId="77777777" w:rsidR="00000000" w:rsidRDefault="00EF48A2">
            <w:pPr>
              <w:pStyle w:val="a3"/>
              <w:spacing w:before="0" w:beforeAutospacing="0" w:after="0" w:afterAutospacing="0"/>
              <w:jc w:val="right"/>
              <w:rPr>
                <w:sz w:val="20"/>
                <w:szCs w:val="20"/>
              </w:rPr>
            </w:pPr>
            <w:r>
              <w:rPr>
                <w:sz w:val="20"/>
                <w:szCs w:val="20"/>
              </w:rPr>
              <w:t>4</w:t>
            </w:r>
            <w:r>
              <w:rPr>
                <w:sz w:val="20"/>
                <w:szCs w:val="20"/>
              </w:rPr>
              <w:t>3</w:t>
            </w:r>
          </w:p>
        </w:tc>
      </w:tr>
      <w:tr w:rsidR="00000000" w14:paraId="3635268D" w14:textId="77777777">
        <w:trPr>
          <w:trHeight w:val="200"/>
          <w:tblCellSpacing w:w="15" w:type="dxa"/>
        </w:trPr>
        <w:tc>
          <w:tcPr>
            <w:tcW w:w="0" w:type="auto"/>
            <w:tcMar>
              <w:top w:w="14" w:type="dxa"/>
              <w:left w:w="15" w:type="dxa"/>
              <w:bottom w:w="15" w:type="dxa"/>
              <w:right w:w="14" w:type="dxa"/>
            </w:tcMar>
            <w:hideMark/>
          </w:tcPr>
          <w:p w14:paraId="22F10907" w14:textId="77777777" w:rsidR="00000000" w:rsidRDefault="00EF48A2">
            <w:pPr>
              <w:pStyle w:val="a3"/>
              <w:spacing w:before="0" w:beforeAutospacing="0" w:after="0" w:afterAutospacing="0"/>
              <w:ind w:left="137"/>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14:paraId="13F424B7" w14:textId="77777777" w:rsidR="00000000" w:rsidRDefault="00EF48A2">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14:paraId="18314BC9" w14:textId="77777777" w:rsidR="00000000" w:rsidRDefault="00EF48A2">
            <w:pPr>
              <w:pStyle w:val="a3"/>
              <w:spacing w:before="0" w:beforeAutospacing="0" w:after="0" w:afterAutospacing="0"/>
              <w:jc w:val="right"/>
              <w:rPr>
                <w:sz w:val="20"/>
                <w:szCs w:val="20"/>
              </w:rPr>
            </w:pPr>
            <w:r>
              <w:rPr>
                <w:sz w:val="20"/>
                <w:szCs w:val="20"/>
              </w:rPr>
              <w:t>4</w:t>
            </w:r>
            <w:r>
              <w:rPr>
                <w:sz w:val="20"/>
                <w:szCs w:val="20"/>
              </w:rPr>
              <w:t>3</w:t>
            </w:r>
          </w:p>
        </w:tc>
      </w:tr>
      <w:tr w:rsidR="00000000" w14:paraId="599E1711" w14:textId="77777777">
        <w:trPr>
          <w:trHeight w:val="200"/>
          <w:tblCellSpacing w:w="15" w:type="dxa"/>
        </w:trPr>
        <w:tc>
          <w:tcPr>
            <w:tcW w:w="0" w:type="auto"/>
            <w:tcMar>
              <w:top w:w="14" w:type="dxa"/>
              <w:left w:w="15" w:type="dxa"/>
              <w:bottom w:w="15" w:type="dxa"/>
              <w:right w:w="14" w:type="dxa"/>
            </w:tcMar>
            <w:hideMark/>
          </w:tcPr>
          <w:p w14:paraId="3014C278" w14:textId="77777777" w:rsidR="00000000" w:rsidRDefault="00EF48A2">
            <w:pPr>
              <w:pStyle w:val="a3"/>
              <w:spacing w:before="0" w:beforeAutospacing="0" w:after="0" w:afterAutospacing="0"/>
              <w:ind w:left="137"/>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14:paraId="277547DE" w14:textId="77777777" w:rsidR="00000000" w:rsidRDefault="00EF48A2">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14:paraId="5952D40F" w14:textId="77777777" w:rsidR="00000000" w:rsidRDefault="00EF48A2">
            <w:pPr>
              <w:pStyle w:val="a3"/>
              <w:spacing w:before="0" w:beforeAutospacing="0" w:after="0" w:afterAutospacing="0"/>
              <w:jc w:val="right"/>
              <w:rPr>
                <w:sz w:val="20"/>
                <w:szCs w:val="20"/>
              </w:rPr>
            </w:pPr>
            <w:r>
              <w:rPr>
                <w:sz w:val="20"/>
                <w:szCs w:val="20"/>
              </w:rPr>
              <w:t>4</w:t>
            </w:r>
            <w:r>
              <w:rPr>
                <w:sz w:val="20"/>
                <w:szCs w:val="20"/>
              </w:rPr>
              <w:t>3</w:t>
            </w:r>
          </w:p>
        </w:tc>
      </w:tr>
      <w:tr w:rsidR="00000000" w14:paraId="004D2A90" w14:textId="77777777">
        <w:trPr>
          <w:trHeight w:val="200"/>
          <w:tblCellSpacing w:w="15" w:type="dxa"/>
        </w:trPr>
        <w:tc>
          <w:tcPr>
            <w:tcW w:w="0" w:type="auto"/>
            <w:tcMar>
              <w:top w:w="14" w:type="dxa"/>
              <w:left w:w="15" w:type="dxa"/>
              <w:bottom w:w="15" w:type="dxa"/>
              <w:right w:w="14" w:type="dxa"/>
            </w:tcMar>
            <w:hideMark/>
          </w:tcPr>
          <w:p w14:paraId="20E7DC4A"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9FAD90C"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7659D38" w14:textId="77777777" w:rsidR="00000000" w:rsidRDefault="00EF48A2">
            <w:pPr>
              <w:pStyle w:val="a3"/>
              <w:spacing w:before="0" w:beforeAutospacing="0" w:after="0" w:afterAutospacing="0"/>
              <w:jc w:val="right"/>
              <w:rPr>
                <w:sz w:val="20"/>
                <w:szCs w:val="20"/>
              </w:rPr>
            </w:pPr>
            <w:r>
              <w:rPr>
                <w:sz w:val="20"/>
                <w:szCs w:val="20"/>
              </w:rPr>
              <w:t> </w:t>
            </w:r>
          </w:p>
        </w:tc>
      </w:tr>
      <w:tr w:rsidR="00000000" w14:paraId="7A95DD47" w14:textId="77777777">
        <w:trPr>
          <w:trHeight w:val="200"/>
          <w:tblCellSpacing w:w="15" w:type="dxa"/>
        </w:trPr>
        <w:tc>
          <w:tcPr>
            <w:tcW w:w="0" w:type="auto"/>
            <w:tcMar>
              <w:top w:w="14" w:type="dxa"/>
              <w:left w:w="15" w:type="dxa"/>
              <w:bottom w:w="15" w:type="dxa"/>
              <w:right w:w="14" w:type="dxa"/>
            </w:tcMar>
            <w:hideMark/>
          </w:tcPr>
          <w:p w14:paraId="2B669926" w14:textId="77777777" w:rsidR="00000000" w:rsidRDefault="00EF48A2">
            <w:pPr>
              <w:pStyle w:val="a3"/>
              <w:spacing w:before="0" w:beforeAutospacing="0" w:after="0" w:afterAutospacing="0"/>
              <w:rPr>
                <w:sz w:val="20"/>
                <w:szCs w:val="20"/>
              </w:rPr>
            </w:pPr>
            <w:r>
              <w:rPr>
                <w:b/>
                <w:bCs/>
                <w:sz w:val="20"/>
                <w:szCs w:val="20"/>
              </w:rPr>
              <w:t>PART I</w:t>
            </w:r>
            <w:r>
              <w:rPr>
                <w:b/>
                <w:bCs/>
                <w:sz w:val="20"/>
                <w:szCs w:val="20"/>
              </w:rPr>
              <w:t>I</w:t>
            </w:r>
          </w:p>
        </w:tc>
        <w:tc>
          <w:tcPr>
            <w:tcW w:w="0" w:type="auto"/>
            <w:tcMar>
              <w:top w:w="14" w:type="dxa"/>
              <w:left w:w="15" w:type="dxa"/>
              <w:bottom w:w="15" w:type="dxa"/>
              <w:right w:w="14" w:type="dxa"/>
            </w:tcMar>
            <w:hideMark/>
          </w:tcPr>
          <w:p w14:paraId="1A0E218C"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B29B873" w14:textId="77777777" w:rsidR="00000000" w:rsidRDefault="00EF48A2">
            <w:pPr>
              <w:pStyle w:val="a3"/>
              <w:spacing w:before="0" w:beforeAutospacing="0" w:after="0" w:afterAutospacing="0"/>
              <w:jc w:val="right"/>
              <w:rPr>
                <w:sz w:val="20"/>
                <w:szCs w:val="20"/>
              </w:rPr>
            </w:pPr>
            <w:r>
              <w:rPr>
                <w:sz w:val="20"/>
                <w:szCs w:val="20"/>
              </w:rPr>
              <w:t> </w:t>
            </w:r>
          </w:p>
        </w:tc>
      </w:tr>
      <w:tr w:rsidR="00000000" w14:paraId="351E7840" w14:textId="77777777">
        <w:trPr>
          <w:trHeight w:val="200"/>
          <w:tblCellSpacing w:w="15" w:type="dxa"/>
        </w:trPr>
        <w:tc>
          <w:tcPr>
            <w:tcW w:w="0" w:type="auto"/>
            <w:tcMar>
              <w:top w:w="14" w:type="dxa"/>
              <w:left w:w="15" w:type="dxa"/>
              <w:bottom w:w="15" w:type="dxa"/>
              <w:right w:w="14" w:type="dxa"/>
            </w:tcMar>
            <w:hideMark/>
          </w:tcPr>
          <w:p w14:paraId="6256F443" w14:textId="77777777" w:rsidR="00000000" w:rsidRDefault="00EF48A2">
            <w:pPr>
              <w:pStyle w:val="a3"/>
              <w:spacing w:before="0" w:beforeAutospacing="0" w:after="0" w:afterAutospacing="0"/>
              <w:ind w:left="137"/>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14:paraId="3CE597C4" w14:textId="77777777" w:rsidR="00000000" w:rsidRDefault="00EF48A2">
            <w:pPr>
              <w:pStyle w:val="a3"/>
              <w:spacing w:before="0" w:beforeAutospacing="0" w:after="0" w:afterAutospacing="0"/>
              <w:rPr>
                <w:sz w:val="20"/>
                <w:szCs w:val="20"/>
              </w:rPr>
            </w:pPr>
            <w:hyperlink w:anchor="item_5_market_for_registrants_common" w:history="1">
              <w:r>
                <w:rPr>
                  <w:rStyle w:val="a4"/>
                  <w:sz w:val="20"/>
                  <w:szCs w:val="20"/>
                </w:rPr>
                <w:t>Market for Registrant’s Common Equity, Related Stockholder Matters and Issuer Purchases of Equity Securitie</w:t>
              </w:r>
              <w:r>
                <w:rPr>
                  <w:rStyle w:val="a4"/>
                  <w:sz w:val="20"/>
                  <w:szCs w:val="20"/>
                </w:rPr>
                <w:t>s</w:t>
              </w:r>
            </w:hyperlink>
          </w:p>
        </w:tc>
        <w:tc>
          <w:tcPr>
            <w:tcW w:w="0" w:type="auto"/>
            <w:tcMar>
              <w:top w:w="14" w:type="dxa"/>
              <w:left w:w="15" w:type="dxa"/>
              <w:bottom w:w="15" w:type="dxa"/>
              <w:right w:w="14" w:type="dxa"/>
            </w:tcMar>
            <w:vAlign w:val="bottom"/>
            <w:hideMark/>
          </w:tcPr>
          <w:p w14:paraId="4EFC037B" w14:textId="77777777" w:rsidR="00000000" w:rsidRDefault="00EF48A2">
            <w:pPr>
              <w:pStyle w:val="a3"/>
              <w:spacing w:before="0" w:beforeAutospacing="0" w:after="0" w:afterAutospacing="0"/>
              <w:jc w:val="right"/>
              <w:rPr>
                <w:sz w:val="20"/>
                <w:szCs w:val="20"/>
              </w:rPr>
            </w:pPr>
            <w:r>
              <w:rPr>
                <w:sz w:val="20"/>
                <w:szCs w:val="20"/>
              </w:rPr>
              <w:t>4</w:t>
            </w:r>
            <w:r>
              <w:rPr>
                <w:sz w:val="20"/>
                <w:szCs w:val="20"/>
              </w:rPr>
              <w:t>4</w:t>
            </w:r>
          </w:p>
        </w:tc>
      </w:tr>
      <w:tr w:rsidR="00000000" w14:paraId="05A7B4BE" w14:textId="77777777">
        <w:trPr>
          <w:trHeight w:val="200"/>
          <w:tblCellSpacing w:w="15" w:type="dxa"/>
        </w:trPr>
        <w:tc>
          <w:tcPr>
            <w:tcW w:w="0" w:type="auto"/>
            <w:tcMar>
              <w:top w:w="14" w:type="dxa"/>
              <w:left w:w="15" w:type="dxa"/>
              <w:bottom w:w="15" w:type="dxa"/>
              <w:right w:w="14" w:type="dxa"/>
            </w:tcMar>
            <w:hideMark/>
          </w:tcPr>
          <w:p w14:paraId="6CF7FEAC" w14:textId="77777777" w:rsidR="00000000" w:rsidRDefault="00EF48A2">
            <w:pPr>
              <w:pStyle w:val="a3"/>
              <w:spacing w:before="0" w:beforeAutospacing="0" w:after="0" w:afterAutospacing="0"/>
              <w:ind w:left="137"/>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14:paraId="00F1FB02" w14:textId="77777777" w:rsidR="00000000" w:rsidRDefault="00EF48A2">
            <w:pPr>
              <w:pStyle w:val="a3"/>
              <w:spacing w:before="0" w:beforeAutospacing="0" w:after="0" w:afterAutospacing="0"/>
              <w:rPr>
                <w:sz w:val="20"/>
                <w:szCs w:val="20"/>
              </w:rPr>
            </w:pPr>
            <w:hyperlink w:anchor="item_6_selected_financial_data" w:history="1">
              <w:r>
                <w:rPr>
                  <w:rStyle w:val="a4"/>
                  <w:sz w:val="20"/>
                  <w:szCs w:val="20"/>
                </w:rPr>
                <w:t>Reserve</w:t>
              </w:r>
              <w:r>
                <w:rPr>
                  <w:rStyle w:val="a4"/>
                  <w:sz w:val="20"/>
                  <w:szCs w:val="20"/>
                </w:rPr>
                <w:t>d</w:t>
              </w:r>
            </w:hyperlink>
          </w:p>
        </w:tc>
        <w:tc>
          <w:tcPr>
            <w:tcW w:w="0" w:type="auto"/>
            <w:tcMar>
              <w:top w:w="14" w:type="dxa"/>
              <w:left w:w="15" w:type="dxa"/>
              <w:bottom w:w="15" w:type="dxa"/>
              <w:right w:w="14" w:type="dxa"/>
            </w:tcMar>
            <w:vAlign w:val="bottom"/>
            <w:hideMark/>
          </w:tcPr>
          <w:p w14:paraId="5E372C34" w14:textId="77777777" w:rsidR="00000000" w:rsidRDefault="00EF48A2">
            <w:pPr>
              <w:pStyle w:val="a3"/>
              <w:spacing w:before="0" w:beforeAutospacing="0" w:after="0" w:afterAutospacing="0"/>
              <w:jc w:val="right"/>
              <w:rPr>
                <w:sz w:val="20"/>
                <w:szCs w:val="20"/>
              </w:rPr>
            </w:pPr>
            <w:r>
              <w:rPr>
                <w:sz w:val="20"/>
                <w:szCs w:val="20"/>
              </w:rPr>
              <w:t>4</w:t>
            </w:r>
            <w:r>
              <w:rPr>
                <w:sz w:val="20"/>
                <w:szCs w:val="20"/>
              </w:rPr>
              <w:t>4</w:t>
            </w:r>
          </w:p>
        </w:tc>
      </w:tr>
      <w:tr w:rsidR="00000000" w14:paraId="0F1652EA" w14:textId="77777777">
        <w:trPr>
          <w:trHeight w:val="200"/>
          <w:tblCellSpacing w:w="15" w:type="dxa"/>
        </w:trPr>
        <w:tc>
          <w:tcPr>
            <w:tcW w:w="0" w:type="auto"/>
            <w:tcMar>
              <w:top w:w="14" w:type="dxa"/>
              <w:left w:w="15" w:type="dxa"/>
              <w:bottom w:w="15" w:type="dxa"/>
              <w:right w:w="14" w:type="dxa"/>
            </w:tcMar>
            <w:hideMark/>
          </w:tcPr>
          <w:p w14:paraId="0DCD808B" w14:textId="77777777" w:rsidR="00000000" w:rsidRDefault="00EF48A2">
            <w:pPr>
              <w:pStyle w:val="a3"/>
              <w:spacing w:before="0" w:beforeAutospacing="0" w:after="0" w:afterAutospacing="0"/>
              <w:ind w:left="137"/>
              <w:rPr>
                <w:sz w:val="20"/>
                <w:szCs w:val="20"/>
              </w:rPr>
            </w:pPr>
            <w:r>
              <w:rPr>
                <w:sz w:val="20"/>
                <w:szCs w:val="20"/>
              </w:rPr>
              <w:t>Item 7</w:t>
            </w:r>
            <w:r>
              <w:rPr>
                <w:sz w:val="20"/>
                <w:szCs w:val="20"/>
              </w:rPr>
              <w:t>.</w:t>
            </w:r>
          </w:p>
        </w:tc>
        <w:tc>
          <w:tcPr>
            <w:tcW w:w="0" w:type="auto"/>
            <w:tcMar>
              <w:top w:w="14" w:type="dxa"/>
              <w:left w:w="15" w:type="dxa"/>
              <w:bottom w:w="15" w:type="dxa"/>
              <w:right w:w="14" w:type="dxa"/>
            </w:tcMar>
            <w:hideMark/>
          </w:tcPr>
          <w:p w14:paraId="1FC90BB8" w14:textId="77777777" w:rsidR="00000000" w:rsidRDefault="00EF48A2">
            <w:pPr>
              <w:pStyle w:val="a3"/>
              <w:spacing w:before="0" w:beforeAutospacing="0" w:after="0" w:afterAutospacing="0"/>
              <w:rPr>
                <w:sz w:val="20"/>
                <w:szCs w:val="20"/>
              </w:rPr>
            </w:pPr>
            <w:hyperlink w:anchor="item_7_managements_discussion"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14:paraId="7ED366A9" w14:textId="77777777" w:rsidR="00000000" w:rsidRDefault="00EF48A2">
            <w:pPr>
              <w:pStyle w:val="a3"/>
              <w:spacing w:before="0" w:beforeAutospacing="0" w:after="0" w:afterAutospacing="0"/>
              <w:jc w:val="right"/>
              <w:rPr>
                <w:sz w:val="20"/>
                <w:szCs w:val="20"/>
              </w:rPr>
            </w:pPr>
            <w:r>
              <w:rPr>
                <w:sz w:val="20"/>
                <w:szCs w:val="20"/>
              </w:rPr>
              <w:t>4</w:t>
            </w:r>
            <w:r>
              <w:rPr>
                <w:sz w:val="20"/>
                <w:szCs w:val="20"/>
              </w:rPr>
              <w:t>5</w:t>
            </w:r>
          </w:p>
        </w:tc>
      </w:tr>
      <w:tr w:rsidR="00000000" w14:paraId="3AA5F77D" w14:textId="77777777">
        <w:trPr>
          <w:trHeight w:val="200"/>
          <w:tblCellSpacing w:w="15" w:type="dxa"/>
        </w:trPr>
        <w:tc>
          <w:tcPr>
            <w:tcW w:w="0" w:type="auto"/>
            <w:tcMar>
              <w:top w:w="14" w:type="dxa"/>
              <w:left w:w="15" w:type="dxa"/>
              <w:bottom w:w="15" w:type="dxa"/>
              <w:right w:w="14" w:type="dxa"/>
            </w:tcMar>
            <w:hideMark/>
          </w:tcPr>
          <w:p w14:paraId="667795AD" w14:textId="77777777" w:rsidR="00000000" w:rsidRDefault="00EF48A2">
            <w:pPr>
              <w:pStyle w:val="a3"/>
              <w:spacing w:before="0" w:beforeAutospacing="0" w:after="0" w:afterAutospacing="0"/>
              <w:ind w:left="137"/>
              <w:rPr>
                <w:sz w:val="20"/>
                <w:szCs w:val="20"/>
              </w:rPr>
            </w:pPr>
            <w:r>
              <w:rPr>
                <w:sz w:val="20"/>
                <w:szCs w:val="20"/>
              </w:rPr>
              <w:t>Item 7A</w:t>
            </w:r>
            <w:r>
              <w:rPr>
                <w:sz w:val="20"/>
                <w:szCs w:val="20"/>
              </w:rPr>
              <w:t>.</w:t>
            </w:r>
          </w:p>
        </w:tc>
        <w:tc>
          <w:tcPr>
            <w:tcW w:w="0" w:type="auto"/>
            <w:tcMar>
              <w:top w:w="14" w:type="dxa"/>
              <w:left w:w="15" w:type="dxa"/>
              <w:bottom w:w="15" w:type="dxa"/>
              <w:right w:w="14" w:type="dxa"/>
            </w:tcMar>
            <w:hideMark/>
          </w:tcPr>
          <w:p w14:paraId="14B5F04E" w14:textId="77777777" w:rsidR="00000000" w:rsidRDefault="00EF48A2">
            <w:pPr>
              <w:pStyle w:val="a3"/>
              <w:spacing w:before="0" w:beforeAutospacing="0" w:after="0" w:afterAutospacing="0"/>
              <w:rPr>
                <w:sz w:val="20"/>
                <w:szCs w:val="20"/>
              </w:rPr>
            </w:pPr>
            <w:hyperlink w:anchor="item_7a_quantitative_and_qualitative" w:history="1">
              <w:r>
                <w:rPr>
                  <w:rStyle w:val="a4"/>
                  <w:sz w:val="20"/>
                  <w:szCs w:val="20"/>
                </w:rPr>
                <w:t>Quantitative and Qualitative Disclosures About M</w:t>
              </w:r>
              <w:r>
                <w:rPr>
                  <w:rStyle w:val="a4"/>
                  <w:sz w:val="20"/>
                  <w:szCs w:val="20"/>
                </w:rPr>
                <w:t>arket Ris</w:t>
              </w:r>
              <w:r>
                <w:rPr>
                  <w:rStyle w:val="a4"/>
                  <w:sz w:val="20"/>
                  <w:szCs w:val="20"/>
                </w:rPr>
                <w:t>k</w:t>
              </w:r>
            </w:hyperlink>
          </w:p>
        </w:tc>
        <w:tc>
          <w:tcPr>
            <w:tcW w:w="0" w:type="auto"/>
            <w:tcMar>
              <w:top w:w="14" w:type="dxa"/>
              <w:left w:w="15" w:type="dxa"/>
              <w:bottom w:w="15" w:type="dxa"/>
              <w:right w:w="14" w:type="dxa"/>
            </w:tcMar>
            <w:vAlign w:val="bottom"/>
            <w:hideMark/>
          </w:tcPr>
          <w:p w14:paraId="22D0ADBD" w14:textId="77777777" w:rsidR="00000000" w:rsidRDefault="00EF48A2">
            <w:pPr>
              <w:pStyle w:val="a3"/>
              <w:spacing w:before="0" w:beforeAutospacing="0" w:after="0" w:afterAutospacing="0"/>
              <w:jc w:val="right"/>
              <w:rPr>
                <w:sz w:val="20"/>
                <w:szCs w:val="20"/>
              </w:rPr>
            </w:pPr>
            <w:r>
              <w:rPr>
                <w:sz w:val="20"/>
                <w:szCs w:val="20"/>
              </w:rPr>
              <w:t>5</w:t>
            </w:r>
            <w:r>
              <w:rPr>
                <w:sz w:val="20"/>
                <w:szCs w:val="20"/>
              </w:rPr>
              <w:t>4</w:t>
            </w:r>
          </w:p>
        </w:tc>
      </w:tr>
      <w:tr w:rsidR="00000000" w14:paraId="6697FA32" w14:textId="77777777">
        <w:trPr>
          <w:trHeight w:val="200"/>
          <w:tblCellSpacing w:w="15" w:type="dxa"/>
        </w:trPr>
        <w:tc>
          <w:tcPr>
            <w:tcW w:w="0" w:type="auto"/>
            <w:tcMar>
              <w:top w:w="14" w:type="dxa"/>
              <w:left w:w="15" w:type="dxa"/>
              <w:bottom w:w="15" w:type="dxa"/>
              <w:right w:w="14" w:type="dxa"/>
            </w:tcMar>
            <w:hideMark/>
          </w:tcPr>
          <w:p w14:paraId="0C14495C" w14:textId="77777777" w:rsidR="00000000" w:rsidRDefault="00EF48A2">
            <w:pPr>
              <w:pStyle w:val="a3"/>
              <w:spacing w:before="0" w:beforeAutospacing="0" w:after="0" w:afterAutospacing="0"/>
              <w:ind w:left="137"/>
              <w:rPr>
                <w:sz w:val="20"/>
                <w:szCs w:val="20"/>
              </w:rPr>
            </w:pPr>
            <w:r>
              <w:rPr>
                <w:sz w:val="20"/>
                <w:szCs w:val="20"/>
              </w:rPr>
              <w:t>Item 8</w:t>
            </w:r>
            <w:r>
              <w:rPr>
                <w:sz w:val="20"/>
                <w:szCs w:val="20"/>
              </w:rPr>
              <w:t>.</w:t>
            </w:r>
          </w:p>
        </w:tc>
        <w:tc>
          <w:tcPr>
            <w:tcW w:w="0" w:type="auto"/>
            <w:tcMar>
              <w:top w:w="14" w:type="dxa"/>
              <w:left w:w="15" w:type="dxa"/>
              <w:bottom w:w="15" w:type="dxa"/>
              <w:right w:w="14" w:type="dxa"/>
            </w:tcMar>
            <w:hideMark/>
          </w:tcPr>
          <w:p w14:paraId="014F04D3" w14:textId="77777777" w:rsidR="00000000" w:rsidRDefault="00EF48A2">
            <w:pPr>
              <w:pStyle w:val="a3"/>
              <w:spacing w:before="0" w:beforeAutospacing="0" w:after="0" w:afterAutospacing="0"/>
              <w:rPr>
                <w:sz w:val="20"/>
                <w:szCs w:val="20"/>
              </w:rPr>
            </w:pPr>
            <w:hyperlink w:anchor="item_8_financial_statements" w:history="1">
              <w:r>
                <w:rPr>
                  <w:rStyle w:val="a4"/>
                  <w:sz w:val="20"/>
                  <w:szCs w:val="20"/>
                </w:rPr>
                <w:t>Financial Statements and Supplementary Dat</w:t>
              </w:r>
              <w:r>
                <w:rPr>
                  <w:rStyle w:val="a4"/>
                  <w:sz w:val="20"/>
                  <w:szCs w:val="20"/>
                </w:rPr>
                <w:t>a</w:t>
              </w:r>
            </w:hyperlink>
          </w:p>
        </w:tc>
        <w:tc>
          <w:tcPr>
            <w:tcW w:w="0" w:type="auto"/>
            <w:tcMar>
              <w:top w:w="14" w:type="dxa"/>
              <w:left w:w="15" w:type="dxa"/>
              <w:bottom w:w="15" w:type="dxa"/>
              <w:right w:w="14" w:type="dxa"/>
            </w:tcMar>
            <w:vAlign w:val="bottom"/>
            <w:hideMark/>
          </w:tcPr>
          <w:p w14:paraId="4F78C12F" w14:textId="77777777" w:rsidR="00000000" w:rsidRDefault="00EF48A2">
            <w:pPr>
              <w:pStyle w:val="a3"/>
              <w:spacing w:before="0" w:beforeAutospacing="0" w:after="0" w:afterAutospacing="0"/>
              <w:jc w:val="right"/>
              <w:rPr>
                <w:sz w:val="20"/>
                <w:szCs w:val="20"/>
              </w:rPr>
            </w:pPr>
            <w:r>
              <w:rPr>
                <w:sz w:val="20"/>
                <w:szCs w:val="20"/>
              </w:rPr>
              <w:t>5</w:t>
            </w:r>
            <w:r>
              <w:rPr>
                <w:sz w:val="20"/>
                <w:szCs w:val="20"/>
              </w:rPr>
              <w:t>5</w:t>
            </w:r>
          </w:p>
        </w:tc>
      </w:tr>
      <w:tr w:rsidR="00000000" w14:paraId="7B5B2C9F" w14:textId="77777777">
        <w:trPr>
          <w:trHeight w:val="200"/>
          <w:tblCellSpacing w:w="15" w:type="dxa"/>
        </w:trPr>
        <w:tc>
          <w:tcPr>
            <w:tcW w:w="0" w:type="auto"/>
            <w:tcMar>
              <w:top w:w="14" w:type="dxa"/>
              <w:left w:w="15" w:type="dxa"/>
              <w:bottom w:w="15" w:type="dxa"/>
              <w:right w:w="14" w:type="dxa"/>
            </w:tcMar>
            <w:hideMark/>
          </w:tcPr>
          <w:p w14:paraId="6F663876" w14:textId="77777777" w:rsidR="00000000" w:rsidRDefault="00EF48A2">
            <w:pPr>
              <w:pStyle w:val="a3"/>
              <w:spacing w:before="0" w:beforeAutospacing="0" w:after="0" w:afterAutospacing="0"/>
              <w:ind w:left="137"/>
              <w:rPr>
                <w:sz w:val="20"/>
                <w:szCs w:val="20"/>
              </w:rPr>
            </w:pPr>
            <w:r>
              <w:rPr>
                <w:sz w:val="20"/>
                <w:szCs w:val="20"/>
              </w:rPr>
              <w:t>Item 9</w:t>
            </w:r>
            <w:r>
              <w:rPr>
                <w:sz w:val="20"/>
                <w:szCs w:val="20"/>
              </w:rPr>
              <w:t>.</w:t>
            </w:r>
          </w:p>
        </w:tc>
        <w:tc>
          <w:tcPr>
            <w:tcW w:w="0" w:type="auto"/>
            <w:tcMar>
              <w:top w:w="14" w:type="dxa"/>
              <w:left w:w="15" w:type="dxa"/>
              <w:bottom w:w="15" w:type="dxa"/>
              <w:right w:w="14" w:type="dxa"/>
            </w:tcMar>
            <w:hideMark/>
          </w:tcPr>
          <w:p w14:paraId="3F910113" w14:textId="77777777" w:rsidR="00000000" w:rsidRDefault="00EF48A2">
            <w:pPr>
              <w:pStyle w:val="a3"/>
              <w:spacing w:before="0" w:beforeAutospacing="0" w:after="0" w:afterAutospacing="0"/>
              <w:rPr>
                <w:sz w:val="20"/>
                <w:szCs w:val="20"/>
              </w:rPr>
            </w:pPr>
            <w:hyperlink w:anchor="item_9_changes_in_and_disagreements" w:history="1">
              <w:r>
                <w:rPr>
                  <w:rStyle w:val="a4"/>
                  <w:sz w:val="20"/>
                  <w:szCs w:val="20"/>
                </w:rPr>
                <w:t>Changes in and Disagreements with Accountants on Accounting and Financial Disclosur</w:t>
              </w:r>
              <w:r>
                <w:rPr>
                  <w:rStyle w:val="a4"/>
                  <w:sz w:val="20"/>
                  <w:szCs w:val="20"/>
                </w:rPr>
                <w:t>e</w:t>
              </w:r>
            </w:hyperlink>
          </w:p>
        </w:tc>
        <w:tc>
          <w:tcPr>
            <w:tcW w:w="0" w:type="auto"/>
            <w:tcMar>
              <w:top w:w="14" w:type="dxa"/>
              <w:left w:w="15" w:type="dxa"/>
              <w:bottom w:w="15" w:type="dxa"/>
              <w:right w:w="14" w:type="dxa"/>
            </w:tcMar>
            <w:vAlign w:val="bottom"/>
            <w:hideMark/>
          </w:tcPr>
          <w:p w14:paraId="38E319A2" w14:textId="77777777" w:rsidR="00000000" w:rsidRDefault="00EF48A2">
            <w:pPr>
              <w:pStyle w:val="a3"/>
              <w:spacing w:before="0" w:beforeAutospacing="0" w:after="0" w:afterAutospacing="0"/>
              <w:jc w:val="right"/>
              <w:rPr>
                <w:sz w:val="20"/>
                <w:szCs w:val="20"/>
              </w:rPr>
            </w:pPr>
            <w:r>
              <w:rPr>
                <w:sz w:val="20"/>
                <w:szCs w:val="20"/>
              </w:rPr>
              <w:t>8</w:t>
            </w:r>
            <w:r>
              <w:rPr>
                <w:sz w:val="20"/>
                <w:szCs w:val="20"/>
              </w:rPr>
              <w:t>0</w:t>
            </w:r>
          </w:p>
        </w:tc>
      </w:tr>
      <w:tr w:rsidR="00000000" w14:paraId="7B48D963" w14:textId="77777777">
        <w:trPr>
          <w:trHeight w:val="200"/>
          <w:tblCellSpacing w:w="15" w:type="dxa"/>
        </w:trPr>
        <w:tc>
          <w:tcPr>
            <w:tcW w:w="0" w:type="auto"/>
            <w:tcMar>
              <w:top w:w="14" w:type="dxa"/>
              <w:left w:w="15" w:type="dxa"/>
              <w:bottom w:w="15" w:type="dxa"/>
              <w:right w:w="14" w:type="dxa"/>
            </w:tcMar>
            <w:hideMark/>
          </w:tcPr>
          <w:p w14:paraId="73CBC89E" w14:textId="77777777" w:rsidR="00000000" w:rsidRDefault="00EF48A2">
            <w:pPr>
              <w:pStyle w:val="a3"/>
              <w:spacing w:before="0" w:beforeAutospacing="0" w:after="0" w:afterAutospacing="0"/>
              <w:ind w:left="137"/>
              <w:rPr>
                <w:sz w:val="20"/>
                <w:szCs w:val="20"/>
              </w:rPr>
            </w:pPr>
            <w:r>
              <w:rPr>
                <w:sz w:val="20"/>
                <w:szCs w:val="20"/>
              </w:rPr>
              <w:t>Item 9A</w:t>
            </w:r>
            <w:r>
              <w:rPr>
                <w:sz w:val="20"/>
                <w:szCs w:val="20"/>
              </w:rPr>
              <w:t>.</w:t>
            </w:r>
          </w:p>
        </w:tc>
        <w:tc>
          <w:tcPr>
            <w:tcW w:w="0" w:type="auto"/>
            <w:tcMar>
              <w:top w:w="14" w:type="dxa"/>
              <w:left w:w="15" w:type="dxa"/>
              <w:bottom w:w="15" w:type="dxa"/>
              <w:right w:w="14" w:type="dxa"/>
            </w:tcMar>
            <w:hideMark/>
          </w:tcPr>
          <w:p w14:paraId="6BDC5526" w14:textId="77777777" w:rsidR="00000000" w:rsidRDefault="00EF48A2">
            <w:pPr>
              <w:pStyle w:val="a3"/>
              <w:spacing w:before="0" w:beforeAutospacing="0" w:after="0" w:afterAutospacing="0"/>
              <w:rPr>
                <w:sz w:val="20"/>
                <w:szCs w:val="20"/>
              </w:rPr>
            </w:pPr>
            <w:hyperlink w:anchor="item_9a_controls_and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14:paraId="7EBB8777" w14:textId="77777777" w:rsidR="00000000" w:rsidRDefault="00EF48A2">
            <w:pPr>
              <w:pStyle w:val="a3"/>
              <w:spacing w:before="0" w:beforeAutospacing="0" w:after="0" w:afterAutospacing="0"/>
              <w:jc w:val="right"/>
              <w:rPr>
                <w:sz w:val="20"/>
                <w:szCs w:val="20"/>
              </w:rPr>
            </w:pPr>
            <w:r>
              <w:rPr>
                <w:sz w:val="20"/>
                <w:szCs w:val="20"/>
              </w:rPr>
              <w:t>8</w:t>
            </w:r>
            <w:r>
              <w:rPr>
                <w:sz w:val="20"/>
                <w:szCs w:val="20"/>
              </w:rPr>
              <w:t>0</w:t>
            </w:r>
          </w:p>
        </w:tc>
      </w:tr>
      <w:tr w:rsidR="00000000" w14:paraId="4903D7BA" w14:textId="77777777">
        <w:trPr>
          <w:trHeight w:val="200"/>
          <w:tblCellSpacing w:w="15" w:type="dxa"/>
        </w:trPr>
        <w:tc>
          <w:tcPr>
            <w:tcW w:w="0" w:type="auto"/>
            <w:tcMar>
              <w:top w:w="14" w:type="dxa"/>
              <w:left w:w="15" w:type="dxa"/>
              <w:bottom w:w="15" w:type="dxa"/>
              <w:right w:w="14" w:type="dxa"/>
            </w:tcMar>
            <w:hideMark/>
          </w:tcPr>
          <w:p w14:paraId="34C8A03B" w14:textId="77777777" w:rsidR="00000000" w:rsidRDefault="00EF48A2">
            <w:pPr>
              <w:pStyle w:val="a3"/>
              <w:spacing w:before="0" w:beforeAutospacing="0" w:after="0" w:afterAutospacing="0"/>
              <w:ind w:left="137"/>
              <w:rPr>
                <w:sz w:val="20"/>
                <w:szCs w:val="20"/>
              </w:rPr>
            </w:pPr>
            <w:r>
              <w:rPr>
                <w:sz w:val="20"/>
                <w:szCs w:val="20"/>
              </w:rPr>
              <w:t>Item 9B</w:t>
            </w:r>
            <w:r>
              <w:rPr>
                <w:sz w:val="20"/>
                <w:szCs w:val="20"/>
              </w:rPr>
              <w:t>.</w:t>
            </w:r>
          </w:p>
        </w:tc>
        <w:tc>
          <w:tcPr>
            <w:tcW w:w="0" w:type="auto"/>
            <w:tcMar>
              <w:top w:w="14" w:type="dxa"/>
              <w:left w:w="15" w:type="dxa"/>
              <w:bottom w:w="15" w:type="dxa"/>
              <w:right w:w="14" w:type="dxa"/>
            </w:tcMar>
            <w:hideMark/>
          </w:tcPr>
          <w:p w14:paraId="0FB7B541" w14:textId="77777777" w:rsidR="00000000" w:rsidRDefault="00EF48A2">
            <w:pPr>
              <w:pStyle w:val="a3"/>
              <w:spacing w:before="0" w:beforeAutospacing="0" w:after="0" w:afterAutospacing="0"/>
              <w:rPr>
                <w:sz w:val="20"/>
                <w:szCs w:val="20"/>
              </w:rPr>
            </w:pPr>
            <w:hyperlink w:anchor="item_9b_othe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14:paraId="15B12C79" w14:textId="77777777" w:rsidR="00000000" w:rsidRDefault="00EF48A2">
            <w:pPr>
              <w:pStyle w:val="a3"/>
              <w:spacing w:before="0" w:beforeAutospacing="0" w:after="0" w:afterAutospacing="0"/>
              <w:ind w:left="137"/>
              <w:jc w:val="right"/>
              <w:rPr>
                <w:sz w:val="20"/>
                <w:szCs w:val="20"/>
              </w:rPr>
            </w:pPr>
            <w:r>
              <w:rPr>
                <w:sz w:val="20"/>
                <w:szCs w:val="20"/>
              </w:rPr>
              <w:t>8</w:t>
            </w:r>
            <w:r>
              <w:rPr>
                <w:sz w:val="20"/>
                <w:szCs w:val="20"/>
              </w:rPr>
              <w:t>2</w:t>
            </w:r>
          </w:p>
        </w:tc>
      </w:tr>
      <w:tr w:rsidR="00000000" w14:paraId="3FDC9E51" w14:textId="77777777">
        <w:trPr>
          <w:trHeight w:val="200"/>
          <w:tblCellSpacing w:w="15" w:type="dxa"/>
        </w:trPr>
        <w:tc>
          <w:tcPr>
            <w:tcW w:w="0" w:type="auto"/>
            <w:tcMar>
              <w:top w:w="14" w:type="dxa"/>
              <w:left w:w="15" w:type="dxa"/>
              <w:bottom w:w="15" w:type="dxa"/>
              <w:right w:w="14" w:type="dxa"/>
            </w:tcMar>
            <w:hideMark/>
          </w:tcPr>
          <w:p w14:paraId="3377D622" w14:textId="77777777" w:rsidR="00000000" w:rsidRDefault="00EF48A2">
            <w:pPr>
              <w:pStyle w:val="a3"/>
              <w:spacing w:before="0" w:beforeAutospacing="0" w:after="0" w:afterAutospacing="0"/>
              <w:ind w:left="137"/>
              <w:rPr>
                <w:sz w:val="20"/>
                <w:szCs w:val="20"/>
              </w:rPr>
            </w:pPr>
            <w:r>
              <w:rPr>
                <w:sz w:val="20"/>
                <w:szCs w:val="20"/>
              </w:rPr>
              <w:t>Item 9C</w:t>
            </w:r>
            <w:r>
              <w:rPr>
                <w:sz w:val="20"/>
                <w:szCs w:val="20"/>
              </w:rPr>
              <w:t>.</w:t>
            </w:r>
          </w:p>
        </w:tc>
        <w:tc>
          <w:tcPr>
            <w:tcW w:w="0" w:type="auto"/>
            <w:tcMar>
              <w:top w:w="14" w:type="dxa"/>
              <w:left w:w="15" w:type="dxa"/>
              <w:bottom w:w="15" w:type="dxa"/>
              <w:right w:w="14" w:type="dxa"/>
            </w:tcMar>
            <w:hideMark/>
          </w:tcPr>
          <w:p w14:paraId="175EAED8" w14:textId="77777777" w:rsidR="00000000" w:rsidRDefault="00EF48A2">
            <w:pPr>
              <w:pStyle w:val="a3"/>
              <w:spacing w:before="0" w:beforeAutospacing="0" w:after="0" w:afterAutospacing="0"/>
              <w:rPr>
                <w:sz w:val="20"/>
                <w:szCs w:val="20"/>
              </w:rPr>
            </w:pPr>
            <w:hyperlink w:anchor="item_9c_disclosure_regarding_foreign" w:history="1">
              <w:r>
                <w:rPr>
                  <w:rStyle w:val="a4"/>
                  <w:sz w:val="20"/>
                  <w:szCs w:val="20"/>
                </w:rPr>
                <w:t>Disclosure Regarding Foreign Jurisdictions that Prevent Inspection</w:t>
              </w:r>
              <w:r>
                <w:rPr>
                  <w:rStyle w:val="a4"/>
                  <w:sz w:val="20"/>
                  <w:szCs w:val="20"/>
                </w:rPr>
                <w:t>s</w:t>
              </w:r>
            </w:hyperlink>
          </w:p>
        </w:tc>
        <w:tc>
          <w:tcPr>
            <w:tcW w:w="0" w:type="auto"/>
            <w:tcMar>
              <w:top w:w="14" w:type="dxa"/>
              <w:left w:w="15" w:type="dxa"/>
              <w:bottom w:w="15" w:type="dxa"/>
              <w:right w:w="14" w:type="dxa"/>
            </w:tcMar>
            <w:vAlign w:val="bottom"/>
            <w:hideMark/>
          </w:tcPr>
          <w:p w14:paraId="26665BCD" w14:textId="77777777" w:rsidR="00000000" w:rsidRDefault="00EF48A2">
            <w:pPr>
              <w:pStyle w:val="a3"/>
              <w:spacing w:before="0" w:beforeAutospacing="0" w:after="0" w:afterAutospacing="0"/>
              <w:ind w:left="137"/>
              <w:jc w:val="right"/>
              <w:rPr>
                <w:sz w:val="20"/>
                <w:szCs w:val="20"/>
              </w:rPr>
            </w:pPr>
            <w:r>
              <w:rPr>
                <w:sz w:val="20"/>
                <w:szCs w:val="20"/>
              </w:rPr>
              <w:t>8</w:t>
            </w:r>
            <w:r>
              <w:rPr>
                <w:sz w:val="20"/>
                <w:szCs w:val="20"/>
              </w:rPr>
              <w:t>2</w:t>
            </w:r>
          </w:p>
        </w:tc>
      </w:tr>
      <w:tr w:rsidR="00000000" w14:paraId="51398A40" w14:textId="77777777">
        <w:trPr>
          <w:tblCellSpacing w:w="15" w:type="dxa"/>
        </w:trPr>
        <w:tc>
          <w:tcPr>
            <w:tcW w:w="0" w:type="auto"/>
            <w:tcMar>
              <w:top w:w="14" w:type="dxa"/>
              <w:left w:w="15" w:type="dxa"/>
              <w:bottom w:w="15" w:type="dxa"/>
              <w:right w:w="14" w:type="dxa"/>
            </w:tcMar>
            <w:hideMark/>
          </w:tcPr>
          <w:p w14:paraId="0DB250E9" w14:textId="77777777" w:rsidR="00000000" w:rsidRDefault="00EF48A2">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hideMark/>
          </w:tcPr>
          <w:p w14:paraId="0CD6B910"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4865A0E" w14:textId="77777777" w:rsidR="00000000" w:rsidRDefault="00EF48A2">
            <w:pPr>
              <w:pStyle w:val="a3"/>
              <w:spacing w:before="0" w:beforeAutospacing="0" w:after="0" w:afterAutospacing="0"/>
              <w:jc w:val="right"/>
              <w:rPr>
                <w:sz w:val="20"/>
                <w:szCs w:val="20"/>
              </w:rPr>
            </w:pPr>
            <w:r>
              <w:rPr>
                <w:sz w:val="20"/>
                <w:szCs w:val="20"/>
              </w:rPr>
              <w:t> </w:t>
            </w:r>
          </w:p>
        </w:tc>
      </w:tr>
      <w:tr w:rsidR="00000000" w14:paraId="3633CFD3" w14:textId="77777777">
        <w:trPr>
          <w:trHeight w:val="200"/>
          <w:tblCellSpacing w:w="15" w:type="dxa"/>
        </w:trPr>
        <w:tc>
          <w:tcPr>
            <w:tcW w:w="0" w:type="auto"/>
            <w:tcMar>
              <w:top w:w="14" w:type="dxa"/>
              <w:left w:w="15" w:type="dxa"/>
              <w:bottom w:w="15" w:type="dxa"/>
              <w:right w:w="14" w:type="dxa"/>
            </w:tcMar>
            <w:hideMark/>
          </w:tcPr>
          <w:p w14:paraId="277997D0" w14:textId="77777777" w:rsidR="00000000" w:rsidRDefault="00EF48A2">
            <w:pPr>
              <w:pStyle w:val="a3"/>
              <w:spacing w:before="0" w:beforeAutospacing="0" w:after="0" w:afterAutospacing="0"/>
              <w:rPr>
                <w:sz w:val="20"/>
                <w:szCs w:val="20"/>
              </w:rPr>
            </w:pPr>
            <w:r>
              <w:rPr>
                <w:b/>
                <w:bCs/>
                <w:sz w:val="20"/>
                <w:szCs w:val="20"/>
              </w:rPr>
              <w:t>PART II</w:t>
            </w:r>
            <w:r>
              <w:rPr>
                <w:b/>
                <w:bCs/>
                <w:sz w:val="20"/>
                <w:szCs w:val="20"/>
              </w:rPr>
              <w:t>I</w:t>
            </w:r>
          </w:p>
        </w:tc>
        <w:tc>
          <w:tcPr>
            <w:tcW w:w="0" w:type="auto"/>
            <w:tcMar>
              <w:top w:w="14" w:type="dxa"/>
              <w:left w:w="15" w:type="dxa"/>
              <w:bottom w:w="15" w:type="dxa"/>
              <w:right w:w="14" w:type="dxa"/>
            </w:tcMar>
            <w:hideMark/>
          </w:tcPr>
          <w:p w14:paraId="7EC1C2E0"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A5E140B" w14:textId="77777777" w:rsidR="00000000" w:rsidRDefault="00EF48A2">
            <w:pPr>
              <w:pStyle w:val="a3"/>
              <w:spacing w:before="0" w:beforeAutospacing="0" w:after="0" w:afterAutospacing="0"/>
              <w:jc w:val="right"/>
              <w:rPr>
                <w:sz w:val="20"/>
                <w:szCs w:val="20"/>
              </w:rPr>
            </w:pPr>
            <w:r>
              <w:rPr>
                <w:sz w:val="20"/>
                <w:szCs w:val="20"/>
              </w:rPr>
              <w:t> </w:t>
            </w:r>
          </w:p>
        </w:tc>
      </w:tr>
      <w:tr w:rsidR="00000000" w14:paraId="4EABC551" w14:textId="77777777">
        <w:trPr>
          <w:trHeight w:val="200"/>
          <w:tblCellSpacing w:w="15" w:type="dxa"/>
        </w:trPr>
        <w:tc>
          <w:tcPr>
            <w:tcW w:w="0" w:type="auto"/>
            <w:tcMar>
              <w:top w:w="14" w:type="dxa"/>
              <w:left w:w="15" w:type="dxa"/>
              <w:bottom w:w="15" w:type="dxa"/>
              <w:right w:w="14" w:type="dxa"/>
            </w:tcMar>
            <w:hideMark/>
          </w:tcPr>
          <w:p w14:paraId="7CB8A5B8" w14:textId="77777777" w:rsidR="00000000" w:rsidRDefault="00EF48A2">
            <w:pPr>
              <w:pStyle w:val="a3"/>
              <w:spacing w:before="0" w:beforeAutospacing="0" w:after="0" w:afterAutospacing="0"/>
              <w:ind w:left="137"/>
              <w:rPr>
                <w:sz w:val="20"/>
                <w:szCs w:val="20"/>
              </w:rPr>
            </w:pPr>
            <w:r>
              <w:rPr>
                <w:sz w:val="20"/>
                <w:szCs w:val="20"/>
              </w:rPr>
              <w:t>Item 10</w:t>
            </w:r>
            <w:r>
              <w:rPr>
                <w:sz w:val="20"/>
                <w:szCs w:val="20"/>
              </w:rPr>
              <w:t>.</w:t>
            </w:r>
          </w:p>
        </w:tc>
        <w:tc>
          <w:tcPr>
            <w:tcW w:w="0" w:type="auto"/>
            <w:tcMar>
              <w:top w:w="14" w:type="dxa"/>
              <w:left w:w="15" w:type="dxa"/>
              <w:bottom w:w="15" w:type="dxa"/>
              <w:right w:w="14" w:type="dxa"/>
            </w:tcMar>
            <w:hideMark/>
          </w:tcPr>
          <w:p w14:paraId="52BA7C67" w14:textId="77777777" w:rsidR="00000000" w:rsidRDefault="00EF48A2">
            <w:pPr>
              <w:pStyle w:val="a3"/>
              <w:spacing w:before="0" w:beforeAutospacing="0" w:after="0" w:afterAutospacing="0"/>
              <w:rPr>
                <w:sz w:val="20"/>
                <w:szCs w:val="20"/>
              </w:rPr>
            </w:pPr>
            <w:hyperlink w:anchor="item_10_directors_executive_officers" w:history="1">
              <w:r>
                <w:rPr>
                  <w:rStyle w:val="a4"/>
                  <w:sz w:val="20"/>
                  <w:szCs w:val="20"/>
                </w:rPr>
                <w:t>Directors, Executive Officers and Corporate Governanc</w:t>
              </w:r>
              <w:r>
                <w:rPr>
                  <w:rStyle w:val="a4"/>
                  <w:sz w:val="20"/>
                  <w:szCs w:val="20"/>
                </w:rPr>
                <w:t>e</w:t>
              </w:r>
            </w:hyperlink>
          </w:p>
        </w:tc>
        <w:tc>
          <w:tcPr>
            <w:tcW w:w="0" w:type="auto"/>
            <w:tcMar>
              <w:top w:w="14" w:type="dxa"/>
              <w:left w:w="15" w:type="dxa"/>
              <w:bottom w:w="15" w:type="dxa"/>
              <w:right w:w="14" w:type="dxa"/>
            </w:tcMar>
            <w:vAlign w:val="bottom"/>
            <w:hideMark/>
          </w:tcPr>
          <w:p w14:paraId="57435F4C" w14:textId="77777777" w:rsidR="00000000" w:rsidRDefault="00EF48A2">
            <w:pPr>
              <w:pStyle w:val="a3"/>
              <w:spacing w:before="0" w:beforeAutospacing="0" w:after="0" w:afterAutospacing="0"/>
              <w:jc w:val="right"/>
              <w:rPr>
                <w:sz w:val="20"/>
                <w:szCs w:val="20"/>
              </w:rPr>
            </w:pPr>
            <w:r>
              <w:rPr>
                <w:sz w:val="20"/>
                <w:szCs w:val="20"/>
              </w:rPr>
              <w:t>8</w:t>
            </w:r>
            <w:r>
              <w:rPr>
                <w:sz w:val="20"/>
                <w:szCs w:val="20"/>
              </w:rPr>
              <w:t>3</w:t>
            </w:r>
          </w:p>
        </w:tc>
      </w:tr>
      <w:tr w:rsidR="00000000" w14:paraId="33B16092" w14:textId="77777777">
        <w:trPr>
          <w:trHeight w:val="200"/>
          <w:tblCellSpacing w:w="15" w:type="dxa"/>
        </w:trPr>
        <w:tc>
          <w:tcPr>
            <w:tcW w:w="0" w:type="auto"/>
            <w:tcMar>
              <w:top w:w="14" w:type="dxa"/>
              <w:left w:w="15" w:type="dxa"/>
              <w:bottom w:w="15" w:type="dxa"/>
              <w:right w:w="14" w:type="dxa"/>
            </w:tcMar>
            <w:hideMark/>
          </w:tcPr>
          <w:p w14:paraId="2EBDA50B" w14:textId="77777777" w:rsidR="00000000" w:rsidRDefault="00EF48A2">
            <w:pPr>
              <w:pStyle w:val="a3"/>
              <w:spacing w:before="0" w:beforeAutospacing="0" w:after="0" w:afterAutospacing="0"/>
              <w:ind w:left="137"/>
              <w:rPr>
                <w:sz w:val="20"/>
                <w:szCs w:val="20"/>
              </w:rPr>
            </w:pPr>
            <w:r>
              <w:rPr>
                <w:sz w:val="20"/>
                <w:szCs w:val="20"/>
              </w:rPr>
              <w:t>Item 11</w:t>
            </w:r>
            <w:r>
              <w:rPr>
                <w:sz w:val="20"/>
                <w:szCs w:val="20"/>
              </w:rPr>
              <w:t>.</w:t>
            </w:r>
          </w:p>
        </w:tc>
        <w:tc>
          <w:tcPr>
            <w:tcW w:w="0" w:type="auto"/>
            <w:tcMar>
              <w:top w:w="14" w:type="dxa"/>
              <w:left w:w="15" w:type="dxa"/>
              <w:bottom w:w="15" w:type="dxa"/>
              <w:right w:w="14" w:type="dxa"/>
            </w:tcMar>
            <w:hideMark/>
          </w:tcPr>
          <w:p w14:paraId="3C71710F" w14:textId="77777777" w:rsidR="00000000" w:rsidRDefault="00EF48A2">
            <w:pPr>
              <w:pStyle w:val="a3"/>
              <w:spacing w:before="0" w:beforeAutospacing="0" w:after="0" w:afterAutospacing="0"/>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tcMar>
              <w:top w:w="14" w:type="dxa"/>
              <w:left w:w="15" w:type="dxa"/>
              <w:bottom w:w="15" w:type="dxa"/>
              <w:right w:w="14" w:type="dxa"/>
            </w:tcMar>
            <w:vAlign w:val="bottom"/>
            <w:hideMark/>
          </w:tcPr>
          <w:p w14:paraId="670B3306" w14:textId="77777777" w:rsidR="00000000" w:rsidRDefault="00EF48A2">
            <w:pPr>
              <w:pStyle w:val="a3"/>
              <w:spacing w:before="0" w:beforeAutospacing="0" w:after="0" w:afterAutospacing="0"/>
              <w:jc w:val="right"/>
              <w:rPr>
                <w:sz w:val="20"/>
                <w:szCs w:val="20"/>
              </w:rPr>
            </w:pPr>
            <w:r>
              <w:rPr>
                <w:sz w:val="20"/>
                <w:szCs w:val="20"/>
              </w:rPr>
              <w:t>8</w:t>
            </w:r>
            <w:r>
              <w:rPr>
                <w:sz w:val="20"/>
                <w:szCs w:val="20"/>
              </w:rPr>
              <w:t>3</w:t>
            </w:r>
          </w:p>
        </w:tc>
      </w:tr>
      <w:tr w:rsidR="00000000" w14:paraId="57012D9B" w14:textId="77777777">
        <w:trPr>
          <w:trHeight w:val="200"/>
          <w:tblCellSpacing w:w="15" w:type="dxa"/>
        </w:trPr>
        <w:tc>
          <w:tcPr>
            <w:tcW w:w="0" w:type="auto"/>
            <w:tcMar>
              <w:top w:w="14" w:type="dxa"/>
              <w:left w:w="15" w:type="dxa"/>
              <w:bottom w:w="15" w:type="dxa"/>
              <w:right w:w="14" w:type="dxa"/>
            </w:tcMar>
            <w:hideMark/>
          </w:tcPr>
          <w:p w14:paraId="36D29064" w14:textId="77777777" w:rsidR="00000000" w:rsidRDefault="00EF48A2">
            <w:pPr>
              <w:pStyle w:val="a3"/>
              <w:spacing w:before="0" w:beforeAutospacing="0" w:after="0" w:afterAutospacing="0"/>
              <w:ind w:left="137"/>
              <w:rPr>
                <w:sz w:val="20"/>
                <w:szCs w:val="20"/>
              </w:rPr>
            </w:pPr>
            <w:r>
              <w:rPr>
                <w:sz w:val="20"/>
                <w:szCs w:val="20"/>
              </w:rPr>
              <w:t>Item 12</w:t>
            </w:r>
            <w:r>
              <w:rPr>
                <w:sz w:val="20"/>
                <w:szCs w:val="20"/>
              </w:rPr>
              <w:t>.</w:t>
            </w:r>
          </w:p>
        </w:tc>
        <w:tc>
          <w:tcPr>
            <w:tcW w:w="0" w:type="auto"/>
            <w:tcMar>
              <w:top w:w="14" w:type="dxa"/>
              <w:left w:w="15" w:type="dxa"/>
              <w:bottom w:w="15" w:type="dxa"/>
              <w:right w:w="14" w:type="dxa"/>
            </w:tcMar>
            <w:hideMark/>
          </w:tcPr>
          <w:p w14:paraId="46FA0D84" w14:textId="77777777" w:rsidR="00000000" w:rsidRDefault="00EF48A2">
            <w:pPr>
              <w:pStyle w:val="a3"/>
              <w:spacing w:before="0" w:beforeAutospacing="0" w:after="0" w:afterAutospacing="0"/>
              <w:rPr>
                <w:sz w:val="20"/>
                <w:szCs w:val="20"/>
              </w:rPr>
            </w:pPr>
            <w:hyperlink w:anchor="item_12_security_ownership" w:history="1">
              <w:r>
                <w:rPr>
                  <w:rStyle w:val="a4"/>
                  <w:sz w:val="20"/>
                  <w:szCs w:val="20"/>
                </w:rPr>
                <w:t>Security Ownership of Certain Beneficial Owners and Management and Related Stockholder Matter</w:t>
              </w:r>
              <w:r>
                <w:rPr>
                  <w:rStyle w:val="a4"/>
                  <w:sz w:val="20"/>
                  <w:szCs w:val="20"/>
                </w:rPr>
                <w:t>s</w:t>
              </w:r>
            </w:hyperlink>
          </w:p>
        </w:tc>
        <w:tc>
          <w:tcPr>
            <w:tcW w:w="0" w:type="auto"/>
            <w:tcMar>
              <w:top w:w="14" w:type="dxa"/>
              <w:left w:w="15" w:type="dxa"/>
              <w:bottom w:w="15" w:type="dxa"/>
              <w:right w:w="14" w:type="dxa"/>
            </w:tcMar>
            <w:vAlign w:val="bottom"/>
            <w:hideMark/>
          </w:tcPr>
          <w:p w14:paraId="01E55BD8" w14:textId="77777777" w:rsidR="00000000" w:rsidRDefault="00EF48A2">
            <w:pPr>
              <w:pStyle w:val="a3"/>
              <w:spacing w:before="0" w:beforeAutospacing="0" w:after="0" w:afterAutospacing="0"/>
              <w:jc w:val="right"/>
              <w:rPr>
                <w:sz w:val="20"/>
                <w:szCs w:val="20"/>
              </w:rPr>
            </w:pPr>
            <w:r>
              <w:rPr>
                <w:sz w:val="20"/>
                <w:szCs w:val="20"/>
              </w:rPr>
              <w:t>8</w:t>
            </w:r>
            <w:r>
              <w:rPr>
                <w:sz w:val="20"/>
                <w:szCs w:val="20"/>
              </w:rPr>
              <w:t>3</w:t>
            </w:r>
          </w:p>
        </w:tc>
      </w:tr>
      <w:tr w:rsidR="00000000" w14:paraId="0260BC11" w14:textId="77777777">
        <w:trPr>
          <w:trHeight w:val="200"/>
          <w:tblCellSpacing w:w="15" w:type="dxa"/>
        </w:trPr>
        <w:tc>
          <w:tcPr>
            <w:tcW w:w="0" w:type="auto"/>
            <w:tcMar>
              <w:top w:w="14" w:type="dxa"/>
              <w:left w:w="15" w:type="dxa"/>
              <w:bottom w:w="15" w:type="dxa"/>
              <w:right w:w="14" w:type="dxa"/>
            </w:tcMar>
            <w:hideMark/>
          </w:tcPr>
          <w:p w14:paraId="633F7FBB" w14:textId="77777777" w:rsidR="00000000" w:rsidRDefault="00EF48A2">
            <w:pPr>
              <w:pStyle w:val="a3"/>
              <w:spacing w:before="0" w:beforeAutospacing="0" w:after="0" w:afterAutospacing="0"/>
              <w:ind w:left="137"/>
              <w:rPr>
                <w:sz w:val="20"/>
                <w:szCs w:val="20"/>
              </w:rPr>
            </w:pPr>
            <w:r>
              <w:rPr>
                <w:sz w:val="20"/>
                <w:szCs w:val="20"/>
              </w:rPr>
              <w:t>Item 13</w:t>
            </w:r>
            <w:r>
              <w:rPr>
                <w:sz w:val="20"/>
                <w:szCs w:val="20"/>
              </w:rPr>
              <w:t>.</w:t>
            </w:r>
          </w:p>
        </w:tc>
        <w:tc>
          <w:tcPr>
            <w:tcW w:w="0" w:type="auto"/>
            <w:tcMar>
              <w:top w:w="14" w:type="dxa"/>
              <w:left w:w="15" w:type="dxa"/>
              <w:bottom w:w="15" w:type="dxa"/>
              <w:right w:w="14" w:type="dxa"/>
            </w:tcMar>
            <w:hideMark/>
          </w:tcPr>
          <w:p w14:paraId="16141369" w14:textId="77777777" w:rsidR="00000000" w:rsidRDefault="00EF48A2">
            <w:pPr>
              <w:pStyle w:val="a3"/>
              <w:spacing w:before="0" w:beforeAutospacing="0" w:after="0" w:afterAutospacing="0"/>
              <w:rPr>
                <w:sz w:val="20"/>
                <w:szCs w:val="20"/>
              </w:rPr>
            </w:pPr>
            <w:hyperlink w:anchor="item_13_certain_relationships" w:history="1">
              <w:r>
                <w:rPr>
                  <w:rStyle w:val="a4"/>
                  <w:sz w:val="20"/>
                  <w:szCs w:val="20"/>
                </w:rPr>
                <w:t>Certain Relationships and Related Transactions, and Director Independenc</w:t>
              </w:r>
              <w:r>
                <w:rPr>
                  <w:rStyle w:val="a4"/>
                  <w:sz w:val="20"/>
                  <w:szCs w:val="20"/>
                </w:rPr>
                <w:t>e</w:t>
              </w:r>
            </w:hyperlink>
          </w:p>
        </w:tc>
        <w:tc>
          <w:tcPr>
            <w:tcW w:w="0" w:type="auto"/>
            <w:tcMar>
              <w:top w:w="14" w:type="dxa"/>
              <w:left w:w="15" w:type="dxa"/>
              <w:bottom w:w="15" w:type="dxa"/>
              <w:right w:w="14" w:type="dxa"/>
            </w:tcMar>
            <w:vAlign w:val="bottom"/>
            <w:hideMark/>
          </w:tcPr>
          <w:p w14:paraId="1B395AE5" w14:textId="77777777" w:rsidR="00000000" w:rsidRDefault="00EF48A2">
            <w:pPr>
              <w:pStyle w:val="a3"/>
              <w:spacing w:before="0" w:beforeAutospacing="0" w:after="0" w:afterAutospacing="0"/>
              <w:jc w:val="right"/>
              <w:rPr>
                <w:sz w:val="20"/>
                <w:szCs w:val="20"/>
              </w:rPr>
            </w:pPr>
            <w:r>
              <w:rPr>
                <w:sz w:val="20"/>
                <w:szCs w:val="20"/>
              </w:rPr>
              <w:t>8</w:t>
            </w:r>
            <w:r>
              <w:rPr>
                <w:sz w:val="20"/>
                <w:szCs w:val="20"/>
              </w:rPr>
              <w:t>3</w:t>
            </w:r>
          </w:p>
        </w:tc>
      </w:tr>
      <w:tr w:rsidR="00000000" w14:paraId="0E57482C" w14:textId="77777777">
        <w:trPr>
          <w:trHeight w:val="200"/>
          <w:tblCellSpacing w:w="15" w:type="dxa"/>
        </w:trPr>
        <w:tc>
          <w:tcPr>
            <w:tcW w:w="0" w:type="auto"/>
            <w:tcMar>
              <w:top w:w="14" w:type="dxa"/>
              <w:left w:w="15" w:type="dxa"/>
              <w:bottom w:w="15" w:type="dxa"/>
              <w:right w:w="14" w:type="dxa"/>
            </w:tcMar>
            <w:hideMark/>
          </w:tcPr>
          <w:p w14:paraId="541B867B" w14:textId="77777777" w:rsidR="00000000" w:rsidRDefault="00EF48A2">
            <w:pPr>
              <w:pStyle w:val="a3"/>
              <w:spacing w:before="0" w:beforeAutospacing="0" w:after="0" w:afterAutospacing="0"/>
              <w:ind w:left="137"/>
              <w:rPr>
                <w:sz w:val="20"/>
                <w:szCs w:val="20"/>
              </w:rPr>
            </w:pPr>
            <w:r>
              <w:rPr>
                <w:sz w:val="20"/>
                <w:szCs w:val="20"/>
              </w:rPr>
              <w:t>Item 14</w:t>
            </w:r>
            <w:r>
              <w:rPr>
                <w:sz w:val="20"/>
                <w:szCs w:val="20"/>
              </w:rPr>
              <w:t>.</w:t>
            </w:r>
          </w:p>
        </w:tc>
        <w:tc>
          <w:tcPr>
            <w:tcW w:w="0" w:type="auto"/>
            <w:tcMar>
              <w:top w:w="14" w:type="dxa"/>
              <w:left w:w="15" w:type="dxa"/>
              <w:bottom w:w="15" w:type="dxa"/>
              <w:right w:w="14" w:type="dxa"/>
            </w:tcMar>
            <w:hideMark/>
          </w:tcPr>
          <w:p w14:paraId="3F030044" w14:textId="77777777" w:rsidR="00000000" w:rsidRDefault="00EF48A2">
            <w:pPr>
              <w:pStyle w:val="a3"/>
              <w:spacing w:before="0" w:beforeAutospacing="0" w:after="0" w:afterAutospacing="0"/>
              <w:rPr>
                <w:sz w:val="20"/>
                <w:szCs w:val="20"/>
              </w:rPr>
            </w:pPr>
            <w:hyperlink w:anchor="item_14_principal_accounting_fees" w:history="1">
              <w:r>
                <w:rPr>
                  <w:rStyle w:val="a4"/>
                  <w:sz w:val="20"/>
                  <w:szCs w:val="20"/>
                </w:rPr>
                <w:t>Principal Accounting Fees and Service</w:t>
              </w:r>
              <w:r>
                <w:rPr>
                  <w:rStyle w:val="a4"/>
                  <w:sz w:val="20"/>
                  <w:szCs w:val="20"/>
                </w:rPr>
                <w:t>s</w:t>
              </w:r>
            </w:hyperlink>
          </w:p>
        </w:tc>
        <w:tc>
          <w:tcPr>
            <w:tcW w:w="0" w:type="auto"/>
            <w:tcMar>
              <w:top w:w="14" w:type="dxa"/>
              <w:left w:w="15" w:type="dxa"/>
              <w:bottom w:w="15" w:type="dxa"/>
              <w:right w:w="14" w:type="dxa"/>
            </w:tcMar>
            <w:vAlign w:val="bottom"/>
            <w:hideMark/>
          </w:tcPr>
          <w:p w14:paraId="712E0A8A" w14:textId="77777777" w:rsidR="00000000" w:rsidRDefault="00EF48A2">
            <w:pPr>
              <w:pStyle w:val="a3"/>
              <w:spacing w:before="0" w:beforeAutospacing="0" w:after="0" w:afterAutospacing="0"/>
              <w:jc w:val="right"/>
              <w:rPr>
                <w:sz w:val="20"/>
                <w:szCs w:val="20"/>
              </w:rPr>
            </w:pPr>
            <w:r>
              <w:rPr>
                <w:sz w:val="20"/>
                <w:szCs w:val="20"/>
              </w:rPr>
              <w:t>8</w:t>
            </w:r>
            <w:r>
              <w:rPr>
                <w:sz w:val="20"/>
                <w:szCs w:val="20"/>
              </w:rPr>
              <w:t>3</w:t>
            </w:r>
          </w:p>
        </w:tc>
      </w:tr>
      <w:tr w:rsidR="00000000" w14:paraId="70CC6C17" w14:textId="77777777">
        <w:trPr>
          <w:trHeight w:val="200"/>
          <w:tblCellSpacing w:w="15" w:type="dxa"/>
        </w:trPr>
        <w:tc>
          <w:tcPr>
            <w:tcW w:w="0" w:type="auto"/>
            <w:tcMar>
              <w:top w:w="14" w:type="dxa"/>
              <w:left w:w="15" w:type="dxa"/>
              <w:bottom w:w="15" w:type="dxa"/>
              <w:right w:w="14" w:type="dxa"/>
            </w:tcMar>
            <w:hideMark/>
          </w:tcPr>
          <w:p w14:paraId="45787329"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38E6C80F"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895AAF7"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B7DA63B" w14:textId="77777777">
        <w:trPr>
          <w:trHeight w:val="200"/>
          <w:tblCellSpacing w:w="15" w:type="dxa"/>
        </w:trPr>
        <w:tc>
          <w:tcPr>
            <w:tcW w:w="0" w:type="auto"/>
            <w:tcMar>
              <w:top w:w="14" w:type="dxa"/>
              <w:left w:w="15" w:type="dxa"/>
              <w:bottom w:w="15" w:type="dxa"/>
              <w:right w:w="14" w:type="dxa"/>
            </w:tcMar>
            <w:hideMark/>
          </w:tcPr>
          <w:p w14:paraId="6D5BAE8E" w14:textId="77777777" w:rsidR="00000000" w:rsidRDefault="00EF48A2">
            <w:pPr>
              <w:pStyle w:val="a3"/>
              <w:spacing w:before="0" w:beforeAutospacing="0" w:after="0" w:afterAutospacing="0"/>
              <w:rPr>
                <w:sz w:val="20"/>
                <w:szCs w:val="20"/>
              </w:rPr>
            </w:pPr>
            <w:r>
              <w:rPr>
                <w:b/>
                <w:bCs/>
                <w:sz w:val="20"/>
                <w:szCs w:val="20"/>
              </w:rPr>
              <w:t>PART I</w:t>
            </w:r>
            <w:r>
              <w:rPr>
                <w:b/>
                <w:bCs/>
                <w:sz w:val="20"/>
                <w:szCs w:val="20"/>
              </w:rPr>
              <w:t>V</w:t>
            </w:r>
          </w:p>
        </w:tc>
        <w:tc>
          <w:tcPr>
            <w:tcW w:w="0" w:type="auto"/>
            <w:tcMar>
              <w:top w:w="14" w:type="dxa"/>
              <w:left w:w="15" w:type="dxa"/>
              <w:bottom w:w="15" w:type="dxa"/>
              <w:right w:w="14" w:type="dxa"/>
            </w:tcMar>
            <w:hideMark/>
          </w:tcPr>
          <w:p w14:paraId="714475B1"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A640E18"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5EF7A92" w14:textId="77777777">
        <w:trPr>
          <w:trHeight w:val="200"/>
          <w:tblCellSpacing w:w="15" w:type="dxa"/>
        </w:trPr>
        <w:tc>
          <w:tcPr>
            <w:tcW w:w="0" w:type="auto"/>
            <w:tcMar>
              <w:top w:w="14" w:type="dxa"/>
              <w:left w:w="15" w:type="dxa"/>
              <w:bottom w:w="15" w:type="dxa"/>
              <w:right w:w="14" w:type="dxa"/>
            </w:tcMar>
            <w:hideMark/>
          </w:tcPr>
          <w:p w14:paraId="3E5EF469" w14:textId="77777777" w:rsidR="00000000" w:rsidRDefault="00EF48A2">
            <w:pPr>
              <w:pStyle w:val="a3"/>
              <w:spacing w:before="0" w:beforeAutospacing="0" w:after="0" w:afterAutospacing="0"/>
              <w:ind w:left="137"/>
              <w:rPr>
                <w:sz w:val="20"/>
                <w:szCs w:val="20"/>
              </w:rPr>
            </w:pPr>
            <w:r>
              <w:rPr>
                <w:sz w:val="20"/>
                <w:szCs w:val="20"/>
              </w:rPr>
              <w:t>Item 15</w:t>
            </w:r>
            <w:r>
              <w:rPr>
                <w:sz w:val="20"/>
                <w:szCs w:val="20"/>
              </w:rPr>
              <w:t>.</w:t>
            </w:r>
          </w:p>
        </w:tc>
        <w:tc>
          <w:tcPr>
            <w:tcW w:w="0" w:type="auto"/>
            <w:tcMar>
              <w:top w:w="14" w:type="dxa"/>
              <w:left w:w="15" w:type="dxa"/>
              <w:bottom w:w="15" w:type="dxa"/>
              <w:right w:w="14" w:type="dxa"/>
            </w:tcMar>
            <w:hideMark/>
          </w:tcPr>
          <w:p w14:paraId="5BD324DA" w14:textId="77777777" w:rsidR="00000000" w:rsidRDefault="00EF48A2">
            <w:pPr>
              <w:pStyle w:val="a3"/>
              <w:spacing w:before="0" w:beforeAutospacing="0" w:after="0" w:afterAutospacing="0"/>
              <w:rPr>
                <w:sz w:val="20"/>
                <w:szCs w:val="20"/>
              </w:rPr>
            </w:pPr>
            <w:hyperlink w:anchor="item_15_exhibits_financial_statement" w:history="1">
              <w:r>
                <w:rPr>
                  <w:rStyle w:val="a4"/>
                  <w:sz w:val="20"/>
                  <w:szCs w:val="20"/>
                </w:rPr>
                <w:t>Exhibits and Financial Statement Schedule</w:t>
              </w:r>
              <w:r>
                <w:rPr>
                  <w:rStyle w:val="a4"/>
                  <w:sz w:val="20"/>
                  <w:szCs w:val="20"/>
                </w:rPr>
                <w:t>s</w:t>
              </w:r>
            </w:hyperlink>
          </w:p>
        </w:tc>
        <w:tc>
          <w:tcPr>
            <w:tcW w:w="0" w:type="auto"/>
            <w:tcMar>
              <w:top w:w="14" w:type="dxa"/>
              <w:left w:w="15" w:type="dxa"/>
              <w:bottom w:w="15" w:type="dxa"/>
              <w:right w:w="14" w:type="dxa"/>
            </w:tcMar>
            <w:vAlign w:val="bottom"/>
            <w:hideMark/>
          </w:tcPr>
          <w:p w14:paraId="4E39AEB0" w14:textId="77777777" w:rsidR="00000000" w:rsidRDefault="00EF48A2">
            <w:pPr>
              <w:pStyle w:val="a3"/>
              <w:spacing w:before="0" w:beforeAutospacing="0" w:after="0" w:afterAutospacing="0"/>
              <w:jc w:val="right"/>
              <w:rPr>
                <w:sz w:val="20"/>
                <w:szCs w:val="20"/>
              </w:rPr>
            </w:pPr>
            <w:r>
              <w:rPr>
                <w:sz w:val="20"/>
                <w:szCs w:val="20"/>
              </w:rPr>
              <w:t>8</w:t>
            </w:r>
            <w:r>
              <w:rPr>
                <w:sz w:val="20"/>
                <w:szCs w:val="20"/>
              </w:rPr>
              <w:t>4</w:t>
            </w:r>
          </w:p>
        </w:tc>
      </w:tr>
      <w:tr w:rsidR="00000000" w14:paraId="1DA0C64D" w14:textId="77777777">
        <w:trPr>
          <w:trHeight w:val="200"/>
          <w:tblCellSpacing w:w="15" w:type="dxa"/>
        </w:trPr>
        <w:tc>
          <w:tcPr>
            <w:tcW w:w="0" w:type="auto"/>
            <w:tcMar>
              <w:top w:w="14" w:type="dxa"/>
              <w:left w:w="15" w:type="dxa"/>
              <w:bottom w:w="15" w:type="dxa"/>
              <w:right w:w="14" w:type="dxa"/>
            </w:tcMar>
            <w:hideMark/>
          </w:tcPr>
          <w:p w14:paraId="1F3DE458" w14:textId="77777777" w:rsidR="00000000" w:rsidRDefault="00EF48A2">
            <w:pPr>
              <w:pStyle w:val="a3"/>
              <w:spacing w:before="0" w:beforeAutospacing="0" w:after="0" w:afterAutospacing="0"/>
              <w:ind w:left="137"/>
              <w:rPr>
                <w:sz w:val="20"/>
                <w:szCs w:val="20"/>
              </w:rPr>
            </w:pPr>
            <w:r>
              <w:rPr>
                <w:sz w:val="20"/>
                <w:szCs w:val="20"/>
              </w:rPr>
              <w:t>Item 16</w:t>
            </w:r>
            <w:r>
              <w:rPr>
                <w:sz w:val="20"/>
                <w:szCs w:val="20"/>
              </w:rPr>
              <w:t>.</w:t>
            </w:r>
          </w:p>
        </w:tc>
        <w:tc>
          <w:tcPr>
            <w:tcW w:w="0" w:type="auto"/>
            <w:tcMar>
              <w:top w:w="14" w:type="dxa"/>
              <w:left w:w="15" w:type="dxa"/>
              <w:bottom w:w="15" w:type="dxa"/>
              <w:right w:w="14" w:type="dxa"/>
            </w:tcMar>
            <w:hideMark/>
          </w:tcPr>
          <w:p w14:paraId="246DCB61" w14:textId="77777777" w:rsidR="00000000" w:rsidRDefault="00EF48A2">
            <w:pPr>
              <w:pStyle w:val="a3"/>
              <w:spacing w:before="0" w:beforeAutospacing="0" w:after="0" w:afterAutospacing="0"/>
              <w:rPr>
                <w:sz w:val="20"/>
                <w:szCs w:val="20"/>
              </w:rPr>
            </w:pPr>
            <w:hyperlink w:anchor="item_16_form_10_k_summary" w:history="1">
              <w:r>
                <w:rPr>
                  <w:rStyle w:val="a4"/>
                  <w:sz w:val="20"/>
                  <w:szCs w:val="20"/>
                </w:rPr>
                <w:t>Form 10-K Summar</w:t>
              </w:r>
              <w:r>
                <w:rPr>
                  <w:rStyle w:val="a4"/>
                  <w:sz w:val="20"/>
                  <w:szCs w:val="20"/>
                </w:rPr>
                <w:t>y</w:t>
              </w:r>
            </w:hyperlink>
          </w:p>
        </w:tc>
        <w:tc>
          <w:tcPr>
            <w:tcW w:w="0" w:type="auto"/>
            <w:tcMar>
              <w:top w:w="14" w:type="dxa"/>
              <w:left w:w="15" w:type="dxa"/>
              <w:bottom w:w="15" w:type="dxa"/>
              <w:right w:w="14" w:type="dxa"/>
            </w:tcMar>
            <w:vAlign w:val="bottom"/>
            <w:hideMark/>
          </w:tcPr>
          <w:p w14:paraId="231FFFB0" w14:textId="77777777" w:rsidR="00000000" w:rsidRDefault="00EF48A2">
            <w:pPr>
              <w:pStyle w:val="a3"/>
              <w:spacing w:before="0" w:beforeAutospacing="0" w:after="0" w:afterAutospacing="0"/>
              <w:jc w:val="right"/>
              <w:rPr>
                <w:sz w:val="20"/>
                <w:szCs w:val="20"/>
              </w:rPr>
            </w:pPr>
            <w:r>
              <w:rPr>
                <w:sz w:val="20"/>
                <w:szCs w:val="20"/>
              </w:rPr>
              <w:t>8</w:t>
            </w:r>
            <w:r>
              <w:rPr>
                <w:sz w:val="20"/>
                <w:szCs w:val="20"/>
              </w:rPr>
              <w:t>4</w:t>
            </w:r>
          </w:p>
        </w:tc>
      </w:tr>
      <w:tr w:rsidR="00000000" w14:paraId="69603B76" w14:textId="77777777">
        <w:trPr>
          <w:tblCellSpacing w:w="15" w:type="dxa"/>
        </w:trPr>
        <w:tc>
          <w:tcPr>
            <w:tcW w:w="0" w:type="auto"/>
            <w:tcMar>
              <w:top w:w="14" w:type="dxa"/>
              <w:left w:w="15" w:type="dxa"/>
              <w:bottom w:w="15" w:type="dxa"/>
              <w:right w:w="14" w:type="dxa"/>
            </w:tcMar>
            <w:hideMark/>
          </w:tcPr>
          <w:p w14:paraId="3BE436C3" w14:textId="77777777" w:rsidR="00000000" w:rsidRDefault="00EF48A2">
            <w:pPr>
              <w:pStyle w:val="a3"/>
              <w:spacing w:before="0" w:beforeAutospacing="0" w:after="0" w:afterAutospacing="0"/>
              <w:ind w:left="137"/>
              <w:rPr>
                <w:sz w:val="20"/>
                <w:szCs w:val="20"/>
              </w:rPr>
            </w:pPr>
            <w:r>
              <w:rPr>
                <w:sz w:val="20"/>
                <w:szCs w:val="20"/>
              </w:rPr>
              <w:lastRenderedPageBreak/>
              <w:t> </w:t>
            </w:r>
          </w:p>
        </w:tc>
        <w:tc>
          <w:tcPr>
            <w:tcW w:w="0" w:type="auto"/>
            <w:tcMar>
              <w:top w:w="14" w:type="dxa"/>
              <w:left w:w="15" w:type="dxa"/>
              <w:bottom w:w="15" w:type="dxa"/>
              <w:right w:w="14" w:type="dxa"/>
            </w:tcMar>
            <w:hideMark/>
          </w:tcPr>
          <w:p w14:paraId="3D15B8EC"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56406A9" w14:textId="77777777" w:rsidR="00000000" w:rsidRDefault="00EF48A2">
            <w:pPr>
              <w:pStyle w:val="a3"/>
              <w:spacing w:before="0" w:beforeAutospacing="0" w:after="0" w:afterAutospacing="0"/>
              <w:jc w:val="right"/>
              <w:rPr>
                <w:sz w:val="20"/>
                <w:szCs w:val="20"/>
              </w:rPr>
            </w:pPr>
            <w:r>
              <w:rPr>
                <w:sz w:val="20"/>
                <w:szCs w:val="20"/>
              </w:rPr>
              <w:t> </w:t>
            </w:r>
          </w:p>
        </w:tc>
      </w:tr>
      <w:tr w:rsidR="00000000" w14:paraId="38650DCD" w14:textId="77777777">
        <w:trPr>
          <w:trHeight w:val="200"/>
          <w:tblCellSpacing w:w="15" w:type="dxa"/>
        </w:trPr>
        <w:tc>
          <w:tcPr>
            <w:tcW w:w="0" w:type="auto"/>
            <w:gridSpan w:val="2"/>
            <w:tcMar>
              <w:top w:w="14" w:type="dxa"/>
              <w:left w:w="15" w:type="dxa"/>
              <w:bottom w:w="15" w:type="dxa"/>
              <w:right w:w="14" w:type="dxa"/>
            </w:tcMar>
            <w:hideMark/>
          </w:tcPr>
          <w:p w14:paraId="2BD6154E" w14:textId="77777777" w:rsidR="00000000" w:rsidRDefault="00EF48A2">
            <w:pPr>
              <w:pStyle w:val="a3"/>
              <w:spacing w:before="0" w:beforeAutospacing="0" w:after="0" w:afterAutospacing="0"/>
              <w:rPr>
                <w:sz w:val="20"/>
                <w:szCs w:val="20"/>
              </w:rPr>
            </w:pPr>
            <w:hyperlink w:anchor="exhibit_index" w:history="1">
              <w:r>
                <w:rPr>
                  <w:rStyle w:val="a4"/>
                  <w:sz w:val="20"/>
                  <w:szCs w:val="20"/>
                </w:rPr>
                <w:t>Exhibit Inde</w:t>
              </w:r>
              <w:r>
                <w:rPr>
                  <w:rStyle w:val="a4"/>
                  <w:sz w:val="20"/>
                  <w:szCs w:val="20"/>
                </w:rPr>
                <w:t>x</w:t>
              </w:r>
            </w:hyperlink>
          </w:p>
        </w:tc>
        <w:tc>
          <w:tcPr>
            <w:tcW w:w="0" w:type="auto"/>
            <w:tcMar>
              <w:top w:w="14" w:type="dxa"/>
              <w:left w:w="15" w:type="dxa"/>
              <w:bottom w:w="15" w:type="dxa"/>
              <w:right w:w="14" w:type="dxa"/>
            </w:tcMar>
            <w:vAlign w:val="bottom"/>
            <w:hideMark/>
          </w:tcPr>
          <w:p w14:paraId="4EFC1957" w14:textId="77777777" w:rsidR="00000000" w:rsidRDefault="00EF48A2">
            <w:pPr>
              <w:pStyle w:val="a3"/>
              <w:spacing w:before="0" w:beforeAutospacing="0" w:after="0" w:afterAutospacing="0"/>
              <w:jc w:val="right"/>
              <w:rPr>
                <w:sz w:val="20"/>
                <w:szCs w:val="20"/>
              </w:rPr>
            </w:pPr>
            <w:r>
              <w:rPr>
                <w:sz w:val="20"/>
                <w:szCs w:val="20"/>
              </w:rPr>
              <w:t>8</w:t>
            </w:r>
            <w:r>
              <w:rPr>
                <w:sz w:val="20"/>
                <w:szCs w:val="20"/>
              </w:rPr>
              <w:t>5</w:t>
            </w:r>
          </w:p>
        </w:tc>
      </w:tr>
      <w:tr w:rsidR="00000000" w14:paraId="1C2A6F9E" w14:textId="77777777">
        <w:trPr>
          <w:trHeight w:val="200"/>
          <w:tblCellSpacing w:w="15" w:type="dxa"/>
        </w:trPr>
        <w:tc>
          <w:tcPr>
            <w:tcW w:w="0" w:type="auto"/>
            <w:gridSpan w:val="2"/>
            <w:tcMar>
              <w:top w:w="14" w:type="dxa"/>
              <w:left w:w="15" w:type="dxa"/>
              <w:bottom w:w="15" w:type="dxa"/>
              <w:right w:w="14" w:type="dxa"/>
            </w:tcMar>
            <w:hideMark/>
          </w:tcPr>
          <w:p w14:paraId="17CF3A3B" w14:textId="77777777" w:rsidR="00000000" w:rsidRDefault="00EF48A2">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14:paraId="03F9AB3A" w14:textId="77777777" w:rsidR="00000000" w:rsidRDefault="00EF48A2">
            <w:pPr>
              <w:pStyle w:val="a3"/>
              <w:spacing w:before="0" w:beforeAutospacing="0" w:after="0" w:afterAutospacing="0"/>
              <w:jc w:val="right"/>
              <w:rPr>
                <w:sz w:val="20"/>
                <w:szCs w:val="20"/>
              </w:rPr>
            </w:pPr>
            <w:r>
              <w:rPr>
                <w:sz w:val="20"/>
                <w:szCs w:val="20"/>
              </w:rPr>
              <w:t>8</w:t>
            </w:r>
            <w:r>
              <w:rPr>
                <w:sz w:val="20"/>
                <w:szCs w:val="20"/>
              </w:rPr>
              <w:t>6</w:t>
            </w:r>
          </w:p>
        </w:tc>
      </w:tr>
    </w:tbl>
    <w:p w14:paraId="2308C5EF" w14:textId="77777777" w:rsidR="00000000" w:rsidRDefault="00EF48A2">
      <w:pPr>
        <w:pStyle w:val="a3"/>
        <w:spacing w:before="0" w:beforeAutospacing="0" w:after="0" w:afterAutospacing="0"/>
        <w:rPr>
          <w:sz w:val="20"/>
          <w:szCs w:val="20"/>
        </w:rPr>
      </w:pPr>
      <w:r>
        <w:rPr>
          <w:sz w:val="20"/>
          <w:szCs w:val="20"/>
        </w:rPr>
        <w:t> </w:t>
      </w:r>
    </w:p>
    <w:p w14:paraId="229E2AE2" w14:textId="77777777" w:rsidR="00000000" w:rsidRDefault="00EF48A2">
      <w:pPr>
        <w:pStyle w:val="a3"/>
        <w:spacing w:before="0" w:beforeAutospacing="0" w:after="0" w:afterAutospacing="0"/>
        <w:rPr>
          <w:sz w:val="20"/>
          <w:szCs w:val="20"/>
        </w:rPr>
      </w:pPr>
      <w:r>
        <w:rPr>
          <w:sz w:val="20"/>
          <w:szCs w:val="20"/>
        </w:rPr>
        <w:t> </w:t>
      </w:r>
    </w:p>
    <w:p w14:paraId="28DFD766" w14:textId="77777777" w:rsidR="00000000" w:rsidRDefault="00EF48A2">
      <w:pPr>
        <w:pStyle w:val="a3"/>
        <w:spacing w:before="0" w:beforeAutospacing="0" w:after="0" w:afterAutospacing="0"/>
        <w:jc w:val="center"/>
        <w:rPr>
          <w:sz w:val="20"/>
          <w:szCs w:val="20"/>
        </w:rPr>
      </w:pPr>
      <w:r>
        <w:rPr>
          <w:sz w:val="20"/>
          <w:szCs w:val="20"/>
        </w:rPr>
        <w:t>i</w:t>
      </w:r>
    </w:p>
    <w:p w14:paraId="2E573FD8" w14:textId="77777777" w:rsidR="00000000" w:rsidRDefault="00EF48A2">
      <w:pPr>
        <w:rPr>
          <w:rFonts w:eastAsia="Times New Roman"/>
        </w:rPr>
      </w:pPr>
      <w:r>
        <w:rPr>
          <w:rFonts w:eastAsia="Times New Roman"/>
        </w:rPr>
        <w:pict w14:anchorId="343CCA73">
          <v:rect id="_x0000_i1027" style="width:0;height:1.5pt" o:hralign="center" o:hrstd="t" o:hr="t" fillcolor="#a0a0a0" stroked="f"/>
        </w:pict>
      </w:r>
    </w:p>
    <w:p w14:paraId="6439088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7B07F7D4" w14:textId="77777777" w:rsidR="00000000" w:rsidRDefault="00EF48A2">
      <w:pPr>
        <w:pStyle w:val="a3"/>
        <w:spacing w:before="0" w:beforeAutospacing="0" w:after="0" w:afterAutospacing="0"/>
        <w:jc w:val="center"/>
        <w:rPr>
          <w:sz w:val="20"/>
          <w:szCs w:val="20"/>
        </w:rPr>
      </w:pPr>
      <w:r>
        <w:rPr>
          <w:sz w:val="20"/>
          <w:szCs w:val="20"/>
        </w:rPr>
        <w:t> </w:t>
      </w:r>
    </w:p>
    <w:p w14:paraId="7BBB7E57" w14:textId="77777777" w:rsidR="00000000" w:rsidRDefault="00EF48A2">
      <w:pPr>
        <w:pStyle w:val="a3"/>
        <w:spacing w:before="0" w:beforeAutospacing="0" w:after="0" w:afterAutospacing="0"/>
        <w:jc w:val="center"/>
        <w:rPr>
          <w:sz w:val="20"/>
          <w:szCs w:val="20"/>
        </w:rPr>
      </w:pPr>
      <w:r>
        <w:rPr>
          <w:b/>
          <w:bCs/>
          <w:sz w:val="20"/>
          <w:szCs w:val="20"/>
        </w:rPr>
        <w:t xml:space="preserve">PART </w:t>
      </w:r>
      <w:r>
        <w:rPr>
          <w:b/>
          <w:bCs/>
          <w:sz w:val="20"/>
          <w:szCs w:val="20"/>
        </w:rPr>
        <w:t>I</w:t>
      </w:r>
    </w:p>
    <w:p w14:paraId="62EAD966"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 BUSINES</w:t>
      </w:r>
      <w:r>
        <w:rPr>
          <w:b/>
          <w:bCs/>
          <w:sz w:val="20"/>
          <w:szCs w:val="20"/>
        </w:rPr>
        <w:t>S</w:t>
      </w:r>
    </w:p>
    <w:p w14:paraId="66A2F964" w14:textId="77777777" w:rsidR="00000000" w:rsidRDefault="00EF48A2">
      <w:pPr>
        <w:pStyle w:val="a3"/>
        <w:spacing w:before="240" w:beforeAutospacing="0" w:after="0" w:afterAutospacing="0"/>
        <w:rPr>
          <w:sz w:val="20"/>
          <w:szCs w:val="20"/>
        </w:rPr>
      </w:pPr>
      <w:r>
        <w:rPr>
          <w:b/>
          <w:bCs/>
          <w:sz w:val="20"/>
          <w:szCs w:val="20"/>
        </w:rPr>
        <w:t>Our Missio</w:t>
      </w:r>
      <w:r>
        <w:rPr>
          <w:b/>
          <w:bCs/>
          <w:sz w:val="20"/>
          <w:szCs w:val="20"/>
        </w:rPr>
        <w:t>n</w:t>
      </w:r>
      <w:r>
        <w:rPr>
          <w:b/>
          <w:bCs/>
          <w:sz w:val="20"/>
          <w:szCs w:val="20"/>
        </w:rPr>
        <w:t xml:space="preserve"> </w:t>
      </w:r>
    </w:p>
    <w:p w14:paraId="15465B48" w14:textId="77777777" w:rsidR="00000000" w:rsidRDefault="00EF48A2">
      <w:pPr>
        <w:pStyle w:val="a3"/>
        <w:spacing w:before="180" w:beforeAutospacing="0" w:after="0" w:afterAutospacing="0"/>
        <w:jc w:val="both"/>
        <w:rPr>
          <w:sz w:val="20"/>
          <w:szCs w:val="20"/>
        </w:rPr>
      </w:pPr>
      <w:r>
        <w:rPr>
          <w:sz w:val="20"/>
          <w:szCs w:val="20"/>
        </w:rPr>
        <w:t>Our mission is to help people everywhere to heal</w:t>
      </w:r>
      <w:r>
        <w:rPr>
          <w:sz w:val="20"/>
          <w:szCs w:val="20"/>
        </w:rPr>
        <w:t>.</w:t>
      </w:r>
    </w:p>
    <w:p w14:paraId="4728867D" w14:textId="77777777" w:rsidR="00000000" w:rsidRDefault="00EF48A2">
      <w:pPr>
        <w:pStyle w:val="a3"/>
        <w:spacing w:before="24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14:paraId="78BC3F20" w14:textId="77777777" w:rsidR="00000000" w:rsidRDefault="00EF48A2">
      <w:pPr>
        <w:pStyle w:val="a3"/>
        <w:spacing w:before="180" w:beforeAutospacing="0" w:after="0" w:afterAutospacing="0"/>
        <w:jc w:val="both"/>
        <w:rPr>
          <w:sz w:val="20"/>
          <w:szCs w:val="20"/>
        </w:rPr>
      </w:pPr>
      <w:r>
        <w:rPr>
          <w:sz w:val="20"/>
          <w:szCs w:val="20"/>
        </w:rPr>
        <w:t>Talkspace, Inc. together with its consolidated subsidiaries (referred to</w:t>
      </w:r>
      <w:r>
        <w:rPr>
          <w:sz w:val="20"/>
          <w:szCs w:val="20"/>
        </w:rPr>
        <w:t xml:space="preserve"> herein as the “Company”, “we”, “our”, “us” or “Talkspace”) is a leading behavioral healthcare company that offers convenient and affordable access to a fully-credentialed network of licensed therapists, psychologists, and psychiatrists. Founded in 2012, a</w:t>
      </w:r>
      <w:r>
        <w:rPr>
          <w:sz w:val="20"/>
          <w:szCs w:val="20"/>
        </w:rPr>
        <w:t>nd enabled by a purpose-built technology platform, we have connected millions of patients, who we refer to as our “members” with licensed mental health providers through messaging, video and audio</w:t>
      </w:r>
      <w:r>
        <w:rPr>
          <w:sz w:val="20"/>
          <w:szCs w:val="20"/>
        </w:rPr>
        <w:t>.</w:t>
      </w:r>
    </w:p>
    <w:p w14:paraId="68CEA708" w14:textId="77777777" w:rsidR="00000000" w:rsidRDefault="00EF48A2">
      <w:pPr>
        <w:pStyle w:val="a3"/>
        <w:spacing w:before="180" w:beforeAutospacing="0" w:after="0" w:afterAutospacing="0"/>
        <w:jc w:val="both"/>
        <w:rPr>
          <w:sz w:val="20"/>
          <w:szCs w:val="20"/>
        </w:rPr>
      </w:pPr>
      <w:r>
        <w:rPr>
          <w:sz w:val="20"/>
          <w:szCs w:val="20"/>
        </w:rPr>
        <w:t xml:space="preserve">Talkspace was originally incorporated as Hudson Executive </w:t>
      </w:r>
      <w:r>
        <w:rPr>
          <w:sz w:val="20"/>
          <w:szCs w:val="20"/>
        </w:rPr>
        <w:t>Investment Corp. (“HEC”), a special purpose acquisition company, for the purpose of entering into a merger, share exchange, asset acquisition, stock purchase, recapitalization or other similar business combination with one or more businesses or entities. O</w:t>
      </w:r>
      <w:r>
        <w:rPr>
          <w:sz w:val="20"/>
          <w:szCs w:val="20"/>
        </w:rPr>
        <w:t>n January 12, 2021, HEC, entered into an Agreement and Plan of Merger, dated as of January 12, 2021 (the “Merger Agreement”), with Groop Internet Platform, Inc. (“Old Talkspace”), Tailwind Merger Sub I, Inc., a Delaware corporation and a direct wholly owne</w:t>
      </w:r>
      <w:r>
        <w:rPr>
          <w:sz w:val="20"/>
          <w:szCs w:val="20"/>
        </w:rPr>
        <w:t>d subsidiary of HEC (“First Merger Sub”), and Tailwind Merger Sub II, LLC, a Delaware limited liability company (“Second Merger Sub”). On June 22, 2021, as contemplated by the Merger Agreement, First Merger Sub merged with and into Old Talkspace (the “Firs</w:t>
      </w:r>
      <w:r>
        <w:rPr>
          <w:sz w:val="20"/>
          <w:szCs w:val="20"/>
        </w:rPr>
        <w:t>t Merger”) with Old Talkspace surviving the First Merger, and immediately following the First Merger and as part of the same overall transaction as the First Merger, Old Talkspace merged with and into Second Merger Sub, with Second Merger Sub surviving the</w:t>
      </w:r>
      <w:r>
        <w:rPr>
          <w:sz w:val="20"/>
          <w:szCs w:val="20"/>
        </w:rPr>
        <w:t xml:space="preserve"> merger as a wholly owned subsidiary of HEC. The Company refers to this transaction as the Business Combination. In connection with the Business Combination, HEC filed the Certificate of Incorporation and changed its name to “Talkspace, Inc.</w:t>
      </w:r>
      <w:r>
        <w:rPr>
          <w:sz w:val="20"/>
          <w:szCs w:val="20"/>
        </w:rPr>
        <w:t>”</w:t>
      </w:r>
    </w:p>
    <w:p w14:paraId="5AEADA36" w14:textId="77777777" w:rsidR="00000000" w:rsidRDefault="00EF48A2">
      <w:pPr>
        <w:pStyle w:val="a3"/>
        <w:spacing w:before="180" w:beforeAutospacing="0" w:after="0" w:afterAutospacing="0"/>
        <w:jc w:val="both"/>
        <w:rPr>
          <w:sz w:val="20"/>
          <w:szCs w:val="20"/>
        </w:rPr>
      </w:pPr>
      <w:r>
        <w:rPr>
          <w:sz w:val="20"/>
          <w:szCs w:val="20"/>
        </w:rPr>
        <w:t>Through our p</w:t>
      </w:r>
      <w:r>
        <w:rPr>
          <w:sz w:val="20"/>
          <w:szCs w:val="20"/>
        </w:rPr>
        <w:t>latform, we serve our business-to-business (“B2B”) channel, comprised of large enterprise clients such as Google and Expedia and large health plans and employee assistance programs such as Aetna, Cigna, Premera, and Optum, who offer their employees and ins</w:t>
      </w:r>
      <w:r>
        <w:rPr>
          <w:sz w:val="20"/>
          <w:szCs w:val="20"/>
        </w:rPr>
        <w:t>ured members access to the Company's platform while their employer is under an active contract with Talkspace, or at in-network reimbursement rates, where applicable, and our business-to-consumer (“B2C”) channel, comprised of individual consumers who subsc</w:t>
      </w:r>
      <w:r>
        <w:rPr>
          <w:sz w:val="20"/>
          <w:szCs w:val="20"/>
        </w:rPr>
        <w:t>ribe directly to the Company's platform</w:t>
      </w:r>
      <w:r>
        <w:rPr>
          <w:sz w:val="20"/>
          <w:szCs w:val="20"/>
        </w:rPr>
        <w:t>.</w:t>
      </w:r>
    </w:p>
    <w:p w14:paraId="7EC23091" w14:textId="77777777" w:rsidR="00000000" w:rsidRDefault="00EF48A2">
      <w:pPr>
        <w:pStyle w:val="a3"/>
        <w:spacing w:before="180" w:beforeAutospacing="0" w:after="0" w:afterAutospacing="0"/>
        <w:jc w:val="both"/>
        <w:rPr>
          <w:sz w:val="20"/>
          <w:szCs w:val="20"/>
        </w:rPr>
      </w:pPr>
      <w:r>
        <w:rPr>
          <w:sz w:val="20"/>
          <w:szCs w:val="20"/>
        </w:rPr>
        <w:t>Through our psychotherapy offerings, our licensed therapists and counselors treat mental health conditions in over 21 specializations, such as depression, anxiety, trauma and other human challenges. Through our psyc</w:t>
      </w:r>
      <w:r>
        <w:rPr>
          <w:sz w:val="20"/>
          <w:szCs w:val="20"/>
        </w:rPr>
        <w:t>hiatry offerings, our board-certified psychiatrists and prescription-eligible nurse practitioners treat a higher acuity patient demographic, including those who may have pharmacological needs. Our psychiatry clinicians, may in their discretion, refer the m</w:t>
      </w:r>
      <w:r>
        <w:rPr>
          <w:sz w:val="20"/>
          <w:szCs w:val="20"/>
        </w:rPr>
        <w:t>ember to a primary care provider or face-to-face psychiatrist if the clinical need arises, including to address potential needs for “controlled substances.” Talkspace does not prescribe controlled substances in accordance with the Drug Enforcement Administ</w:t>
      </w:r>
      <w:r>
        <w:rPr>
          <w:sz w:val="20"/>
          <w:szCs w:val="20"/>
        </w:rPr>
        <w:t>ration (“DEA”) Ryan Haight Act</w:t>
      </w:r>
      <w:r>
        <w:rPr>
          <w:sz w:val="20"/>
          <w:szCs w:val="20"/>
        </w:rPr>
        <w:t>.</w:t>
      </w:r>
    </w:p>
    <w:p w14:paraId="7ACE1A8A" w14:textId="77777777" w:rsidR="00000000" w:rsidRDefault="00EF48A2">
      <w:pPr>
        <w:pStyle w:val="a3"/>
        <w:spacing w:before="180" w:beforeAutospacing="0" w:after="0" w:afterAutospacing="0"/>
        <w:jc w:val="both"/>
        <w:rPr>
          <w:sz w:val="20"/>
          <w:szCs w:val="20"/>
        </w:rPr>
      </w:pPr>
      <w:r>
        <w:rPr>
          <w:sz w:val="20"/>
          <w:szCs w:val="20"/>
        </w:rPr>
        <w:t>We have a vast nationwide network of fully-credentialed providers across all 50 U.S. states. Our network is sustained and enhanced by an attractive value proposition to providers, including flexibility, convenience, efficien</w:t>
      </w:r>
      <w:r>
        <w:rPr>
          <w:sz w:val="20"/>
          <w:szCs w:val="20"/>
        </w:rPr>
        <w:t xml:space="preserve">cy, professional development opportunities and income. We also believe that our </w:t>
      </w:r>
      <w:r>
        <w:rPr>
          <w:sz w:val="20"/>
          <w:szCs w:val="20"/>
        </w:rPr>
        <w:lastRenderedPageBreak/>
        <w:t>platform provides other benefits to providers through expanded reach, steady access to member leads, reduced administrative burdens, more efficient time utilization and data-dr</w:t>
      </w:r>
      <w:r>
        <w:rPr>
          <w:sz w:val="20"/>
          <w:szCs w:val="20"/>
        </w:rPr>
        <w:t>iven insights. We designed our provider network to be scalable and to leverage a hybrid model of both employee providers and independently contracted providers to support multiple growth scenarios</w:t>
      </w:r>
      <w:r>
        <w:rPr>
          <w:sz w:val="20"/>
          <w:szCs w:val="20"/>
        </w:rPr>
        <w:t>.</w:t>
      </w:r>
    </w:p>
    <w:p w14:paraId="4FDD27AD" w14:textId="77777777" w:rsidR="00000000" w:rsidRDefault="00EF48A2">
      <w:pPr>
        <w:pStyle w:val="a3"/>
        <w:spacing w:before="180" w:beforeAutospacing="0" w:after="0" w:afterAutospacing="0"/>
        <w:jc w:val="both"/>
        <w:rPr>
          <w:sz w:val="20"/>
          <w:szCs w:val="20"/>
        </w:rPr>
      </w:pPr>
      <w:r>
        <w:rPr>
          <w:sz w:val="20"/>
          <w:szCs w:val="20"/>
        </w:rPr>
        <w:t>Our network is empowered to deliver what we believe will e</w:t>
      </w:r>
      <w:r>
        <w:rPr>
          <w:sz w:val="20"/>
          <w:szCs w:val="20"/>
        </w:rPr>
        <w:t>nable an enhanced care journey, higher member lifetime engagement, meaningful outcomes and greater margins when compared to face-to-face treatment. In pursuing our mission of helping people everywhere to heal, we aim to provide our members with high-qualit</w:t>
      </w:r>
      <w:r>
        <w:rPr>
          <w:sz w:val="20"/>
          <w:szCs w:val="20"/>
        </w:rPr>
        <w:t>y behavioral healthcare, whether they are paying for the service directly or via coverage through a health plan, employee access program, or employer benefit</w:t>
      </w:r>
      <w:r>
        <w:rPr>
          <w:sz w:val="20"/>
          <w:szCs w:val="20"/>
        </w:rPr>
        <w:t>.</w:t>
      </w:r>
      <w:r>
        <w:rPr>
          <w:sz w:val="20"/>
          <w:szCs w:val="20"/>
        </w:rPr>
        <w:t xml:space="preserve"> </w:t>
      </w:r>
    </w:p>
    <w:p w14:paraId="72480850" w14:textId="77777777" w:rsidR="00000000" w:rsidRDefault="00EF48A2">
      <w:pPr>
        <w:pStyle w:val="a3"/>
        <w:spacing w:before="180" w:beforeAutospacing="0" w:after="0" w:afterAutospacing="0"/>
        <w:jc w:val="both"/>
        <w:rPr>
          <w:sz w:val="20"/>
          <w:szCs w:val="20"/>
        </w:rPr>
      </w:pPr>
      <w:r>
        <w:rPr>
          <w:sz w:val="20"/>
          <w:szCs w:val="20"/>
        </w:rPr>
        <w:t>For the year ended December 31, 2022 our revenues were $119.6 million compared to $113.7 million</w:t>
      </w:r>
      <w:r>
        <w:rPr>
          <w:sz w:val="20"/>
          <w:szCs w:val="20"/>
        </w:rPr>
        <w:t xml:space="preserve"> for the year ended December 31, 2021. Completed B2B sessions related to members covered under our health plan clients during the year ended December 31, 2022 were approximately 426,400 compared to 273,700 completed B2B sessions for the year ended Decembe</w:t>
      </w:r>
      <w:r>
        <w:rPr>
          <w:sz w:val="20"/>
          <w:szCs w:val="20"/>
        </w:rPr>
        <w:t>r</w:t>
      </w:r>
      <w:r>
        <w:rPr>
          <w:sz w:val="20"/>
          <w:szCs w:val="20"/>
        </w:rPr>
        <w:t xml:space="preserve"> </w:t>
      </w:r>
    </w:p>
    <w:p w14:paraId="5073D78D" w14:textId="77777777" w:rsidR="00000000" w:rsidRDefault="00EF48A2">
      <w:pPr>
        <w:pStyle w:val="a3"/>
        <w:spacing w:before="0" w:beforeAutospacing="0" w:after="0" w:afterAutospacing="0"/>
        <w:jc w:val="center"/>
        <w:rPr>
          <w:sz w:val="20"/>
          <w:szCs w:val="20"/>
        </w:rPr>
      </w:pPr>
      <w:r>
        <w:rPr>
          <w:sz w:val="20"/>
          <w:szCs w:val="20"/>
        </w:rPr>
        <w:t>2</w:t>
      </w:r>
    </w:p>
    <w:p w14:paraId="07212B0C" w14:textId="77777777" w:rsidR="00000000" w:rsidRDefault="00EF48A2">
      <w:pPr>
        <w:rPr>
          <w:rFonts w:eastAsia="Times New Roman"/>
        </w:rPr>
      </w:pPr>
      <w:r>
        <w:rPr>
          <w:rFonts w:eastAsia="Times New Roman"/>
        </w:rPr>
        <w:pict w14:anchorId="1B2F6C14">
          <v:rect id="_x0000_i1028" style="width:0;height:1.5pt" o:hralign="center" o:hrstd="t" o:hr="t" fillcolor="#a0a0a0" stroked="f"/>
        </w:pict>
      </w:r>
    </w:p>
    <w:p w14:paraId="1E7D1147"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F0C80D3" w14:textId="77777777" w:rsidR="00000000" w:rsidRDefault="00EF48A2">
      <w:pPr>
        <w:pStyle w:val="a3"/>
        <w:spacing w:before="180" w:beforeAutospacing="0" w:after="0" w:afterAutospacing="0"/>
        <w:jc w:val="both"/>
        <w:rPr>
          <w:sz w:val="20"/>
          <w:szCs w:val="20"/>
        </w:rPr>
      </w:pPr>
      <w:r>
        <w:rPr>
          <w:sz w:val="20"/>
          <w:szCs w:val="20"/>
        </w:rPr>
        <w:t xml:space="preserve">31, 2021. As of December 31, 2022, we had over 62,000 active members receiving care through our B2B and B2C channels, including over 92 million B2B eligible lives and </w:t>
      </w:r>
      <w:r>
        <w:rPr>
          <w:sz w:val="20"/>
          <w:szCs w:val="20"/>
        </w:rPr>
        <w:t>15,000 B2C active members compared to approximately 56,000 active members receiving care through our B2B and B2C channels, including approximately 69 million B2B eligible lives and 24,000 B2C active members as of December 31, 2021</w:t>
      </w:r>
      <w:r>
        <w:rPr>
          <w:sz w:val="20"/>
          <w:szCs w:val="20"/>
        </w:rPr>
        <w:t>.</w:t>
      </w:r>
    </w:p>
    <w:p w14:paraId="5DB6E2B0" w14:textId="77777777" w:rsidR="00000000" w:rsidRDefault="00EF48A2">
      <w:pPr>
        <w:pStyle w:val="a3"/>
        <w:spacing w:before="240" w:beforeAutospacing="0" w:after="0" w:afterAutospacing="0"/>
        <w:rPr>
          <w:sz w:val="20"/>
          <w:szCs w:val="20"/>
        </w:rPr>
      </w:pPr>
      <w:r>
        <w:rPr>
          <w:b/>
          <w:bCs/>
          <w:sz w:val="20"/>
          <w:szCs w:val="20"/>
        </w:rPr>
        <w:t>Our Offering</w:t>
      </w:r>
      <w:r>
        <w:rPr>
          <w:b/>
          <w:bCs/>
          <w:sz w:val="20"/>
          <w:szCs w:val="20"/>
        </w:rPr>
        <w:t>s</w:t>
      </w:r>
      <w:r>
        <w:rPr>
          <w:b/>
          <w:bCs/>
          <w:sz w:val="20"/>
          <w:szCs w:val="20"/>
        </w:rPr>
        <w:t xml:space="preserve"> </w:t>
      </w:r>
    </w:p>
    <w:p w14:paraId="4C235114" w14:textId="77777777" w:rsidR="00000000" w:rsidRDefault="00EF48A2">
      <w:pPr>
        <w:pStyle w:val="a3"/>
        <w:spacing w:before="180" w:beforeAutospacing="0" w:after="0" w:afterAutospacing="0"/>
        <w:jc w:val="both"/>
        <w:rPr>
          <w:sz w:val="20"/>
          <w:szCs w:val="20"/>
        </w:rPr>
      </w:pPr>
      <w:r>
        <w:rPr>
          <w:sz w:val="20"/>
          <w:szCs w:val="20"/>
        </w:rPr>
        <w:t>Through o</w:t>
      </w:r>
      <w:r>
        <w:rPr>
          <w:sz w:val="20"/>
          <w:szCs w:val="20"/>
        </w:rPr>
        <w:t>ur platform, we provide psychotherapy and psychiatry services to individuals, enterprises (also referred to as "employers") and health plans through both B2B and B2C channels. In psychotherapy, or “talk therapy,” members work with a licensed therapist or c</w:t>
      </w:r>
      <w:r>
        <w:rPr>
          <w:sz w:val="20"/>
          <w:szCs w:val="20"/>
        </w:rPr>
        <w:t>ounselor to treat specific mental health conditions like depression or anxiety, trauma and other human challenges, including by developing positive thinking and coping skills. In psychiatry, members receive personalized, expert care from a prescriber who s</w:t>
      </w:r>
      <w:r>
        <w:rPr>
          <w:sz w:val="20"/>
          <w:szCs w:val="20"/>
        </w:rPr>
        <w:t>pecializes in mental healthcare and prescription management</w:t>
      </w:r>
      <w:r>
        <w:rPr>
          <w:sz w:val="20"/>
          <w:szCs w:val="20"/>
        </w:rPr>
        <w:t>.</w:t>
      </w:r>
      <w:r>
        <w:rPr>
          <w:sz w:val="20"/>
          <w:szCs w:val="20"/>
        </w:rPr>
        <w:t xml:space="preserve"> </w:t>
      </w:r>
    </w:p>
    <w:p w14:paraId="01EA4FA0" w14:textId="77777777" w:rsidR="00000000" w:rsidRDefault="00EF48A2">
      <w:pPr>
        <w:pStyle w:val="a3"/>
        <w:spacing w:before="180" w:beforeAutospacing="0" w:after="0" w:afterAutospacing="0"/>
        <w:jc w:val="both"/>
        <w:rPr>
          <w:sz w:val="20"/>
          <w:szCs w:val="20"/>
        </w:rPr>
      </w:pPr>
      <w:r>
        <w:rPr>
          <w:sz w:val="20"/>
          <w:szCs w:val="20"/>
        </w:rPr>
        <w:t>By seeking to eliminate barriers in accessing and utilizing mental healthcare and offering providers technology-enabled tools to provide high-quality clinical care with a data-driven approach to</w:t>
      </w:r>
      <w:r>
        <w:rPr>
          <w:sz w:val="20"/>
          <w:szCs w:val="20"/>
        </w:rPr>
        <w:t xml:space="preserve"> treatment, we offer our members a robust ecosystem for end-to-end behavioral healthcare</w:t>
      </w:r>
      <w:r>
        <w:rPr>
          <w:sz w:val="20"/>
          <w:szCs w:val="20"/>
        </w:rPr>
        <w:t>.</w:t>
      </w:r>
    </w:p>
    <w:p w14:paraId="14FD5B0F" w14:textId="77777777" w:rsidR="00000000" w:rsidRDefault="00EF48A2">
      <w:pPr>
        <w:pStyle w:val="a3"/>
        <w:spacing w:before="180" w:beforeAutospacing="0" w:after="0" w:afterAutospacing="0"/>
        <w:jc w:val="both"/>
        <w:rPr>
          <w:sz w:val="20"/>
          <w:szCs w:val="20"/>
        </w:rPr>
      </w:pPr>
      <w:r>
        <w:rPr>
          <w:i/>
          <w:iCs/>
          <w:sz w:val="20"/>
          <w:szCs w:val="20"/>
        </w:rPr>
        <w:t>Psychotherap</w:t>
      </w:r>
      <w:r>
        <w:rPr>
          <w:i/>
          <w:iCs/>
          <w:sz w:val="20"/>
          <w:szCs w:val="20"/>
        </w:rPr>
        <w:t>y</w:t>
      </w:r>
      <w:r>
        <w:rPr>
          <w:sz w:val="20"/>
          <w:szCs w:val="20"/>
        </w:rPr>
        <w:t>: We offer text, audio and video-based psychotherapy from licensed therapists through employers and health plans in the B2B channel and directly to consumers in the B2C channel. Individual subscribers sign up for individual plans (i.e., Unlimited Messaging</w:t>
      </w:r>
      <w:r>
        <w:rPr>
          <w:sz w:val="20"/>
          <w:szCs w:val="20"/>
        </w:rPr>
        <w:t xml:space="preserve"> Therapy Plus, Unlimited Messaging Therapy Premium, Unlimited Messaging Therapy Ultimate, Talkspace Couples Therapy and Talkspace Teens Therapy) inclusive of text, video and audio messaging</w:t>
      </w:r>
      <w:r>
        <w:rPr>
          <w:sz w:val="20"/>
          <w:szCs w:val="20"/>
        </w:rPr>
        <w:t>.</w:t>
      </w:r>
    </w:p>
    <w:p w14:paraId="569B0F30" w14:textId="77777777" w:rsidR="00000000" w:rsidRDefault="00EF48A2">
      <w:pPr>
        <w:pStyle w:val="a3"/>
        <w:spacing w:before="180" w:beforeAutospacing="0" w:after="0" w:afterAutospacing="0"/>
        <w:jc w:val="both"/>
        <w:rPr>
          <w:sz w:val="20"/>
          <w:szCs w:val="20"/>
        </w:rPr>
      </w:pPr>
      <w:r>
        <w:rPr>
          <w:sz w:val="20"/>
          <w:szCs w:val="20"/>
        </w:rPr>
        <w:t>Through</w:t>
      </w:r>
      <w:r>
        <w:rPr>
          <w:sz w:val="20"/>
          <w:szCs w:val="20"/>
        </w:rPr>
        <w:t xml:space="preserve"> </w:t>
      </w:r>
      <w:r>
        <w:rPr>
          <w:i/>
          <w:iCs/>
          <w:sz w:val="20"/>
          <w:szCs w:val="20"/>
        </w:rPr>
        <w:t>Talkspace for Busines</w:t>
      </w:r>
      <w:r>
        <w:rPr>
          <w:i/>
          <w:iCs/>
          <w:sz w:val="20"/>
          <w:szCs w:val="20"/>
        </w:rPr>
        <w:t>s</w:t>
      </w:r>
      <w:r>
        <w:rPr>
          <w:sz w:val="20"/>
          <w:szCs w:val="20"/>
        </w:rPr>
        <w:t>, employees access our platform ser</w:t>
      </w:r>
      <w:r>
        <w:rPr>
          <w:sz w:val="20"/>
          <w:szCs w:val="20"/>
        </w:rPr>
        <w:t>vices on a benefit plan paid by the employer. Through</w:t>
      </w:r>
      <w:r>
        <w:rPr>
          <w:sz w:val="20"/>
          <w:szCs w:val="20"/>
        </w:rPr>
        <w:t xml:space="preserve"> </w:t>
      </w:r>
      <w:r>
        <w:rPr>
          <w:i/>
          <w:iCs/>
          <w:sz w:val="20"/>
          <w:szCs w:val="20"/>
        </w:rPr>
        <w:t>Talkspace Employee Assistance Program</w:t>
      </w:r>
      <w:r>
        <w:rPr>
          <w:i/>
          <w:iCs/>
          <w:sz w:val="20"/>
          <w:szCs w:val="20"/>
        </w:rPr>
        <w:t xml:space="preserve"> </w:t>
      </w:r>
      <w:r>
        <w:rPr>
          <w:sz w:val="20"/>
          <w:szCs w:val="20"/>
        </w:rPr>
        <w:t>(“EAP”) and</w:t>
      </w:r>
      <w:r>
        <w:rPr>
          <w:sz w:val="20"/>
          <w:szCs w:val="20"/>
        </w:rPr>
        <w:t xml:space="preserve"> </w:t>
      </w:r>
      <w:r>
        <w:rPr>
          <w:i/>
          <w:iCs/>
          <w:sz w:val="20"/>
          <w:szCs w:val="20"/>
        </w:rPr>
        <w:t>Talkspace Behavioral Health pla</w:t>
      </w:r>
      <w:r>
        <w:rPr>
          <w:i/>
          <w:iCs/>
          <w:sz w:val="20"/>
          <w:szCs w:val="20"/>
        </w:rPr>
        <w:t>n</w:t>
      </w:r>
      <w:r>
        <w:rPr>
          <w:sz w:val="20"/>
          <w:szCs w:val="20"/>
        </w:rPr>
        <w:t xml:space="preserve"> (“BH”), we contract with a number of U.S. health plans to provide online therapy to employees through EAP and behaviora</w:t>
      </w:r>
      <w:r>
        <w:rPr>
          <w:sz w:val="20"/>
          <w:szCs w:val="20"/>
        </w:rPr>
        <w:t>l health benefits. Talkspace is also an accepted provider of behavioral health services by several large healthcare payors, including Aetna, Cigna, Premera and Optum</w:t>
      </w:r>
      <w:r>
        <w:rPr>
          <w:sz w:val="20"/>
          <w:szCs w:val="20"/>
        </w:rPr>
        <w:t>.</w:t>
      </w:r>
    </w:p>
    <w:p w14:paraId="15A292E2" w14:textId="77777777" w:rsidR="00000000" w:rsidRDefault="00EF48A2">
      <w:pPr>
        <w:pStyle w:val="a3"/>
        <w:spacing w:before="180" w:beforeAutospacing="0" w:after="0" w:afterAutospacing="0"/>
        <w:jc w:val="both"/>
        <w:rPr>
          <w:sz w:val="20"/>
          <w:szCs w:val="20"/>
        </w:rPr>
      </w:pPr>
      <w:r>
        <w:rPr>
          <w:i/>
          <w:iCs/>
          <w:sz w:val="20"/>
          <w:szCs w:val="20"/>
        </w:rPr>
        <w:t>Psychiatr</w:t>
      </w:r>
      <w:r>
        <w:rPr>
          <w:i/>
          <w:iCs/>
          <w:sz w:val="20"/>
          <w:szCs w:val="20"/>
        </w:rPr>
        <w:t>y</w:t>
      </w:r>
      <w:r>
        <w:rPr>
          <w:sz w:val="20"/>
          <w:szCs w:val="20"/>
        </w:rPr>
        <w:t>: Services are provided through health plans and employers and to consumers via</w:t>
      </w:r>
      <w:r>
        <w:rPr>
          <w:sz w:val="20"/>
          <w:szCs w:val="20"/>
        </w:rPr>
        <w:t xml:space="preserve"> the Talkspace platform. Typical packages include one initial video consultation, with follow-up video appointments as needed. Like the traditional face-to-face model, Talkspace providers can prescribe medication they deem necessary up and until the point,</w:t>
      </w:r>
      <w:r>
        <w:rPr>
          <w:sz w:val="20"/>
          <w:szCs w:val="20"/>
        </w:rPr>
        <w:t xml:space="preserve"> that in the providers discretion, the member requires a face-to-face provider for potential need of those prescriptions labeled a “controlled substance” under the federal Controlled Substances Act. Our psychiatry services are comprised of board-certified </w:t>
      </w:r>
      <w:r>
        <w:rPr>
          <w:sz w:val="20"/>
          <w:szCs w:val="20"/>
        </w:rPr>
        <w:t>psychiatrists, as well as prescription-eligible nurse practitioners who may supplement the psychiatrist in follow-up visits and act in a medication management capacity</w:t>
      </w:r>
      <w:r>
        <w:rPr>
          <w:sz w:val="20"/>
          <w:szCs w:val="20"/>
        </w:rPr>
        <w:t>.</w:t>
      </w:r>
    </w:p>
    <w:p w14:paraId="18E9B7E7" w14:textId="77777777" w:rsidR="00000000" w:rsidRDefault="00EF48A2">
      <w:pPr>
        <w:pStyle w:val="a3"/>
        <w:spacing w:before="240" w:beforeAutospacing="0" w:after="0" w:afterAutospacing="0"/>
        <w:rPr>
          <w:sz w:val="20"/>
          <w:szCs w:val="20"/>
        </w:rPr>
      </w:pPr>
      <w:r>
        <w:rPr>
          <w:b/>
          <w:bCs/>
          <w:sz w:val="20"/>
          <w:szCs w:val="20"/>
        </w:rPr>
        <w:t>Our Customer</w:t>
      </w:r>
      <w:r>
        <w:rPr>
          <w:b/>
          <w:bCs/>
          <w:sz w:val="20"/>
          <w:szCs w:val="20"/>
        </w:rPr>
        <w:t>s</w:t>
      </w:r>
      <w:r>
        <w:rPr>
          <w:b/>
          <w:bCs/>
          <w:sz w:val="20"/>
          <w:szCs w:val="20"/>
        </w:rPr>
        <w:t xml:space="preserve"> </w:t>
      </w:r>
    </w:p>
    <w:p w14:paraId="5940DD8D" w14:textId="77777777" w:rsidR="00000000" w:rsidRDefault="00EF48A2">
      <w:pPr>
        <w:pStyle w:val="a3"/>
        <w:spacing w:before="180" w:beforeAutospacing="0" w:after="0" w:afterAutospacing="0"/>
        <w:jc w:val="both"/>
        <w:rPr>
          <w:sz w:val="20"/>
          <w:szCs w:val="20"/>
        </w:rPr>
      </w:pPr>
      <w:r>
        <w:rPr>
          <w:sz w:val="20"/>
          <w:szCs w:val="20"/>
        </w:rPr>
        <w:lastRenderedPageBreak/>
        <w:t>In pursuit of our mission to expand access to all individuals in need of</w:t>
      </w:r>
      <w:r>
        <w:rPr>
          <w:sz w:val="20"/>
          <w:szCs w:val="20"/>
        </w:rPr>
        <w:t xml:space="preserve"> behavioral services, we strive to deliver effective care to a broad range of customers through both our B2B and B2C channels</w:t>
      </w:r>
      <w:r>
        <w:rPr>
          <w:sz w:val="20"/>
          <w:szCs w:val="20"/>
        </w:rPr>
        <w:t>.</w:t>
      </w:r>
    </w:p>
    <w:p w14:paraId="288052C0" w14:textId="77777777" w:rsidR="00000000" w:rsidRDefault="00EF48A2">
      <w:pPr>
        <w:pStyle w:val="a3"/>
        <w:spacing w:before="180" w:beforeAutospacing="0" w:after="0" w:afterAutospacing="0"/>
        <w:jc w:val="both"/>
        <w:rPr>
          <w:sz w:val="20"/>
          <w:szCs w:val="20"/>
        </w:rPr>
      </w:pPr>
      <w:r>
        <w:rPr>
          <w:sz w:val="20"/>
          <w:szCs w:val="20"/>
        </w:rPr>
        <w:t>In our B2B channel, we serve our health plan clients and enterprise clients and their respective employees and members through mu</w:t>
      </w:r>
      <w:r>
        <w:rPr>
          <w:sz w:val="20"/>
          <w:szCs w:val="20"/>
        </w:rPr>
        <w:t>ltiple offerings</w:t>
      </w:r>
      <w:r>
        <w:rPr>
          <w:sz w:val="20"/>
          <w:szCs w:val="20"/>
        </w:rPr>
        <w:t>.</w:t>
      </w:r>
      <w:r>
        <w:rPr>
          <w:sz w:val="20"/>
          <w:szCs w:val="20"/>
        </w:rPr>
        <w:t xml:space="preserve"> </w:t>
      </w:r>
    </w:p>
    <w:p w14:paraId="5DF35223" w14:textId="77777777" w:rsidR="00000000" w:rsidRDefault="00EF48A2">
      <w:pPr>
        <w:jc w:val="both"/>
        <w:divId w:val="1018585741"/>
        <w:rPr>
          <w:rFonts w:eastAsia="Times New Roman"/>
        </w:rPr>
      </w:pPr>
      <w:r>
        <w:rPr>
          <w:rFonts w:eastAsia="Times New Roman"/>
          <w:sz w:val="20"/>
          <w:szCs w:val="20"/>
        </w:rPr>
        <w:t>•</w:t>
      </w:r>
    </w:p>
    <w:p w14:paraId="5AA2E001" w14:textId="77777777" w:rsidR="00000000" w:rsidRDefault="00EF48A2">
      <w:pPr>
        <w:jc w:val="both"/>
        <w:divId w:val="402989567"/>
        <w:rPr>
          <w:rFonts w:eastAsia="Times New Roman"/>
        </w:rPr>
      </w:pPr>
      <w:r>
        <w:rPr>
          <w:rFonts w:eastAsia="Times New Roman"/>
          <w:i/>
          <w:iCs/>
          <w:sz w:val="20"/>
          <w:szCs w:val="20"/>
        </w:rPr>
        <w:t>Health Plan Client</w:t>
      </w:r>
      <w:r>
        <w:rPr>
          <w:rFonts w:eastAsia="Times New Roman"/>
          <w:i/>
          <w:iCs/>
          <w:sz w:val="20"/>
          <w:szCs w:val="20"/>
        </w:rPr>
        <w:t>s</w:t>
      </w:r>
      <w:r>
        <w:rPr>
          <w:rFonts w:eastAsia="Times New Roman"/>
          <w:sz w:val="20"/>
          <w:szCs w:val="20"/>
        </w:rPr>
        <w:t>: Through our EAP offering, we contract with major payor clients who are contracted with employers to deliver care. Through this solution, we are able to provide therapy and psychiatry services for our clients’ emplo</w:t>
      </w:r>
      <w:r>
        <w:rPr>
          <w:rFonts w:eastAsia="Times New Roman"/>
          <w:sz w:val="20"/>
          <w:szCs w:val="20"/>
        </w:rPr>
        <w:t>yees, who then pay a flat rate per session or interaction, of which we receive a portion of the fee. Through our BH offering, our members receive care directly covered through their individual health plan where our providers are considered in-network. A re</w:t>
      </w:r>
      <w:r>
        <w:rPr>
          <w:rFonts w:eastAsia="Times New Roman"/>
          <w:sz w:val="20"/>
          <w:szCs w:val="20"/>
        </w:rPr>
        <w:t>presentative sample of our health plan clients include Aetna, Cigna, Optum and Premera</w:t>
      </w:r>
      <w:r>
        <w:rPr>
          <w:rFonts w:eastAsia="Times New Roman"/>
          <w:sz w:val="20"/>
          <w:szCs w:val="20"/>
        </w:rPr>
        <w:t>.</w:t>
      </w:r>
    </w:p>
    <w:p w14:paraId="357877A8" w14:textId="77777777" w:rsidR="00000000" w:rsidRDefault="00EF48A2">
      <w:pPr>
        <w:jc w:val="both"/>
        <w:divId w:val="1252812168"/>
        <w:rPr>
          <w:rFonts w:eastAsia="Times New Roman"/>
        </w:rPr>
      </w:pPr>
      <w:r>
        <w:rPr>
          <w:rFonts w:eastAsia="Times New Roman"/>
          <w:sz w:val="20"/>
          <w:szCs w:val="20"/>
        </w:rPr>
        <w:t>•</w:t>
      </w:r>
    </w:p>
    <w:p w14:paraId="69933415" w14:textId="77777777" w:rsidR="00000000" w:rsidRDefault="00EF48A2">
      <w:pPr>
        <w:jc w:val="both"/>
        <w:divId w:val="1844127919"/>
        <w:rPr>
          <w:rFonts w:eastAsia="Times New Roman"/>
        </w:rPr>
      </w:pPr>
      <w:r>
        <w:rPr>
          <w:rFonts w:eastAsia="Times New Roman"/>
          <w:i/>
          <w:iCs/>
          <w:sz w:val="20"/>
          <w:szCs w:val="20"/>
        </w:rPr>
        <w:t>Enterprise Client</w:t>
      </w:r>
      <w:r>
        <w:rPr>
          <w:rFonts w:eastAsia="Times New Roman"/>
          <w:i/>
          <w:iCs/>
          <w:sz w:val="20"/>
          <w:szCs w:val="20"/>
        </w:rPr>
        <w:t>s</w:t>
      </w:r>
      <w:r>
        <w:rPr>
          <w:rFonts w:eastAsia="Times New Roman"/>
          <w:sz w:val="20"/>
          <w:szCs w:val="20"/>
        </w:rPr>
        <w:t>: Through our direct-to-employer offering, we contract directly with employers to provide their employees unlimited synchronous and asynchronous car</w:t>
      </w:r>
      <w:r>
        <w:rPr>
          <w:rFonts w:eastAsia="Times New Roman"/>
          <w:sz w:val="20"/>
          <w:szCs w:val="20"/>
        </w:rPr>
        <w:t>e primarily on a per-member-per-month (“PMPM”) basis. A representative sample of our enterprise clients include Accenture, Expedia and Google.</w:t>
      </w:r>
      <w:r>
        <w:rPr>
          <w:rFonts w:eastAsia="Times New Roman"/>
          <w:sz w:val="20"/>
          <w:szCs w:val="20"/>
        </w:rPr>
        <w:t xml:space="preserve"> </w:t>
      </w:r>
    </w:p>
    <w:p w14:paraId="4F41F17B" w14:textId="77777777" w:rsidR="00000000" w:rsidRDefault="00EF48A2">
      <w:pPr>
        <w:pStyle w:val="a3"/>
        <w:spacing w:before="180" w:beforeAutospacing="0" w:after="0" w:afterAutospacing="0"/>
        <w:jc w:val="both"/>
        <w:rPr>
          <w:sz w:val="20"/>
          <w:szCs w:val="20"/>
        </w:rPr>
      </w:pPr>
      <w:r>
        <w:rPr>
          <w:sz w:val="20"/>
          <w:szCs w:val="20"/>
        </w:rPr>
        <w:t>In addition, we are increasingly chosen as a preferred vendor for higher education and government clients. Throu</w:t>
      </w:r>
      <w:r>
        <w:rPr>
          <w:sz w:val="20"/>
          <w:szCs w:val="20"/>
        </w:rPr>
        <w:t>gh our contracts with colleges, universities and Greek letter organizations, we provide mental health solutions to students and student athletes across the United States. We additionally hold a number of employer benefits and EAP relationships with municip</w:t>
      </w:r>
      <w:r>
        <w:rPr>
          <w:sz w:val="20"/>
          <w:szCs w:val="20"/>
        </w:rPr>
        <w:t>alities across the United States. As of December 31, 2022, we had approximately 92 million eligible lives within our B2B channel</w:t>
      </w:r>
      <w:r>
        <w:rPr>
          <w:sz w:val="20"/>
          <w:szCs w:val="20"/>
        </w:rPr>
        <w:t>.</w:t>
      </w:r>
    </w:p>
    <w:p w14:paraId="2FD9CC15" w14:textId="77777777" w:rsidR="00000000" w:rsidRDefault="00EF48A2">
      <w:pPr>
        <w:pStyle w:val="a3"/>
        <w:spacing w:before="180" w:beforeAutospacing="0" w:after="0" w:afterAutospacing="0"/>
        <w:jc w:val="both"/>
        <w:rPr>
          <w:sz w:val="20"/>
          <w:szCs w:val="20"/>
        </w:rPr>
      </w:pPr>
      <w:r>
        <w:rPr>
          <w:sz w:val="20"/>
          <w:szCs w:val="20"/>
        </w:rPr>
        <w:t>Within our B2C channel, we serve a diverse customer base, with members from all socioeconomic backgrounds, ages, genders, ethn</w:t>
      </w:r>
      <w:r>
        <w:rPr>
          <w:sz w:val="20"/>
          <w:szCs w:val="20"/>
        </w:rPr>
        <w:t xml:space="preserve">icities, geographies and income level. Further, with both psychotherapy and psychiatry professionals, along with </w:t>
      </w:r>
      <w:r>
        <w:rPr>
          <w:sz w:val="20"/>
          <w:szCs w:val="20"/>
        </w:rPr>
        <w:t>a</w:t>
      </w:r>
      <w:r>
        <w:rPr>
          <w:sz w:val="20"/>
          <w:szCs w:val="20"/>
        </w:rPr>
        <w:t xml:space="preserve"> </w:t>
      </w:r>
    </w:p>
    <w:p w14:paraId="517717A5" w14:textId="77777777" w:rsidR="00000000" w:rsidRDefault="00EF48A2">
      <w:pPr>
        <w:pStyle w:val="a3"/>
        <w:spacing w:before="0" w:beforeAutospacing="0" w:after="0" w:afterAutospacing="0"/>
        <w:jc w:val="center"/>
        <w:rPr>
          <w:sz w:val="20"/>
          <w:szCs w:val="20"/>
        </w:rPr>
      </w:pPr>
      <w:r>
        <w:rPr>
          <w:sz w:val="20"/>
          <w:szCs w:val="20"/>
        </w:rPr>
        <w:t>3</w:t>
      </w:r>
    </w:p>
    <w:p w14:paraId="60D302DC" w14:textId="77777777" w:rsidR="00000000" w:rsidRDefault="00EF48A2">
      <w:pPr>
        <w:rPr>
          <w:rFonts w:eastAsia="Times New Roman"/>
        </w:rPr>
      </w:pPr>
      <w:r>
        <w:rPr>
          <w:rFonts w:eastAsia="Times New Roman"/>
        </w:rPr>
        <w:pict w14:anchorId="05520DFE">
          <v:rect id="_x0000_i1029" style="width:0;height:1.5pt" o:hralign="center" o:hrstd="t" o:hr="t" fillcolor="#a0a0a0" stroked="f"/>
        </w:pict>
      </w:r>
    </w:p>
    <w:p w14:paraId="1A219DA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6AA8A9B" w14:textId="77777777" w:rsidR="00000000" w:rsidRDefault="00EF48A2">
      <w:pPr>
        <w:pStyle w:val="a3"/>
        <w:spacing w:before="180" w:beforeAutospacing="0" w:after="0" w:afterAutospacing="0"/>
        <w:jc w:val="both"/>
        <w:rPr>
          <w:sz w:val="20"/>
          <w:szCs w:val="20"/>
        </w:rPr>
      </w:pPr>
      <w:r>
        <w:rPr>
          <w:sz w:val="20"/>
          <w:szCs w:val="20"/>
        </w:rPr>
        <w:t xml:space="preserve">comprehensive suite of self-help tools, our platform </w:t>
      </w:r>
      <w:r>
        <w:rPr>
          <w:sz w:val="20"/>
          <w:szCs w:val="20"/>
        </w:rPr>
        <w:t>is designed to address the needs of members across a broad range of acuities. As of December 31, 2022, we had over 15,000 B2C active members located across all 50 U.S. states and select international markets. B2C members may cancel their subscription at an</w:t>
      </w:r>
      <w:r>
        <w:rPr>
          <w:sz w:val="20"/>
          <w:szCs w:val="20"/>
        </w:rPr>
        <w:t>y time and will receive a pro-rata refund for the subscription price</w:t>
      </w:r>
      <w:r>
        <w:rPr>
          <w:sz w:val="20"/>
          <w:szCs w:val="20"/>
        </w:rPr>
        <w:t>.</w:t>
      </w:r>
    </w:p>
    <w:p w14:paraId="27941BD9" w14:textId="77777777" w:rsidR="00000000" w:rsidRDefault="00EF48A2">
      <w:pPr>
        <w:pStyle w:val="a3"/>
        <w:spacing w:before="240" w:beforeAutospacing="0" w:after="0" w:afterAutospacing="0"/>
        <w:rPr>
          <w:sz w:val="20"/>
          <w:szCs w:val="20"/>
        </w:rPr>
      </w:pPr>
      <w:r>
        <w:rPr>
          <w:b/>
          <w:bCs/>
          <w:sz w:val="20"/>
          <w:szCs w:val="20"/>
        </w:rPr>
        <w:t>Technology Platfor</w:t>
      </w:r>
      <w:r>
        <w:rPr>
          <w:b/>
          <w:bCs/>
          <w:sz w:val="20"/>
          <w:szCs w:val="20"/>
        </w:rPr>
        <w:t>m</w:t>
      </w:r>
      <w:r>
        <w:rPr>
          <w:b/>
          <w:bCs/>
          <w:sz w:val="20"/>
          <w:szCs w:val="20"/>
        </w:rPr>
        <w:t xml:space="preserve"> </w:t>
      </w:r>
    </w:p>
    <w:p w14:paraId="77FD2EDE" w14:textId="77777777" w:rsidR="00000000" w:rsidRDefault="00EF48A2">
      <w:pPr>
        <w:pStyle w:val="a3"/>
        <w:spacing w:before="180" w:beforeAutospacing="0" w:after="0" w:afterAutospacing="0"/>
        <w:jc w:val="both"/>
        <w:rPr>
          <w:sz w:val="20"/>
          <w:szCs w:val="20"/>
        </w:rPr>
      </w:pPr>
      <w:r>
        <w:rPr>
          <w:sz w:val="20"/>
          <w:szCs w:val="20"/>
        </w:rPr>
        <w:t xml:space="preserve">We believe that virtual therapy offers an attractive opportunity to improve behavioral health through data science and machine learning. Through digital phenotyping </w:t>
      </w:r>
      <w:r>
        <w:rPr>
          <w:sz w:val="20"/>
          <w:szCs w:val="20"/>
        </w:rPr>
        <w:t>and predictive modeling, the data imprint left by interactions on our platform opens a new, quantitative viewpoint into the behavioral condition of our members. By securely leveraging our unique dataset to identify patterns, which is augmented by advanced,</w:t>
      </w:r>
      <w:r>
        <w:rPr>
          <w:sz w:val="20"/>
          <w:szCs w:val="20"/>
        </w:rPr>
        <w:t xml:space="preserve"> data-driven tools to personalize care, we believe we are able to optimize clinical outcomes. We have designed our technology platform and information practices to achieve and maintain compliance with HIPAA and other legal requirements regarding the confid</w:t>
      </w:r>
      <w:r>
        <w:rPr>
          <w:sz w:val="20"/>
          <w:szCs w:val="20"/>
        </w:rPr>
        <w:t>entiality of patient information. We maintain a written privacy and information security management program, led by designated subject matter experts, in order to (i) limit how we use and disclose protected health information of the members who utilize our</w:t>
      </w:r>
      <w:r>
        <w:rPr>
          <w:sz w:val="20"/>
          <w:szCs w:val="20"/>
        </w:rPr>
        <w:t xml:space="preserve"> technology platform or therapeutic services, (ii) implement reasonable administrative, physical, and technical safeguards to protect such information from misuse, and (iii) assist our customers with certain duties such as access to information under the p</w:t>
      </w:r>
      <w:r>
        <w:rPr>
          <w:sz w:val="20"/>
          <w:szCs w:val="20"/>
        </w:rPr>
        <w:t>rivacy standards, among other program elements. We require our agents and subcontractors who have access to such information to enter into written agreements that require them to meet the same standards for security and privacy. We obtain third-party exami</w:t>
      </w:r>
      <w:r>
        <w:rPr>
          <w:sz w:val="20"/>
          <w:szCs w:val="20"/>
        </w:rPr>
        <w:t xml:space="preserve">nations of our controls relating to security and data privacy. In particular, we regularly obtain a Type II Service Organization Control SOC 2 report (Reporting on Controls at a Service Organization relevant to security, availability and privacy). We also </w:t>
      </w:r>
      <w:r>
        <w:rPr>
          <w:sz w:val="20"/>
          <w:szCs w:val="20"/>
        </w:rPr>
        <w:t>retain outside consultants to regularly assess our vulnerability through penetration testing and analysis of our compliance with the HIPAA Security Rule</w:t>
      </w:r>
      <w:r>
        <w:rPr>
          <w:sz w:val="20"/>
          <w:szCs w:val="20"/>
        </w:rPr>
        <w:t>.</w:t>
      </w:r>
      <w:r>
        <w:rPr>
          <w:sz w:val="20"/>
          <w:szCs w:val="20"/>
        </w:rPr>
        <w:t xml:space="preserve"> </w:t>
      </w:r>
    </w:p>
    <w:p w14:paraId="46FBEF16" w14:textId="77777777" w:rsidR="00000000" w:rsidRDefault="00EF48A2">
      <w:pPr>
        <w:pStyle w:val="a3"/>
        <w:spacing w:before="180" w:beforeAutospacing="0" w:after="240" w:afterAutospacing="0"/>
        <w:jc w:val="both"/>
        <w:rPr>
          <w:sz w:val="20"/>
          <w:szCs w:val="20"/>
        </w:rPr>
      </w:pPr>
      <w:r>
        <w:rPr>
          <w:sz w:val="20"/>
          <w:szCs w:val="20"/>
        </w:rPr>
        <w:t>The following table depicts the technology-enabled process flow that supports our platform</w:t>
      </w:r>
      <w:r>
        <w:rPr>
          <w:sz w:val="20"/>
          <w:szCs w:val="20"/>
        </w:rPr>
        <w:t>:</w:t>
      </w:r>
      <w:r>
        <w:rPr>
          <w:sz w:val="20"/>
          <w:szCs w:val="20"/>
        </w:rPr>
        <w:t xml:space="preserve"> </w:t>
      </w:r>
    </w:p>
    <w:p w14:paraId="4A100352" w14:textId="77777777" w:rsidR="00000000" w:rsidRDefault="00EF48A2">
      <w:pPr>
        <w:pStyle w:val="a3"/>
        <w:spacing w:before="0" w:beforeAutospacing="0" w:after="0" w:afterAutospacing="0"/>
        <w:jc w:val="center"/>
        <w:rPr>
          <w:sz w:val="20"/>
          <w:szCs w:val="20"/>
        </w:rPr>
      </w:pPr>
      <w:r>
        <w:rPr>
          <w:noProof/>
          <w:sz w:val="20"/>
          <w:szCs w:val="20"/>
        </w:rPr>
        <w:drawing>
          <wp:inline distT="0" distB="0" distL="0" distR="0" wp14:anchorId="37EF6AC4" wp14:editId="76DFC275">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14:paraId="635C42F1" w14:textId="77777777" w:rsidR="00000000" w:rsidRDefault="00EF48A2">
      <w:pPr>
        <w:pStyle w:val="a3"/>
        <w:spacing w:before="0" w:beforeAutospacing="0" w:after="0" w:afterAutospacing="0"/>
        <w:jc w:val="both"/>
        <w:rPr>
          <w:sz w:val="20"/>
          <w:szCs w:val="20"/>
        </w:rPr>
      </w:pPr>
      <w:r>
        <w:rPr>
          <w:sz w:val="20"/>
          <w:szCs w:val="20"/>
        </w:rPr>
        <w:t> </w:t>
      </w:r>
    </w:p>
    <w:p w14:paraId="658115CE" w14:textId="77777777" w:rsidR="00000000" w:rsidRDefault="00EF48A2">
      <w:pPr>
        <w:pStyle w:val="a3"/>
        <w:spacing w:before="0" w:beforeAutospacing="0" w:after="0" w:afterAutospacing="0"/>
        <w:jc w:val="both"/>
        <w:rPr>
          <w:sz w:val="20"/>
          <w:szCs w:val="20"/>
        </w:rPr>
      </w:pPr>
      <w:r>
        <w:rPr>
          <w:i/>
          <w:iCs/>
          <w:sz w:val="20"/>
          <w:szCs w:val="20"/>
        </w:rPr>
        <w:t>Matching algorith</w:t>
      </w:r>
      <w:r>
        <w:rPr>
          <w:i/>
          <w:iCs/>
          <w:sz w:val="20"/>
          <w:szCs w:val="20"/>
        </w:rPr>
        <w:t>m</w:t>
      </w:r>
      <w:r>
        <w:rPr>
          <w:sz w:val="20"/>
          <w:szCs w:val="20"/>
        </w:rPr>
        <w:t>: We utilize machine learning to predict a provider’s efficacy at onboarding. Our matching algorithm combines information from both structured and unstructured sources to predict which therapists have the greatest chance of success with each patient. Our m</w:t>
      </w:r>
      <w:r>
        <w:rPr>
          <w:sz w:val="20"/>
          <w:szCs w:val="20"/>
        </w:rPr>
        <w:t>atching model concurrently gathers client and therapist data and screens the therapists’ population to match the patient’s characteristics, clinical needs and preferences. Our machine learning technology also enables us to track the frequency and quality o</w:t>
      </w:r>
      <w:r>
        <w:rPr>
          <w:sz w:val="20"/>
          <w:szCs w:val="20"/>
        </w:rPr>
        <w:t>f clinical interactions, allowing us to provide a better therapist match should the patient request a new clinician</w:t>
      </w:r>
      <w:r>
        <w:rPr>
          <w:sz w:val="20"/>
          <w:szCs w:val="20"/>
        </w:rPr>
        <w:t>.</w:t>
      </w:r>
    </w:p>
    <w:p w14:paraId="242E5C26" w14:textId="77777777" w:rsidR="00000000" w:rsidRDefault="00EF48A2">
      <w:pPr>
        <w:pStyle w:val="a3"/>
        <w:spacing w:before="0" w:beforeAutospacing="0" w:after="0" w:afterAutospacing="0"/>
        <w:jc w:val="both"/>
        <w:rPr>
          <w:sz w:val="20"/>
          <w:szCs w:val="20"/>
        </w:rPr>
      </w:pPr>
      <w:r>
        <w:rPr>
          <w:sz w:val="20"/>
          <w:szCs w:val="20"/>
        </w:rPr>
        <w:t> </w:t>
      </w:r>
    </w:p>
    <w:p w14:paraId="2191EF41" w14:textId="77777777" w:rsidR="00000000" w:rsidRDefault="00EF48A2">
      <w:pPr>
        <w:pStyle w:val="a3"/>
        <w:spacing w:before="0" w:beforeAutospacing="0" w:after="0" w:afterAutospacing="0"/>
        <w:jc w:val="both"/>
        <w:rPr>
          <w:sz w:val="20"/>
          <w:szCs w:val="20"/>
        </w:rPr>
      </w:pPr>
      <w:r>
        <w:rPr>
          <w:i/>
          <w:iCs/>
          <w:sz w:val="20"/>
          <w:szCs w:val="20"/>
        </w:rPr>
        <w:t>Robust data ecosyste</w:t>
      </w:r>
      <w:r>
        <w:rPr>
          <w:i/>
          <w:iCs/>
          <w:sz w:val="20"/>
          <w:szCs w:val="20"/>
        </w:rPr>
        <w:t>m</w:t>
      </w:r>
      <w:r>
        <w:rPr>
          <w:sz w:val="20"/>
          <w:szCs w:val="20"/>
        </w:rPr>
        <w:t>: We have a closed-loop data ecosystem providing a multi-dimensional view of the individuals who seek treatment on o</w:t>
      </w:r>
      <w:r>
        <w:rPr>
          <w:sz w:val="20"/>
          <w:szCs w:val="20"/>
        </w:rPr>
        <w:t>ur platform. This data provides a holistic picture of each user – the problems they manifest, diagnoses, treatment plans, medical history, personal history, and clinical outcomes. Our data contain over 6 billion words sent by millions of users over 110 mil</w:t>
      </w:r>
      <w:r>
        <w:rPr>
          <w:sz w:val="20"/>
          <w:szCs w:val="20"/>
        </w:rPr>
        <w:t>lion anonymized messages. We have approximately 4 million completed psychological assessments. Our data contain information about members collected by therapists, including approximately 700,000 diagnoses and over 1 million progress and psychotherapy notes</w:t>
      </w:r>
      <w:r>
        <w:rPr>
          <w:sz w:val="20"/>
          <w:szCs w:val="20"/>
        </w:rPr>
        <w:t>. Our data also contains information about therapists reported by members, including over 1 million therapist ratings. We believe the size and depth of our clinical data is vast relative to the industry and is a differentiating element of our digitally-nat</w:t>
      </w:r>
      <w:r>
        <w:rPr>
          <w:sz w:val="20"/>
          <w:szCs w:val="20"/>
        </w:rPr>
        <w:t>ive modality</w:t>
      </w:r>
      <w:r>
        <w:rPr>
          <w:sz w:val="20"/>
          <w:szCs w:val="20"/>
        </w:rPr>
        <w:t>.</w:t>
      </w:r>
    </w:p>
    <w:p w14:paraId="76945518" w14:textId="77777777" w:rsidR="00000000" w:rsidRDefault="00EF48A2">
      <w:pPr>
        <w:pStyle w:val="a3"/>
        <w:spacing w:before="0" w:beforeAutospacing="0" w:after="0" w:afterAutospacing="0"/>
        <w:jc w:val="center"/>
        <w:rPr>
          <w:sz w:val="20"/>
          <w:szCs w:val="20"/>
        </w:rPr>
      </w:pPr>
      <w:r>
        <w:rPr>
          <w:sz w:val="20"/>
          <w:szCs w:val="20"/>
        </w:rPr>
        <w:t>4</w:t>
      </w:r>
    </w:p>
    <w:p w14:paraId="33917AAC" w14:textId="77777777" w:rsidR="00000000" w:rsidRDefault="00EF48A2">
      <w:pPr>
        <w:rPr>
          <w:rFonts w:eastAsia="Times New Roman"/>
        </w:rPr>
      </w:pPr>
      <w:r>
        <w:rPr>
          <w:rFonts w:eastAsia="Times New Roman"/>
        </w:rPr>
        <w:pict w14:anchorId="0133F9DE">
          <v:rect id="_x0000_i1031" style="width:0;height:1.5pt" o:hralign="center" o:hrstd="t" o:hr="t" fillcolor="#a0a0a0" stroked="f"/>
        </w:pict>
      </w:r>
    </w:p>
    <w:p w14:paraId="6F1BE32F"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BE785F3" w14:textId="77777777" w:rsidR="00000000" w:rsidRDefault="00EF48A2">
      <w:pPr>
        <w:pStyle w:val="a3"/>
        <w:spacing w:before="180" w:beforeAutospacing="0" w:after="240" w:afterAutospacing="0"/>
        <w:jc w:val="both"/>
        <w:rPr>
          <w:sz w:val="20"/>
          <w:szCs w:val="20"/>
        </w:rPr>
      </w:pPr>
      <w:r>
        <w:rPr>
          <w:i/>
          <w:iCs/>
          <w:sz w:val="20"/>
          <w:szCs w:val="20"/>
        </w:rPr>
        <w:t>Empowering providers to deliver enhanced car</w:t>
      </w:r>
      <w:r>
        <w:rPr>
          <w:i/>
          <w:iCs/>
          <w:sz w:val="20"/>
          <w:szCs w:val="20"/>
        </w:rPr>
        <w:t>e</w:t>
      </w:r>
      <w:r>
        <w:rPr>
          <w:sz w:val="20"/>
          <w:szCs w:val="20"/>
        </w:rPr>
        <w:t>: Our providers are equipped with tools that allow them to optimize time utilization and improve clinical effi</w:t>
      </w:r>
      <w:r>
        <w:rPr>
          <w:sz w:val="20"/>
          <w:szCs w:val="20"/>
        </w:rPr>
        <w:t>cacy. One of the leading challenges in behavioral healthcare is a patient’s premature termination of engagement with the provider and, thus, a core focus of our machine learning strategy is to drive member engagement and increase care continuity, helping m</w:t>
      </w:r>
      <w:r>
        <w:rPr>
          <w:sz w:val="20"/>
          <w:szCs w:val="20"/>
        </w:rPr>
        <w:t>embers to continue treatment long enough to reap its benefits. In order to extend the lifetime duration of our member base, we provide our providers insights on their patients’ needs and behaviors and offer techniques and suggestions that we believe are li</w:t>
      </w:r>
      <w:r>
        <w:rPr>
          <w:sz w:val="20"/>
          <w:szCs w:val="20"/>
        </w:rPr>
        <w:t>kely to maximize their patients’ satisfaction and engagement. These insights, delivered through our fully-integrated data intelligence platform, help providers to deliver effective treatments to their patients, and raise members’ awareness when tracking th</w:t>
      </w:r>
      <w:r>
        <w:rPr>
          <w:sz w:val="20"/>
          <w:szCs w:val="20"/>
        </w:rPr>
        <w:t>eir own clinical progress</w:t>
      </w:r>
      <w:r>
        <w:rPr>
          <w:sz w:val="20"/>
          <w:szCs w:val="20"/>
        </w:rPr>
        <w:t>.</w:t>
      </w:r>
    </w:p>
    <w:p w14:paraId="1C0A8921" w14:textId="77777777" w:rsidR="00000000" w:rsidRDefault="00EF48A2">
      <w:pPr>
        <w:pStyle w:val="a3"/>
        <w:spacing w:before="180" w:beforeAutospacing="0" w:after="240" w:afterAutospacing="0"/>
        <w:jc w:val="both"/>
        <w:rPr>
          <w:sz w:val="20"/>
          <w:szCs w:val="20"/>
        </w:rPr>
      </w:pPr>
      <w:r>
        <w:rPr>
          <w:i/>
          <w:iCs/>
          <w:sz w:val="20"/>
          <w:szCs w:val="20"/>
        </w:rPr>
        <w:t>Performance tracking and feedbac</w:t>
      </w:r>
      <w:r>
        <w:rPr>
          <w:i/>
          <w:iCs/>
          <w:sz w:val="20"/>
          <w:szCs w:val="20"/>
        </w:rPr>
        <w:t>k</w:t>
      </w:r>
      <w:r>
        <w:rPr>
          <w:sz w:val="20"/>
          <w:szCs w:val="20"/>
        </w:rPr>
        <w:t>: Our “Intro and Expectations” system detects whether providers have followed best practices in the crucial introductory phase of the therapy relationship and reminds them to do so if they have no</w:t>
      </w:r>
      <w:r>
        <w:rPr>
          <w:sz w:val="20"/>
          <w:szCs w:val="20"/>
        </w:rPr>
        <w:t>t. Our “Crisis Risk system” monitors all incoming members’ messages for linguistic features associated with potential danger or self-harm and draws providers’ attention to these cases. Our “Session Highlights system” provides a weekly digest of patient mes</w:t>
      </w:r>
      <w:r>
        <w:rPr>
          <w:sz w:val="20"/>
          <w:szCs w:val="20"/>
        </w:rPr>
        <w:t>sages and helps therapists draft notes on clinical progress</w:t>
      </w:r>
      <w:r>
        <w:rPr>
          <w:sz w:val="20"/>
          <w:szCs w:val="20"/>
        </w:rPr>
        <w:t>.</w:t>
      </w:r>
    </w:p>
    <w:p w14:paraId="5B3B8643" w14:textId="77777777" w:rsidR="00000000" w:rsidRDefault="00EF48A2">
      <w:pPr>
        <w:pStyle w:val="a3"/>
        <w:spacing w:before="240" w:beforeAutospacing="0" w:after="0" w:afterAutospacing="0"/>
        <w:jc w:val="both"/>
        <w:rPr>
          <w:sz w:val="20"/>
          <w:szCs w:val="20"/>
        </w:rPr>
      </w:pPr>
      <w:r>
        <w:rPr>
          <w:b/>
          <w:bCs/>
          <w:sz w:val="20"/>
          <w:szCs w:val="20"/>
        </w:rPr>
        <w:t>Competitio</w:t>
      </w:r>
      <w:r>
        <w:rPr>
          <w:b/>
          <w:bCs/>
          <w:sz w:val="20"/>
          <w:szCs w:val="20"/>
        </w:rPr>
        <w:t>n</w:t>
      </w:r>
      <w:r>
        <w:rPr>
          <w:b/>
          <w:bCs/>
          <w:sz w:val="20"/>
          <w:szCs w:val="20"/>
        </w:rPr>
        <w:t xml:space="preserve"> </w:t>
      </w:r>
    </w:p>
    <w:p w14:paraId="159A98ED" w14:textId="77777777" w:rsidR="00000000" w:rsidRDefault="00EF48A2">
      <w:pPr>
        <w:pStyle w:val="a3"/>
        <w:spacing w:before="180" w:beforeAutospacing="0" w:after="0" w:afterAutospacing="0"/>
        <w:jc w:val="both"/>
        <w:rPr>
          <w:sz w:val="20"/>
          <w:szCs w:val="20"/>
        </w:rPr>
      </w:pPr>
      <w:r>
        <w:rPr>
          <w:sz w:val="20"/>
          <w:szCs w:val="20"/>
        </w:rPr>
        <w:t>We view as competitors those companies whose primary business is developing and marketing telehealth and virtual behavioral health platforms and services. Competition focuses on, amo</w:t>
      </w:r>
      <w:r>
        <w:rPr>
          <w:sz w:val="20"/>
          <w:szCs w:val="20"/>
        </w:rPr>
        <w:t>ng other factors, technology, breadth and depth of functionality, range of associated services, operational experience, customer support, extent of client and member bases, and reputation. Our key competitors in the telehealth and teletherapy markets are A</w:t>
      </w:r>
      <w:r>
        <w:rPr>
          <w:sz w:val="20"/>
          <w:szCs w:val="20"/>
        </w:rPr>
        <w:t>merican Well Corporation, Teladoc, Included Health, MDLive, BetterHelp, Lyra Health and Headspace, among other small industry participants</w:t>
      </w:r>
      <w:r>
        <w:rPr>
          <w:sz w:val="20"/>
          <w:szCs w:val="20"/>
        </w:rPr>
        <w:t>.</w:t>
      </w:r>
      <w:r>
        <w:rPr>
          <w:sz w:val="20"/>
          <w:szCs w:val="20"/>
        </w:rPr>
        <w:t xml:space="preserve"> </w:t>
      </w:r>
    </w:p>
    <w:p w14:paraId="66E974BE" w14:textId="77777777" w:rsidR="00000000" w:rsidRDefault="00EF48A2">
      <w:pPr>
        <w:pStyle w:val="a3"/>
        <w:spacing w:before="180" w:beforeAutospacing="0" w:after="0" w:afterAutospacing="0"/>
        <w:jc w:val="both"/>
        <w:rPr>
          <w:sz w:val="20"/>
          <w:szCs w:val="20"/>
        </w:rPr>
      </w:pPr>
      <w:r>
        <w:rPr>
          <w:sz w:val="20"/>
          <w:szCs w:val="20"/>
        </w:rPr>
        <w:t>In addition, large, well-financed health systems and health plans have in some cases developed their own virtual be</w:t>
      </w:r>
      <w:r>
        <w:rPr>
          <w:sz w:val="20"/>
          <w:szCs w:val="20"/>
        </w:rPr>
        <w:t>havioral health tools and may provide these solutions to their consumer at discounted prices. In the future we may face competition from large technology companies, such as Apple, Amazon, Meta, Verizon, or Microsoft, who may wish to develop their own virtu</w:t>
      </w:r>
      <w:r>
        <w:rPr>
          <w:sz w:val="20"/>
          <w:szCs w:val="20"/>
        </w:rPr>
        <w:t>al behavioral health solutions, as well as from large retailers like Amazon or Walmart. With the emergence of COVID-19, and in particular the relaxation of privacy and security requirements under the Health Insurance Portability and Accountability Act of 1</w:t>
      </w:r>
      <w:r>
        <w:rPr>
          <w:sz w:val="20"/>
          <w:szCs w:val="20"/>
        </w:rPr>
        <w:t xml:space="preserve">996 (“HIPAA”), we have also seen increased competition from providers who utilize consumer-grade video solutions, such as Zoom Video and Twilio. We believe that the breadth of our existing client and member bases, the depth of our technology platform, and </w:t>
      </w:r>
      <w:r>
        <w:rPr>
          <w:sz w:val="20"/>
          <w:szCs w:val="20"/>
        </w:rPr>
        <w:t>our business-to-business focus on promoting existing healthcare brands and integrating freely with multiple platforms increases the likelihood that stakeholders seeking to develop virtual behavioral healthcare solutions will choose instead to collaborate w</w:t>
      </w:r>
      <w:r>
        <w:rPr>
          <w:sz w:val="20"/>
          <w:szCs w:val="20"/>
        </w:rPr>
        <w:t>ith Talkspace</w:t>
      </w:r>
      <w:r>
        <w:rPr>
          <w:sz w:val="20"/>
          <w:szCs w:val="20"/>
        </w:rPr>
        <w:t>.</w:t>
      </w:r>
    </w:p>
    <w:p w14:paraId="25308327" w14:textId="77777777" w:rsidR="00000000" w:rsidRDefault="00EF48A2">
      <w:pPr>
        <w:pStyle w:val="a3"/>
        <w:spacing w:before="240" w:beforeAutospacing="0" w:after="0" w:afterAutospacing="0"/>
        <w:jc w:val="both"/>
        <w:rPr>
          <w:sz w:val="20"/>
          <w:szCs w:val="20"/>
        </w:rPr>
      </w:pPr>
      <w:r>
        <w:rPr>
          <w:b/>
          <w:bCs/>
          <w:sz w:val="20"/>
          <w:szCs w:val="20"/>
        </w:rPr>
        <w:t>Therapists, Physicians and Healthcare Professional</w:t>
      </w:r>
      <w:r>
        <w:rPr>
          <w:b/>
          <w:bCs/>
          <w:sz w:val="20"/>
          <w:szCs w:val="20"/>
        </w:rPr>
        <w:t>s</w:t>
      </w:r>
      <w:r>
        <w:rPr>
          <w:b/>
          <w:bCs/>
          <w:sz w:val="20"/>
          <w:szCs w:val="20"/>
        </w:rPr>
        <w:t xml:space="preserve"> </w:t>
      </w:r>
    </w:p>
    <w:p w14:paraId="512438BF" w14:textId="77777777" w:rsidR="00000000" w:rsidRDefault="00EF48A2">
      <w:pPr>
        <w:pStyle w:val="a3"/>
        <w:spacing w:before="180" w:beforeAutospacing="0" w:after="0" w:afterAutospacing="0"/>
        <w:jc w:val="both"/>
        <w:rPr>
          <w:sz w:val="20"/>
          <w:szCs w:val="20"/>
        </w:rPr>
      </w:pPr>
      <w:r>
        <w:rPr>
          <w:sz w:val="20"/>
          <w:szCs w:val="20"/>
        </w:rPr>
        <w:t>In the second quarter of 2022, we completed the transition of our structure with respect to our relationships with healthcare providers, transitioning to a structure where Talkspace LLC, o</w:t>
      </w:r>
      <w:r>
        <w:rPr>
          <w:sz w:val="20"/>
          <w:szCs w:val="20"/>
        </w:rPr>
        <w:t>ur wholly-owned subsidiary, has entered into various agreements with Talkspace Provider Network, PA ("TPN"), a Texas professional association entity, which in turn contracts with our affiliated professional entities and physicians, therapists, and other li</w:t>
      </w:r>
      <w:r>
        <w:rPr>
          <w:sz w:val="20"/>
          <w:szCs w:val="20"/>
        </w:rPr>
        <w:t>censed professionals for clinical and professional services provided to our members. As part of this transition, Talkspace LLC is party to various Management Services Agreements (“MSAs”) with TPN and our affiliated professional entities. Pursuant to the MS</w:t>
      </w:r>
      <w:r>
        <w:rPr>
          <w:sz w:val="20"/>
          <w:szCs w:val="20"/>
        </w:rPr>
        <w:t>As, Talkspace LLC is the managing entity (the “Manager”) and provides management and administrative resources and services essential to the operations of these entities and receives a management fee for these services and reimbursement of expenses incurred</w:t>
      </w:r>
      <w:r>
        <w:rPr>
          <w:sz w:val="20"/>
          <w:szCs w:val="20"/>
        </w:rPr>
        <w:t>. TPN and our affiliated professional entities in turn have the obligation under the MSAs to engage all licensed physicians and other health professionals to provide behavioral healthcare services to our members</w:t>
      </w:r>
      <w:r>
        <w:rPr>
          <w:sz w:val="20"/>
          <w:szCs w:val="20"/>
        </w:rPr>
        <w:t>.</w:t>
      </w:r>
    </w:p>
    <w:p w14:paraId="75A1DF76" w14:textId="77777777" w:rsidR="00000000" w:rsidRDefault="00EF48A2">
      <w:pPr>
        <w:pStyle w:val="a3"/>
        <w:spacing w:before="180" w:beforeAutospacing="0" w:after="0" w:afterAutospacing="0"/>
        <w:jc w:val="both"/>
        <w:rPr>
          <w:sz w:val="20"/>
          <w:szCs w:val="20"/>
        </w:rPr>
      </w:pPr>
      <w:r>
        <w:rPr>
          <w:sz w:val="20"/>
          <w:szCs w:val="20"/>
        </w:rPr>
        <w:t>We believe the transition to a structure wh</w:t>
      </w:r>
      <w:r>
        <w:rPr>
          <w:sz w:val="20"/>
          <w:szCs w:val="20"/>
        </w:rPr>
        <w:t>ere we operate under various MSAs with professional associations and professional corporations authorized by state law to contract with affiliated professionals to delivery teletherapy services to its members, helps ensure we are able to comply with all ap</w:t>
      </w:r>
      <w:r>
        <w:rPr>
          <w:sz w:val="20"/>
          <w:szCs w:val="20"/>
        </w:rPr>
        <w:t>plicable regulatory requirements, including the corporate practice of medicine and fee-splitting laws, that are necessarily implicated by engaging in telehealth care that can only be delivered by physicians. The Company is continuing to transition its curr</w:t>
      </w:r>
      <w:r>
        <w:rPr>
          <w:sz w:val="20"/>
          <w:szCs w:val="20"/>
        </w:rPr>
        <w:t>ent agreements with its clients, members and other business partners to TPN or our other affiliated professional entities, where applicable</w:t>
      </w:r>
      <w:r>
        <w:rPr>
          <w:sz w:val="20"/>
          <w:szCs w:val="20"/>
        </w:rPr>
        <w:t>.</w:t>
      </w:r>
    </w:p>
    <w:p w14:paraId="5E06972B" w14:textId="77777777" w:rsidR="00000000" w:rsidRDefault="00EF48A2">
      <w:pPr>
        <w:pStyle w:val="a3"/>
        <w:spacing w:before="180" w:beforeAutospacing="0" w:after="0" w:afterAutospacing="0"/>
        <w:jc w:val="both"/>
        <w:rPr>
          <w:sz w:val="20"/>
          <w:szCs w:val="20"/>
        </w:rPr>
      </w:pPr>
      <w:r>
        <w:rPr>
          <w:sz w:val="20"/>
          <w:szCs w:val="20"/>
        </w:rPr>
        <w:t>See Note 15, “Variable Interest Entities” in the notes to the consolidated financial statements for further details</w:t>
      </w:r>
      <w:r>
        <w:rPr>
          <w:sz w:val="20"/>
          <w:szCs w:val="20"/>
        </w:rPr>
        <w:t>.</w:t>
      </w:r>
    </w:p>
    <w:p w14:paraId="3DE23CA4" w14:textId="77777777" w:rsidR="00000000" w:rsidRDefault="00EF48A2">
      <w:pPr>
        <w:pStyle w:val="a3"/>
        <w:spacing w:before="0" w:beforeAutospacing="0" w:after="0" w:afterAutospacing="0"/>
        <w:rPr>
          <w:sz w:val="20"/>
          <w:szCs w:val="20"/>
        </w:rPr>
      </w:pPr>
      <w:r>
        <w:rPr>
          <w:sz w:val="20"/>
          <w:szCs w:val="20"/>
        </w:rPr>
        <w:t> </w:t>
      </w:r>
    </w:p>
    <w:p w14:paraId="2B3D2843" w14:textId="77777777" w:rsidR="00000000" w:rsidRDefault="00EF48A2">
      <w:pPr>
        <w:pStyle w:val="a3"/>
        <w:spacing w:before="0" w:beforeAutospacing="0" w:after="0" w:afterAutospacing="0"/>
        <w:jc w:val="center"/>
        <w:rPr>
          <w:sz w:val="20"/>
          <w:szCs w:val="20"/>
        </w:rPr>
      </w:pPr>
      <w:r>
        <w:rPr>
          <w:sz w:val="20"/>
          <w:szCs w:val="20"/>
        </w:rPr>
        <w:t>5</w:t>
      </w:r>
    </w:p>
    <w:p w14:paraId="643E4D28" w14:textId="77777777" w:rsidR="00000000" w:rsidRDefault="00EF48A2">
      <w:pPr>
        <w:rPr>
          <w:rFonts w:eastAsia="Times New Roman"/>
        </w:rPr>
      </w:pPr>
      <w:r>
        <w:rPr>
          <w:rFonts w:eastAsia="Times New Roman"/>
        </w:rPr>
        <w:pict w14:anchorId="42057AC3">
          <v:rect id="_x0000_i1032" style="width:0;height:1.5pt" o:hralign="center" o:hrstd="t" o:hr="t" fillcolor="#a0a0a0" stroked="f"/>
        </w:pict>
      </w:r>
    </w:p>
    <w:p w14:paraId="4522E7E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7283441" w14:textId="77777777" w:rsidR="00000000" w:rsidRDefault="00EF48A2">
      <w:pPr>
        <w:pStyle w:val="a3"/>
        <w:spacing w:before="240" w:beforeAutospacing="0" w:after="0" w:afterAutospacing="0"/>
        <w:rPr>
          <w:sz w:val="20"/>
          <w:szCs w:val="20"/>
        </w:rPr>
      </w:pPr>
      <w:r>
        <w:rPr>
          <w:b/>
          <w:bCs/>
          <w:sz w:val="20"/>
          <w:szCs w:val="20"/>
        </w:rPr>
        <w:t>Human Capital Overvie</w:t>
      </w:r>
      <w:r>
        <w:rPr>
          <w:b/>
          <w:bCs/>
          <w:sz w:val="20"/>
          <w:szCs w:val="20"/>
        </w:rPr>
        <w:t>w</w:t>
      </w:r>
      <w:r>
        <w:rPr>
          <w:b/>
          <w:bCs/>
          <w:sz w:val="20"/>
          <w:szCs w:val="20"/>
        </w:rPr>
        <w:t xml:space="preserve"> </w:t>
      </w:r>
    </w:p>
    <w:p w14:paraId="0C69948F" w14:textId="77777777" w:rsidR="00000000" w:rsidRDefault="00EF48A2">
      <w:pPr>
        <w:pStyle w:val="a3"/>
        <w:spacing w:before="180" w:beforeAutospacing="0" w:after="0" w:afterAutospacing="0"/>
        <w:jc w:val="both"/>
        <w:rPr>
          <w:sz w:val="20"/>
          <w:szCs w:val="20"/>
        </w:rPr>
      </w:pPr>
      <w:r>
        <w:rPr>
          <w:sz w:val="20"/>
          <w:szCs w:val="20"/>
        </w:rPr>
        <w:t>The Company’</w:t>
      </w:r>
      <w:r>
        <w:rPr>
          <w:sz w:val="20"/>
          <w:szCs w:val="20"/>
        </w:rPr>
        <w:t>s workforce is critical to the creation and delivery of its services and the success of the company. Our ability to attract, develop and retain talented employees with the skills and capabilities needed by our business is a key component of our long-term g</w:t>
      </w:r>
      <w:r>
        <w:rPr>
          <w:sz w:val="20"/>
          <w:szCs w:val="20"/>
        </w:rPr>
        <w:t>rowth and our mission of providing more people with convenient access to quality, affordable behavioral healthcare</w:t>
      </w:r>
      <w:r>
        <w:rPr>
          <w:sz w:val="20"/>
          <w:szCs w:val="20"/>
        </w:rPr>
        <w:t>.</w:t>
      </w:r>
    </w:p>
    <w:p w14:paraId="4974D77D" w14:textId="77777777" w:rsidR="00000000" w:rsidRDefault="00EF48A2">
      <w:pPr>
        <w:pStyle w:val="a3"/>
        <w:spacing w:before="180" w:beforeAutospacing="0" w:after="0" w:afterAutospacing="0"/>
        <w:jc w:val="both"/>
        <w:rPr>
          <w:sz w:val="20"/>
          <w:szCs w:val="20"/>
        </w:rPr>
      </w:pPr>
      <w:r>
        <w:rPr>
          <w:sz w:val="20"/>
          <w:szCs w:val="20"/>
        </w:rPr>
        <w:t>The Company views full-time employees and independently contracted providers as its total workforce, as well as the various formal and infor</w:t>
      </w:r>
      <w:r>
        <w:rPr>
          <w:sz w:val="20"/>
          <w:szCs w:val="20"/>
        </w:rPr>
        <w:t>mal programs and resources to support, recruit, train and retain its workforce. The Company's human capital network includes, but is not limited to, employee and independently contracted providers (licensed therapists, psychologists, psychiatrists), as wel</w:t>
      </w:r>
      <w:r>
        <w:rPr>
          <w:sz w:val="20"/>
          <w:szCs w:val="20"/>
        </w:rPr>
        <w:t xml:space="preserve">l as employees in various support functions throughout the Company. The human capital needs and strategy of our business is overseen by the Company's Board of Directors and Chief Executive Officer and supported by the Company’s Human Resources Department, </w:t>
      </w:r>
      <w:r>
        <w:rPr>
          <w:sz w:val="20"/>
          <w:szCs w:val="20"/>
        </w:rPr>
        <w:t>which reports directly to the Chief Executive Officer</w:t>
      </w:r>
      <w:r>
        <w:rPr>
          <w:sz w:val="20"/>
          <w:szCs w:val="20"/>
        </w:rPr>
        <w:t>.</w:t>
      </w:r>
    </w:p>
    <w:p w14:paraId="227BB054" w14:textId="77777777" w:rsidR="00000000" w:rsidRDefault="00EF48A2">
      <w:pPr>
        <w:pStyle w:val="a3"/>
        <w:spacing w:before="180" w:beforeAutospacing="0" w:after="0" w:afterAutospacing="0"/>
        <w:jc w:val="both"/>
        <w:rPr>
          <w:sz w:val="20"/>
          <w:szCs w:val="20"/>
        </w:rPr>
      </w:pPr>
      <w:r>
        <w:rPr>
          <w:sz w:val="20"/>
          <w:szCs w:val="20"/>
        </w:rPr>
        <w:t>As of December 31, 2022, we had 339 employees comprised of 129 providers and 210 professionals supporting the accounting, finance, technology, sales, marketing and other support functions and 3,203 ind</w:t>
      </w:r>
      <w:r>
        <w:rPr>
          <w:sz w:val="20"/>
          <w:szCs w:val="20"/>
        </w:rPr>
        <w:t>ependently contracted providers. With providers comprising a considerable segment of the Company’s workforce base, we believe they are a significant human capital resource for the Company, and, accordingly, we view their recruitment, retention, compensatio</w:t>
      </w:r>
      <w:r>
        <w:rPr>
          <w:sz w:val="20"/>
          <w:szCs w:val="20"/>
        </w:rPr>
        <w:t>n and productivity as important to the success of the Company</w:t>
      </w:r>
      <w:r>
        <w:rPr>
          <w:sz w:val="20"/>
          <w:szCs w:val="20"/>
        </w:rPr>
        <w:t>.</w:t>
      </w:r>
    </w:p>
    <w:p w14:paraId="7E2838CA" w14:textId="77777777" w:rsidR="00000000" w:rsidRDefault="00EF48A2">
      <w:pPr>
        <w:pStyle w:val="a3"/>
        <w:spacing w:before="240" w:beforeAutospacing="0" w:after="0" w:afterAutospacing="0"/>
        <w:rPr>
          <w:sz w:val="20"/>
          <w:szCs w:val="20"/>
        </w:rPr>
      </w:pPr>
      <w:r>
        <w:rPr>
          <w:i/>
          <w:iCs/>
          <w:sz w:val="20"/>
          <w:szCs w:val="20"/>
        </w:rPr>
        <w:t>Culture and Value</w:t>
      </w:r>
      <w:r>
        <w:rPr>
          <w:i/>
          <w:iCs/>
          <w:sz w:val="20"/>
          <w:szCs w:val="20"/>
        </w:rPr>
        <w:t>s</w:t>
      </w:r>
    </w:p>
    <w:p w14:paraId="68179903" w14:textId="77777777" w:rsidR="00000000" w:rsidRDefault="00EF48A2">
      <w:pPr>
        <w:pStyle w:val="a3"/>
        <w:spacing w:before="180" w:beforeAutospacing="0" w:after="0" w:afterAutospacing="0"/>
        <w:jc w:val="both"/>
        <w:rPr>
          <w:sz w:val="20"/>
          <w:szCs w:val="20"/>
        </w:rPr>
      </w:pPr>
      <w:r>
        <w:rPr>
          <w:sz w:val="20"/>
          <w:szCs w:val="20"/>
        </w:rPr>
        <w:t>Tone at the top is what drives us. We are committed to maintaining a respectful, secure and supportive workplace culture with open communication and accessible, safe channels</w:t>
      </w:r>
      <w:r>
        <w:rPr>
          <w:sz w:val="20"/>
          <w:szCs w:val="20"/>
        </w:rPr>
        <w:t xml:space="preserve"> for feedback. In addition, all employees are required to complete training and affirm compliance with the Talkspace Code of Business Conduct and Ethics (the “Code”), which confirms the Company’s policy to conduct its affairs in compliance with all applica</w:t>
      </w:r>
      <w:r>
        <w:rPr>
          <w:sz w:val="20"/>
          <w:szCs w:val="20"/>
        </w:rPr>
        <w:t>ble laws and regulations and observe the highest standards of business ethics. The Code is reviewed regularly by the Audit Committee and approved by the Board of Directors and is complemented by other policies and training. Any violations of our Code are e</w:t>
      </w:r>
      <w:r>
        <w:rPr>
          <w:sz w:val="20"/>
          <w:szCs w:val="20"/>
        </w:rPr>
        <w:t>ncouraged to be immediately reported and are kept anonymously</w:t>
      </w:r>
      <w:r>
        <w:rPr>
          <w:sz w:val="20"/>
          <w:szCs w:val="20"/>
        </w:rPr>
        <w:t>.</w:t>
      </w:r>
    </w:p>
    <w:p w14:paraId="6C55FD33" w14:textId="77777777" w:rsidR="00000000" w:rsidRDefault="00EF48A2">
      <w:pPr>
        <w:pStyle w:val="a3"/>
        <w:spacing w:before="240" w:beforeAutospacing="0" w:after="0" w:afterAutospacing="0"/>
        <w:rPr>
          <w:sz w:val="20"/>
          <w:szCs w:val="20"/>
        </w:rPr>
      </w:pPr>
      <w:r>
        <w:rPr>
          <w:i/>
          <w:iCs/>
          <w:sz w:val="20"/>
          <w:szCs w:val="20"/>
        </w:rPr>
        <w:t>Diversity and Inclusio</w:t>
      </w:r>
      <w:r>
        <w:rPr>
          <w:i/>
          <w:iCs/>
          <w:sz w:val="20"/>
          <w:szCs w:val="20"/>
        </w:rPr>
        <w:t>n</w:t>
      </w:r>
    </w:p>
    <w:p w14:paraId="39DF8A0F" w14:textId="77777777" w:rsidR="00000000" w:rsidRDefault="00EF48A2">
      <w:pPr>
        <w:pStyle w:val="a3"/>
        <w:spacing w:before="180" w:beforeAutospacing="0" w:after="0" w:afterAutospacing="0"/>
        <w:jc w:val="both"/>
        <w:rPr>
          <w:sz w:val="20"/>
          <w:szCs w:val="20"/>
        </w:rPr>
      </w:pPr>
      <w:r>
        <w:rPr>
          <w:sz w:val="20"/>
          <w:szCs w:val="20"/>
        </w:rPr>
        <w:t>Talkspace is committed to creating and maintaining a workplace in which all employees have an opportunity to participate and contribute to the success of the business. T</w:t>
      </w:r>
      <w:r>
        <w:rPr>
          <w:sz w:val="20"/>
          <w:szCs w:val="20"/>
        </w:rPr>
        <w:t>alkspace provides equal employment opportunities to all employees and applicants for employment without regard to race, color, ancestry, national origin, gender, sexual orientation, marital status, religion, age, disability, gender identity, results of gen</w:t>
      </w:r>
      <w:r>
        <w:rPr>
          <w:sz w:val="20"/>
          <w:szCs w:val="20"/>
        </w:rPr>
        <w:t>etic testing, or service in the military. Equal employment opportunity applies to all terms and conditions of employment, including hiring, placement, promotion, separation, transfers, compensation, and training. The Company is committed to cultivating div</w:t>
      </w:r>
      <w:r>
        <w:rPr>
          <w:sz w:val="20"/>
          <w:szCs w:val="20"/>
        </w:rPr>
        <w:t>ersity and broadening opportunities for inclusion across its business through its recruitment practices, employee development and mentoring and inclusivity programs</w:t>
      </w:r>
      <w:r>
        <w:rPr>
          <w:sz w:val="20"/>
          <w:szCs w:val="20"/>
        </w:rPr>
        <w:t>.</w:t>
      </w:r>
      <w:r>
        <w:rPr>
          <w:sz w:val="20"/>
          <w:szCs w:val="20"/>
        </w:rPr>
        <w:t xml:space="preserve"> </w:t>
      </w:r>
    </w:p>
    <w:p w14:paraId="4FC03717" w14:textId="77777777" w:rsidR="00000000" w:rsidRDefault="00EF48A2">
      <w:pPr>
        <w:pStyle w:val="a3"/>
        <w:spacing w:before="240" w:beforeAutospacing="0" w:after="0" w:afterAutospacing="0"/>
        <w:rPr>
          <w:sz w:val="20"/>
          <w:szCs w:val="20"/>
        </w:rPr>
      </w:pPr>
      <w:r>
        <w:rPr>
          <w:i/>
          <w:iCs/>
          <w:sz w:val="20"/>
          <w:szCs w:val="20"/>
        </w:rPr>
        <w:t>Compensation and Benefit</w:t>
      </w:r>
      <w:r>
        <w:rPr>
          <w:i/>
          <w:iCs/>
          <w:sz w:val="20"/>
          <w:szCs w:val="20"/>
        </w:rPr>
        <w:t>s</w:t>
      </w:r>
    </w:p>
    <w:p w14:paraId="1C0E5ECD" w14:textId="77777777" w:rsidR="00000000" w:rsidRDefault="00EF48A2">
      <w:pPr>
        <w:pStyle w:val="a3"/>
        <w:spacing w:before="180" w:beforeAutospacing="0" w:after="0" w:afterAutospacing="0"/>
        <w:jc w:val="both"/>
        <w:rPr>
          <w:sz w:val="20"/>
          <w:szCs w:val="20"/>
        </w:rPr>
      </w:pPr>
      <w:r>
        <w:rPr>
          <w:sz w:val="20"/>
          <w:szCs w:val="20"/>
        </w:rPr>
        <w:t>The Company is committed to hiring the most qualified candidate</w:t>
      </w:r>
      <w:r>
        <w:rPr>
          <w:sz w:val="20"/>
          <w:szCs w:val="20"/>
        </w:rPr>
        <w:t>s to fill open positions. Whenever appropriate and possible, open positions are filled with internal candidates to help team members in their career development and enrich a culture of growth. Compensation and benefits programs are focused on attracting, r</w:t>
      </w:r>
      <w:r>
        <w:rPr>
          <w:sz w:val="20"/>
          <w:szCs w:val="20"/>
        </w:rPr>
        <w:t>etaining and motivating the top talent necessary to achieve the Company’s mission in ways that reflect its diverse workforce’s needs and priorities. In addition to competitive salaries, the Company and its businesses have established short and long-term in</w:t>
      </w:r>
      <w:r>
        <w:rPr>
          <w:sz w:val="20"/>
          <w:szCs w:val="20"/>
        </w:rPr>
        <w:t>centive programs including stock-base</w:t>
      </w:r>
      <w:r>
        <w:rPr>
          <w:sz w:val="20"/>
          <w:szCs w:val="20"/>
        </w:rPr>
        <w:t>d</w:t>
      </w:r>
      <w:r>
        <w:rPr>
          <w:sz w:val="20"/>
          <w:szCs w:val="20"/>
        </w:rPr>
        <w:t xml:space="preserve"> </w:t>
      </w:r>
    </w:p>
    <w:p w14:paraId="6E579219" w14:textId="77777777" w:rsidR="00000000" w:rsidRDefault="00EF48A2">
      <w:pPr>
        <w:pStyle w:val="a3"/>
        <w:spacing w:before="180" w:beforeAutospacing="0" w:after="0" w:afterAutospacing="0"/>
        <w:jc w:val="both"/>
        <w:rPr>
          <w:sz w:val="20"/>
          <w:szCs w:val="20"/>
        </w:rPr>
      </w:pPr>
      <w:r>
        <w:rPr>
          <w:sz w:val="20"/>
          <w:szCs w:val="20"/>
        </w:rPr>
        <w:t xml:space="preserve">compensation awards and cash-based performance bonus awards, which are designed to motivate and reward performance against key business objectives and facilitate retention. Performance bonus allocations are provided </w:t>
      </w:r>
      <w:r>
        <w:rPr>
          <w:sz w:val="20"/>
          <w:szCs w:val="20"/>
        </w:rPr>
        <w:t>based on the organization meeting its financial goals, the employee achieving goals set by their supervisor, and per the employment agreements and/or any other written agreement. In addition, the Company provides a range of retirement benefits and other co</w:t>
      </w:r>
      <w:r>
        <w:rPr>
          <w:sz w:val="20"/>
          <w:szCs w:val="20"/>
        </w:rPr>
        <w:t>mprehensive benefit options to meet the needs of its employees, including healthcare benefits, tax advantaged savings vehicles, life and disability insurance, paid time off, flexible working arrangements, generous parental leave policies and access to well</w:t>
      </w:r>
      <w:r>
        <w:rPr>
          <w:sz w:val="20"/>
          <w:szCs w:val="20"/>
        </w:rPr>
        <w:t>ness programs</w:t>
      </w:r>
      <w:r>
        <w:rPr>
          <w:sz w:val="20"/>
          <w:szCs w:val="20"/>
        </w:rPr>
        <w:t>.</w:t>
      </w:r>
    </w:p>
    <w:p w14:paraId="308CA8B1" w14:textId="77777777" w:rsidR="00000000" w:rsidRDefault="00EF48A2">
      <w:pPr>
        <w:pStyle w:val="a3"/>
        <w:spacing w:before="0" w:beforeAutospacing="0" w:after="0" w:afterAutospacing="0"/>
        <w:rPr>
          <w:sz w:val="20"/>
          <w:szCs w:val="20"/>
        </w:rPr>
      </w:pPr>
      <w:r>
        <w:rPr>
          <w:sz w:val="20"/>
          <w:szCs w:val="20"/>
        </w:rPr>
        <w:t> </w:t>
      </w:r>
    </w:p>
    <w:p w14:paraId="1F305F73" w14:textId="77777777" w:rsidR="00000000" w:rsidRDefault="00EF48A2">
      <w:pPr>
        <w:pStyle w:val="a3"/>
        <w:spacing w:before="0" w:beforeAutospacing="0" w:after="0" w:afterAutospacing="0"/>
        <w:jc w:val="center"/>
        <w:rPr>
          <w:sz w:val="20"/>
          <w:szCs w:val="20"/>
        </w:rPr>
      </w:pPr>
      <w:r>
        <w:rPr>
          <w:sz w:val="20"/>
          <w:szCs w:val="20"/>
        </w:rPr>
        <w:t>6</w:t>
      </w:r>
    </w:p>
    <w:p w14:paraId="1DCA8DC1" w14:textId="77777777" w:rsidR="00000000" w:rsidRDefault="00EF48A2">
      <w:pPr>
        <w:rPr>
          <w:rFonts w:eastAsia="Times New Roman"/>
        </w:rPr>
      </w:pPr>
      <w:r>
        <w:rPr>
          <w:rFonts w:eastAsia="Times New Roman"/>
        </w:rPr>
        <w:pict w14:anchorId="67435EC2">
          <v:rect id="_x0000_i1033" style="width:0;height:1.5pt" o:hralign="center" o:hrstd="t" o:hr="t" fillcolor="#a0a0a0" stroked="f"/>
        </w:pict>
      </w:r>
    </w:p>
    <w:p w14:paraId="7EACE9D2"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A930CC8" w14:textId="77777777" w:rsidR="00000000" w:rsidRDefault="00EF48A2">
      <w:pPr>
        <w:pStyle w:val="a3"/>
        <w:spacing w:before="0" w:beforeAutospacing="0" w:after="0" w:afterAutospacing="0"/>
        <w:rPr>
          <w:sz w:val="20"/>
          <w:szCs w:val="20"/>
        </w:rPr>
      </w:pPr>
      <w:r>
        <w:rPr>
          <w:i/>
          <w:iCs/>
          <w:sz w:val="20"/>
          <w:szCs w:val="20"/>
        </w:rPr>
        <w:t> </w:t>
      </w:r>
    </w:p>
    <w:p w14:paraId="065E394A" w14:textId="77777777" w:rsidR="00000000" w:rsidRDefault="00EF48A2">
      <w:pPr>
        <w:pStyle w:val="a3"/>
        <w:spacing w:before="0" w:beforeAutospacing="0" w:after="0" w:afterAutospacing="0"/>
        <w:rPr>
          <w:sz w:val="20"/>
          <w:szCs w:val="20"/>
        </w:rPr>
      </w:pPr>
      <w:r>
        <w:rPr>
          <w:i/>
          <w:iCs/>
          <w:sz w:val="20"/>
          <w:szCs w:val="20"/>
        </w:rPr>
        <w:t>Training and Developmen</w:t>
      </w:r>
      <w:r>
        <w:rPr>
          <w:i/>
          <w:iCs/>
          <w:sz w:val="20"/>
          <w:szCs w:val="20"/>
        </w:rPr>
        <w:t>t</w:t>
      </w:r>
    </w:p>
    <w:p w14:paraId="67C87D2F" w14:textId="77777777" w:rsidR="00000000" w:rsidRDefault="00EF48A2">
      <w:pPr>
        <w:pStyle w:val="a3"/>
        <w:spacing w:before="180" w:beforeAutospacing="0" w:after="0" w:afterAutospacing="0"/>
        <w:jc w:val="both"/>
        <w:rPr>
          <w:sz w:val="20"/>
          <w:szCs w:val="20"/>
        </w:rPr>
      </w:pPr>
      <w:r>
        <w:rPr>
          <w:sz w:val="20"/>
          <w:szCs w:val="20"/>
        </w:rPr>
        <w:t>Our growth mindset culture begins with valuing learning over knowing – seeking out new ideas, driving innovation, embracing challenges, learning from failure, and improving over time. The Company strives to provide mentorship and career development to exis</w:t>
      </w:r>
      <w:r>
        <w:rPr>
          <w:sz w:val="20"/>
          <w:szCs w:val="20"/>
        </w:rPr>
        <w:t xml:space="preserve">ting employees to help everyone on the team reach their full potential and employees are encouraged to reach out to their supervisors, if further development training is needed. In addition, the Company provides ongoing training in areas related to HIPAA, </w:t>
      </w:r>
      <w:r>
        <w:rPr>
          <w:sz w:val="20"/>
          <w:szCs w:val="20"/>
        </w:rPr>
        <w:t>Cybersecurity, Security and Privacy Controls and Anti-Harassment and Discrimination training, among others</w:t>
      </w:r>
      <w:r>
        <w:rPr>
          <w:sz w:val="20"/>
          <w:szCs w:val="20"/>
        </w:rPr>
        <w:t>.</w:t>
      </w:r>
    </w:p>
    <w:p w14:paraId="117761D9" w14:textId="77777777" w:rsidR="00000000" w:rsidRDefault="00EF48A2">
      <w:pPr>
        <w:pStyle w:val="a3"/>
        <w:spacing w:before="240" w:beforeAutospacing="0" w:after="0" w:afterAutospacing="0"/>
        <w:rPr>
          <w:sz w:val="20"/>
          <w:szCs w:val="20"/>
        </w:rPr>
      </w:pPr>
      <w:r>
        <w:rPr>
          <w:b/>
          <w:bCs/>
          <w:sz w:val="20"/>
          <w:szCs w:val="20"/>
        </w:rPr>
        <w:t>Cybersecurit</w:t>
      </w:r>
      <w:r>
        <w:rPr>
          <w:b/>
          <w:bCs/>
          <w:sz w:val="20"/>
          <w:szCs w:val="20"/>
        </w:rPr>
        <w:t>y</w:t>
      </w:r>
    </w:p>
    <w:p w14:paraId="2BF17948" w14:textId="77777777" w:rsidR="00000000" w:rsidRDefault="00EF48A2">
      <w:pPr>
        <w:pStyle w:val="a3"/>
        <w:spacing w:before="180" w:beforeAutospacing="0" w:after="0" w:afterAutospacing="0"/>
        <w:jc w:val="both"/>
        <w:rPr>
          <w:sz w:val="20"/>
          <w:szCs w:val="20"/>
        </w:rPr>
      </w:pPr>
      <w:r>
        <w:rPr>
          <w:sz w:val="20"/>
          <w:szCs w:val="20"/>
        </w:rPr>
        <w:t>We have a vigorous, risk-based cybersecurity program, dedicated to protecting our data as well as data belonging to our members and pr</w:t>
      </w:r>
      <w:r>
        <w:rPr>
          <w:sz w:val="20"/>
          <w:szCs w:val="20"/>
        </w:rPr>
        <w:t>oviders. We utilize a defensive in-depth strategy, with multiple layers of security controls to protect our data and solutions. Our cyber-security team is comprised of experts across our enterprise, as well as outside experts, to ensure that we are monitor</w:t>
      </w:r>
      <w:r>
        <w:rPr>
          <w:sz w:val="20"/>
          <w:szCs w:val="20"/>
        </w:rPr>
        <w:t>ing and maintaining the effectiveness of our cybersecurity governance and vulnerability management programs</w:t>
      </w:r>
      <w:r>
        <w:rPr>
          <w:sz w:val="20"/>
          <w:szCs w:val="20"/>
        </w:rPr>
        <w:t>.</w:t>
      </w:r>
    </w:p>
    <w:p w14:paraId="69C68284" w14:textId="77777777" w:rsidR="00000000" w:rsidRDefault="00EF48A2">
      <w:pPr>
        <w:pStyle w:val="a3"/>
        <w:spacing w:before="240" w:beforeAutospacing="0" w:after="0" w:afterAutospacing="0"/>
        <w:rPr>
          <w:sz w:val="20"/>
          <w:szCs w:val="20"/>
        </w:rPr>
      </w:pPr>
      <w:r>
        <w:rPr>
          <w:b/>
          <w:bCs/>
          <w:sz w:val="20"/>
          <w:szCs w:val="20"/>
        </w:rPr>
        <w:t>U.S. Government Regulatio</w:t>
      </w:r>
      <w:r>
        <w:rPr>
          <w:b/>
          <w:bCs/>
          <w:sz w:val="20"/>
          <w:szCs w:val="20"/>
        </w:rPr>
        <w:t>n</w:t>
      </w:r>
    </w:p>
    <w:p w14:paraId="7F89E71A" w14:textId="77777777" w:rsidR="00000000" w:rsidRDefault="00EF48A2">
      <w:pPr>
        <w:pStyle w:val="a3"/>
        <w:spacing w:before="180" w:beforeAutospacing="0" w:after="0" w:afterAutospacing="0"/>
        <w:jc w:val="both"/>
        <w:rPr>
          <w:sz w:val="20"/>
          <w:szCs w:val="20"/>
        </w:rPr>
      </w:pPr>
      <w:r>
        <w:rPr>
          <w:sz w:val="20"/>
          <w:szCs w:val="20"/>
        </w:rPr>
        <w:t>Our operations are subject to comprehensive United States federal, state and local and international regulation in the j</w:t>
      </w:r>
      <w:r>
        <w:rPr>
          <w:sz w:val="20"/>
          <w:szCs w:val="20"/>
        </w:rPr>
        <w:t>urisdictions in which we do business. Our ability to operate profitably will depend in part upon our ability, and that of our affiliated providers, to maintain all necessary licenses and to operate in compliance with applicable laws and rules. Those laws a</w:t>
      </w:r>
      <w:r>
        <w:rPr>
          <w:sz w:val="20"/>
          <w:szCs w:val="20"/>
        </w:rPr>
        <w:t>nd rules continue to evolve, and we therefore devote significant resources to monitoring developments in healthcare and medical practice regulation. As the applicable laws and rules change, we are likely to make conforming modifications in our business pro</w:t>
      </w:r>
      <w:r>
        <w:rPr>
          <w:sz w:val="20"/>
          <w:szCs w:val="20"/>
        </w:rPr>
        <w:t xml:space="preserve">cesses from time to time. In some jurisdictions where we operate, neither our current nor our anticipated business model has been the subject of formal judicial or administrative interpretation. We cannot be assured that a review of our business by courts </w:t>
      </w:r>
      <w:r>
        <w:rPr>
          <w:sz w:val="20"/>
          <w:szCs w:val="20"/>
        </w:rPr>
        <w:t>or regulatory authorities will not result in determinations that could adversely affect our operations or that the healthcare regulatory environment will not change in a way that impacts our operations</w:t>
      </w:r>
      <w:r>
        <w:rPr>
          <w:sz w:val="20"/>
          <w:szCs w:val="20"/>
        </w:rPr>
        <w:t>.</w:t>
      </w:r>
    </w:p>
    <w:p w14:paraId="6873D8E3" w14:textId="77777777" w:rsidR="00000000" w:rsidRDefault="00EF48A2">
      <w:pPr>
        <w:pStyle w:val="a3"/>
        <w:spacing w:before="240" w:beforeAutospacing="0" w:after="0" w:afterAutospacing="0"/>
        <w:jc w:val="both"/>
        <w:rPr>
          <w:sz w:val="20"/>
          <w:szCs w:val="20"/>
        </w:rPr>
      </w:pPr>
      <w:r>
        <w:rPr>
          <w:b/>
          <w:bCs/>
          <w:i/>
          <w:iCs/>
          <w:sz w:val="20"/>
          <w:szCs w:val="20"/>
        </w:rPr>
        <w:t>Telehealth and Teletherapy Provider Licensing, Medica</w:t>
      </w:r>
      <w:r>
        <w:rPr>
          <w:b/>
          <w:bCs/>
          <w:i/>
          <w:iCs/>
          <w:sz w:val="20"/>
          <w:szCs w:val="20"/>
        </w:rPr>
        <w:t>l Practice, Certification and Related Laws and Guideline</w:t>
      </w:r>
      <w:r>
        <w:rPr>
          <w:b/>
          <w:bCs/>
          <w:i/>
          <w:iCs/>
          <w:sz w:val="20"/>
          <w:szCs w:val="20"/>
        </w:rPr>
        <w:t>s</w:t>
      </w:r>
      <w:r>
        <w:rPr>
          <w:b/>
          <w:bCs/>
          <w:i/>
          <w:iCs/>
          <w:sz w:val="20"/>
          <w:szCs w:val="20"/>
        </w:rPr>
        <w:t xml:space="preserve"> </w:t>
      </w:r>
    </w:p>
    <w:p w14:paraId="3F5473D3" w14:textId="77777777" w:rsidR="00000000" w:rsidRDefault="00EF48A2">
      <w:pPr>
        <w:pStyle w:val="a3"/>
        <w:spacing w:before="180" w:beforeAutospacing="0" w:after="0" w:afterAutospacing="0"/>
        <w:jc w:val="both"/>
        <w:rPr>
          <w:sz w:val="20"/>
          <w:szCs w:val="20"/>
        </w:rPr>
      </w:pPr>
      <w:r>
        <w:rPr>
          <w:sz w:val="20"/>
          <w:szCs w:val="20"/>
        </w:rPr>
        <w:t>The practice of medicine, including the provision of therapy services, is subject to various federal, state and local certification and licensing laws, regulations, approvals and standards, relatin</w:t>
      </w:r>
      <w:r>
        <w:rPr>
          <w:sz w:val="20"/>
          <w:szCs w:val="20"/>
        </w:rPr>
        <w:t>g to, among other things, the adequacy of medical care, the practice of medicine and licensed professional services (including the provision of remote care), equipment, personnel, operating policies and procedures and the prerequisites for the prescription</w:t>
      </w:r>
      <w:r>
        <w:rPr>
          <w:sz w:val="20"/>
          <w:szCs w:val="20"/>
        </w:rPr>
        <w:t xml:space="preserve"> of medication and ordering of tests. The application of some of these laws to telehealth and teletherapy is unclear and subject to differing interpretation</w:t>
      </w:r>
      <w:r>
        <w:rPr>
          <w:sz w:val="20"/>
          <w:szCs w:val="20"/>
        </w:rPr>
        <w:t>.</w:t>
      </w:r>
      <w:r>
        <w:rPr>
          <w:sz w:val="20"/>
          <w:szCs w:val="20"/>
        </w:rPr>
        <w:t xml:space="preserve"> </w:t>
      </w:r>
    </w:p>
    <w:p w14:paraId="25EC4D0E" w14:textId="77777777" w:rsidR="00000000" w:rsidRDefault="00EF48A2">
      <w:pPr>
        <w:pStyle w:val="a3"/>
        <w:spacing w:before="180" w:beforeAutospacing="0" w:after="0" w:afterAutospacing="0"/>
        <w:jc w:val="both"/>
        <w:rPr>
          <w:sz w:val="20"/>
          <w:szCs w:val="20"/>
        </w:rPr>
      </w:pPr>
      <w:r>
        <w:rPr>
          <w:sz w:val="20"/>
          <w:szCs w:val="20"/>
        </w:rPr>
        <w:t>Physicians, therapists and other licensed professionals who provide professional medical and therapy services to a patient via telehealth and teletherapy must, in most instances, hold a valid license to practice medicine or another licensed profession in t</w:t>
      </w:r>
      <w:r>
        <w:rPr>
          <w:sz w:val="20"/>
          <w:szCs w:val="20"/>
        </w:rPr>
        <w:t xml:space="preserve">he state in which the patient is located. We have established systems for ensuring that TPN and our affiliated professionals are appropriately licensed under applicable state law and that their provision of telehealth and teletherapy to our members occurs </w:t>
      </w:r>
      <w:r>
        <w:rPr>
          <w:sz w:val="20"/>
          <w:szCs w:val="20"/>
        </w:rPr>
        <w:t>in each instance in compliance with applicable rules governing telehealth and teletherapy. Failure to comply with these laws and regulations could result in licensure actions against the professionals, our services being found to be non-reimbursable, or pr</w:t>
      </w:r>
      <w:r>
        <w:rPr>
          <w:sz w:val="20"/>
          <w:szCs w:val="20"/>
        </w:rPr>
        <w:t>ior payments being subject to recoupments and can give rise to civil, criminal or administrative penalties</w:t>
      </w:r>
      <w:r>
        <w:rPr>
          <w:sz w:val="20"/>
          <w:szCs w:val="20"/>
        </w:rPr>
        <w:t>.</w:t>
      </w:r>
      <w:r>
        <w:rPr>
          <w:sz w:val="20"/>
          <w:szCs w:val="20"/>
        </w:rPr>
        <w:t xml:space="preserve"> </w:t>
      </w:r>
    </w:p>
    <w:p w14:paraId="7554DF09" w14:textId="77777777" w:rsidR="00000000" w:rsidRDefault="00EF48A2">
      <w:pPr>
        <w:pStyle w:val="a3"/>
        <w:spacing w:before="240" w:beforeAutospacing="0" w:after="0" w:afterAutospacing="0"/>
        <w:jc w:val="both"/>
        <w:rPr>
          <w:sz w:val="20"/>
          <w:szCs w:val="20"/>
        </w:rPr>
      </w:pPr>
      <w:r>
        <w:rPr>
          <w:b/>
          <w:bCs/>
          <w:i/>
          <w:iCs/>
          <w:sz w:val="20"/>
          <w:szCs w:val="20"/>
        </w:rPr>
        <w:t>Corporate Practice of Medicine Laws in the U.S.; Fee Splittin</w:t>
      </w:r>
      <w:r>
        <w:rPr>
          <w:b/>
          <w:bCs/>
          <w:i/>
          <w:iCs/>
          <w:sz w:val="20"/>
          <w:szCs w:val="20"/>
        </w:rPr>
        <w:t>g</w:t>
      </w:r>
      <w:r>
        <w:rPr>
          <w:b/>
          <w:bCs/>
          <w:i/>
          <w:iCs/>
          <w:sz w:val="20"/>
          <w:szCs w:val="20"/>
        </w:rPr>
        <w:t xml:space="preserve"> </w:t>
      </w:r>
    </w:p>
    <w:p w14:paraId="53FD4B03" w14:textId="77777777" w:rsidR="00000000" w:rsidRDefault="00EF48A2">
      <w:pPr>
        <w:pStyle w:val="a3"/>
        <w:spacing w:before="180" w:beforeAutospacing="0" w:after="0" w:afterAutospacing="0"/>
        <w:jc w:val="both"/>
        <w:rPr>
          <w:sz w:val="20"/>
          <w:szCs w:val="20"/>
        </w:rPr>
      </w:pPr>
      <w:r>
        <w:rPr>
          <w:sz w:val="20"/>
          <w:szCs w:val="20"/>
        </w:rPr>
        <w:t>We contract with physicians or physician owned professional associations, professio</w:t>
      </w:r>
      <w:r>
        <w:rPr>
          <w:sz w:val="20"/>
          <w:szCs w:val="20"/>
        </w:rPr>
        <w:t>nal corporations and therapists to provide access to our platform to them and their patients. We finalized an MSA with TPN and have direct management services contracts with other TPN affiliated entities pursuant to which we provide them with billing, sche</w:t>
      </w:r>
      <w:r>
        <w:rPr>
          <w:sz w:val="20"/>
          <w:szCs w:val="20"/>
        </w:rPr>
        <w:t>duling and a wide range of other administrative and management services, and they pay us for those services via management and other service fees. These contractual relationships are subject to various state laws that prohibit fee splitting or the corporat</w:t>
      </w:r>
      <w:r>
        <w:rPr>
          <w:sz w:val="20"/>
          <w:szCs w:val="20"/>
        </w:rPr>
        <w:t>e practice of medicine or professional services by lay entities or persons and that are intended to prevent unlicensed persons from interfering with or influencing a physician’s or another licensed professional’s clinical judgment. Activities other than th</w:t>
      </w:r>
      <w:r>
        <w:rPr>
          <w:sz w:val="20"/>
          <w:szCs w:val="20"/>
        </w:rPr>
        <w:t>ose directly related to the delivery of healthcare may be considered an element of the practice of medicine in many states. Under the corporate practice of medicine and other licensed profession restrictions of certain states, decisions and activities such</w:t>
      </w:r>
      <w:r>
        <w:rPr>
          <w:sz w:val="20"/>
          <w:szCs w:val="20"/>
        </w:rPr>
        <w:t xml:space="preserve"> as contracting, setting rates and the hiring and management of personnel may implicate the restrictions on the corporate practice of medicine or a licensed profession</w:t>
      </w:r>
      <w:r>
        <w:rPr>
          <w:sz w:val="20"/>
          <w:szCs w:val="20"/>
        </w:rPr>
        <w:t>.</w:t>
      </w:r>
      <w:r>
        <w:rPr>
          <w:sz w:val="20"/>
          <w:szCs w:val="20"/>
        </w:rPr>
        <w:t xml:space="preserve"> </w:t>
      </w:r>
    </w:p>
    <w:p w14:paraId="37339DEA" w14:textId="77777777" w:rsidR="00000000" w:rsidRDefault="00EF48A2">
      <w:pPr>
        <w:pStyle w:val="a3"/>
        <w:spacing w:before="0" w:beforeAutospacing="0" w:after="0" w:afterAutospacing="0"/>
        <w:jc w:val="center"/>
        <w:rPr>
          <w:sz w:val="20"/>
          <w:szCs w:val="20"/>
        </w:rPr>
      </w:pPr>
      <w:r>
        <w:rPr>
          <w:sz w:val="20"/>
          <w:szCs w:val="20"/>
        </w:rPr>
        <w:t>7</w:t>
      </w:r>
    </w:p>
    <w:p w14:paraId="523DDC18" w14:textId="77777777" w:rsidR="00000000" w:rsidRDefault="00EF48A2">
      <w:pPr>
        <w:rPr>
          <w:rFonts w:eastAsia="Times New Roman"/>
        </w:rPr>
      </w:pPr>
      <w:r>
        <w:rPr>
          <w:rFonts w:eastAsia="Times New Roman"/>
        </w:rPr>
        <w:pict w14:anchorId="1E972E91">
          <v:rect id="_x0000_i1034" style="width:0;height:1.5pt" o:hralign="center" o:hrstd="t" o:hr="t" fillcolor="#a0a0a0" stroked="f"/>
        </w:pict>
      </w:r>
    </w:p>
    <w:p w14:paraId="2A31668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43617EA" w14:textId="77777777" w:rsidR="00000000" w:rsidRDefault="00EF48A2">
      <w:pPr>
        <w:pStyle w:val="a3"/>
        <w:spacing w:before="180" w:beforeAutospacing="0" w:after="0" w:afterAutospacing="0"/>
        <w:jc w:val="both"/>
        <w:rPr>
          <w:sz w:val="20"/>
          <w:szCs w:val="20"/>
        </w:rPr>
      </w:pPr>
      <w:r>
        <w:rPr>
          <w:sz w:val="20"/>
          <w:szCs w:val="20"/>
        </w:rPr>
        <w:t>State corporate practice of medicine or other licensed profession and fee splitting laws and rules vary from state to state. In addition, these requirements are subject to broad interpretation and enforcement by state regulators. Some of these requirement</w:t>
      </w:r>
      <w:r>
        <w:rPr>
          <w:sz w:val="20"/>
          <w:szCs w:val="20"/>
        </w:rPr>
        <w:t>s may apply to us even if we do not have a physical presence in the state, based solely on our engagement of a provider licensed in the state or the provision of telehealth and teletherapy to a resident of the state. Thus, regulatory authorities or other p</w:t>
      </w:r>
      <w:r>
        <w:rPr>
          <w:sz w:val="20"/>
          <w:szCs w:val="20"/>
        </w:rPr>
        <w:t>arties, including our providers, may assert that, despite these arrangements, we are engaged in the corporate practice of medicine or a licensed profession or that our contractual arrangements with affiliated providers constitute unlawful fee splitting. In</w:t>
      </w:r>
      <w:r>
        <w:rPr>
          <w:sz w:val="20"/>
          <w:szCs w:val="20"/>
        </w:rPr>
        <w:t xml:space="preserve"> such event, failure to comply could lead to adverse judicial or administrative action against us and/or our affiliated providers, civil, criminal or administrative penalties, receipt of cease and desist orders from state regulators, loss of provider licen</w:t>
      </w:r>
      <w:r>
        <w:rPr>
          <w:sz w:val="20"/>
          <w:szCs w:val="20"/>
        </w:rPr>
        <w:t>ses, the need to make changes to the terms of engagement of our providers that interfere with our business, and other materially adverse consequences</w:t>
      </w:r>
      <w:r>
        <w:rPr>
          <w:sz w:val="20"/>
          <w:szCs w:val="20"/>
        </w:rPr>
        <w:t>.</w:t>
      </w:r>
      <w:r>
        <w:rPr>
          <w:sz w:val="20"/>
          <w:szCs w:val="20"/>
        </w:rPr>
        <w:t xml:space="preserve"> </w:t>
      </w:r>
    </w:p>
    <w:p w14:paraId="6A40368F" w14:textId="77777777" w:rsidR="00000000" w:rsidRDefault="00EF48A2">
      <w:pPr>
        <w:pStyle w:val="a3"/>
        <w:spacing w:before="240" w:beforeAutospacing="0" w:after="0" w:afterAutospacing="0"/>
        <w:rPr>
          <w:sz w:val="20"/>
          <w:szCs w:val="20"/>
        </w:rPr>
      </w:pPr>
      <w:r>
        <w:rPr>
          <w:b/>
          <w:bCs/>
          <w:i/>
          <w:iCs/>
          <w:sz w:val="20"/>
          <w:szCs w:val="20"/>
        </w:rPr>
        <w:t>U.S. Federal and State Fraud and Abuse Law</w:t>
      </w:r>
      <w:r>
        <w:rPr>
          <w:b/>
          <w:bCs/>
          <w:i/>
          <w:iCs/>
          <w:sz w:val="20"/>
          <w:szCs w:val="20"/>
        </w:rPr>
        <w:t>s</w:t>
      </w:r>
      <w:r>
        <w:rPr>
          <w:b/>
          <w:bCs/>
          <w:i/>
          <w:iCs/>
          <w:sz w:val="20"/>
          <w:szCs w:val="20"/>
        </w:rPr>
        <w:t xml:space="preserve"> </w:t>
      </w:r>
    </w:p>
    <w:p w14:paraId="3C7A01E3" w14:textId="77777777" w:rsidR="00000000" w:rsidRDefault="00EF48A2">
      <w:pPr>
        <w:pStyle w:val="a3"/>
        <w:spacing w:before="180" w:beforeAutospacing="0" w:after="0" w:afterAutospacing="0"/>
        <w:jc w:val="both"/>
        <w:rPr>
          <w:sz w:val="20"/>
          <w:szCs w:val="20"/>
        </w:rPr>
      </w:pPr>
      <w:r>
        <w:rPr>
          <w:sz w:val="20"/>
          <w:szCs w:val="20"/>
        </w:rPr>
        <w:t>Although our services are not currently reimbursed by gover</w:t>
      </w:r>
      <w:r>
        <w:rPr>
          <w:sz w:val="20"/>
          <w:szCs w:val="20"/>
        </w:rPr>
        <w:t>nment healthcare programs such as Medicare or Medicaid, any future reimbursement from federal and/or state healthcare programs could expose our business to broadly applicable fraud and abuse laws and other healthcare laws and regulations that would regulat</w:t>
      </w:r>
      <w:r>
        <w:rPr>
          <w:sz w:val="20"/>
          <w:szCs w:val="20"/>
        </w:rPr>
        <w:t>e the business. Applicable and potentially applicable U.S. federal and state healthcare laws and regulations include, but are not limited, to the following</w:t>
      </w:r>
      <w:r>
        <w:rPr>
          <w:sz w:val="20"/>
          <w:szCs w:val="20"/>
        </w:rPr>
        <w:t>.</w:t>
      </w:r>
      <w:r>
        <w:rPr>
          <w:sz w:val="20"/>
          <w:szCs w:val="20"/>
        </w:rPr>
        <w:t xml:space="preserve"> </w:t>
      </w:r>
    </w:p>
    <w:p w14:paraId="2FA7378F" w14:textId="77777777" w:rsidR="00000000" w:rsidRDefault="00EF48A2">
      <w:pPr>
        <w:pStyle w:val="a3"/>
        <w:spacing w:before="240" w:beforeAutospacing="0" w:after="0" w:afterAutospacing="0"/>
        <w:ind w:left="476"/>
        <w:jc w:val="both"/>
        <w:rPr>
          <w:sz w:val="20"/>
          <w:szCs w:val="20"/>
        </w:rPr>
      </w:pPr>
      <w:r>
        <w:rPr>
          <w:i/>
          <w:iCs/>
          <w:sz w:val="20"/>
          <w:szCs w:val="20"/>
        </w:rPr>
        <w:t>Federal Stark La</w:t>
      </w:r>
      <w:r>
        <w:rPr>
          <w:i/>
          <w:iCs/>
          <w:sz w:val="20"/>
          <w:szCs w:val="20"/>
        </w:rPr>
        <w:t>w</w:t>
      </w:r>
      <w:r>
        <w:rPr>
          <w:i/>
          <w:iCs/>
          <w:sz w:val="20"/>
          <w:szCs w:val="20"/>
        </w:rPr>
        <w:t xml:space="preserve"> </w:t>
      </w:r>
    </w:p>
    <w:p w14:paraId="3D0B3779" w14:textId="77777777" w:rsidR="00000000" w:rsidRDefault="00EF48A2">
      <w:pPr>
        <w:pStyle w:val="a3"/>
        <w:spacing w:before="180" w:beforeAutospacing="0" w:after="0" w:afterAutospacing="0"/>
        <w:jc w:val="both"/>
        <w:rPr>
          <w:sz w:val="20"/>
          <w:szCs w:val="20"/>
        </w:rPr>
      </w:pPr>
      <w:r>
        <w:rPr>
          <w:sz w:val="20"/>
          <w:szCs w:val="20"/>
        </w:rPr>
        <w:t>If in the future some of our revenues come from federal health care programs, w</w:t>
      </w:r>
      <w:r>
        <w:rPr>
          <w:sz w:val="20"/>
          <w:szCs w:val="20"/>
        </w:rPr>
        <w:t>e will be subject to the federal self-referral prohibitions, commonly known as the Stark Law. Where applicable, this law prohibits a physician from referring Medicare patients for “designated health services” such as laboratory and other diagnostic service</w:t>
      </w:r>
      <w:r>
        <w:rPr>
          <w:sz w:val="20"/>
          <w:szCs w:val="20"/>
        </w:rPr>
        <w:t xml:space="preserve">s and prescription drugs that are furnished at an entity if the physician or a member of such physician’s immediate family has a “financial relationship” with the entity, unless an exception applies. Sanctions for violating the Stark Law include denial of </w:t>
      </w:r>
      <w:r>
        <w:rPr>
          <w:sz w:val="20"/>
          <w:szCs w:val="20"/>
        </w:rPr>
        <w:t>payment, civil monetary penalties of up to $26,125 per claim submitted and exclusion from the federal health care programs. Failure to refund amounts received as a result of a prohibited referral on a timely basis may constitute a false or fraudulent claim</w:t>
      </w:r>
      <w:r>
        <w:rPr>
          <w:sz w:val="20"/>
          <w:szCs w:val="20"/>
        </w:rPr>
        <w:t xml:space="preserve"> and may result in civil penalties and additional penalties under the federal False Claims Act (“FCA”). The statute also provides for a penalty of up to $174,172 for a circumvention scheme. The Stark Law is a strict liability statute, which means proof of </w:t>
      </w:r>
      <w:r>
        <w:rPr>
          <w:sz w:val="20"/>
          <w:szCs w:val="20"/>
        </w:rPr>
        <w:t>specific intent to violate the law is not required. In addition, the government and some courts have taken the position that claims presented in violation of the various statutes, including the Stark Law, can be considered a violation of the FCA (described</w:t>
      </w:r>
      <w:r>
        <w:rPr>
          <w:sz w:val="20"/>
          <w:szCs w:val="20"/>
        </w:rPr>
        <w:t xml:space="preserve"> below) based on the contention that a provider impliedly certifies compliance with all applicable laws, regulations and other rules when submitting claims for reimbursement. A determination of liability under the Stark Law for TPN or our affiliated physic</w:t>
      </w:r>
      <w:r>
        <w:rPr>
          <w:sz w:val="20"/>
          <w:szCs w:val="20"/>
        </w:rPr>
        <w:t>ians could have a material adverse effect on our business, financial condition and results of operations</w:t>
      </w:r>
      <w:r>
        <w:rPr>
          <w:sz w:val="20"/>
          <w:szCs w:val="20"/>
        </w:rPr>
        <w:t>.</w:t>
      </w:r>
      <w:r>
        <w:rPr>
          <w:sz w:val="20"/>
          <w:szCs w:val="20"/>
        </w:rPr>
        <w:t xml:space="preserve"> </w:t>
      </w:r>
    </w:p>
    <w:p w14:paraId="725C0495" w14:textId="77777777" w:rsidR="00000000" w:rsidRDefault="00EF48A2">
      <w:pPr>
        <w:pStyle w:val="a3"/>
        <w:spacing w:before="240" w:beforeAutospacing="0" w:after="0" w:afterAutospacing="0"/>
        <w:ind w:left="476"/>
        <w:jc w:val="both"/>
        <w:rPr>
          <w:sz w:val="20"/>
          <w:szCs w:val="20"/>
        </w:rPr>
      </w:pPr>
      <w:r>
        <w:rPr>
          <w:i/>
          <w:iCs/>
          <w:sz w:val="20"/>
          <w:szCs w:val="20"/>
        </w:rPr>
        <w:t>Federal Anti-Kickback Statut</w:t>
      </w:r>
      <w:r>
        <w:rPr>
          <w:i/>
          <w:iCs/>
          <w:sz w:val="20"/>
          <w:szCs w:val="20"/>
        </w:rPr>
        <w:t>e</w:t>
      </w:r>
      <w:r>
        <w:rPr>
          <w:i/>
          <w:iCs/>
          <w:sz w:val="20"/>
          <w:szCs w:val="20"/>
        </w:rPr>
        <w:t xml:space="preserve"> </w:t>
      </w:r>
    </w:p>
    <w:p w14:paraId="4F28A9FC" w14:textId="77777777" w:rsidR="00000000" w:rsidRDefault="00EF48A2">
      <w:pPr>
        <w:pStyle w:val="a3"/>
        <w:spacing w:before="180" w:beforeAutospacing="0" w:after="0" w:afterAutospacing="0"/>
        <w:jc w:val="both"/>
        <w:rPr>
          <w:sz w:val="20"/>
          <w:szCs w:val="20"/>
        </w:rPr>
      </w:pPr>
      <w:r>
        <w:rPr>
          <w:sz w:val="20"/>
          <w:szCs w:val="20"/>
        </w:rPr>
        <w:t xml:space="preserve">We will also be subject to the federal Anti-Kickback Statute if any of our services become reimbursable by government </w:t>
      </w:r>
      <w:r>
        <w:rPr>
          <w:sz w:val="20"/>
          <w:szCs w:val="20"/>
        </w:rPr>
        <w:t>healthcare programs. The Anti-Kickback Statute is broadly worded and prohibits the knowing and willful offer, payment, solicitation or receipt of any form of remuneration in return for, or to induce, (i) the referral of a person covered by Medicare, Medica</w:t>
      </w:r>
      <w:r>
        <w:rPr>
          <w:sz w:val="20"/>
          <w:szCs w:val="20"/>
        </w:rPr>
        <w:t>id or other governmental programs, (ii) the furnishing or arranging for the furnishing of items or services reimbursable under Medicare, Medicaid or other governmental programs or (iii) the purchasing, leasing or ordering or arranging or recommending purch</w:t>
      </w:r>
      <w:r>
        <w:rPr>
          <w:sz w:val="20"/>
          <w:szCs w:val="20"/>
        </w:rPr>
        <w:t>asing, leasing or ordering of any item or service reimbursable under Medicare, Medicaid or other governmental programs. Certain federal courts have held that the Anti-Kickback Statute can be violated if “one purpose” of a payment is to induce referrals. In</w:t>
      </w:r>
      <w:r>
        <w:rPr>
          <w:sz w:val="20"/>
          <w:szCs w:val="20"/>
        </w:rPr>
        <w:t xml:space="preserve"> addition, a person or entity does not need to have actual knowledge of this statute or specific intent to violate it to have committed a violation, making it easier for the government to prove that a defendant had the requisite state of mind or “scienter”</w:t>
      </w:r>
      <w:r>
        <w:rPr>
          <w:sz w:val="20"/>
          <w:szCs w:val="20"/>
        </w:rPr>
        <w:t xml:space="preserve"> required for a violation. Moreover, the government may assert that a claim including items or services resulting from a violation of the Anti-Kickback Statute constitutes a false or fraudulent claim for purposes of the FCA, as discussed below. Violations </w:t>
      </w:r>
      <w:r>
        <w:rPr>
          <w:sz w:val="20"/>
          <w:szCs w:val="20"/>
        </w:rPr>
        <w:t>of the federal Anti-Kickback Statute may result in civil monetary penalties up to $105,563 for each violation, plus up to three times the remuneration involved. Civil penalties for such conduct can further be assessed under the FCA. Violations of the feder</w:t>
      </w:r>
      <w:r>
        <w:rPr>
          <w:sz w:val="20"/>
          <w:szCs w:val="20"/>
        </w:rPr>
        <w:t>al Anti-Kickback Statute can also result in criminal penalties, including criminal fines of more than $100,000 and imprisonment of up to 10 years. Similarly, violations can result in exclusion from participation in government healthcare programs, including</w:t>
      </w:r>
      <w:r>
        <w:rPr>
          <w:sz w:val="20"/>
          <w:szCs w:val="20"/>
        </w:rPr>
        <w:t xml:space="preserve"> Medicare and Medicaid. Imposition of any of these remedies could have a material adverse effect on our business, financial condition and results of operations, if in the future we provide services reimbursable by government healthcare programs. In additio</w:t>
      </w:r>
      <w:r>
        <w:rPr>
          <w:sz w:val="20"/>
          <w:szCs w:val="20"/>
        </w:rPr>
        <w:t>n to a few statutory exceptions, the Office of Inspector General (“OIG”) has published safe-harbor regulations that outline categories of activities that are deemed protected from prosecution under the Anti-Kickback Statute provided all applicable criteria</w:t>
      </w:r>
      <w:r>
        <w:rPr>
          <w:sz w:val="20"/>
          <w:szCs w:val="20"/>
        </w:rPr>
        <w:t xml:space="preserve"> are met. The failure of a financial relationship to meet all of the applicable safe harbor criteria does not necessarily mea</w:t>
      </w:r>
      <w:r>
        <w:rPr>
          <w:sz w:val="20"/>
          <w:szCs w:val="20"/>
        </w:rPr>
        <w:t>n</w:t>
      </w:r>
      <w:r>
        <w:rPr>
          <w:sz w:val="20"/>
          <w:szCs w:val="20"/>
        </w:rPr>
        <w:t xml:space="preserve"> </w:t>
      </w:r>
    </w:p>
    <w:p w14:paraId="660E0B13" w14:textId="77777777" w:rsidR="00000000" w:rsidRDefault="00EF48A2">
      <w:pPr>
        <w:pStyle w:val="a3"/>
        <w:spacing w:before="0" w:beforeAutospacing="0" w:after="0" w:afterAutospacing="0"/>
        <w:jc w:val="center"/>
        <w:rPr>
          <w:sz w:val="20"/>
          <w:szCs w:val="20"/>
        </w:rPr>
      </w:pPr>
      <w:r>
        <w:rPr>
          <w:sz w:val="20"/>
          <w:szCs w:val="20"/>
        </w:rPr>
        <w:t>8</w:t>
      </w:r>
    </w:p>
    <w:p w14:paraId="43CBD2A3" w14:textId="77777777" w:rsidR="00000000" w:rsidRDefault="00EF48A2">
      <w:pPr>
        <w:rPr>
          <w:rFonts w:eastAsia="Times New Roman"/>
        </w:rPr>
      </w:pPr>
      <w:r>
        <w:rPr>
          <w:rFonts w:eastAsia="Times New Roman"/>
        </w:rPr>
        <w:pict w14:anchorId="28E22E58">
          <v:rect id="_x0000_i1035" style="width:0;height:1.5pt" o:hralign="center" o:hrstd="t" o:hr="t" fillcolor="#a0a0a0" stroked="f"/>
        </w:pict>
      </w:r>
    </w:p>
    <w:p w14:paraId="7D5C7EE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07DF70E" w14:textId="77777777" w:rsidR="00000000" w:rsidRDefault="00EF48A2">
      <w:pPr>
        <w:pStyle w:val="a3"/>
        <w:spacing w:before="180" w:beforeAutospacing="0" w:after="0" w:afterAutospacing="0"/>
        <w:jc w:val="both"/>
        <w:rPr>
          <w:sz w:val="20"/>
          <w:szCs w:val="20"/>
        </w:rPr>
      </w:pPr>
      <w:r>
        <w:rPr>
          <w:sz w:val="20"/>
          <w:szCs w:val="20"/>
        </w:rPr>
        <w:t xml:space="preserve">that the particular arrangement violates </w:t>
      </w:r>
      <w:r>
        <w:rPr>
          <w:sz w:val="20"/>
          <w:szCs w:val="20"/>
        </w:rPr>
        <w:t>the Anti-Kickback Statute. However, conduct and business arrangements that do not fully satisfy each applicable safe harbor may result in increased scrutiny by government enforcement authorities, such as the OIG</w:t>
      </w:r>
      <w:r>
        <w:rPr>
          <w:sz w:val="20"/>
          <w:szCs w:val="20"/>
        </w:rPr>
        <w:t>.</w:t>
      </w:r>
      <w:r>
        <w:rPr>
          <w:sz w:val="20"/>
          <w:szCs w:val="20"/>
        </w:rPr>
        <w:t xml:space="preserve"> </w:t>
      </w:r>
    </w:p>
    <w:p w14:paraId="5B7BAD53" w14:textId="77777777" w:rsidR="00000000" w:rsidRDefault="00EF48A2">
      <w:pPr>
        <w:pStyle w:val="a3"/>
        <w:spacing w:before="240" w:beforeAutospacing="0" w:after="0" w:afterAutospacing="0"/>
        <w:ind w:left="476"/>
        <w:jc w:val="both"/>
        <w:rPr>
          <w:sz w:val="20"/>
          <w:szCs w:val="20"/>
        </w:rPr>
      </w:pPr>
      <w:r>
        <w:rPr>
          <w:i/>
          <w:iCs/>
          <w:sz w:val="20"/>
          <w:szCs w:val="20"/>
        </w:rPr>
        <w:t>False Claims Ac</w:t>
      </w:r>
      <w:r>
        <w:rPr>
          <w:i/>
          <w:iCs/>
          <w:sz w:val="20"/>
          <w:szCs w:val="20"/>
        </w:rPr>
        <w:t>t</w:t>
      </w:r>
      <w:r>
        <w:rPr>
          <w:i/>
          <w:iCs/>
          <w:sz w:val="20"/>
          <w:szCs w:val="20"/>
        </w:rPr>
        <w:t xml:space="preserve"> </w:t>
      </w:r>
    </w:p>
    <w:p w14:paraId="32B52FCE" w14:textId="77777777" w:rsidR="00000000" w:rsidRDefault="00EF48A2">
      <w:pPr>
        <w:pStyle w:val="a3"/>
        <w:spacing w:before="180" w:beforeAutospacing="0" w:after="0" w:afterAutospacing="0"/>
        <w:jc w:val="both"/>
        <w:rPr>
          <w:sz w:val="20"/>
          <w:szCs w:val="20"/>
        </w:rPr>
      </w:pPr>
      <w:r>
        <w:rPr>
          <w:sz w:val="20"/>
          <w:szCs w:val="20"/>
        </w:rPr>
        <w:t>Both federal and state g</w:t>
      </w:r>
      <w:r>
        <w:rPr>
          <w:sz w:val="20"/>
          <w:szCs w:val="20"/>
        </w:rPr>
        <w:t>overnment agencies have continued civil and criminal enforcement efforts as part of numerous ongoing investigations of healthcare companies and their executives and managers. Although there are a number of civil and criminal statutes that can be applied to</w:t>
      </w:r>
      <w:r>
        <w:rPr>
          <w:sz w:val="20"/>
          <w:szCs w:val="20"/>
        </w:rPr>
        <w:t xml:space="preserve"> healthcare providers, a significant number of these investigations involve the FCA. These investigations can be initiated not only by the government but also by a private party asserting direct knowledge of fraud. These “qui tam” whistleblower lawsuits ma</w:t>
      </w:r>
      <w:r>
        <w:rPr>
          <w:sz w:val="20"/>
          <w:szCs w:val="20"/>
        </w:rPr>
        <w:t>y be initiated against any person or entity alleging such person or entity has knowingly or recklessly presented, or caused to be presented, a false or fraudulent request for payment from the federal government, or has made a false statement or used a fals</w:t>
      </w:r>
      <w:r>
        <w:rPr>
          <w:sz w:val="20"/>
          <w:szCs w:val="20"/>
        </w:rPr>
        <w:t>e record to get a claim approved. In addition, the improper retention of an overpayment for 60 days or more is also a basis for an FCA action, even if the claim was originally submitted appropriately. Penalties for FCA violations include fines ranging from</w:t>
      </w:r>
      <w:r>
        <w:rPr>
          <w:sz w:val="20"/>
          <w:szCs w:val="20"/>
        </w:rPr>
        <w:t xml:space="preserve"> $11,803 to $23,607 for each false claim, plus up to three times the amount of damages sustained by the federal government. An FCA violation may provide the basis for exclusion from the federally funded healthcare programs</w:t>
      </w:r>
      <w:r>
        <w:rPr>
          <w:sz w:val="20"/>
          <w:szCs w:val="20"/>
        </w:rPr>
        <w:t>.</w:t>
      </w:r>
      <w:r>
        <w:rPr>
          <w:sz w:val="20"/>
          <w:szCs w:val="20"/>
        </w:rPr>
        <w:t xml:space="preserve"> </w:t>
      </w:r>
    </w:p>
    <w:p w14:paraId="6BF7C5D4" w14:textId="77777777" w:rsidR="00000000" w:rsidRDefault="00EF48A2">
      <w:pPr>
        <w:pStyle w:val="a3"/>
        <w:spacing w:before="240" w:beforeAutospacing="0" w:after="0" w:afterAutospacing="0"/>
        <w:ind w:left="476"/>
        <w:jc w:val="both"/>
        <w:rPr>
          <w:sz w:val="20"/>
          <w:szCs w:val="20"/>
        </w:rPr>
      </w:pPr>
      <w:r>
        <w:rPr>
          <w:i/>
          <w:iCs/>
          <w:sz w:val="20"/>
          <w:szCs w:val="20"/>
        </w:rPr>
        <w:t>State Fraud and Abuse Law</w:t>
      </w:r>
      <w:r>
        <w:rPr>
          <w:i/>
          <w:iCs/>
          <w:sz w:val="20"/>
          <w:szCs w:val="20"/>
        </w:rPr>
        <w:t>s</w:t>
      </w:r>
      <w:r>
        <w:rPr>
          <w:i/>
          <w:iCs/>
          <w:sz w:val="20"/>
          <w:szCs w:val="20"/>
        </w:rPr>
        <w:t xml:space="preserve"> </w:t>
      </w:r>
    </w:p>
    <w:p w14:paraId="1B6D479C" w14:textId="77777777" w:rsidR="00000000" w:rsidRDefault="00EF48A2">
      <w:pPr>
        <w:pStyle w:val="a3"/>
        <w:spacing w:before="180" w:beforeAutospacing="0" w:after="0" w:afterAutospacing="0"/>
        <w:jc w:val="both"/>
        <w:rPr>
          <w:sz w:val="20"/>
          <w:szCs w:val="20"/>
        </w:rPr>
      </w:pPr>
      <w:r>
        <w:rPr>
          <w:sz w:val="20"/>
          <w:szCs w:val="20"/>
        </w:rPr>
        <w:t>Sev</w:t>
      </w:r>
      <w:r>
        <w:rPr>
          <w:sz w:val="20"/>
          <w:szCs w:val="20"/>
        </w:rPr>
        <w:t>eral states in which we operate have also adopted or may adopt similar self-referral, anti-kickback, fraud, whistleblower and false claims laws as described above. The scope of these laws and the interpretations of them vary by jurisdiction and are enforce</w:t>
      </w:r>
      <w:r>
        <w:rPr>
          <w:sz w:val="20"/>
          <w:szCs w:val="20"/>
        </w:rPr>
        <w:t>d by local courts and regulatory authorities, each with broad discretion. Some state fraud and abuse laws apply to items or services reimbursed by Medicaid programs and any third-party payer, including commercial insurers or to any payer, including to fund</w:t>
      </w:r>
      <w:r>
        <w:rPr>
          <w:sz w:val="20"/>
          <w:szCs w:val="20"/>
        </w:rPr>
        <w:t>s paid out of pocket by a patient. A determination of liability under such state fraud and abuse laws could result in fines and penalties and restrictions on our ability to operate in these jurisdictions</w:t>
      </w:r>
      <w:r>
        <w:rPr>
          <w:sz w:val="20"/>
          <w:szCs w:val="20"/>
        </w:rPr>
        <w:t>.</w:t>
      </w:r>
      <w:r>
        <w:rPr>
          <w:sz w:val="20"/>
          <w:szCs w:val="20"/>
        </w:rPr>
        <w:t xml:space="preserve"> </w:t>
      </w:r>
    </w:p>
    <w:p w14:paraId="4A60ED3C" w14:textId="77777777" w:rsidR="00000000" w:rsidRDefault="00EF48A2">
      <w:pPr>
        <w:pStyle w:val="a3"/>
        <w:spacing w:before="240" w:beforeAutospacing="0" w:after="0" w:afterAutospacing="0"/>
        <w:ind w:left="476"/>
        <w:jc w:val="both"/>
        <w:rPr>
          <w:sz w:val="20"/>
          <w:szCs w:val="20"/>
        </w:rPr>
      </w:pPr>
      <w:r>
        <w:rPr>
          <w:i/>
          <w:iCs/>
          <w:sz w:val="20"/>
          <w:szCs w:val="20"/>
        </w:rPr>
        <w:t>Other Healthcare Law</w:t>
      </w:r>
      <w:r>
        <w:rPr>
          <w:i/>
          <w:iCs/>
          <w:sz w:val="20"/>
          <w:szCs w:val="20"/>
        </w:rPr>
        <w:t>s</w:t>
      </w:r>
      <w:r>
        <w:rPr>
          <w:i/>
          <w:iCs/>
          <w:sz w:val="20"/>
          <w:szCs w:val="20"/>
        </w:rPr>
        <w:t xml:space="preserve"> </w:t>
      </w:r>
    </w:p>
    <w:p w14:paraId="0379EE2B" w14:textId="77777777" w:rsidR="00000000" w:rsidRDefault="00EF48A2">
      <w:pPr>
        <w:pStyle w:val="a3"/>
        <w:spacing w:before="180" w:beforeAutospacing="0" w:after="0" w:afterAutospacing="0"/>
        <w:jc w:val="both"/>
        <w:rPr>
          <w:sz w:val="20"/>
          <w:szCs w:val="20"/>
        </w:rPr>
      </w:pPr>
      <w:r>
        <w:rPr>
          <w:sz w:val="20"/>
          <w:szCs w:val="20"/>
        </w:rPr>
        <w:t>HIPAA established several separate criminal penalties for making false or fraudulent claims to insurance companies and other non-governmental payers of healthcare services</w:t>
      </w:r>
      <w:r>
        <w:rPr>
          <w:sz w:val="20"/>
          <w:szCs w:val="20"/>
        </w:rPr>
        <w:t>.</w:t>
      </w:r>
      <w:r>
        <w:rPr>
          <w:sz w:val="20"/>
          <w:szCs w:val="20"/>
        </w:rPr>
        <w:t xml:space="preserve"> </w:t>
      </w:r>
    </w:p>
    <w:p w14:paraId="77B29327" w14:textId="77777777" w:rsidR="00000000" w:rsidRDefault="00EF48A2">
      <w:pPr>
        <w:pStyle w:val="a3"/>
        <w:spacing w:before="180" w:beforeAutospacing="0" w:after="0" w:afterAutospacing="0"/>
        <w:jc w:val="both"/>
        <w:rPr>
          <w:sz w:val="20"/>
          <w:szCs w:val="20"/>
        </w:rPr>
      </w:pPr>
      <w:r>
        <w:rPr>
          <w:sz w:val="20"/>
          <w:szCs w:val="20"/>
        </w:rPr>
        <w:t>Under HIPAA, these two additional federal crimes are: “Healthcare Fraud” and “Fals</w:t>
      </w:r>
      <w:r>
        <w:rPr>
          <w:sz w:val="20"/>
          <w:szCs w:val="20"/>
        </w:rPr>
        <w:t>e Statements Relating to Healthcare Matters.” The Healthcare Fraud statute prohibits knowingly and recklessly executing a scheme or artifice to defraud any healthcare benefit program, including private payers. A violation of this statute is a felony and ma</w:t>
      </w:r>
      <w:r>
        <w:rPr>
          <w:sz w:val="20"/>
          <w:szCs w:val="20"/>
        </w:rPr>
        <w:t>y result in fines, imprisonment, or exclusion from government sponsored programs. The False Statements Relating to Healthcare Matters statute prohibits knowingly and willfully falsifying, concealing, or covering up a material fact by any trick, scheme or d</w:t>
      </w:r>
      <w:r>
        <w:rPr>
          <w:sz w:val="20"/>
          <w:szCs w:val="20"/>
        </w:rPr>
        <w:t>evice or making any materially false, fictitious, or fraudulent statement in connection with the delivery of or payment for healthcare benefits, items, or services. A violation of this statute is a felony and may result in fines or imprisonment. This statu</w:t>
      </w:r>
      <w:r>
        <w:rPr>
          <w:sz w:val="20"/>
          <w:szCs w:val="20"/>
        </w:rPr>
        <w:t>te could be used by the government to assert criminal liability if a healthcare provider knowingly fails to refund an overpayment. These provisions are intended to punish some of the same conduct in the submission of claims to private payers as the federal</w:t>
      </w:r>
      <w:r>
        <w:rPr>
          <w:sz w:val="20"/>
          <w:szCs w:val="20"/>
        </w:rPr>
        <w:t xml:space="preserve"> False Claims Act covers in connection with governmental health programs</w:t>
      </w:r>
      <w:r>
        <w:rPr>
          <w:sz w:val="20"/>
          <w:szCs w:val="20"/>
        </w:rPr>
        <w:t>.</w:t>
      </w:r>
      <w:r>
        <w:rPr>
          <w:sz w:val="20"/>
          <w:szCs w:val="20"/>
        </w:rPr>
        <w:t xml:space="preserve"> </w:t>
      </w:r>
    </w:p>
    <w:p w14:paraId="18C42D77" w14:textId="77777777" w:rsidR="00000000" w:rsidRDefault="00EF48A2">
      <w:pPr>
        <w:pStyle w:val="a3"/>
        <w:spacing w:before="180" w:beforeAutospacing="0" w:after="0" w:afterAutospacing="0"/>
        <w:jc w:val="both"/>
        <w:rPr>
          <w:sz w:val="20"/>
          <w:szCs w:val="20"/>
        </w:rPr>
      </w:pPr>
      <w:r>
        <w:rPr>
          <w:sz w:val="20"/>
          <w:szCs w:val="20"/>
        </w:rPr>
        <w:t>In addition, the Civil Monetary Penalties Law imposes civil administrative sanctions for, among other violations, inappropriate billing of services to federally funded healthcare pr</w:t>
      </w:r>
      <w:r>
        <w:rPr>
          <w:sz w:val="20"/>
          <w:szCs w:val="20"/>
        </w:rPr>
        <w:t>ograms and employing or contracting with individuals or entities who are excluded from participation in federally funded healthcare programs. Moreover, a person who offers or transfers to a Medicare or Medicaid beneficiary any remuneration, including waive</w:t>
      </w:r>
      <w:r>
        <w:rPr>
          <w:sz w:val="20"/>
          <w:szCs w:val="20"/>
        </w:rPr>
        <w:t xml:space="preserve">rs of copayments and deductible amounts (or any part thereof), that the person knows or should know is likely to influence the beneficiary’s selection of a particular provider, practitioner or supplier of Medicare or Medicaid payable items or services may </w:t>
      </w:r>
      <w:r>
        <w:rPr>
          <w:sz w:val="20"/>
          <w:szCs w:val="20"/>
        </w:rPr>
        <w:t>be liable for civil monetary penalties of up to $10,000 for each wrongful act. Furthermore, in certain cases, providers who routinely waive copayments and deductibles for Medicare and Medicaid beneficiaries can also be held liable under the Anti-Kickback S</w:t>
      </w:r>
      <w:r>
        <w:rPr>
          <w:sz w:val="20"/>
          <w:szCs w:val="20"/>
        </w:rPr>
        <w:t>tatute and civil False Claims Act, which can impose additional penalties associated with the wrongful act. One of the statutory exceptions to the prohibition is non-routine, unadvertised waivers of copayments or deductible amounts based on individualized d</w:t>
      </w:r>
      <w:r>
        <w:rPr>
          <w:sz w:val="20"/>
          <w:szCs w:val="20"/>
        </w:rPr>
        <w:t xml:space="preserve">eterminations of financial need or exhaustion of reasonable collection efforts. The OIG emphasizes, however, that this exception should only be used occasionally to address special financial needs of a particular patient. Although this prohibition applies </w:t>
      </w:r>
      <w:r>
        <w:rPr>
          <w:sz w:val="20"/>
          <w:szCs w:val="20"/>
        </w:rPr>
        <w:t xml:space="preserve">only to federal healthcare program beneficiaries, the routine waivers of copayments and deductibles offered to patients covered by commercial payers may implicate applicable state laws related to, among other things, unlawful schemes to defraud, excessive </w:t>
      </w:r>
      <w:r>
        <w:rPr>
          <w:sz w:val="20"/>
          <w:szCs w:val="20"/>
        </w:rPr>
        <w:t>fees for services, tortious interference with patient contracts, and statutory or common law fraud</w:t>
      </w:r>
      <w:r>
        <w:rPr>
          <w:sz w:val="20"/>
          <w:szCs w:val="20"/>
        </w:rPr>
        <w:t>.</w:t>
      </w:r>
    </w:p>
    <w:p w14:paraId="3910F018" w14:textId="77777777" w:rsidR="00000000" w:rsidRDefault="00EF48A2">
      <w:pPr>
        <w:pStyle w:val="a3"/>
        <w:spacing w:before="0" w:beforeAutospacing="0" w:after="0" w:afterAutospacing="0"/>
        <w:rPr>
          <w:sz w:val="20"/>
          <w:szCs w:val="20"/>
        </w:rPr>
      </w:pPr>
      <w:r>
        <w:rPr>
          <w:sz w:val="20"/>
          <w:szCs w:val="20"/>
        </w:rPr>
        <w:t> </w:t>
      </w:r>
    </w:p>
    <w:p w14:paraId="59D79598" w14:textId="77777777" w:rsidR="00000000" w:rsidRDefault="00EF48A2">
      <w:pPr>
        <w:pStyle w:val="a3"/>
        <w:spacing w:before="0" w:beforeAutospacing="0" w:after="0" w:afterAutospacing="0"/>
        <w:jc w:val="center"/>
        <w:rPr>
          <w:sz w:val="20"/>
          <w:szCs w:val="20"/>
        </w:rPr>
      </w:pPr>
      <w:r>
        <w:rPr>
          <w:sz w:val="20"/>
          <w:szCs w:val="20"/>
        </w:rPr>
        <w:t>9</w:t>
      </w:r>
    </w:p>
    <w:p w14:paraId="3E92CFFF" w14:textId="77777777" w:rsidR="00000000" w:rsidRDefault="00EF48A2">
      <w:pPr>
        <w:rPr>
          <w:rFonts w:eastAsia="Times New Roman"/>
        </w:rPr>
      </w:pPr>
      <w:r>
        <w:rPr>
          <w:rFonts w:eastAsia="Times New Roman"/>
        </w:rPr>
        <w:pict w14:anchorId="0818AC41">
          <v:rect id="_x0000_i1036" style="width:0;height:1.5pt" o:hralign="center" o:hrstd="t" o:hr="t" fillcolor="#a0a0a0" stroked="f"/>
        </w:pict>
      </w:r>
    </w:p>
    <w:p w14:paraId="21423312"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3ADED52" w14:textId="77777777" w:rsidR="00000000" w:rsidRDefault="00EF48A2">
      <w:pPr>
        <w:pStyle w:val="a3"/>
        <w:spacing w:before="240" w:beforeAutospacing="0" w:after="0" w:afterAutospacing="0"/>
        <w:rPr>
          <w:sz w:val="20"/>
          <w:szCs w:val="20"/>
        </w:rPr>
      </w:pPr>
      <w:r>
        <w:rPr>
          <w:b/>
          <w:bCs/>
          <w:i/>
          <w:iCs/>
          <w:sz w:val="20"/>
          <w:szCs w:val="20"/>
        </w:rPr>
        <w:t>U.S. State and Federal Health Information Privacy and Security Law</w:t>
      </w:r>
      <w:r>
        <w:rPr>
          <w:b/>
          <w:bCs/>
          <w:i/>
          <w:iCs/>
          <w:sz w:val="20"/>
          <w:szCs w:val="20"/>
        </w:rPr>
        <w:t>s</w:t>
      </w:r>
      <w:r>
        <w:rPr>
          <w:b/>
          <w:bCs/>
          <w:i/>
          <w:iCs/>
          <w:sz w:val="20"/>
          <w:szCs w:val="20"/>
        </w:rPr>
        <w:t xml:space="preserve"> </w:t>
      </w:r>
    </w:p>
    <w:p w14:paraId="4276039C" w14:textId="77777777" w:rsidR="00000000" w:rsidRDefault="00EF48A2">
      <w:pPr>
        <w:pStyle w:val="a3"/>
        <w:spacing w:before="180" w:beforeAutospacing="0" w:after="0" w:afterAutospacing="0"/>
        <w:jc w:val="both"/>
        <w:rPr>
          <w:sz w:val="20"/>
          <w:szCs w:val="20"/>
        </w:rPr>
      </w:pPr>
      <w:r>
        <w:rPr>
          <w:sz w:val="20"/>
          <w:szCs w:val="20"/>
        </w:rPr>
        <w:t>There are numerous U.S. federal and state laws and regulations related to the privacy and security of personal information, including health information. In particular, HIPAA imposes a number of requirements on covered entities and their business associa</w:t>
      </w:r>
      <w:r>
        <w:rPr>
          <w:sz w:val="20"/>
          <w:szCs w:val="20"/>
        </w:rPr>
        <w:t>tes relating to the use, disclosure and safeguarding of protected health information. These requirements include uniform standards of common electronic healthcare transactions; privacy and security regulations; and unique identifier rules for employers, he</w:t>
      </w:r>
      <w:r>
        <w:rPr>
          <w:sz w:val="20"/>
          <w:szCs w:val="20"/>
        </w:rPr>
        <w:t>alth plans and providers. In addition, the Health Information Technology for Economic and Clinical Health Act, or HITECH, provisions of the American Recovery and Reinvestment Act of 2009 and corresponding implementing regulations have imposed additional re</w:t>
      </w:r>
      <w:r>
        <w:rPr>
          <w:sz w:val="20"/>
          <w:szCs w:val="20"/>
        </w:rPr>
        <w:t>quirements on the use and disclosure of protected health information such as additional breach notification and reporting requirements, contracting requirements for HIPAA business associate agreements, strengthened enforcement mechanisms and increased pena</w:t>
      </w:r>
      <w:r>
        <w:rPr>
          <w:sz w:val="20"/>
          <w:szCs w:val="20"/>
        </w:rPr>
        <w:t>lties for HIPAA violations. Federal consumer protection laws may also apply in some instances to privacy and security practices related to personal information</w:t>
      </w:r>
      <w:r>
        <w:rPr>
          <w:sz w:val="20"/>
          <w:szCs w:val="20"/>
        </w:rPr>
        <w:t>.</w:t>
      </w:r>
      <w:r>
        <w:rPr>
          <w:sz w:val="20"/>
          <w:szCs w:val="20"/>
        </w:rPr>
        <w:t xml:space="preserve"> </w:t>
      </w:r>
    </w:p>
    <w:p w14:paraId="44754094" w14:textId="77777777" w:rsidR="00000000" w:rsidRDefault="00EF48A2">
      <w:pPr>
        <w:pStyle w:val="a3"/>
        <w:spacing w:before="180" w:beforeAutospacing="0" w:after="0" w:afterAutospacing="0"/>
        <w:jc w:val="both"/>
        <w:rPr>
          <w:sz w:val="20"/>
          <w:szCs w:val="20"/>
        </w:rPr>
      </w:pPr>
      <w:r>
        <w:rPr>
          <w:sz w:val="20"/>
          <w:szCs w:val="20"/>
        </w:rPr>
        <w:t>Violations of HIPAA may result in civil and criminal penalties. However, a single breach incid</w:t>
      </w:r>
      <w:r>
        <w:rPr>
          <w:sz w:val="20"/>
          <w:szCs w:val="20"/>
        </w:rPr>
        <w:t>ent can result in violations of multiple standards. Our management responsibilities to TPN include assisting it with its obligations under HIPAA’s breach notification rule. Under the breach notification rule, covered entities must notify affected individua</w:t>
      </w:r>
      <w:r>
        <w:rPr>
          <w:sz w:val="20"/>
          <w:szCs w:val="20"/>
        </w:rPr>
        <w:t>ls without unreasonable delay in the case of a breach of unsecured protected health information (“PHI”), which may compromise the privacy, security or integrity of the PHI. In addition, notification must be provided to U.S. Department of Health and Human S</w:t>
      </w:r>
      <w:r>
        <w:rPr>
          <w:sz w:val="20"/>
          <w:szCs w:val="20"/>
        </w:rPr>
        <w:t>ervices (“HHS”) and the local media in cases where a breach affects more than 500 individuals. Breaches affecting fewer than 500 individuals must be reported to HHS on an annual basis. HIPAA also requires a business associate to notify its covered entity c</w:t>
      </w:r>
      <w:r>
        <w:rPr>
          <w:sz w:val="20"/>
          <w:szCs w:val="20"/>
        </w:rPr>
        <w:t>lients of breaches by the business associate</w:t>
      </w:r>
      <w:r>
        <w:rPr>
          <w:sz w:val="20"/>
          <w:szCs w:val="20"/>
        </w:rPr>
        <w:t>.</w:t>
      </w:r>
    </w:p>
    <w:p w14:paraId="613B3D7D" w14:textId="77777777" w:rsidR="00000000" w:rsidRDefault="00EF48A2">
      <w:pPr>
        <w:pStyle w:val="a3"/>
        <w:spacing w:before="180" w:beforeAutospacing="0" w:after="0" w:afterAutospacing="0"/>
        <w:jc w:val="both"/>
        <w:rPr>
          <w:sz w:val="20"/>
          <w:szCs w:val="20"/>
        </w:rPr>
      </w:pPr>
      <w:r>
        <w:rPr>
          <w:sz w:val="20"/>
          <w:szCs w:val="20"/>
        </w:rPr>
        <w:t>State attorneys general also have the right to prosecute HIPAA violations committed against residents of their states. While HIPAA does not create a private right of action that would allow individuals to sue i</w:t>
      </w:r>
      <w:r>
        <w:rPr>
          <w:sz w:val="20"/>
          <w:szCs w:val="20"/>
        </w:rPr>
        <w:t>n civil court for a HIPAA violation, its standards have been used as the basis for the duty of care in state civil suits, such as those for negligence or recklessness in misusing personal information. In addition, HIPAA mandates that HHS conduct periodic c</w:t>
      </w:r>
      <w:r>
        <w:rPr>
          <w:sz w:val="20"/>
          <w:szCs w:val="20"/>
        </w:rPr>
        <w:t>ompliance audits of HIPAA covered entities and their business associates for compliance. It also tasks HHS with establishing a methodology whereby harmed individuals who were the victims of breaches of unsecured PHI may receive a percentage of the civil mo</w:t>
      </w:r>
      <w:r>
        <w:rPr>
          <w:sz w:val="20"/>
          <w:szCs w:val="20"/>
        </w:rPr>
        <w:t>netary penalty fine paid by the violator. In light of the HIPAA Omnibus Final Rule, recent enforcement activity, and statements from HHS, we expect increased federal and state HIPAA privacy and security enforcement efforts</w:t>
      </w:r>
      <w:r>
        <w:rPr>
          <w:sz w:val="20"/>
          <w:szCs w:val="20"/>
        </w:rPr>
        <w:t>.</w:t>
      </w:r>
    </w:p>
    <w:p w14:paraId="38B2C871" w14:textId="77777777" w:rsidR="00000000" w:rsidRDefault="00EF48A2">
      <w:pPr>
        <w:pStyle w:val="a3"/>
        <w:spacing w:before="180" w:beforeAutospacing="0" w:after="0" w:afterAutospacing="0"/>
        <w:jc w:val="both"/>
        <w:rPr>
          <w:sz w:val="20"/>
          <w:szCs w:val="20"/>
        </w:rPr>
      </w:pPr>
      <w:r>
        <w:rPr>
          <w:sz w:val="20"/>
          <w:szCs w:val="20"/>
        </w:rPr>
        <w:t>HIPAA also required HHS to adopt</w:t>
      </w:r>
      <w:r>
        <w:rPr>
          <w:sz w:val="20"/>
          <w:szCs w:val="20"/>
        </w:rPr>
        <w:t xml:space="preserve"> national standards for electronic transactions that all healthcare providers must use when submitting or receiving certain healthcare transactions electronically. On January 16, 2009, HHS released the final rule mandating that everyone covered by HIPAA mu</w:t>
      </w:r>
      <w:r>
        <w:rPr>
          <w:sz w:val="20"/>
          <w:szCs w:val="20"/>
        </w:rPr>
        <w:t>st implement ICD 10 for medical coding on October 1, 2013, which was subsequently extended to October 1, 2015 and is now in effect</w:t>
      </w:r>
      <w:r>
        <w:rPr>
          <w:sz w:val="20"/>
          <w:szCs w:val="20"/>
        </w:rPr>
        <w:t>.</w:t>
      </w:r>
    </w:p>
    <w:p w14:paraId="3DC05D55" w14:textId="77777777" w:rsidR="00000000" w:rsidRDefault="00EF48A2">
      <w:pPr>
        <w:pStyle w:val="a3"/>
        <w:spacing w:before="180" w:beforeAutospacing="0" w:after="0" w:afterAutospacing="0"/>
        <w:jc w:val="both"/>
        <w:rPr>
          <w:sz w:val="20"/>
          <w:szCs w:val="20"/>
        </w:rPr>
      </w:pPr>
      <w:r>
        <w:rPr>
          <w:sz w:val="20"/>
          <w:szCs w:val="20"/>
        </w:rPr>
        <w:t>Many states in which we operate and in which our patients reside also have laws that protect the privacy and security of sen</w:t>
      </w:r>
      <w:r>
        <w:rPr>
          <w:sz w:val="20"/>
          <w:szCs w:val="20"/>
        </w:rPr>
        <w:t>sitive and personal information, including health information. Moreover, state laws may be similar to or even more protective than HIPAA and other federal privacy laws. For example, the laws of the State of California, in which we operate, are more restric</w:t>
      </w:r>
      <w:r>
        <w:rPr>
          <w:sz w:val="20"/>
          <w:szCs w:val="20"/>
        </w:rPr>
        <w:t>tive than HIPAA. Where state laws are more protective/restrictive than HIPAA, we must comply with the state laws we are subject to, in addition to HIPAA. In certain cases, it may be necessary to modify our existing or planned operations and procedures to c</w:t>
      </w:r>
      <w:r>
        <w:rPr>
          <w:sz w:val="20"/>
          <w:szCs w:val="20"/>
        </w:rPr>
        <w:t>omply with these more stringent state laws. Not only may some of these state laws impose fines and penalties upon violators, but, unlike HIPAA, some may afford private rights of action to individuals who believe their personal information has been misused.</w:t>
      </w:r>
      <w:r>
        <w:rPr>
          <w:sz w:val="20"/>
          <w:szCs w:val="20"/>
        </w:rPr>
        <w:t xml:space="preserve"> In addition, state laws could change rapidly, and there is currently a new federal privacy law or federal breach notification law under consideration to which we may be subject</w:t>
      </w:r>
      <w:r>
        <w:rPr>
          <w:sz w:val="20"/>
          <w:szCs w:val="20"/>
        </w:rPr>
        <w:t>.</w:t>
      </w:r>
    </w:p>
    <w:p w14:paraId="17C96E42" w14:textId="77777777" w:rsidR="00000000" w:rsidRDefault="00EF48A2">
      <w:pPr>
        <w:pStyle w:val="a3"/>
        <w:spacing w:before="180" w:beforeAutospacing="0" w:after="0" w:afterAutospacing="0"/>
        <w:jc w:val="both"/>
        <w:rPr>
          <w:sz w:val="20"/>
          <w:szCs w:val="20"/>
        </w:rPr>
      </w:pPr>
      <w:r>
        <w:rPr>
          <w:sz w:val="20"/>
          <w:szCs w:val="20"/>
        </w:rPr>
        <w:t>In addition to HIPAA and state health information privacy laws, we may be sub</w:t>
      </w:r>
      <w:r>
        <w:rPr>
          <w:sz w:val="20"/>
          <w:szCs w:val="20"/>
        </w:rPr>
        <w:t>ject to other state and federal privacy laws, including laws that prohibit unfair privacy and security acts or practices and deceptive statements about privacy and security and laws that place specific requirements on certain types of activities, such as d</w:t>
      </w:r>
      <w:r>
        <w:rPr>
          <w:sz w:val="20"/>
          <w:szCs w:val="20"/>
        </w:rPr>
        <w:t>ata security and texting. The FTC and states’ attorneys general have brought enforcement actions and prosecuted some data breach cases as unfair and/or deceptive acts or practices under the FTC Act and similar state laws. Further, the California Consumer P</w:t>
      </w:r>
      <w:r>
        <w:rPr>
          <w:sz w:val="20"/>
          <w:szCs w:val="20"/>
        </w:rPr>
        <w:t>rotection Act of 2018 (the “CCPA”), which took effect in 2020 and to which we are subject, imposes obligations and restrictions on businesses regarding their collection, use, and sharing of personal information and provides new and enhanced data privacy ri</w:t>
      </w:r>
      <w:r>
        <w:rPr>
          <w:sz w:val="20"/>
          <w:szCs w:val="20"/>
        </w:rPr>
        <w:t>ghts to California residents, such as affording them the right to access and delete their personal information and to opt out of certain sharing of personal information</w:t>
      </w:r>
      <w:r>
        <w:rPr>
          <w:sz w:val="20"/>
          <w:szCs w:val="20"/>
        </w:rPr>
        <w:t>.</w:t>
      </w:r>
    </w:p>
    <w:p w14:paraId="25978E6E"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0</w:t>
      </w:r>
    </w:p>
    <w:p w14:paraId="423FCB22" w14:textId="77777777" w:rsidR="00000000" w:rsidRDefault="00EF48A2">
      <w:pPr>
        <w:rPr>
          <w:rFonts w:eastAsia="Times New Roman"/>
        </w:rPr>
      </w:pPr>
      <w:r>
        <w:rPr>
          <w:rFonts w:eastAsia="Times New Roman"/>
        </w:rPr>
        <w:pict w14:anchorId="3594FBA0">
          <v:rect id="_x0000_i1037" style="width:0;height:1.5pt" o:hralign="center" o:hrstd="t" o:hr="t" fillcolor="#a0a0a0" stroked="f"/>
        </w:pict>
      </w:r>
    </w:p>
    <w:p w14:paraId="2460A188"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w:t>
        </w:r>
        <w:r>
          <w:rPr>
            <w:rStyle w:val="a4"/>
            <w:sz w:val="20"/>
            <w:szCs w:val="20"/>
          </w:rPr>
          <w:t>t</w:t>
        </w:r>
        <w:r>
          <w:rPr>
            <w:rStyle w:val="a4"/>
            <w:sz w:val="20"/>
            <w:szCs w:val="20"/>
          </w:rPr>
          <w:t>s</w:t>
        </w:r>
      </w:hyperlink>
    </w:p>
    <w:p w14:paraId="2A21B181" w14:textId="77777777" w:rsidR="00000000" w:rsidRDefault="00EF48A2">
      <w:pPr>
        <w:pStyle w:val="a3"/>
        <w:spacing w:before="180" w:beforeAutospacing="0" w:after="0" w:afterAutospacing="0"/>
        <w:jc w:val="both"/>
        <w:rPr>
          <w:sz w:val="20"/>
          <w:szCs w:val="20"/>
        </w:rPr>
      </w:pPr>
      <w:r>
        <w:rPr>
          <w:sz w:val="20"/>
          <w:szCs w:val="20"/>
        </w:rPr>
        <w:t>In recent years, there have been a number of well publicized data breaches involving the improper use and disclosure of personal information and PHI. Many states have responded to these incidents by enacting laws requiring holders of personal informatio</w:t>
      </w:r>
      <w:r>
        <w:rPr>
          <w:sz w:val="20"/>
          <w:szCs w:val="20"/>
        </w:rPr>
        <w:t>n to maintain safeguards and to take certain actions in response to a data breach, such as providing prompt notification of the breach to affected individuals and state officials and provide credit monitoring services and/or other relevant services to impa</w:t>
      </w:r>
      <w:r>
        <w:rPr>
          <w:sz w:val="20"/>
          <w:szCs w:val="20"/>
        </w:rPr>
        <w:t>cted individuals. In addition, under HIPAA and pursuant to the related contracts that we enter into with our clients who are covered entities, we must report breaches of unsecured PHI to our clients following discovery of the breach. Notification must also</w:t>
      </w:r>
      <w:r>
        <w:rPr>
          <w:sz w:val="20"/>
          <w:szCs w:val="20"/>
        </w:rPr>
        <w:t xml:space="preserve"> be made in certain circumstances to affected individuals, federal authorities and others</w:t>
      </w:r>
      <w:r>
        <w:rPr>
          <w:sz w:val="20"/>
          <w:szCs w:val="20"/>
        </w:rPr>
        <w:t>.</w:t>
      </w:r>
      <w:r>
        <w:rPr>
          <w:sz w:val="20"/>
          <w:szCs w:val="20"/>
        </w:rPr>
        <w:t xml:space="preserve"> </w:t>
      </w:r>
    </w:p>
    <w:p w14:paraId="69A36632" w14:textId="77777777" w:rsidR="00000000" w:rsidRDefault="00EF48A2">
      <w:pPr>
        <w:pStyle w:val="a3"/>
        <w:spacing w:before="240" w:beforeAutospacing="0" w:after="0" w:afterAutospacing="0"/>
        <w:rPr>
          <w:sz w:val="20"/>
          <w:szCs w:val="20"/>
        </w:rPr>
      </w:pPr>
      <w:r>
        <w:rPr>
          <w:b/>
          <w:bCs/>
          <w:sz w:val="20"/>
          <w:szCs w:val="20"/>
        </w:rPr>
        <w:t>International Regulatio</w:t>
      </w:r>
      <w:r>
        <w:rPr>
          <w:b/>
          <w:bCs/>
          <w:sz w:val="20"/>
          <w:szCs w:val="20"/>
        </w:rPr>
        <w:t>n</w:t>
      </w:r>
      <w:r>
        <w:rPr>
          <w:b/>
          <w:bCs/>
          <w:sz w:val="20"/>
          <w:szCs w:val="20"/>
        </w:rPr>
        <w:t xml:space="preserve"> </w:t>
      </w:r>
    </w:p>
    <w:p w14:paraId="3C947F2E" w14:textId="77777777" w:rsidR="00000000" w:rsidRDefault="00EF48A2">
      <w:pPr>
        <w:pStyle w:val="a3"/>
        <w:spacing w:before="180" w:beforeAutospacing="0" w:after="0" w:afterAutospacing="0"/>
        <w:jc w:val="both"/>
        <w:rPr>
          <w:sz w:val="20"/>
          <w:szCs w:val="20"/>
        </w:rPr>
      </w:pPr>
      <w:r>
        <w:rPr>
          <w:sz w:val="20"/>
          <w:szCs w:val="20"/>
        </w:rPr>
        <w:t>We expect over time to continue to expand our operations in foreign countries through both organic growth and acquisitions. In such a case</w:t>
      </w:r>
      <w:r>
        <w:rPr>
          <w:sz w:val="20"/>
          <w:szCs w:val="20"/>
        </w:rPr>
        <w:t xml:space="preserve">, our international operations will be subject to different, and sometimes more stringent, legal and regulatory requirements, which vary widely by jurisdiction, including anti-corruption laws; economic sanctions laws; various data security insurance, tax, </w:t>
      </w:r>
      <w:r>
        <w:rPr>
          <w:sz w:val="20"/>
          <w:szCs w:val="20"/>
        </w:rPr>
        <w:t>tariff and trade laws and regulations; corporate governance; various data security and data protection laws (including the EU General Data Protection Regulation, known as GDPR, and UK data privacy regime); labor and employment, intellectual property, consu</w:t>
      </w:r>
      <w:r>
        <w:rPr>
          <w:sz w:val="20"/>
          <w:szCs w:val="20"/>
        </w:rPr>
        <w:t>mer protection and investment laws and regulations; discriminatory licensing procedures; required localization of records and funds; and limitations on dividends and repatriation of capital. In addition, the expansion of our operations into foreign countri</w:t>
      </w:r>
      <w:r>
        <w:rPr>
          <w:sz w:val="20"/>
          <w:szCs w:val="20"/>
        </w:rPr>
        <w:t>es increases our exposure to the anti-bribery, anti-corruption and anti-money laundering provisions of U.S. law as well as similar laws in the countries in which we operate, including the U.S. Foreign Corrupt Practices Act of 1977 (“FCPA”), and correspondi</w:t>
      </w:r>
      <w:r>
        <w:rPr>
          <w:sz w:val="20"/>
          <w:szCs w:val="20"/>
        </w:rPr>
        <w:t>ng foreign laws, including the UK Bribery Act</w:t>
      </w:r>
      <w:r>
        <w:rPr>
          <w:sz w:val="20"/>
          <w:szCs w:val="20"/>
        </w:rPr>
        <w:t>.</w:t>
      </w:r>
    </w:p>
    <w:p w14:paraId="27DFDA95" w14:textId="77777777" w:rsidR="00000000" w:rsidRDefault="00EF48A2">
      <w:pPr>
        <w:pStyle w:val="a3"/>
        <w:spacing w:before="180" w:beforeAutospacing="0" w:after="0" w:afterAutospacing="0"/>
        <w:jc w:val="both"/>
        <w:rPr>
          <w:sz w:val="20"/>
          <w:szCs w:val="20"/>
        </w:rPr>
      </w:pPr>
      <w:r>
        <w:rPr>
          <w:sz w:val="20"/>
          <w:szCs w:val="20"/>
        </w:rPr>
        <w:t>The FCPA prohibits offering, promising or authorizing others to give anything of value to a foreign government official to obtain or retain business or otherwise secure a business advantage. We also are subjec</w:t>
      </w:r>
      <w:r>
        <w:rPr>
          <w:sz w:val="20"/>
          <w:szCs w:val="20"/>
        </w:rPr>
        <w:t>t to applicable anti-corruption laws of the jurisdictions in which we operate. Violations of the FCPA and other anti-corruption laws may result in severe criminal and civil sanctions as well as other penalties, and the Securities Exchange Commission (“SEC”</w:t>
      </w:r>
      <w:r>
        <w:rPr>
          <w:sz w:val="20"/>
          <w:szCs w:val="20"/>
        </w:rPr>
        <w:t>) and the DOJ have increased their enforcement activities with respect to the FCPA. The UK Bribery Act is an anti-corruption law that is broader in scope than the FCPA and applies to all companies with a nexus to the United Kingdom. Disclosures of FCPA vio</w:t>
      </w:r>
      <w:r>
        <w:rPr>
          <w:sz w:val="20"/>
          <w:szCs w:val="20"/>
        </w:rPr>
        <w:t>lations may be shared with the UK authorities, thus potentially exposing companies to liability and potential penalties in multiple jurisdictions. We have internal control policies and procedures and conduct training and compliance programs for our employe</w:t>
      </w:r>
      <w:r>
        <w:rPr>
          <w:sz w:val="20"/>
          <w:szCs w:val="20"/>
        </w:rPr>
        <w:t>es to deter prohibited practices. However, if our employees or agents fail to comply with applicable laws governing our international operations, we may face investigations, prosecutions and other legal proceedings and actions which could result in civil p</w:t>
      </w:r>
      <w:r>
        <w:rPr>
          <w:sz w:val="20"/>
          <w:szCs w:val="20"/>
        </w:rPr>
        <w:t>enalties, administrative remedies and criminal sanctions</w:t>
      </w:r>
      <w:r>
        <w:rPr>
          <w:sz w:val="20"/>
          <w:szCs w:val="20"/>
        </w:rPr>
        <w:t>.</w:t>
      </w:r>
    </w:p>
    <w:p w14:paraId="51D15BEC" w14:textId="77777777" w:rsidR="00000000" w:rsidRDefault="00EF48A2">
      <w:pPr>
        <w:pStyle w:val="a3"/>
        <w:spacing w:before="180" w:beforeAutospacing="0" w:after="0" w:afterAutospacing="0"/>
        <w:jc w:val="both"/>
        <w:rPr>
          <w:sz w:val="20"/>
          <w:szCs w:val="20"/>
        </w:rPr>
      </w:pPr>
      <w:r>
        <w:rPr>
          <w:sz w:val="20"/>
          <w:szCs w:val="20"/>
        </w:rPr>
        <w:t xml:space="preserve">We also are subject to regulation by OFAC. OFAC administers and enforces economic and trade sanctions based on U.S. foreign policy and national security goals against targeted foreign countries and regimes, terrorists, international narcotics traffickers, </w:t>
      </w:r>
      <w:r>
        <w:rPr>
          <w:sz w:val="20"/>
          <w:szCs w:val="20"/>
        </w:rPr>
        <w:t>those engaged in activities related to the proliferation of weapons of mass destruction, and other threats to the national security, foreign policy or economy of the United States. In addition, we may be subject to similar regulations in the non-U.S. juris</w:t>
      </w:r>
      <w:r>
        <w:rPr>
          <w:sz w:val="20"/>
          <w:szCs w:val="20"/>
        </w:rPr>
        <w:t>dictions in which we operate</w:t>
      </w:r>
      <w:r>
        <w:rPr>
          <w:sz w:val="20"/>
          <w:szCs w:val="20"/>
        </w:rPr>
        <w:t>.</w:t>
      </w:r>
    </w:p>
    <w:p w14:paraId="67C045BF" w14:textId="77777777" w:rsidR="00000000" w:rsidRDefault="00EF48A2">
      <w:pPr>
        <w:pStyle w:val="a3"/>
        <w:spacing w:before="240" w:beforeAutospacing="0" w:after="0" w:afterAutospacing="0"/>
        <w:rPr>
          <w:sz w:val="20"/>
          <w:szCs w:val="20"/>
        </w:rPr>
      </w:pPr>
      <w:r>
        <w:rPr>
          <w:b/>
          <w:bCs/>
          <w:sz w:val="20"/>
          <w:szCs w:val="20"/>
        </w:rPr>
        <w:t>Intellectual Propert</w:t>
      </w:r>
      <w:r>
        <w:rPr>
          <w:b/>
          <w:bCs/>
          <w:sz w:val="20"/>
          <w:szCs w:val="20"/>
        </w:rPr>
        <w:t>y</w:t>
      </w:r>
    </w:p>
    <w:p w14:paraId="5640A87F" w14:textId="77777777" w:rsidR="00000000" w:rsidRDefault="00EF48A2">
      <w:pPr>
        <w:pStyle w:val="a3"/>
        <w:spacing w:before="180" w:beforeAutospacing="0" w:after="0" w:afterAutospacing="0"/>
        <w:jc w:val="both"/>
        <w:rPr>
          <w:sz w:val="20"/>
          <w:szCs w:val="20"/>
        </w:rPr>
      </w:pPr>
      <w:r>
        <w:rPr>
          <w:sz w:val="20"/>
          <w:szCs w:val="20"/>
        </w:rPr>
        <w:t xml:space="preserve">It is important to our business that we establish, protect and enforce our intellectual property. We rely on a combination of patent, copyright, trademark and trade secret laws as well as confidentiality </w:t>
      </w:r>
      <w:r>
        <w:rPr>
          <w:sz w:val="20"/>
          <w:szCs w:val="20"/>
        </w:rPr>
        <w:t>procedures, contractual provisions and other legal rights to establish and enforce our brand, proprietary technology and other intellectual property rights</w:t>
      </w:r>
      <w:r>
        <w:rPr>
          <w:sz w:val="20"/>
          <w:szCs w:val="20"/>
        </w:rPr>
        <w:t>.</w:t>
      </w:r>
    </w:p>
    <w:p w14:paraId="098CF080" w14:textId="77777777" w:rsidR="00000000" w:rsidRDefault="00EF48A2">
      <w:pPr>
        <w:pStyle w:val="a3"/>
        <w:spacing w:before="180" w:beforeAutospacing="0" w:after="0" w:afterAutospacing="0"/>
        <w:jc w:val="both"/>
        <w:rPr>
          <w:sz w:val="20"/>
          <w:szCs w:val="20"/>
        </w:rPr>
      </w:pPr>
      <w:r>
        <w:rPr>
          <w:sz w:val="20"/>
          <w:szCs w:val="20"/>
        </w:rPr>
        <w:t xml:space="preserve">Through March 10, 2023, the Company has been approved for one patent related to “System and Method </w:t>
      </w:r>
      <w:r>
        <w:rPr>
          <w:sz w:val="20"/>
          <w:szCs w:val="20"/>
        </w:rPr>
        <w:t>in Monitoring Engagement” which relates to the tracking of therapeutic progress between therapist and client. We also have one patent that is pending and several other conditional applications in the United States. We intend to continue to apply for additi</w:t>
      </w:r>
      <w:r>
        <w:rPr>
          <w:sz w:val="20"/>
          <w:szCs w:val="20"/>
        </w:rPr>
        <w:t>onal patents relating to our software and technology. We cannot assure you whether any of our patent applications will result in the issuance of a patent or whether the examination process will require us to narrow our claims</w:t>
      </w:r>
      <w:r>
        <w:rPr>
          <w:sz w:val="20"/>
          <w:szCs w:val="20"/>
        </w:rPr>
        <w:t>.</w:t>
      </w:r>
    </w:p>
    <w:p w14:paraId="7EF3023D" w14:textId="77777777" w:rsidR="00000000" w:rsidRDefault="00EF48A2">
      <w:pPr>
        <w:pStyle w:val="a3"/>
        <w:spacing w:before="180" w:beforeAutospacing="0" w:after="0" w:afterAutospacing="0"/>
        <w:jc w:val="both"/>
        <w:rPr>
          <w:sz w:val="20"/>
          <w:szCs w:val="20"/>
        </w:rPr>
      </w:pPr>
      <w:r>
        <w:rPr>
          <w:sz w:val="20"/>
          <w:szCs w:val="20"/>
        </w:rPr>
        <w:t>We own and use trademarks and</w:t>
      </w:r>
      <w:r>
        <w:rPr>
          <w:sz w:val="20"/>
          <w:szCs w:val="20"/>
        </w:rPr>
        <w:t xml:space="preserve"> service marks on or in connection with our business and services, including both unregistered marks and registered trademarks in the United States. In addition, we rely on other forms of intellectual property protection including trade secrets, know-how a</w:t>
      </w:r>
      <w:r>
        <w:rPr>
          <w:sz w:val="20"/>
          <w:szCs w:val="20"/>
        </w:rPr>
        <w:t>nd other unpatented proprietary processes, in each case in support of our business. We make efforts to maintain and protect our intellectual property and the proprietary aspects of our products and technologies, including through the use of nondisclosure a</w:t>
      </w:r>
      <w:r>
        <w:rPr>
          <w:sz w:val="20"/>
          <w:szCs w:val="20"/>
        </w:rPr>
        <w:t>greements and the monitoring of our competitors. Although we take steps to protect our trade secrets and know-how, third parties may independently develop or otherwise gain access to our trade secrets and know-how b</w:t>
      </w:r>
      <w:r>
        <w:rPr>
          <w:sz w:val="20"/>
          <w:szCs w:val="20"/>
        </w:rPr>
        <w:t>y</w:t>
      </w:r>
      <w:r>
        <w:rPr>
          <w:sz w:val="20"/>
          <w:szCs w:val="20"/>
        </w:rPr>
        <w:t xml:space="preserve"> </w:t>
      </w:r>
    </w:p>
    <w:p w14:paraId="4BA9D0A6"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1</w:t>
      </w:r>
    </w:p>
    <w:p w14:paraId="4CB65F20" w14:textId="77777777" w:rsidR="00000000" w:rsidRDefault="00EF48A2">
      <w:pPr>
        <w:rPr>
          <w:rFonts w:eastAsia="Times New Roman"/>
        </w:rPr>
      </w:pPr>
      <w:r>
        <w:rPr>
          <w:rFonts w:eastAsia="Times New Roman"/>
        </w:rPr>
        <w:pict w14:anchorId="2F8603F0">
          <v:rect id="_x0000_i1038" style="width:0;height:1.5pt" o:hralign="center" o:hrstd="t" o:hr="t" fillcolor="#a0a0a0" stroked="f"/>
        </w:pict>
      </w:r>
    </w:p>
    <w:p w14:paraId="0B6C1AE8"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D50E64F" w14:textId="77777777" w:rsidR="00000000" w:rsidRDefault="00EF48A2">
      <w:pPr>
        <w:pStyle w:val="a3"/>
        <w:spacing w:before="180" w:beforeAutospacing="0" w:after="0" w:afterAutospacing="0"/>
        <w:jc w:val="both"/>
        <w:rPr>
          <w:sz w:val="20"/>
          <w:szCs w:val="20"/>
        </w:rPr>
      </w:pPr>
      <w:r>
        <w:rPr>
          <w:sz w:val="20"/>
          <w:szCs w:val="20"/>
        </w:rPr>
        <w:t>lawful means. We require our employees, consultants and certain of our contractors to execute confidentiality agreements in connection with their employment or consulting relationships with us but these agreements may not provide meaningful protection, and</w:t>
      </w:r>
      <w:r>
        <w:rPr>
          <w:sz w:val="20"/>
          <w:szCs w:val="20"/>
        </w:rPr>
        <w:t xml:space="preserve"> we cannot guarantee that we have executed such agreements with all applicable counterparties. Furthermore, these agreements may be breached, and we may not have an adequate remedy for any such breach. We also require our employees and consultants to discl</w:t>
      </w:r>
      <w:r>
        <w:rPr>
          <w:sz w:val="20"/>
          <w:szCs w:val="20"/>
        </w:rPr>
        <w:t>ose and assign to us inventions conceived during the term of their employment or engagement while using our property or which relate to our business. We also license certain intellectual property rights that are used in our business from third parties</w:t>
      </w:r>
      <w:r>
        <w:rPr>
          <w:sz w:val="20"/>
          <w:szCs w:val="20"/>
        </w:rPr>
        <w:t>.</w:t>
      </w:r>
    </w:p>
    <w:p w14:paraId="33A04F19" w14:textId="77777777" w:rsidR="00000000" w:rsidRDefault="00EF48A2">
      <w:pPr>
        <w:pStyle w:val="a3"/>
        <w:spacing w:before="180" w:beforeAutospacing="0" w:after="0" w:afterAutospacing="0"/>
        <w:jc w:val="both"/>
        <w:rPr>
          <w:sz w:val="20"/>
          <w:szCs w:val="20"/>
        </w:rPr>
      </w:pPr>
      <w:r>
        <w:rPr>
          <w:sz w:val="20"/>
          <w:szCs w:val="20"/>
        </w:rPr>
        <w:t>Fro</w:t>
      </w:r>
      <w:r>
        <w:rPr>
          <w:sz w:val="20"/>
          <w:szCs w:val="20"/>
        </w:rPr>
        <w:t xml:space="preserve">m time to time, we may become involved in legal proceedings relating to intellectual property arising in the ordinary course of our business, including oppositions to our applications for patents, trademarks, challenges to the validity of our intellectual </w:t>
      </w:r>
      <w:r>
        <w:rPr>
          <w:sz w:val="20"/>
          <w:szCs w:val="20"/>
        </w:rPr>
        <w:t>property rights, and claims of intellectual property infringement. We are not presently a party to any such legal proceedings that, in the opinion of our management, would individually or taken together have a material adverse effect on our business, finan</w:t>
      </w:r>
      <w:r>
        <w:rPr>
          <w:sz w:val="20"/>
          <w:szCs w:val="20"/>
        </w:rPr>
        <w:t>cial condition, results of operations or cash flows</w:t>
      </w:r>
      <w:r>
        <w:rPr>
          <w:sz w:val="20"/>
          <w:szCs w:val="20"/>
        </w:rPr>
        <w:t>.</w:t>
      </w:r>
    </w:p>
    <w:p w14:paraId="2807493A" w14:textId="77777777" w:rsidR="00000000" w:rsidRDefault="00EF48A2">
      <w:pPr>
        <w:pStyle w:val="a3"/>
        <w:spacing w:before="240" w:beforeAutospacing="0" w:after="0" w:afterAutospacing="0"/>
        <w:rPr>
          <w:sz w:val="20"/>
          <w:szCs w:val="20"/>
        </w:rPr>
      </w:pPr>
      <w:r>
        <w:rPr>
          <w:b/>
          <w:bCs/>
          <w:sz w:val="20"/>
          <w:szCs w:val="20"/>
        </w:rPr>
        <w:t>Additional Informatio</w:t>
      </w:r>
      <w:r>
        <w:rPr>
          <w:b/>
          <w:bCs/>
          <w:sz w:val="20"/>
          <w:szCs w:val="20"/>
        </w:rPr>
        <w:t>n</w:t>
      </w:r>
    </w:p>
    <w:p w14:paraId="3A90F310" w14:textId="77777777" w:rsidR="00000000" w:rsidRDefault="00EF48A2">
      <w:pPr>
        <w:pStyle w:val="a3"/>
        <w:spacing w:before="180" w:beforeAutospacing="0" w:after="0" w:afterAutospacing="0"/>
        <w:jc w:val="both"/>
        <w:rPr>
          <w:sz w:val="20"/>
          <w:szCs w:val="20"/>
        </w:rPr>
      </w:pPr>
      <w:r>
        <w:rPr>
          <w:sz w:val="20"/>
          <w:szCs w:val="20"/>
        </w:rPr>
        <w:t>The Company's principal place of business is at 622 Third Avenue, New York, NY 10017 and its telephone number is (212) 284-7206. The Company's website address is talkspace.com. The</w:t>
      </w:r>
      <w:r>
        <w:rPr>
          <w:sz w:val="20"/>
          <w:szCs w:val="20"/>
        </w:rPr>
        <w:t xml:space="preserve"> Company makes available free of charge on the investors section of its website the Annual Reports on Form 10-K, Quarterly Reports on Form 10-Q, Current Reports on Form 8-K, Proxy Statements and other SEC filings and all amendments to those reports filed o</w:t>
      </w:r>
      <w:r>
        <w:rPr>
          <w:sz w:val="20"/>
          <w:szCs w:val="20"/>
        </w:rPr>
        <w:t>r furnished to the SEC pursuant to Section 13(a), 14 or 15(d) of the Exchange Act, as soon as reasonably practicable after we file or furnish such materials to the SEC. The SEC also maintains a website (www.sec.gov) that contains these reports, proxy and i</w:t>
      </w:r>
      <w:r>
        <w:rPr>
          <w:sz w:val="20"/>
          <w:szCs w:val="20"/>
        </w:rPr>
        <w:t>nformation statements and other information. The information on our website is not, and will not be deemed to be, a part of this Annual Report on Form 10-K or incorporated into any of our other filings with the SEC, except where we expressly incorporated s</w:t>
      </w:r>
      <w:r>
        <w:rPr>
          <w:sz w:val="20"/>
          <w:szCs w:val="20"/>
        </w:rPr>
        <w:t>uch information</w:t>
      </w:r>
      <w:r>
        <w:rPr>
          <w:sz w:val="20"/>
          <w:szCs w:val="20"/>
        </w:rPr>
        <w:t>.</w:t>
      </w:r>
    </w:p>
    <w:p w14:paraId="65C9811B" w14:textId="77777777" w:rsidR="00000000" w:rsidRDefault="00EF48A2">
      <w:pPr>
        <w:pStyle w:val="a3"/>
        <w:spacing w:before="0" w:beforeAutospacing="0" w:after="0" w:afterAutospacing="0"/>
        <w:rPr>
          <w:sz w:val="20"/>
          <w:szCs w:val="20"/>
        </w:rPr>
      </w:pPr>
      <w:r>
        <w:rPr>
          <w:sz w:val="20"/>
          <w:szCs w:val="20"/>
        </w:rPr>
        <w:t> </w:t>
      </w:r>
    </w:p>
    <w:p w14:paraId="7E6ACFE8"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2</w:t>
      </w:r>
    </w:p>
    <w:p w14:paraId="62B6F516" w14:textId="77777777" w:rsidR="00000000" w:rsidRDefault="00EF48A2">
      <w:pPr>
        <w:rPr>
          <w:rFonts w:eastAsia="Times New Roman"/>
        </w:rPr>
      </w:pPr>
      <w:r>
        <w:rPr>
          <w:rFonts w:eastAsia="Times New Roman"/>
        </w:rPr>
        <w:pict w14:anchorId="4351EDB9">
          <v:rect id="_x0000_i1039" style="width:0;height:1.5pt" o:hralign="center" o:hrstd="t" o:hr="t" fillcolor="#a0a0a0" stroked="f"/>
        </w:pict>
      </w:r>
    </w:p>
    <w:p w14:paraId="1FE525EF"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4ED0C9B" w14:textId="77777777" w:rsidR="00000000" w:rsidRDefault="00EF48A2">
      <w:pPr>
        <w:pStyle w:val="a3"/>
        <w:spacing w:before="0" w:beforeAutospacing="0" w:after="0" w:afterAutospacing="0"/>
        <w:rPr>
          <w:sz w:val="20"/>
          <w:szCs w:val="20"/>
        </w:rPr>
      </w:pPr>
      <w:r>
        <w:rPr>
          <w:sz w:val="20"/>
          <w:szCs w:val="20"/>
        </w:rPr>
        <w:t> </w:t>
      </w:r>
    </w:p>
    <w:p w14:paraId="0509546E" w14:textId="77777777" w:rsidR="00000000" w:rsidRDefault="00EF48A2">
      <w:pPr>
        <w:pStyle w:val="a3"/>
        <w:spacing w:before="0" w:beforeAutospacing="0" w:after="0" w:afterAutospacing="0"/>
        <w:rPr>
          <w:sz w:val="20"/>
          <w:szCs w:val="20"/>
        </w:rPr>
      </w:pPr>
      <w:r>
        <w:rPr>
          <w:b/>
          <w:bCs/>
          <w:sz w:val="20"/>
          <w:szCs w:val="20"/>
        </w:rPr>
        <w:t>I</w:t>
      </w:r>
      <w:r>
        <w:rPr>
          <w:b/>
          <w:bCs/>
          <w:sz w:val="20"/>
          <w:szCs w:val="20"/>
        </w:rPr>
        <w:t>t</w:t>
      </w:r>
      <w:r>
        <w:rPr>
          <w:b/>
          <w:bCs/>
          <w:sz w:val="20"/>
          <w:szCs w:val="20"/>
        </w:rPr>
        <w:t>em 1A. RISK FACTOR</w:t>
      </w:r>
      <w:r>
        <w:rPr>
          <w:b/>
          <w:bCs/>
          <w:sz w:val="20"/>
          <w:szCs w:val="20"/>
        </w:rPr>
        <w:t>S</w:t>
      </w:r>
    </w:p>
    <w:p w14:paraId="51F8A354" w14:textId="77777777" w:rsidR="00000000" w:rsidRDefault="00EF48A2">
      <w:pPr>
        <w:pStyle w:val="a3"/>
        <w:spacing w:before="180" w:beforeAutospacing="0" w:after="0" w:afterAutospacing="0"/>
        <w:jc w:val="both"/>
        <w:rPr>
          <w:sz w:val="20"/>
          <w:szCs w:val="20"/>
        </w:rPr>
      </w:pPr>
      <w:r>
        <w:rPr>
          <w:i/>
          <w:iCs/>
          <w:sz w:val="20"/>
          <w:szCs w:val="20"/>
        </w:rPr>
        <w:t>In the course of conducting our business operations, we are exposed to a variety of risks. Any of the risk factors we describ</w:t>
      </w:r>
      <w:r>
        <w:rPr>
          <w:i/>
          <w:iCs/>
          <w:sz w:val="20"/>
          <w:szCs w:val="20"/>
        </w:rPr>
        <w:t>e below have affected or could materially adversely affect our business, financial condition and results of operations. Certain statements in “Risk Factors” are forward-looking statements, see “Forward-Looking Statements” in Part II Item 7</w:t>
      </w:r>
      <w:r>
        <w:rPr>
          <w:i/>
          <w:iCs/>
          <w:sz w:val="20"/>
          <w:szCs w:val="20"/>
        </w:rPr>
        <w:t>.</w:t>
      </w:r>
    </w:p>
    <w:p w14:paraId="4A9E9D2A" w14:textId="77777777" w:rsidR="00000000" w:rsidRDefault="00EF48A2">
      <w:pPr>
        <w:pStyle w:val="a3"/>
        <w:spacing w:before="180" w:beforeAutospacing="0" w:after="0" w:afterAutospacing="0"/>
        <w:jc w:val="both"/>
        <w:rPr>
          <w:sz w:val="20"/>
          <w:szCs w:val="20"/>
        </w:rPr>
      </w:pPr>
      <w:r>
        <w:rPr>
          <w:i/>
          <w:iCs/>
          <w:sz w:val="20"/>
          <w:szCs w:val="20"/>
        </w:rPr>
        <w:t>Unless the cont</w:t>
      </w:r>
      <w:r>
        <w:rPr>
          <w:i/>
          <w:iCs/>
          <w:sz w:val="20"/>
          <w:szCs w:val="20"/>
        </w:rPr>
        <w:t>ext otherwise requires, all references in this subsection to the “Company,” “we,” “us” or “our” refer to the business of Talkspace, Inc. and its consolidated subsidiaries</w:t>
      </w:r>
      <w:r>
        <w:rPr>
          <w:i/>
          <w:iCs/>
          <w:sz w:val="20"/>
          <w:szCs w:val="20"/>
        </w:rPr>
        <w:t>.</w:t>
      </w:r>
    </w:p>
    <w:p w14:paraId="42003152" w14:textId="77777777" w:rsidR="00000000" w:rsidRDefault="00EF48A2">
      <w:pPr>
        <w:pStyle w:val="a3"/>
        <w:spacing w:before="240" w:beforeAutospacing="0" w:after="0" w:afterAutospacing="0"/>
        <w:jc w:val="center"/>
        <w:rPr>
          <w:sz w:val="20"/>
          <w:szCs w:val="20"/>
        </w:rPr>
      </w:pPr>
      <w:r>
        <w:rPr>
          <w:b/>
          <w:bCs/>
          <w:sz w:val="20"/>
          <w:szCs w:val="20"/>
        </w:rPr>
        <w:t>SUMMARY RISK FACTOR</w:t>
      </w:r>
      <w:r>
        <w:rPr>
          <w:b/>
          <w:bCs/>
          <w:sz w:val="20"/>
          <w:szCs w:val="20"/>
        </w:rPr>
        <w:t>S</w:t>
      </w:r>
    </w:p>
    <w:p w14:paraId="1C70E132" w14:textId="77777777" w:rsidR="00000000" w:rsidRDefault="00EF48A2">
      <w:pPr>
        <w:pStyle w:val="a3"/>
        <w:spacing w:before="180" w:beforeAutospacing="0" w:after="0" w:afterAutospacing="0"/>
        <w:jc w:val="both"/>
        <w:rPr>
          <w:sz w:val="20"/>
          <w:szCs w:val="20"/>
        </w:rPr>
      </w:pPr>
      <w:r>
        <w:rPr>
          <w:i/>
          <w:iCs/>
          <w:sz w:val="20"/>
          <w:szCs w:val="20"/>
        </w:rPr>
        <w:t>The following is a summary of the material risks known to us. Y</w:t>
      </w:r>
      <w:r>
        <w:rPr>
          <w:i/>
          <w:iCs/>
          <w:sz w:val="20"/>
          <w:szCs w:val="20"/>
        </w:rPr>
        <w:t>ou should carefully consider the following risk factors together with all other information included in this Form 10-K and our other publicly filed documents when investing in our common stock</w:t>
      </w:r>
      <w:r>
        <w:rPr>
          <w:i/>
          <w:iCs/>
          <w:sz w:val="20"/>
          <w:szCs w:val="20"/>
        </w:rPr>
        <w:t>.</w:t>
      </w:r>
    </w:p>
    <w:p w14:paraId="317BFCCD" w14:textId="77777777" w:rsidR="00000000" w:rsidRDefault="00EF48A2">
      <w:pPr>
        <w:pStyle w:val="a3"/>
        <w:spacing w:before="180" w:beforeAutospacing="0" w:after="0" w:afterAutospacing="0"/>
        <w:jc w:val="both"/>
        <w:rPr>
          <w:sz w:val="20"/>
          <w:szCs w:val="20"/>
        </w:rPr>
      </w:pPr>
      <w:r>
        <w:rPr>
          <w:b/>
          <w:bCs/>
          <w:sz w:val="20"/>
          <w:szCs w:val="20"/>
        </w:rPr>
        <w:t>Risks Related to our Operating Results and Early Stage of Grow</w:t>
      </w:r>
      <w:r>
        <w:rPr>
          <w:b/>
          <w:bCs/>
          <w:sz w:val="20"/>
          <w:szCs w:val="20"/>
        </w:rPr>
        <w:t>t</w:t>
      </w:r>
      <w:r>
        <w:rPr>
          <w:b/>
          <w:bCs/>
          <w:sz w:val="20"/>
          <w:szCs w:val="20"/>
        </w:rPr>
        <w:t>h</w:t>
      </w:r>
    </w:p>
    <w:p w14:paraId="7C9E22CE" w14:textId="77777777" w:rsidR="00000000" w:rsidRDefault="00EF48A2">
      <w:pPr>
        <w:jc w:val="both"/>
        <w:divId w:val="1282228158"/>
        <w:rPr>
          <w:rFonts w:eastAsia="Times New Roman"/>
        </w:rPr>
      </w:pPr>
      <w:r>
        <w:rPr>
          <w:rFonts w:eastAsia="Times New Roman"/>
          <w:sz w:val="20"/>
          <w:szCs w:val="20"/>
        </w:rPr>
        <w:t>•</w:t>
      </w:r>
    </w:p>
    <w:p w14:paraId="59AA2CF9" w14:textId="77777777" w:rsidR="00000000" w:rsidRDefault="00EF48A2">
      <w:pPr>
        <w:jc w:val="both"/>
        <w:divId w:val="1089423764"/>
        <w:rPr>
          <w:rFonts w:eastAsia="Times New Roman"/>
        </w:rPr>
      </w:pPr>
      <w:r>
        <w:rPr>
          <w:rFonts w:eastAsia="Times New Roman"/>
          <w:sz w:val="20"/>
          <w:szCs w:val="20"/>
        </w:rPr>
        <w:t>We have a history of losses, which we expect to continue, and we may never achieve or sustain profitability</w:t>
      </w:r>
      <w:r>
        <w:rPr>
          <w:rFonts w:eastAsia="Times New Roman"/>
          <w:sz w:val="20"/>
          <w:szCs w:val="20"/>
        </w:rPr>
        <w:t>.</w:t>
      </w:r>
    </w:p>
    <w:p w14:paraId="708C3B46" w14:textId="77777777" w:rsidR="00000000" w:rsidRDefault="00EF48A2">
      <w:pPr>
        <w:jc w:val="both"/>
        <w:divId w:val="505174743"/>
        <w:rPr>
          <w:rFonts w:eastAsia="Times New Roman"/>
        </w:rPr>
      </w:pPr>
      <w:r>
        <w:rPr>
          <w:rFonts w:eastAsia="Times New Roman"/>
          <w:sz w:val="20"/>
          <w:szCs w:val="20"/>
        </w:rPr>
        <w:t>•</w:t>
      </w:r>
    </w:p>
    <w:p w14:paraId="4ECADF12" w14:textId="77777777" w:rsidR="00000000" w:rsidRDefault="00EF48A2">
      <w:pPr>
        <w:jc w:val="both"/>
        <w:divId w:val="2009554811"/>
        <w:rPr>
          <w:rFonts w:eastAsia="Times New Roman"/>
        </w:rPr>
      </w:pPr>
      <w:r>
        <w:rPr>
          <w:rFonts w:eastAsia="Times New Roman"/>
          <w:sz w:val="20"/>
          <w:szCs w:val="20"/>
        </w:rPr>
        <w:t>Our business and the markets we operate in are new and rapidly evolving which makes it difficult to evaluate our future prospects and the risks and challenges we may encounter</w:t>
      </w:r>
      <w:r>
        <w:rPr>
          <w:rFonts w:eastAsia="Times New Roman"/>
          <w:sz w:val="20"/>
          <w:szCs w:val="20"/>
        </w:rPr>
        <w:t>.</w:t>
      </w:r>
    </w:p>
    <w:p w14:paraId="57DC8C15" w14:textId="77777777" w:rsidR="00000000" w:rsidRDefault="00EF48A2">
      <w:pPr>
        <w:jc w:val="both"/>
        <w:divId w:val="1141729291"/>
        <w:rPr>
          <w:rFonts w:eastAsia="Times New Roman"/>
        </w:rPr>
      </w:pPr>
      <w:r>
        <w:rPr>
          <w:rFonts w:eastAsia="Times New Roman"/>
          <w:sz w:val="20"/>
          <w:szCs w:val="20"/>
        </w:rPr>
        <w:t>•</w:t>
      </w:r>
    </w:p>
    <w:p w14:paraId="42F6D39A" w14:textId="77777777" w:rsidR="00000000" w:rsidRDefault="00EF48A2">
      <w:pPr>
        <w:jc w:val="both"/>
        <w:divId w:val="152990389"/>
        <w:rPr>
          <w:rFonts w:eastAsia="Times New Roman"/>
        </w:rPr>
      </w:pPr>
      <w:r>
        <w:rPr>
          <w:rFonts w:eastAsia="Times New Roman"/>
          <w:sz w:val="20"/>
          <w:szCs w:val="20"/>
        </w:rPr>
        <w:t>We may not grow at the rates we historically have achieved or at all, even if</w:t>
      </w:r>
      <w:r>
        <w:rPr>
          <w:rFonts w:eastAsia="Times New Roman"/>
          <w:sz w:val="20"/>
          <w:szCs w:val="20"/>
        </w:rPr>
        <w:t xml:space="preserve"> our key metrics may indicate growth, which could have a material adverse effect on the market price of our common stock</w:t>
      </w:r>
      <w:r>
        <w:rPr>
          <w:rFonts w:eastAsia="Times New Roman"/>
          <w:sz w:val="20"/>
          <w:szCs w:val="20"/>
        </w:rPr>
        <w:t>.</w:t>
      </w:r>
    </w:p>
    <w:p w14:paraId="122089D9" w14:textId="77777777" w:rsidR="00000000" w:rsidRDefault="00EF48A2">
      <w:pPr>
        <w:jc w:val="both"/>
        <w:divId w:val="877887452"/>
        <w:rPr>
          <w:rFonts w:eastAsia="Times New Roman"/>
        </w:rPr>
      </w:pPr>
      <w:r>
        <w:rPr>
          <w:rFonts w:eastAsia="Times New Roman"/>
          <w:sz w:val="20"/>
          <w:szCs w:val="20"/>
        </w:rPr>
        <w:t>•</w:t>
      </w:r>
    </w:p>
    <w:p w14:paraId="05550794" w14:textId="77777777" w:rsidR="00000000" w:rsidRDefault="00EF48A2">
      <w:pPr>
        <w:jc w:val="both"/>
        <w:divId w:val="573198313"/>
        <w:rPr>
          <w:rFonts w:eastAsia="Times New Roman"/>
        </w:rPr>
      </w:pPr>
      <w:r>
        <w:rPr>
          <w:rFonts w:eastAsia="Times New Roman"/>
          <w:sz w:val="20"/>
          <w:szCs w:val="20"/>
        </w:rPr>
        <w:t>We may experience difficulties in managing our growth and expanding our operations</w:t>
      </w:r>
      <w:r>
        <w:rPr>
          <w:rFonts w:eastAsia="Times New Roman"/>
          <w:sz w:val="20"/>
          <w:szCs w:val="20"/>
        </w:rPr>
        <w:t>.</w:t>
      </w:r>
    </w:p>
    <w:p w14:paraId="2A105FA8" w14:textId="77777777" w:rsidR="00000000" w:rsidRDefault="00EF48A2">
      <w:pPr>
        <w:pStyle w:val="a3"/>
        <w:spacing w:before="180" w:beforeAutospacing="0" w:after="0" w:afterAutospacing="0"/>
        <w:jc w:val="both"/>
        <w:rPr>
          <w:sz w:val="20"/>
          <w:szCs w:val="20"/>
        </w:rPr>
      </w:pPr>
      <w:r>
        <w:rPr>
          <w:b/>
          <w:bCs/>
          <w:sz w:val="20"/>
          <w:szCs w:val="20"/>
        </w:rPr>
        <w:t>Risks Related to our Business and Industr</w:t>
      </w:r>
      <w:r>
        <w:rPr>
          <w:b/>
          <w:bCs/>
          <w:sz w:val="20"/>
          <w:szCs w:val="20"/>
        </w:rPr>
        <w:t>y</w:t>
      </w:r>
    </w:p>
    <w:p w14:paraId="51326DEC" w14:textId="77777777" w:rsidR="00000000" w:rsidRDefault="00EF48A2">
      <w:pPr>
        <w:jc w:val="both"/>
        <w:divId w:val="801193467"/>
        <w:rPr>
          <w:rFonts w:eastAsia="Times New Roman"/>
        </w:rPr>
      </w:pPr>
      <w:r>
        <w:rPr>
          <w:rFonts w:eastAsia="Times New Roman"/>
          <w:sz w:val="20"/>
          <w:szCs w:val="20"/>
        </w:rPr>
        <w:t>•</w:t>
      </w:r>
    </w:p>
    <w:p w14:paraId="16AFD1ED" w14:textId="77777777" w:rsidR="00000000" w:rsidRDefault="00EF48A2">
      <w:pPr>
        <w:jc w:val="both"/>
        <w:divId w:val="987395325"/>
        <w:rPr>
          <w:rFonts w:eastAsia="Times New Roman"/>
        </w:rPr>
      </w:pPr>
      <w:r>
        <w:rPr>
          <w:rFonts w:eastAsia="Times New Roman"/>
          <w:sz w:val="20"/>
          <w:szCs w:val="20"/>
        </w:rPr>
        <w:t>Rap</w:t>
      </w:r>
      <w:r>
        <w:rPr>
          <w:rFonts w:eastAsia="Times New Roman"/>
          <w:sz w:val="20"/>
          <w:szCs w:val="20"/>
        </w:rPr>
        <w:t>id technological change in our industry presents us with significant risks and challenges</w:t>
      </w:r>
      <w:r>
        <w:rPr>
          <w:rFonts w:eastAsia="Times New Roman"/>
          <w:sz w:val="20"/>
          <w:szCs w:val="20"/>
        </w:rPr>
        <w:t>.</w:t>
      </w:r>
    </w:p>
    <w:p w14:paraId="721526BE" w14:textId="77777777" w:rsidR="00000000" w:rsidRDefault="00EF48A2">
      <w:pPr>
        <w:jc w:val="both"/>
        <w:divId w:val="225771596"/>
        <w:rPr>
          <w:rFonts w:eastAsia="Times New Roman"/>
        </w:rPr>
      </w:pPr>
      <w:r>
        <w:rPr>
          <w:rFonts w:eastAsia="Times New Roman"/>
          <w:sz w:val="20"/>
          <w:szCs w:val="20"/>
        </w:rPr>
        <w:t>•</w:t>
      </w:r>
    </w:p>
    <w:p w14:paraId="307C4953" w14:textId="77777777" w:rsidR="00000000" w:rsidRDefault="00EF48A2">
      <w:pPr>
        <w:jc w:val="both"/>
        <w:divId w:val="1387492877"/>
        <w:rPr>
          <w:rFonts w:eastAsia="Times New Roman"/>
        </w:rPr>
      </w:pPr>
      <w:r>
        <w:rPr>
          <w:rFonts w:eastAsia="Times New Roman"/>
          <w:sz w:val="20"/>
          <w:szCs w:val="20"/>
        </w:rPr>
        <w:t>We operate in a competitive industry, and if we are not able to compete effectively, our business, financial condition and results of operations will be harmed</w:t>
      </w:r>
      <w:r>
        <w:rPr>
          <w:rFonts w:eastAsia="Times New Roman"/>
          <w:sz w:val="20"/>
          <w:szCs w:val="20"/>
        </w:rPr>
        <w:t>.</w:t>
      </w:r>
    </w:p>
    <w:p w14:paraId="2B15CA33" w14:textId="77777777" w:rsidR="00000000" w:rsidRDefault="00EF48A2">
      <w:pPr>
        <w:jc w:val="both"/>
        <w:divId w:val="840042921"/>
        <w:rPr>
          <w:rFonts w:eastAsia="Times New Roman"/>
        </w:rPr>
      </w:pPr>
      <w:r>
        <w:rPr>
          <w:rFonts w:eastAsia="Times New Roman"/>
          <w:sz w:val="20"/>
          <w:szCs w:val="20"/>
        </w:rPr>
        <w:t>•</w:t>
      </w:r>
    </w:p>
    <w:p w14:paraId="7DFAC038" w14:textId="77777777" w:rsidR="00000000" w:rsidRDefault="00EF48A2">
      <w:pPr>
        <w:jc w:val="both"/>
        <w:divId w:val="1560088198"/>
        <w:rPr>
          <w:rFonts w:eastAsia="Times New Roman"/>
        </w:rPr>
      </w:pPr>
      <w:r>
        <w:rPr>
          <w:rFonts w:eastAsia="Times New Roman"/>
          <w:sz w:val="20"/>
          <w:szCs w:val="20"/>
        </w:rPr>
        <w:t>If growth in the number of clients and members or providers on our platform decreases, or the number of products or services that we are able to sell to our clients and members decreases, due to legal, economic or business developments, our business, finan</w:t>
      </w:r>
      <w:r>
        <w:rPr>
          <w:rFonts w:eastAsia="Times New Roman"/>
          <w:sz w:val="20"/>
          <w:szCs w:val="20"/>
        </w:rPr>
        <w:t>cial condition and results of operations will be harmed</w:t>
      </w:r>
      <w:r>
        <w:rPr>
          <w:rFonts w:eastAsia="Times New Roman"/>
          <w:sz w:val="20"/>
          <w:szCs w:val="20"/>
        </w:rPr>
        <w:t>.</w:t>
      </w:r>
    </w:p>
    <w:p w14:paraId="17AD1F4E" w14:textId="77777777" w:rsidR="00000000" w:rsidRDefault="00EF48A2">
      <w:pPr>
        <w:jc w:val="both"/>
        <w:divId w:val="1973052909"/>
        <w:rPr>
          <w:rFonts w:eastAsia="Times New Roman"/>
        </w:rPr>
      </w:pPr>
      <w:r>
        <w:rPr>
          <w:rFonts w:eastAsia="Times New Roman"/>
          <w:sz w:val="20"/>
          <w:szCs w:val="20"/>
        </w:rPr>
        <w:t>•</w:t>
      </w:r>
    </w:p>
    <w:p w14:paraId="6796A9A8" w14:textId="77777777" w:rsidR="00000000" w:rsidRDefault="00EF48A2">
      <w:pPr>
        <w:jc w:val="both"/>
        <w:divId w:val="611669888"/>
        <w:rPr>
          <w:rFonts w:eastAsia="Times New Roman"/>
        </w:rPr>
      </w:pPr>
      <w:r>
        <w:rPr>
          <w:rFonts w:eastAsia="Times New Roman"/>
          <w:sz w:val="20"/>
          <w:szCs w:val="20"/>
        </w:rPr>
        <w:t>Our future growth and profitability of our business will depend in large part upon the effectiveness and efficiency of our marketing efforts, and our ability to develop brand awareness cost-effecti</w:t>
      </w:r>
      <w:r>
        <w:rPr>
          <w:rFonts w:eastAsia="Times New Roman"/>
          <w:sz w:val="20"/>
          <w:szCs w:val="20"/>
        </w:rPr>
        <w:t>vely</w:t>
      </w:r>
      <w:r>
        <w:rPr>
          <w:rFonts w:eastAsia="Times New Roman"/>
          <w:sz w:val="20"/>
          <w:szCs w:val="20"/>
        </w:rPr>
        <w:t>.</w:t>
      </w:r>
    </w:p>
    <w:p w14:paraId="19F78653" w14:textId="77777777" w:rsidR="00000000" w:rsidRDefault="00EF48A2">
      <w:pPr>
        <w:jc w:val="both"/>
        <w:divId w:val="702249862"/>
        <w:rPr>
          <w:rFonts w:eastAsia="Times New Roman"/>
        </w:rPr>
      </w:pPr>
      <w:r>
        <w:rPr>
          <w:rFonts w:eastAsia="Times New Roman"/>
          <w:sz w:val="20"/>
          <w:szCs w:val="20"/>
        </w:rPr>
        <w:t>•</w:t>
      </w:r>
    </w:p>
    <w:p w14:paraId="47E8CE08" w14:textId="77777777" w:rsidR="00000000" w:rsidRDefault="00EF48A2">
      <w:pPr>
        <w:jc w:val="both"/>
        <w:divId w:val="1725594270"/>
        <w:rPr>
          <w:rFonts w:eastAsia="Times New Roman"/>
        </w:rPr>
      </w:pPr>
      <w:r>
        <w:rPr>
          <w:rFonts w:eastAsia="Times New Roman"/>
          <w:sz w:val="20"/>
          <w:szCs w:val="20"/>
        </w:rPr>
        <w:t>We may be unsuccessful in achieving broad market education and changing consumer purchasing habits</w:t>
      </w:r>
      <w:r>
        <w:rPr>
          <w:rFonts w:eastAsia="Times New Roman"/>
          <w:sz w:val="20"/>
          <w:szCs w:val="20"/>
        </w:rPr>
        <w:t>.</w:t>
      </w:r>
    </w:p>
    <w:p w14:paraId="4934E55E" w14:textId="77777777" w:rsidR="00000000" w:rsidRDefault="00EF48A2">
      <w:pPr>
        <w:jc w:val="both"/>
        <w:divId w:val="794056903"/>
        <w:rPr>
          <w:rFonts w:eastAsia="Times New Roman"/>
        </w:rPr>
      </w:pPr>
      <w:r>
        <w:rPr>
          <w:rFonts w:eastAsia="Times New Roman"/>
          <w:sz w:val="20"/>
          <w:szCs w:val="20"/>
        </w:rPr>
        <w:t>•</w:t>
      </w:r>
    </w:p>
    <w:p w14:paraId="0D502689" w14:textId="77777777" w:rsidR="00000000" w:rsidRDefault="00EF48A2">
      <w:pPr>
        <w:jc w:val="both"/>
        <w:divId w:val="1686982753"/>
        <w:rPr>
          <w:rFonts w:eastAsia="Times New Roman"/>
        </w:rPr>
      </w:pPr>
      <w:r>
        <w:rPr>
          <w:rFonts w:eastAsia="Times New Roman"/>
          <w:sz w:val="20"/>
          <w:szCs w:val="20"/>
        </w:rPr>
        <w:t>Our growth depends in part on the success of our strategic relationships with third parties that we provide services to</w:t>
      </w:r>
      <w:r>
        <w:rPr>
          <w:rFonts w:eastAsia="Times New Roman"/>
          <w:sz w:val="20"/>
          <w:szCs w:val="20"/>
        </w:rPr>
        <w:t>.</w:t>
      </w:r>
    </w:p>
    <w:p w14:paraId="56E31203" w14:textId="77777777" w:rsidR="00000000" w:rsidRDefault="00EF48A2">
      <w:pPr>
        <w:jc w:val="both"/>
        <w:divId w:val="951400550"/>
        <w:rPr>
          <w:rFonts w:eastAsia="Times New Roman"/>
        </w:rPr>
      </w:pPr>
      <w:r>
        <w:rPr>
          <w:rFonts w:eastAsia="Times New Roman"/>
          <w:sz w:val="20"/>
          <w:szCs w:val="20"/>
        </w:rPr>
        <w:t>•</w:t>
      </w:r>
    </w:p>
    <w:p w14:paraId="6036D86D" w14:textId="77777777" w:rsidR="00000000" w:rsidRDefault="00EF48A2">
      <w:pPr>
        <w:jc w:val="both"/>
        <w:divId w:val="1920674867"/>
        <w:rPr>
          <w:rFonts w:eastAsia="Times New Roman"/>
        </w:rPr>
      </w:pPr>
      <w:r>
        <w:rPr>
          <w:rFonts w:eastAsia="Times New Roman"/>
          <w:sz w:val="20"/>
          <w:szCs w:val="20"/>
        </w:rPr>
        <w:t xml:space="preserve">Our virtual behavioral </w:t>
      </w:r>
      <w:r>
        <w:rPr>
          <w:rFonts w:eastAsia="Times New Roman"/>
          <w:sz w:val="20"/>
          <w:szCs w:val="20"/>
        </w:rPr>
        <w:t>healthcare strategies depend on our ability to maintain and expand our network of therapists, psychiatrists and other providers. If we are unable to do so, our future growth would be limited and our business, financial condition and results of operations w</w:t>
      </w:r>
      <w:r>
        <w:rPr>
          <w:rFonts w:eastAsia="Times New Roman"/>
          <w:sz w:val="20"/>
          <w:szCs w:val="20"/>
        </w:rPr>
        <w:t>ould be harmed</w:t>
      </w:r>
      <w:r>
        <w:rPr>
          <w:rFonts w:eastAsia="Times New Roman"/>
          <w:sz w:val="20"/>
          <w:szCs w:val="20"/>
        </w:rPr>
        <w:t>.</w:t>
      </w:r>
    </w:p>
    <w:p w14:paraId="3319B78C" w14:textId="77777777" w:rsidR="00000000" w:rsidRDefault="00EF48A2">
      <w:pPr>
        <w:jc w:val="both"/>
        <w:divId w:val="222254258"/>
        <w:rPr>
          <w:rFonts w:eastAsia="Times New Roman"/>
        </w:rPr>
      </w:pPr>
      <w:r>
        <w:rPr>
          <w:rFonts w:eastAsia="Times New Roman"/>
          <w:sz w:val="20"/>
          <w:szCs w:val="20"/>
        </w:rPr>
        <w:t>•</w:t>
      </w:r>
    </w:p>
    <w:p w14:paraId="7CA3498D" w14:textId="77777777" w:rsidR="00000000" w:rsidRDefault="00EF48A2">
      <w:pPr>
        <w:jc w:val="both"/>
        <w:divId w:val="704644667"/>
        <w:rPr>
          <w:rFonts w:eastAsia="Times New Roman"/>
        </w:rPr>
      </w:pPr>
      <w:r>
        <w:rPr>
          <w:rFonts w:eastAsia="Times New Roman"/>
          <w:sz w:val="20"/>
          <w:szCs w:val="20"/>
        </w:rPr>
        <w:t>Developments affecting spending by the healthcare industry could adversely affect our business</w:t>
      </w:r>
      <w:r>
        <w:rPr>
          <w:rFonts w:eastAsia="Times New Roman"/>
          <w:sz w:val="20"/>
          <w:szCs w:val="20"/>
        </w:rPr>
        <w:t>.</w:t>
      </w:r>
    </w:p>
    <w:p w14:paraId="1F49A24E" w14:textId="77777777" w:rsidR="00000000" w:rsidRDefault="00EF48A2">
      <w:pPr>
        <w:jc w:val="both"/>
        <w:divId w:val="1039823276"/>
        <w:rPr>
          <w:rFonts w:eastAsia="Times New Roman"/>
        </w:rPr>
      </w:pPr>
      <w:r>
        <w:rPr>
          <w:rFonts w:eastAsia="Times New Roman"/>
          <w:sz w:val="20"/>
          <w:szCs w:val="20"/>
        </w:rPr>
        <w:t>•</w:t>
      </w:r>
    </w:p>
    <w:p w14:paraId="66E45C61" w14:textId="77777777" w:rsidR="00000000" w:rsidRDefault="00EF48A2">
      <w:pPr>
        <w:jc w:val="both"/>
        <w:divId w:val="1225723196"/>
        <w:rPr>
          <w:rFonts w:eastAsia="Times New Roman"/>
        </w:rPr>
      </w:pPr>
      <w:r>
        <w:rPr>
          <w:rFonts w:eastAsia="Times New Roman"/>
          <w:sz w:val="20"/>
          <w:szCs w:val="20"/>
        </w:rPr>
        <w:t>Negative media coverage and social medica engagement could adversely affect our business</w:t>
      </w:r>
      <w:r>
        <w:rPr>
          <w:rFonts w:eastAsia="Times New Roman"/>
          <w:sz w:val="20"/>
          <w:szCs w:val="20"/>
        </w:rPr>
        <w:t>.</w:t>
      </w:r>
    </w:p>
    <w:p w14:paraId="61B8F178" w14:textId="77777777" w:rsidR="00000000" w:rsidRDefault="00EF48A2">
      <w:pPr>
        <w:jc w:val="both"/>
        <w:divId w:val="820855843"/>
        <w:rPr>
          <w:rFonts w:eastAsia="Times New Roman"/>
        </w:rPr>
      </w:pPr>
      <w:r>
        <w:rPr>
          <w:rFonts w:eastAsia="Times New Roman"/>
          <w:sz w:val="20"/>
          <w:szCs w:val="20"/>
        </w:rPr>
        <w:t>•</w:t>
      </w:r>
    </w:p>
    <w:p w14:paraId="0F146895" w14:textId="77777777" w:rsidR="00000000" w:rsidRDefault="00EF48A2">
      <w:pPr>
        <w:jc w:val="both"/>
        <w:divId w:val="2038120994"/>
        <w:rPr>
          <w:rFonts w:eastAsia="Times New Roman"/>
        </w:rPr>
      </w:pPr>
      <w:r>
        <w:rPr>
          <w:rFonts w:eastAsia="Times New Roman"/>
          <w:sz w:val="20"/>
          <w:szCs w:val="20"/>
        </w:rPr>
        <w:t>We may become subject to medical liability claims</w:t>
      </w:r>
      <w:r>
        <w:rPr>
          <w:rFonts w:eastAsia="Times New Roman"/>
          <w:sz w:val="20"/>
          <w:szCs w:val="20"/>
        </w:rPr>
        <w:t>.</w:t>
      </w:r>
    </w:p>
    <w:p w14:paraId="1CFCC365" w14:textId="77777777" w:rsidR="00000000" w:rsidRDefault="00EF48A2">
      <w:pPr>
        <w:jc w:val="both"/>
        <w:divId w:val="1045056922"/>
        <w:rPr>
          <w:rFonts w:eastAsia="Times New Roman"/>
        </w:rPr>
      </w:pPr>
      <w:r>
        <w:rPr>
          <w:rFonts w:eastAsia="Times New Roman"/>
          <w:sz w:val="20"/>
          <w:szCs w:val="20"/>
        </w:rPr>
        <w:t>•</w:t>
      </w:r>
    </w:p>
    <w:p w14:paraId="27E0B410" w14:textId="77777777" w:rsidR="00000000" w:rsidRDefault="00EF48A2">
      <w:pPr>
        <w:jc w:val="both"/>
        <w:divId w:val="315304234"/>
        <w:rPr>
          <w:rFonts w:eastAsia="Times New Roman"/>
        </w:rPr>
      </w:pPr>
      <w:r>
        <w:rPr>
          <w:rFonts w:eastAsia="Times New Roman"/>
          <w:sz w:val="20"/>
          <w:szCs w:val="20"/>
        </w:rPr>
        <w:t>We rely on third-party platforms, such as the Apple Store, to distribute our platform and offerings</w:t>
      </w:r>
      <w:r>
        <w:rPr>
          <w:rFonts w:eastAsia="Times New Roman"/>
          <w:sz w:val="20"/>
          <w:szCs w:val="20"/>
        </w:rPr>
        <w:t>.</w:t>
      </w:r>
    </w:p>
    <w:p w14:paraId="72689064" w14:textId="77777777" w:rsidR="00000000" w:rsidRDefault="00EF48A2">
      <w:pPr>
        <w:jc w:val="both"/>
        <w:divId w:val="1342076544"/>
        <w:rPr>
          <w:rFonts w:eastAsia="Times New Roman"/>
        </w:rPr>
      </w:pPr>
      <w:r>
        <w:rPr>
          <w:rFonts w:eastAsia="Times New Roman"/>
          <w:sz w:val="20"/>
          <w:szCs w:val="20"/>
        </w:rPr>
        <w:t>•</w:t>
      </w:r>
    </w:p>
    <w:p w14:paraId="30785094" w14:textId="77777777" w:rsidR="00000000" w:rsidRDefault="00EF48A2">
      <w:pPr>
        <w:jc w:val="both"/>
        <w:divId w:val="433138042"/>
        <w:rPr>
          <w:rFonts w:eastAsia="Times New Roman"/>
        </w:rPr>
      </w:pPr>
      <w:r>
        <w:rPr>
          <w:rFonts w:eastAsia="Times New Roman"/>
          <w:sz w:val="20"/>
          <w:szCs w:val="20"/>
        </w:rPr>
        <w:t xml:space="preserve">We rely on third parties and our own systems for providing services to our clients and members, and </w:t>
      </w:r>
      <w:r>
        <w:rPr>
          <w:rFonts w:eastAsia="Times New Roman"/>
          <w:sz w:val="20"/>
          <w:szCs w:val="20"/>
        </w:rPr>
        <w:t>any failure or interruption in the services provided by these third parties or our own systems could expose us to litigation and negatively impact our relationships with clients and members</w:t>
      </w:r>
      <w:r>
        <w:rPr>
          <w:rFonts w:eastAsia="Times New Roman"/>
          <w:sz w:val="20"/>
          <w:szCs w:val="20"/>
        </w:rPr>
        <w:t>.</w:t>
      </w:r>
    </w:p>
    <w:p w14:paraId="12B8082C" w14:textId="77777777" w:rsidR="00000000" w:rsidRDefault="00EF48A2">
      <w:pPr>
        <w:jc w:val="both"/>
        <w:divId w:val="2036269824"/>
        <w:rPr>
          <w:rFonts w:eastAsia="Times New Roman"/>
        </w:rPr>
      </w:pPr>
      <w:r>
        <w:rPr>
          <w:rFonts w:eastAsia="Times New Roman"/>
          <w:sz w:val="20"/>
          <w:szCs w:val="20"/>
        </w:rPr>
        <w:t>•</w:t>
      </w:r>
    </w:p>
    <w:p w14:paraId="391E419F" w14:textId="77777777" w:rsidR="00000000" w:rsidRDefault="00EF48A2">
      <w:pPr>
        <w:jc w:val="both"/>
        <w:divId w:val="1215852888"/>
        <w:rPr>
          <w:rFonts w:eastAsia="Times New Roman"/>
        </w:rPr>
      </w:pPr>
      <w:r>
        <w:rPr>
          <w:rFonts w:eastAsia="Times New Roman"/>
          <w:sz w:val="20"/>
          <w:szCs w:val="20"/>
        </w:rPr>
        <w:t>If our or our vendors’ security measures fail or are breached a</w:t>
      </w:r>
      <w:r>
        <w:rPr>
          <w:rFonts w:eastAsia="Times New Roman"/>
          <w:sz w:val="20"/>
          <w:szCs w:val="20"/>
        </w:rPr>
        <w:t>nd unauthorized access to a client’s data or information systems is obtained, our services may be perceived as insecure</w:t>
      </w:r>
      <w:r>
        <w:rPr>
          <w:rFonts w:eastAsia="Times New Roman"/>
          <w:sz w:val="20"/>
          <w:szCs w:val="20"/>
        </w:rPr>
        <w:t>.</w:t>
      </w:r>
    </w:p>
    <w:p w14:paraId="58C84F18" w14:textId="77777777" w:rsidR="00000000" w:rsidRDefault="00EF48A2">
      <w:pPr>
        <w:jc w:val="both"/>
        <w:divId w:val="1010448336"/>
        <w:rPr>
          <w:rFonts w:eastAsia="Times New Roman"/>
        </w:rPr>
      </w:pPr>
      <w:r>
        <w:rPr>
          <w:rFonts w:eastAsia="Times New Roman"/>
          <w:sz w:val="20"/>
          <w:szCs w:val="20"/>
        </w:rPr>
        <w:t>•</w:t>
      </w:r>
    </w:p>
    <w:p w14:paraId="178F3FDC" w14:textId="77777777" w:rsidR="00000000" w:rsidRDefault="00EF48A2">
      <w:pPr>
        <w:jc w:val="both"/>
        <w:divId w:val="351422330"/>
        <w:rPr>
          <w:rFonts w:eastAsia="Times New Roman"/>
        </w:rPr>
      </w:pPr>
      <w:r>
        <w:rPr>
          <w:rFonts w:eastAsia="Times New Roman"/>
          <w:sz w:val="20"/>
          <w:szCs w:val="20"/>
        </w:rPr>
        <w:t>Changes in consumer sentiment or laws, rules or regulations regarding the use of cookies and other tracking technologies and other pr</w:t>
      </w:r>
      <w:r>
        <w:rPr>
          <w:rFonts w:eastAsia="Times New Roman"/>
          <w:sz w:val="20"/>
          <w:szCs w:val="20"/>
        </w:rPr>
        <w:t>ivacy matters could have a material adverse effect on our ability to generate net revenues and could adversely affect our ability to collect proprietary data on consumer behavior</w:t>
      </w:r>
      <w:r>
        <w:rPr>
          <w:rFonts w:eastAsia="Times New Roman"/>
          <w:sz w:val="20"/>
          <w:szCs w:val="20"/>
        </w:rPr>
        <w:t>.</w:t>
      </w:r>
    </w:p>
    <w:p w14:paraId="6D91A33A"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3</w:t>
      </w:r>
    </w:p>
    <w:p w14:paraId="072FCCC7" w14:textId="77777777" w:rsidR="00000000" w:rsidRDefault="00EF48A2">
      <w:pPr>
        <w:rPr>
          <w:rFonts w:eastAsia="Times New Roman"/>
        </w:rPr>
      </w:pPr>
      <w:r>
        <w:rPr>
          <w:rFonts w:eastAsia="Times New Roman"/>
        </w:rPr>
        <w:pict w14:anchorId="39199C63">
          <v:rect id="_x0000_i1040" style="width:0;height:1.5pt" o:hralign="center" o:hrstd="t" o:hr="t" fillcolor="#a0a0a0" stroked="f"/>
        </w:pict>
      </w:r>
    </w:p>
    <w:p w14:paraId="4FCFA690" w14:textId="77777777" w:rsidR="00000000" w:rsidRDefault="00EF48A2">
      <w:pPr>
        <w:pStyle w:val="a3"/>
        <w:spacing w:before="0" w:beforeAutospacing="0" w:after="0" w:afterAutospacing="0"/>
        <w:rPr>
          <w:sz w:val="20"/>
          <w:szCs w:val="20"/>
        </w:rPr>
      </w:pPr>
      <w:hyperlink w:anchor="toc_page" w:history="1">
        <w:r>
          <w:rPr>
            <w:rStyle w:val="a4"/>
            <w:sz w:val="20"/>
            <w:szCs w:val="20"/>
          </w:rPr>
          <w:t>Table</w:t>
        </w:r>
        <w:r>
          <w:rPr>
            <w:rStyle w:val="a4"/>
            <w:sz w:val="20"/>
            <w:szCs w:val="20"/>
          </w:rPr>
          <w:t xml:space="preserve"> of Content</w:t>
        </w:r>
        <w:r>
          <w:rPr>
            <w:rStyle w:val="a4"/>
            <w:sz w:val="20"/>
            <w:szCs w:val="20"/>
          </w:rPr>
          <w:t>s</w:t>
        </w:r>
      </w:hyperlink>
    </w:p>
    <w:p w14:paraId="6C35CBF6" w14:textId="77777777" w:rsidR="00000000" w:rsidRDefault="00EF48A2">
      <w:pPr>
        <w:jc w:val="both"/>
        <w:divId w:val="2048597"/>
        <w:rPr>
          <w:rFonts w:eastAsia="Times New Roman"/>
        </w:rPr>
      </w:pPr>
      <w:r>
        <w:rPr>
          <w:rFonts w:eastAsia="Times New Roman"/>
          <w:sz w:val="20"/>
          <w:szCs w:val="20"/>
        </w:rPr>
        <w:t>•</w:t>
      </w:r>
    </w:p>
    <w:p w14:paraId="66DE7A8D" w14:textId="77777777" w:rsidR="00000000" w:rsidRDefault="00EF48A2">
      <w:pPr>
        <w:jc w:val="both"/>
        <w:divId w:val="751125739"/>
        <w:rPr>
          <w:rFonts w:eastAsia="Times New Roman"/>
        </w:rPr>
      </w:pPr>
      <w:r>
        <w:rPr>
          <w:rFonts w:eastAsia="Times New Roman"/>
          <w:sz w:val="20"/>
          <w:szCs w:val="20"/>
        </w:rPr>
        <w:t>Our quarterly results may fluctuate significantly, which could adversely impact the value of our common stock.</w:t>
      </w:r>
      <w:r>
        <w:rPr>
          <w:rFonts w:eastAsia="Times New Roman"/>
          <w:sz w:val="20"/>
          <w:szCs w:val="20"/>
        </w:rPr>
        <w:t xml:space="preserve"> </w:t>
      </w:r>
    </w:p>
    <w:p w14:paraId="00105981" w14:textId="77777777" w:rsidR="00000000" w:rsidRDefault="00EF48A2">
      <w:pPr>
        <w:jc w:val="both"/>
        <w:divId w:val="602111138"/>
        <w:rPr>
          <w:rFonts w:eastAsia="Times New Roman"/>
        </w:rPr>
      </w:pPr>
      <w:r>
        <w:rPr>
          <w:rFonts w:eastAsia="Times New Roman"/>
          <w:sz w:val="20"/>
          <w:szCs w:val="20"/>
        </w:rPr>
        <w:t>•</w:t>
      </w:r>
    </w:p>
    <w:p w14:paraId="0E465B05" w14:textId="77777777" w:rsidR="00000000" w:rsidRDefault="00EF48A2">
      <w:pPr>
        <w:jc w:val="both"/>
        <w:divId w:val="1649555904"/>
        <w:rPr>
          <w:rFonts w:eastAsia="Times New Roman"/>
        </w:rPr>
      </w:pPr>
      <w:r>
        <w:rPr>
          <w:rFonts w:eastAsia="Times New Roman"/>
          <w:sz w:val="20"/>
          <w:szCs w:val="20"/>
        </w:rPr>
        <w:t>The loss of one or more of our executive officers or key employees or an inability to attract and retain highly skilled and div</w:t>
      </w:r>
      <w:r>
        <w:rPr>
          <w:rFonts w:eastAsia="Times New Roman"/>
          <w:sz w:val="20"/>
          <w:szCs w:val="20"/>
        </w:rPr>
        <w:t>erse employees could adversely affect our business</w:t>
      </w:r>
      <w:r>
        <w:rPr>
          <w:rFonts w:eastAsia="Times New Roman"/>
          <w:sz w:val="20"/>
          <w:szCs w:val="20"/>
        </w:rPr>
        <w:t>.</w:t>
      </w:r>
    </w:p>
    <w:p w14:paraId="3C1E884A" w14:textId="77777777" w:rsidR="00000000" w:rsidRDefault="00EF48A2">
      <w:pPr>
        <w:jc w:val="both"/>
        <w:divId w:val="1145394956"/>
        <w:rPr>
          <w:rFonts w:eastAsia="Times New Roman"/>
        </w:rPr>
      </w:pPr>
      <w:r>
        <w:rPr>
          <w:rFonts w:eastAsia="Times New Roman"/>
          <w:sz w:val="20"/>
          <w:szCs w:val="20"/>
        </w:rPr>
        <w:t>•</w:t>
      </w:r>
    </w:p>
    <w:p w14:paraId="7A5F4C39" w14:textId="77777777" w:rsidR="00000000" w:rsidRDefault="00EF48A2">
      <w:pPr>
        <w:jc w:val="both"/>
        <w:divId w:val="2058622806"/>
        <w:rPr>
          <w:rFonts w:eastAsia="Times New Roman"/>
        </w:rPr>
      </w:pPr>
      <w:r>
        <w:rPr>
          <w:rFonts w:eastAsia="Times New Roman"/>
          <w:sz w:val="20"/>
          <w:szCs w:val="20"/>
        </w:rPr>
        <w:t>Risks related to acquisitions of other companies or technologies</w:t>
      </w:r>
      <w:r>
        <w:rPr>
          <w:rFonts w:eastAsia="Times New Roman"/>
          <w:sz w:val="20"/>
          <w:szCs w:val="20"/>
        </w:rPr>
        <w:t>.</w:t>
      </w:r>
    </w:p>
    <w:p w14:paraId="34FC306D" w14:textId="77777777" w:rsidR="00000000" w:rsidRDefault="00EF48A2">
      <w:pPr>
        <w:jc w:val="both"/>
        <w:divId w:val="1653296266"/>
        <w:rPr>
          <w:rFonts w:eastAsia="Times New Roman"/>
        </w:rPr>
      </w:pPr>
      <w:r>
        <w:rPr>
          <w:rFonts w:eastAsia="Times New Roman"/>
          <w:sz w:val="20"/>
          <w:szCs w:val="20"/>
        </w:rPr>
        <w:t>•</w:t>
      </w:r>
    </w:p>
    <w:p w14:paraId="49DA9A0B" w14:textId="77777777" w:rsidR="00000000" w:rsidRDefault="00EF48A2">
      <w:pPr>
        <w:jc w:val="both"/>
        <w:divId w:val="180898450"/>
        <w:rPr>
          <w:rFonts w:eastAsia="Times New Roman"/>
        </w:rPr>
      </w:pPr>
      <w:r>
        <w:rPr>
          <w:rFonts w:eastAsia="Times New Roman"/>
          <w:sz w:val="20"/>
          <w:szCs w:val="20"/>
        </w:rPr>
        <w:t>Inflation and increased interest rates may increase our operating and capital costs</w:t>
      </w:r>
      <w:r>
        <w:rPr>
          <w:rFonts w:eastAsia="Times New Roman"/>
          <w:sz w:val="20"/>
          <w:szCs w:val="20"/>
        </w:rPr>
        <w:t>.</w:t>
      </w:r>
    </w:p>
    <w:p w14:paraId="625466AB" w14:textId="77777777" w:rsidR="00000000" w:rsidRDefault="00EF48A2">
      <w:pPr>
        <w:pStyle w:val="a3"/>
        <w:spacing w:before="180" w:beforeAutospacing="0" w:after="0" w:afterAutospacing="0"/>
        <w:jc w:val="both"/>
        <w:rPr>
          <w:sz w:val="20"/>
          <w:szCs w:val="20"/>
        </w:rPr>
      </w:pPr>
      <w:r>
        <w:rPr>
          <w:b/>
          <w:bCs/>
          <w:sz w:val="20"/>
          <w:szCs w:val="20"/>
        </w:rPr>
        <w:t>Risks Related to our Legal and Regulatory Environ</w:t>
      </w:r>
      <w:r>
        <w:rPr>
          <w:b/>
          <w:bCs/>
          <w:sz w:val="20"/>
          <w:szCs w:val="20"/>
        </w:rPr>
        <w:t>men</w:t>
      </w:r>
      <w:r>
        <w:rPr>
          <w:b/>
          <w:bCs/>
          <w:sz w:val="20"/>
          <w:szCs w:val="20"/>
        </w:rPr>
        <w:t>t</w:t>
      </w:r>
    </w:p>
    <w:p w14:paraId="5AF3A3AF" w14:textId="77777777" w:rsidR="00000000" w:rsidRDefault="00EF48A2">
      <w:pPr>
        <w:jc w:val="both"/>
        <w:divId w:val="2098091691"/>
        <w:rPr>
          <w:rFonts w:eastAsia="Times New Roman"/>
        </w:rPr>
      </w:pPr>
      <w:r>
        <w:rPr>
          <w:rFonts w:eastAsia="Times New Roman"/>
          <w:sz w:val="20"/>
          <w:szCs w:val="20"/>
        </w:rPr>
        <w:t>•</w:t>
      </w:r>
    </w:p>
    <w:p w14:paraId="4FDB4A30" w14:textId="77777777" w:rsidR="00000000" w:rsidRDefault="00EF48A2">
      <w:pPr>
        <w:jc w:val="both"/>
        <w:divId w:val="1674455466"/>
        <w:rPr>
          <w:rFonts w:eastAsia="Times New Roman"/>
        </w:rPr>
      </w:pPr>
      <w:r>
        <w:rPr>
          <w:rFonts w:eastAsia="Times New Roman"/>
          <w:sz w:val="20"/>
          <w:szCs w:val="20"/>
        </w:rPr>
        <w:t>Our business could be adversely affected by legal challenges to our business model or by actions restricting our ability to provide the full range of our services in certain jurisdictions</w:t>
      </w:r>
      <w:r>
        <w:rPr>
          <w:rFonts w:eastAsia="Times New Roman"/>
          <w:sz w:val="20"/>
          <w:szCs w:val="20"/>
        </w:rPr>
        <w:t>.</w:t>
      </w:r>
    </w:p>
    <w:p w14:paraId="2AB9F692" w14:textId="77777777" w:rsidR="00000000" w:rsidRDefault="00EF48A2">
      <w:pPr>
        <w:jc w:val="both"/>
        <w:divId w:val="86318602"/>
        <w:rPr>
          <w:rFonts w:eastAsia="Times New Roman"/>
        </w:rPr>
      </w:pPr>
      <w:r>
        <w:rPr>
          <w:rFonts w:eastAsia="Times New Roman"/>
          <w:sz w:val="20"/>
          <w:szCs w:val="20"/>
        </w:rPr>
        <w:t>•</w:t>
      </w:r>
    </w:p>
    <w:p w14:paraId="3B34FE6E" w14:textId="77777777" w:rsidR="00000000" w:rsidRDefault="00EF48A2">
      <w:pPr>
        <w:jc w:val="both"/>
        <w:divId w:val="28536176"/>
        <w:rPr>
          <w:rFonts w:eastAsia="Times New Roman"/>
        </w:rPr>
      </w:pPr>
      <w:r>
        <w:rPr>
          <w:rFonts w:eastAsia="Times New Roman"/>
          <w:sz w:val="20"/>
          <w:szCs w:val="20"/>
        </w:rPr>
        <w:t>Evolving government regulations may result in increased costs or adversely affect our results of operations</w:t>
      </w:r>
      <w:r>
        <w:rPr>
          <w:rFonts w:eastAsia="Times New Roman"/>
          <w:sz w:val="20"/>
          <w:szCs w:val="20"/>
        </w:rPr>
        <w:t>.</w:t>
      </w:r>
    </w:p>
    <w:p w14:paraId="7B118F0F" w14:textId="77777777" w:rsidR="00000000" w:rsidRDefault="00EF48A2">
      <w:pPr>
        <w:jc w:val="both"/>
        <w:divId w:val="1872764009"/>
        <w:rPr>
          <w:rFonts w:eastAsia="Times New Roman"/>
        </w:rPr>
      </w:pPr>
      <w:r>
        <w:rPr>
          <w:rFonts w:eastAsia="Times New Roman"/>
          <w:sz w:val="20"/>
          <w:szCs w:val="20"/>
        </w:rPr>
        <w:t>•</w:t>
      </w:r>
    </w:p>
    <w:p w14:paraId="6BAA2F21" w14:textId="77777777" w:rsidR="00000000" w:rsidRDefault="00EF48A2">
      <w:pPr>
        <w:jc w:val="both"/>
        <w:divId w:val="1757707869"/>
        <w:rPr>
          <w:rFonts w:eastAsia="Times New Roman"/>
        </w:rPr>
      </w:pPr>
      <w:r>
        <w:rPr>
          <w:rFonts w:eastAsia="Times New Roman"/>
          <w:sz w:val="20"/>
          <w:szCs w:val="20"/>
        </w:rPr>
        <w:t>We are dependent on our relationships with affiliated professional entities, which we do not own, to provide physician and other professional ser</w:t>
      </w:r>
      <w:r>
        <w:rPr>
          <w:rFonts w:eastAsia="Times New Roman"/>
          <w:sz w:val="20"/>
          <w:szCs w:val="20"/>
        </w:rPr>
        <w:t>vices</w:t>
      </w:r>
      <w:r>
        <w:rPr>
          <w:rFonts w:eastAsia="Times New Roman"/>
          <w:sz w:val="20"/>
          <w:szCs w:val="20"/>
        </w:rPr>
        <w:t>.</w:t>
      </w:r>
    </w:p>
    <w:p w14:paraId="7ADEE86A" w14:textId="77777777" w:rsidR="00000000" w:rsidRDefault="00EF48A2">
      <w:pPr>
        <w:jc w:val="both"/>
        <w:divId w:val="1952544808"/>
        <w:rPr>
          <w:rFonts w:eastAsia="Times New Roman"/>
        </w:rPr>
      </w:pPr>
      <w:r>
        <w:rPr>
          <w:rFonts w:eastAsia="Times New Roman"/>
          <w:sz w:val="20"/>
          <w:szCs w:val="20"/>
        </w:rPr>
        <w:t>•</w:t>
      </w:r>
    </w:p>
    <w:p w14:paraId="54872C35" w14:textId="77777777" w:rsidR="00000000" w:rsidRDefault="00EF48A2">
      <w:pPr>
        <w:jc w:val="both"/>
        <w:divId w:val="1778060475"/>
        <w:rPr>
          <w:rFonts w:eastAsia="Times New Roman"/>
        </w:rPr>
      </w:pPr>
      <w:r>
        <w:rPr>
          <w:rFonts w:eastAsia="Times New Roman"/>
          <w:sz w:val="20"/>
          <w:szCs w:val="20"/>
        </w:rPr>
        <w:t>The impact on us of recent healthcare legislation and other changes in the healthcare industry and in healthcare spending is currently unknown, but may adversely affect our business, financial condition and results of operations</w:t>
      </w:r>
      <w:r>
        <w:rPr>
          <w:rFonts w:eastAsia="Times New Roman"/>
          <w:sz w:val="20"/>
          <w:szCs w:val="20"/>
        </w:rPr>
        <w:t>.</w:t>
      </w:r>
    </w:p>
    <w:p w14:paraId="60B7D747" w14:textId="77777777" w:rsidR="00000000" w:rsidRDefault="00EF48A2">
      <w:pPr>
        <w:jc w:val="both"/>
        <w:divId w:val="686323336"/>
        <w:rPr>
          <w:rFonts w:eastAsia="Times New Roman"/>
        </w:rPr>
      </w:pPr>
      <w:r>
        <w:rPr>
          <w:rFonts w:eastAsia="Times New Roman"/>
          <w:sz w:val="20"/>
          <w:szCs w:val="20"/>
        </w:rPr>
        <w:t>•</w:t>
      </w:r>
    </w:p>
    <w:p w14:paraId="07CA9976" w14:textId="77777777" w:rsidR="00000000" w:rsidRDefault="00EF48A2">
      <w:pPr>
        <w:jc w:val="both"/>
        <w:divId w:val="1203127535"/>
        <w:rPr>
          <w:rFonts w:eastAsia="Times New Roman"/>
        </w:rPr>
      </w:pPr>
      <w:r>
        <w:rPr>
          <w:rFonts w:eastAsia="Times New Roman"/>
          <w:sz w:val="20"/>
          <w:szCs w:val="20"/>
        </w:rPr>
        <w:t>Our use and dis</w:t>
      </w:r>
      <w:r>
        <w:rPr>
          <w:rFonts w:eastAsia="Times New Roman"/>
          <w:sz w:val="20"/>
          <w:szCs w:val="20"/>
        </w:rPr>
        <w:t>closure of personal information, including PHI, personal data, and other health information, is subject to state, federal or other privacy and security regulations, and our failure to comply with those regulations or to adequately secure the information we</w:t>
      </w:r>
      <w:r>
        <w:rPr>
          <w:rFonts w:eastAsia="Times New Roman"/>
          <w:sz w:val="20"/>
          <w:szCs w:val="20"/>
        </w:rPr>
        <w:t xml:space="preserve"> hold could result in significant liability or reputational harm and, in turn, a material adverse effect on our client base and member bases and revenue</w:t>
      </w:r>
      <w:r>
        <w:rPr>
          <w:rFonts w:eastAsia="Times New Roman"/>
          <w:sz w:val="20"/>
          <w:szCs w:val="20"/>
        </w:rPr>
        <w:t>.</w:t>
      </w:r>
    </w:p>
    <w:p w14:paraId="026DEF1B" w14:textId="77777777" w:rsidR="00000000" w:rsidRDefault="00EF48A2">
      <w:pPr>
        <w:jc w:val="both"/>
        <w:divId w:val="1274047690"/>
        <w:rPr>
          <w:rFonts w:eastAsia="Times New Roman"/>
        </w:rPr>
      </w:pPr>
      <w:r>
        <w:rPr>
          <w:rFonts w:eastAsia="Times New Roman"/>
          <w:sz w:val="20"/>
          <w:szCs w:val="20"/>
        </w:rPr>
        <w:t>•</w:t>
      </w:r>
    </w:p>
    <w:p w14:paraId="4E7A8ADE" w14:textId="77777777" w:rsidR="00000000" w:rsidRDefault="00EF48A2">
      <w:pPr>
        <w:jc w:val="both"/>
        <w:divId w:val="1551576156"/>
        <w:rPr>
          <w:rFonts w:eastAsia="Times New Roman"/>
        </w:rPr>
      </w:pPr>
      <w:r>
        <w:rPr>
          <w:rFonts w:eastAsia="Times New Roman"/>
          <w:sz w:val="20"/>
          <w:szCs w:val="20"/>
        </w:rPr>
        <w:t>Use of social media may subject us to fines or other penalties or be an ineffective source to market</w:t>
      </w:r>
      <w:r>
        <w:rPr>
          <w:rFonts w:eastAsia="Times New Roman"/>
          <w:sz w:val="20"/>
          <w:szCs w:val="20"/>
        </w:rPr>
        <w:t xml:space="preserve"> our offerings</w:t>
      </w:r>
      <w:r>
        <w:rPr>
          <w:rFonts w:eastAsia="Times New Roman"/>
          <w:sz w:val="20"/>
          <w:szCs w:val="20"/>
        </w:rPr>
        <w:t>.</w:t>
      </w:r>
    </w:p>
    <w:p w14:paraId="4E2E38FF" w14:textId="77777777" w:rsidR="00000000" w:rsidRDefault="00EF48A2">
      <w:pPr>
        <w:jc w:val="both"/>
        <w:divId w:val="741605442"/>
        <w:rPr>
          <w:rFonts w:eastAsia="Times New Roman"/>
        </w:rPr>
      </w:pPr>
      <w:r>
        <w:rPr>
          <w:rFonts w:eastAsia="Times New Roman"/>
          <w:sz w:val="20"/>
          <w:szCs w:val="20"/>
        </w:rPr>
        <w:t>•</w:t>
      </w:r>
    </w:p>
    <w:p w14:paraId="5E4D7104" w14:textId="77777777" w:rsidR="00000000" w:rsidRDefault="00EF48A2">
      <w:pPr>
        <w:jc w:val="both"/>
        <w:divId w:val="512913006"/>
        <w:rPr>
          <w:rFonts w:eastAsia="Times New Roman"/>
        </w:rPr>
      </w:pPr>
      <w:r>
        <w:rPr>
          <w:rFonts w:eastAsia="Times New Roman"/>
          <w:sz w:val="20"/>
          <w:szCs w:val="20"/>
        </w:rPr>
        <w:t>We may be exposed to compliance obligations and risks under anti-corruption, export controls and economic sanctions laws and regulations of the United States and applicable non-U.S. jurisdictions</w:t>
      </w:r>
      <w:r>
        <w:rPr>
          <w:rFonts w:eastAsia="Times New Roman"/>
          <w:sz w:val="20"/>
          <w:szCs w:val="20"/>
        </w:rPr>
        <w:t>.</w:t>
      </w:r>
    </w:p>
    <w:p w14:paraId="5BF5933F" w14:textId="77777777" w:rsidR="00000000" w:rsidRDefault="00EF48A2">
      <w:pPr>
        <w:pStyle w:val="a3"/>
        <w:spacing w:before="180" w:beforeAutospacing="0" w:after="0" w:afterAutospacing="0"/>
        <w:jc w:val="both"/>
        <w:rPr>
          <w:sz w:val="20"/>
          <w:szCs w:val="20"/>
        </w:rPr>
      </w:pPr>
      <w:r>
        <w:rPr>
          <w:b/>
          <w:bCs/>
          <w:sz w:val="20"/>
          <w:szCs w:val="20"/>
        </w:rPr>
        <w:t>Risks Related to our Intellectual Propert</w:t>
      </w:r>
      <w:r>
        <w:rPr>
          <w:b/>
          <w:bCs/>
          <w:sz w:val="20"/>
          <w:szCs w:val="20"/>
        </w:rPr>
        <w:t>y</w:t>
      </w:r>
    </w:p>
    <w:p w14:paraId="771ECE32" w14:textId="77777777" w:rsidR="00000000" w:rsidRDefault="00EF48A2">
      <w:pPr>
        <w:jc w:val="both"/>
        <w:divId w:val="1312753565"/>
        <w:rPr>
          <w:rFonts w:eastAsia="Times New Roman"/>
        </w:rPr>
      </w:pPr>
      <w:r>
        <w:rPr>
          <w:rFonts w:eastAsia="Times New Roman"/>
          <w:sz w:val="20"/>
          <w:szCs w:val="20"/>
        </w:rPr>
        <w:t>•</w:t>
      </w:r>
    </w:p>
    <w:p w14:paraId="73D94D18" w14:textId="77777777" w:rsidR="00000000" w:rsidRDefault="00EF48A2">
      <w:pPr>
        <w:jc w:val="both"/>
        <w:divId w:val="2003653173"/>
        <w:rPr>
          <w:rFonts w:eastAsia="Times New Roman"/>
        </w:rPr>
      </w:pPr>
      <w:r>
        <w:rPr>
          <w:rFonts w:eastAsia="Times New Roman"/>
          <w:sz w:val="20"/>
          <w:szCs w:val="20"/>
        </w:rPr>
        <w:t>Any failure to protect, enforce or defend our intellectual property rights could impair our ability to protect our technology and our brand</w:t>
      </w:r>
      <w:r>
        <w:rPr>
          <w:rFonts w:eastAsia="Times New Roman"/>
          <w:sz w:val="20"/>
          <w:szCs w:val="20"/>
        </w:rPr>
        <w:t>.</w:t>
      </w:r>
    </w:p>
    <w:p w14:paraId="726F9883" w14:textId="77777777" w:rsidR="00000000" w:rsidRDefault="00EF48A2">
      <w:pPr>
        <w:jc w:val="both"/>
        <w:divId w:val="885138690"/>
        <w:rPr>
          <w:rFonts w:eastAsia="Times New Roman"/>
        </w:rPr>
      </w:pPr>
      <w:r>
        <w:rPr>
          <w:rFonts w:eastAsia="Times New Roman"/>
          <w:sz w:val="20"/>
          <w:szCs w:val="20"/>
        </w:rPr>
        <w:t>•</w:t>
      </w:r>
    </w:p>
    <w:p w14:paraId="3E3AD11A" w14:textId="77777777" w:rsidR="00000000" w:rsidRDefault="00EF48A2">
      <w:pPr>
        <w:jc w:val="both"/>
        <w:divId w:val="367802540"/>
        <w:rPr>
          <w:rFonts w:eastAsia="Times New Roman"/>
        </w:rPr>
      </w:pPr>
      <w:r>
        <w:rPr>
          <w:rFonts w:eastAsia="Times New Roman"/>
          <w:sz w:val="20"/>
          <w:szCs w:val="20"/>
        </w:rPr>
        <w:t>Third parties may challenge the validity of our trademarks and patents or oppose trademark and patent applica</w:t>
      </w:r>
      <w:r>
        <w:rPr>
          <w:rFonts w:eastAsia="Times New Roman"/>
          <w:sz w:val="20"/>
          <w:szCs w:val="20"/>
        </w:rPr>
        <w:t>tions.</w:t>
      </w:r>
      <w:r>
        <w:rPr>
          <w:rFonts w:eastAsia="Times New Roman"/>
          <w:sz w:val="20"/>
          <w:szCs w:val="20"/>
        </w:rPr>
        <w:t xml:space="preserve"> </w:t>
      </w:r>
    </w:p>
    <w:p w14:paraId="7174A17E" w14:textId="77777777" w:rsidR="00000000" w:rsidRDefault="00EF48A2">
      <w:pPr>
        <w:jc w:val="both"/>
        <w:divId w:val="1568876231"/>
        <w:rPr>
          <w:rFonts w:eastAsia="Times New Roman"/>
        </w:rPr>
      </w:pPr>
      <w:r>
        <w:rPr>
          <w:rFonts w:eastAsia="Times New Roman"/>
          <w:sz w:val="20"/>
          <w:szCs w:val="20"/>
        </w:rPr>
        <w:t>•</w:t>
      </w:r>
    </w:p>
    <w:p w14:paraId="226450D1" w14:textId="77777777" w:rsidR="00000000" w:rsidRDefault="00EF48A2">
      <w:pPr>
        <w:jc w:val="both"/>
        <w:divId w:val="1411346626"/>
        <w:rPr>
          <w:rFonts w:eastAsia="Times New Roman"/>
        </w:rPr>
      </w:pPr>
      <w:r>
        <w:rPr>
          <w:rFonts w:eastAsia="Times New Roman"/>
          <w:sz w:val="20"/>
          <w:szCs w:val="20"/>
        </w:rPr>
        <w:t>We could incur substantial costs as a result of any claim of infringement of another party’s intellectual property rights.</w:t>
      </w:r>
      <w:r>
        <w:rPr>
          <w:rFonts w:eastAsia="Times New Roman"/>
          <w:sz w:val="20"/>
          <w:szCs w:val="20"/>
        </w:rPr>
        <w:t xml:space="preserve"> </w:t>
      </w:r>
    </w:p>
    <w:p w14:paraId="7D7D2715" w14:textId="77777777" w:rsidR="00000000" w:rsidRDefault="00EF48A2">
      <w:pPr>
        <w:jc w:val="both"/>
        <w:divId w:val="1316178961"/>
        <w:rPr>
          <w:rFonts w:eastAsia="Times New Roman"/>
        </w:rPr>
      </w:pPr>
      <w:r>
        <w:rPr>
          <w:rFonts w:eastAsia="Times New Roman"/>
          <w:sz w:val="20"/>
          <w:szCs w:val="20"/>
        </w:rPr>
        <w:t>•</w:t>
      </w:r>
    </w:p>
    <w:p w14:paraId="45514392" w14:textId="77777777" w:rsidR="00000000" w:rsidRDefault="00EF48A2">
      <w:pPr>
        <w:jc w:val="both"/>
        <w:divId w:val="851645974"/>
        <w:rPr>
          <w:rFonts w:eastAsia="Times New Roman"/>
        </w:rPr>
      </w:pPr>
      <w:r>
        <w:rPr>
          <w:rFonts w:eastAsia="Times New Roman"/>
          <w:sz w:val="20"/>
          <w:szCs w:val="20"/>
        </w:rPr>
        <w:t>Our proprietary software may not operate properly, and if we cannot resolve any technical issues in a timely manner, we may lose clients and our reputation may be harmed.</w:t>
      </w:r>
      <w:r>
        <w:rPr>
          <w:rFonts w:eastAsia="Times New Roman"/>
          <w:sz w:val="20"/>
          <w:szCs w:val="20"/>
        </w:rPr>
        <w:t xml:space="preserve"> </w:t>
      </w:r>
    </w:p>
    <w:p w14:paraId="599A0417" w14:textId="77777777" w:rsidR="00000000" w:rsidRDefault="00EF48A2">
      <w:pPr>
        <w:jc w:val="both"/>
        <w:divId w:val="1340279399"/>
        <w:rPr>
          <w:rFonts w:eastAsia="Times New Roman"/>
        </w:rPr>
      </w:pPr>
      <w:r>
        <w:rPr>
          <w:rFonts w:eastAsia="Times New Roman"/>
          <w:sz w:val="20"/>
          <w:szCs w:val="20"/>
        </w:rPr>
        <w:t>•</w:t>
      </w:r>
    </w:p>
    <w:p w14:paraId="049BCE36" w14:textId="77777777" w:rsidR="00000000" w:rsidRDefault="00EF48A2">
      <w:pPr>
        <w:jc w:val="both"/>
        <w:divId w:val="1121025502"/>
        <w:rPr>
          <w:rFonts w:eastAsia="Times New Roman"/>
        </w:rPr>
      </w:pPr>
      <w:r>
        <w:rPr>
          <w:rFonts w:eastAsia="Times New Roman"/>
          <w:sz w:val="20"/>
          <w:szCs w:val="20"/>
        </w:rPr>
        <w:t>Risks related to collaborations.</w:t>
      </w:r>
      <w:r>
        <w:rPr>
          <w:rFonts w:eastAsia="Times New Roman"/>
          <w:sz w:val="20"/>
          <w:szCs w:val="20"/>
        </w:rPr>
        <w:t xml:space="preserve"> </w:t>
      </w:r>
    </w:p>
    <w:p w14:paraId="684297A6" w14:textId="77777777" w:rsidR="00000000" w:rsidRDefault="00EF48A2">
      <w:pPr>
        <w:pStyle w:val="a3"/>
        <w:spacing w:before="180" w:beforeAutospacing="0" w:after="0" w:afterAutospacing="0"/>
        <w:jc w:val="both"/>
        <w:rPr>
          <w:sz w:val="20"/>
          <w:szCs w:val="20"/>
        </w:rPr>
      </w:pPr>
      <w:r>
        <w:rPr>
          <w:b/>
          <w:bCs/>
          <w:sz w:val="20"/>
          <w:szCs w:val="20"/>
        </w:rPr>
        <w:t xml:space="preserve">Risks Related to Ownership of our Common Stock, </w:t>
      </w:r>
      <w:r>
        <w:rPr>
          <w:b/>
          <w:bCs/>
          <w:sz w:val="20"/>
          <w:szCs w:val="20"/>
        </w:rPr>
        <w:t>our Warrants and Operating as a Public Compan</w:t>
      </w:r>
      <w:r>
        <w:rPr>
          <w:b/>
          <w:bCs/>
          <w:sz w:val="20"/>
          <w:szCs w:val="20"/>
        </w:rPr>
        <w:t>y</w:t>
      </w:r>
    </w:p>
    <w:p w14:paraId="5DC0B7AF" w14:textId="77777777" w:rsidR="00000000" w:rsidRDefault="00EF48A2">
      <w:pPr>
        <w:jc w:val="both"/>
        <w:divId w:val="1806003202"/>
        <w:rPr>
          <w:rFonts w:eastAsia="Times New Roman"/>
        </w:rPr>
      </w:pPr>
      <w:r>
        <w:rPr>
          <w:rFonts w:eastAsia="Times New Roman"/>
          <w:sz w:val="20"/>
          <w:szCs w:val="20"/>
        </w:rPr>
        <w:t>•</w:t>
      </w:r>
    </w:p>
    <w:p w14:paraId="4553A27E" w14:textId="77777777" w:rsidR="00000000" w:rsidRDefault="00EF48A2">
      <w:pPr>
        <w:jc w:val="both"/>
        <w:divId w:val="355234940"/>
        <w:rPr>
          <w:rFonts w:eastAsia="Times New Roman"/>
        </w:rPr>
      </w:pPr>
      <w:r>
        <w:rPr>
          <w:rFonts w:eastAsia="Times New Roman"/>
          <w:sz w:val="20"/>
          <w:szCs w:val="20"/>
        </w:rPr>
        <w:t>Increased costs and devoted management time as a result of operating as a public company.</w:t>
      </w:r>
      <w:r>
        <w:rPr>
          <w:rFonts w:eastAsia="Times New Roman"/>
          <w:sz w:val="20"/>
          <w:szCs w:val="20"/>
        </w:rPr>
        <w:t xml:space="preserve"> </w:t>
      </w:r>
    </w:p>
    <w:p w14:paraId="348DA785" w14:textId="77777777" w:rsidR="00000000" w:rsidRDefault="00EF48A2">
      <w:pPr>
        <w:jc w:val="both"/>
        <w:divId w:val="1018779112"/>
        <w:rPr>
          <w:rFonts w:eastAsia="Times New Roman"/>
        </w:rPr>
      </w:pPr>
      <w:r>
        <w:rPr>
          <w:rFonts w:eastAsia="Times New Roman"/>
          <w:sz w:val="20"/>
          <w:szCs w:val="20"/>
        </w:rPr>
        <w:t>•</w:t>
      </w:r>
    </w:p>
    <w:p w14:paraId="39607ACD" w14:textId="77777777" w:rsidR="00000000" w:rsidRDefault="00EF48A2">
      <w:pPr>
        <w:jc w:val="both"/>
        <w:divId w:val="708264789"/>
        <w:rPr>
          <w:rFonts w:eastAsia="Times New Roman"/>
        </w:rPr>
      </w:pPr>
      <w:r>
        <w:rPr>
          <w:rFonts w:eastAsia="Times New Roman"/>
          <w:sz w:val="20"/>
          <w:szCs w:val="20"/>
        </w:rPr>
        <w:t>We have material weaknesses in our internal control over financial reporting. If we fail to establish and maintain</w:t>
      </w:r>
      <w:r>
        <w:rPr>
          <w:rFonts w:eastAsia="Times New Roman"/>
          <w:sz w:val="20"/>
          <w:szCs w:val="20"/>
        </w:rPr>
        <w:t xml:space="preserve"> effective internal control over financial reporting in the future, our ability to produce accurate and timely financial statements could be impaired, which may adversely affect investor confidence in us and, as a result, the value of our common stock</w:t>
      </w:r>
      <w:r>
        <w:rPr>
          <w:rFonts w:eastAsia="Times New Roman"/>
          <w:sz w:val="20"/>
          <w:szCs w:val="20"/>
        </w:rPr>
        <w:t>.</w:t>
      </w:r>
    </w:p>
    <w:p w14:paraId="4553CA03" w14:textId="77777777" w:rsidR="00000000" w:rsidRDefault="00EF48A2">
      <w:pPr>
        <w:jc w:val="both"/>
        <w:divId w:val="1021664068"/>
        <w:rPr>
          <w:rFonts w:eastAsia="Times New Roman"/>
        </w:rPr>
      </w:pPr>
      <w:r>
        <w:rPr>
          <w:rFonts w:eastAsia="Times New Roman"/>
          <w:sz w:val="20"/>
          <w:szCs w:val="20"/>
        </w:rPr>
        <w:t>•</w:t>
      </w:r>
    </w:p>
    <w:p w14:paraId="3A79B021" w14:textId="77777777" w:rsidR="00000000" w:rsidRDefault="00EF48A2">
      <w:pPr>
        <w:jc w:val="both"/>
        <w:divId w:val="972909804"/>
        <w:rPr>
          <w:rFonts w:eastAsia="Times New Roman"/>
        </w:rPr>
      </w:pPr>
      <w:r>
        <w:rPr>
          <w:rFonts w:eastAsia="Times New Roman"/>
          <w:sz w:val="20"/>
          <w:szCs w:val="20"/>
        </w:rPr>
        <w:t>Provisions in our organizational documents and Delaware law may have an adverse impact on us</w:t>
      </w:r>
      <w:r>
        <w:rPr>
          <w:rFonts w:eastAsia="Times New Roman"/>
          <w:sz w:val="20"/>
          <w:szCs w:val="20"/>
        </w:rPr>
        <w:t>.</w:t>
      </w:r>
    </w:p>
    <w:p w14:paraId="6966B010" w14:textId="77777777" w:rsidR="00000000" w:rsidRDefault="00EF48A2">
      <w:pPr>
        <w:jc w:val="both"/>
        <w:divId w:val="1657227443"/>
        <w:rPr>
          <w:rFonts w:eastAsia="Times New Roman"/>
        </w:rPr>
      </w:pPr>
      <w:r>
        <w:rPr>
          <w:rFonts w:eastAsia="Times New Roman"/>
          <w:sz w:val="20"/>
          <w:szCs w:val="20"/>
        </w:rPr>
        <w:t>•</w:t>
      </w:r>
    </w:p>
    <w:p w14:paraId="237D39FE" w14:textId="77777777" w:rsidR="00000000" w:rsidRDefault="00EF48A2">
      <w:pPr>
        <w:jc w:val="both"/>
        <w:divId w:val="1842038137"/>
        <w:rPr>
          <w:rFonts w:eastAsia="Times New Roman"/>
        </w:rPr>
      </w:pPr>
      <w:r>
        <w:rPr>
          <w:rFonts w:eastAsia="Times New Roman"/>
          <w:sz w:val="20"/>
          <w:szCs w:val="20"/>
        </w:rPr>
        <w:t>Future resales of our common stock may cause the market price of our securities to drop significantly.</w:t>
      </w:r>
      <w:r>
        <w:rPr>
          <w:rFonts w:eastAsia="Times New Roman"/>
          <w:sz w:val="20"/>
          <w:szCs w:val="20"/>
        </w:rPr>
        <w:t xml:space="preserve"> </w:t>
      </w:r>
    </w:p>
    <w:p w14:paraId="1626997F" w14:textId="77777777" w:rsidR="00000000" w:rsidRDefault="00EF48A2">
      <w:pPr>
        <w:jc w:val="both"/>
        <w:divId w:val="1384207313"/>
        <w:rPr>
          <w:rFonts w:eastAsia="Times New Roman"/>
        </w:rPr>
      </w:pPr>
      <w:r>
        <w:rPr>
          <w:rFonts w:eastAsia="Times New Roman"/>
          <w:sz w:val="20"/>
          <w:szCs w:val="20"/>
        </w:rPr>
        <w:t>•</w:t>
      </w:r>
    </w:p>
    <w:p w14:paraId="61DB56E8" w14:textId="77777777" w:rsidR="00000000" w:rsidRDefault="00EF48A2">
      <w:pPr>
        <w:jc w:val="both"/>
        <w:divId w:val="566918502"/>
        <w:rPr>
          <w:rFonts w:eastAsia="Times New Roman"/>
        </w:rPr>
      </w:pPr>
      <w:r>
        <w:rPr>
          <w:rFonts w:eastAsia="Times New Roman"/>
          <w:sz w:val="20"/>
          <w:szCs w:val="20"/>
        </w:rPr>
        <w:t>Our warrants are exercisable for common stock, which c</w:t>
      </w:r>
      <w:r>
        <w:rPr>
          <w:rFonts w:eastAsia="Times New Roman"/>
          <w:sz w:val="20"/>
          <w:szCs w:val="20"/>
        </w:rPr>
        <w:t>ould increase the number of shares eligible for future resale in the public market and result in dilution to our stockholders.</w:t>
      </w:r>
      <w:r>
        <w:rPr>
          <w:rFonts w:eastAsia="Times New Roman"/>
          <w:sz w:val="20"/>
          <w:szCs w:val="20"/>
        </w:rPr>
        <w:t xml:space="preserve"> </w:t>
      </w:r>
    </w:p>
    <w:p w14:paraId="36A1DDD8" w14:textId="77777777" w:rsidR="00000000" w:rsidRDefault="00EF48A2">
      <w:pPr>
        <w:jc w:val="both"/>
        <w:divId w:val="1031615843"/>
        <w:rPr>
          <w:rFonts w:eastAsia="Times New Roman"/>
        </w:rPr>
      </w:pPr>
      <w:r>
        <w:rPr>
          <w:rFonts w:eastAsia="Times New Roman"/>
          <w:sz w:val="20"/>
          <w:szCs w:val="20"/>
        </w:rPr>
        <w:t>•</w:t>
      </w:r>
    </w:p>
    <w:p w14:paraId="7AC87FF5" w14:textId="77777777" w:rsidR="00000000" w:rsidRDefault="00EF48A2">
      <w:pPr>
        <w:jc w:val="both"/>
        <w:divId w:val="574704493"/>
        <w:rPr>
          <w:rFonts w:eastAsia="Times New Roman"/>
        </w:rPr>
      </w:pPr>
      <w:r>
        <w:rPr>
          <w:rFonts w:eastAsia="Times New Roman"/>
          <w:sz w:val="20"/>
          <w:szCs w:val="20"/>
        </w:rPr>
        <w:t>We do not intend to pay cash dividends for the foreseeable future</w:t>
      </w:r>
      <w:r>
        <w:rPr>
          <w:rFonts w:eastAsia="Times New Roman"/>
          <w:sz w:val="20"/>
          <w:szCs w:val="20"/>
        </w:rPr>
        <w:t>.</w:t>
      </w:r>
    </w:p>
    <w:p w14:paraId="78E1C7B2" w14:textId="77777777" w:rsidR="00000000" w:rsidRDefault="00EF48A2">
      <w:pPr>
        <w:jc w:val="both"/>
        <w:divId w:val="166603006"/>
        <w:rPr>
          <w:rFonts w:eastAsia="Times New Roman"/>
        </w:rPr>
      </w:pPr>
      <w:r>
        <w:rPr>
          <w:rFonts w:eastAsia="Times New Roman"/>
          <w:sz w:val="20"/>
          <w:szCs w:val="20"/>
        </w:rPr>
        <w:t>•</w:t>
      </w:r>
    </w:p>
    <w:p w14:paraId="08B6F4DF" w14:textId="77777777" w:rsidR="00000000" w:rsidRDefault="00EF48A2">
      <w:pPr>
        <w:jc w:val="both"/>
        <w:divId w:val="910046649"/>
        <w:rPr>
          <w:rFonts w:eastAsia="Times New Roman"/>
        </w:rPr>
      </w:pPr>
      <w:r>
        <w:rPr>
          <w:rFonts w:eastAsia="Times New Roman"/>
          <w:sz w:val="20"/>
          <w:szCs w:val="20"/>
        </w:rPr>
        <w:t>Risks related to exercise price and redemption of warrant</w:t>
      </w:r>
      <w:r>
        <w:rPr>
          <w:rFonts w:eastAsia="Times New Roman"/>
          <w:sz w:val="20"/>
          <w:szCs w:val="20"/>
        </w:rPr>
        <w:t>s</w:t>
      </w:r>
      <w:r>
        <w:rPr>
          <w:rFonts w:eastAsia="Times New Roman"/>
          <w:sz w:val="20"/>
          <w:szCs w:val="20"/>
        </w:rPr>
        <w:t>.</w:t>
      </w:r>
    </w:p>
    <w:p w14:paraId="6DDCD691" w14:textId="77777777" w:rsidR="00000000" w:rsidRDefault="00EF48A2">
      <w:pPr>
        <w:jc w:val="both"/>
        <w:divId w:val="918563846"/>
        <w:rPr>
          <w:rFonts w:eastAsia="Times New Roman"/>
        </w:rPr>
      </w:pPr>
      <w:r>
        <w:rPr>
          <w:rFonts w:eastAsia="Times New Roman"/>
          <w:sz w:val="20"/>
          <w:szCs w:val="20"/>
        </w:rPr>
        <w:t>•</w:t>
      </w:r>
    </w:p>
    <w:p w14:paraId="4C20646C" w14:textId="77777777" w:rsidR="00000000" w:rsidRDefault="00EF48A2">
      <w:pPr>
        <w:jc w:val="both"/>
        <w:divId w:val="1023823876"/>
        <w:rPr>
          <w:rFonts w:eastAsia="Times New Roman"/>
        </w:rPr>
      </w:pPr>
      <w:r>
        <w:rPr>
          <w:rFonts w:eastAsia="Times New Roman"/>
          <w:sz w:val="20"/>
          <w:szCs w:val="20"/>
        </w:rPr>
        <w:t>If we fail to comply with the continued listing requirements of the Nasdaq Stock Market, it could result in our common stock being delisted, which could adversely affect the market price and liquidity of our securities and could have other adverse eff</w:t>
      </w:r>
      <w:r>
        <w:rPr>
          <w:rFonts w:eastAsia="Times New Roman"/>
          <w:sz w:val="20"/>
          <w:szCs w:val="20"/>
        </w:rPr>
        <w:t>ects</w:t>
      </w:r>
      <w:r>
        <w:rPr>
          <w:rFonts w:eastAsia="Times New Roman"/>
          <w:sz w:val="20"/>
          <w:szCs w:val="20"/>
        </w:rPr>
        <w:t>.</w:t>
      </w:r>
    </w:p>
    <w:p w14:paraId="11B964DE"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4</w:t>
      </w:r>
    </w:p>
    <w:p w14:paraId="105F6621" w14:textId="77777777" w:rsidR="00000000" w:rsidRDefault="00EF48A2">
      <w:pPr>
        <w:rPr>
          <w:rFonts w:eastAsia="Times New Roman"/>
        </w:rPr>
      </w:pPr>
      <w:r>
        <w:rPr>
          <w:rFonts w:eastAsia="Times New Roman"/>
        </w:rPr>
        <w:pict w14:anchorId="26915510">
          <v:rect id="_x0000_i1041" style="width:0;height:1.5pt" o:hralign="center" o:hrstd="t" o:hr="t" fillcolor="#a0a0a0" stroked="f"/>
        </w:pict>
      </w:r>
    </w:p>
    <w:p w14:paraId="36DDAC6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712C7A0E" w14:textId="77777777" w:rsidR="00000000" w:rsidRDefault="00EF48A2">
      <w:pPr>
        <w:pStyle w:val="a3"/>
        <w:spacing w:before="360" w:beforeAutospacing="0" w:after="0" w:afterAutospacing="0"/>
        <w:jc w:val="both"/>
        <w:rPr>
          <w:sz w:val="20"/>
          <w:szCs w:val="20"/>
        </w:rPr>
      </w:pPr>
      <w:r>
        <w:rPr>
          <w:b/>
          <w:bCs/>
          <w:sz w:val="20"/>
          <w:szCs w:val="20"/>
        </w:rPr>
        <w:t>RISKS RELATED TO OUR OPERATING RESULTS AND EARLY STAGE OF GROWT</w:t>
      </w:r>
      <w:r>
        <w:rPr>
          <w:b/>
          <w:bCs/>
          <w:sz w:val="20"/>
          <w:szCs w:val="20"/>
        </w:rPr>
        <w:t>H</w:t>
      </w:r>
      <w:r>
        <w:rPr>
          <w:b/>
          <w:bCs/>
          <w:sz w:val="20"/>
          <w:szCs w:val="20"/>
        </w:rPr>
        <w:t xml:space="preserve"> </w:t>
      </w:r>
    </w:p>
    <w:p w14:paraId="52536E96" w14:textId="77777777" w:rsidR="00000000" w:rsidRDefault="00EF48A2">
      <w:pPr>
        <w:pStyle w:val="a3"/>
        <w:spacing w:before="240" w:beforeAutospacing="0" w:after="0" w:afterAutospacing="0"/>
        <w:jc w:val="both"/>
        <w:rPr>
          <w:sz w:val="20"/>
          <w:szCs w:val="20"/>
        </w:rPr>
      </w:pPr>
      <w:r>
        <w:rPr>
          <w:b/>
          <w:bCs/>
          <w:i/>
          <w:iCs/>
          <w:sz w:val="20"/>
          <w:szCs w:val="20"/>
        </w:rPr>
        <w:t>We have a history of losses, which we expect to continue, and we may never achieve or sustain p</w:t>
      </w:r>
      <w:r>
        <w:rPr>
          <w:b/>
          <w:bCs/>
          <w:i/>
          <w:iCs/>
          <w:sz w:val="20"/>
          <w:szCs w:val="20"/>
        </w:rPr>
        <w:t>rofitability</w:t>
      </w:r>
      <w:r>
        <w:rPr>
          <w:b/>
          <w:bCs/>
          <w:i/>
          <w:iCs/>
          <w:sz w:val="20"/>
          <w:szCs w:val="20"/>
        </w:rPr>
        <w:t>.</w:t>
      </w:r>
      <w:r>
        <w:rPr>
          <w:b/>
          <w:bCs/>
          <w:i/>
          <w:iCs/>
          <w:sz w:val="20"/>
          <w:szCs w:val="20"/>
        </w:rPr>
        <w:t xml:space="preserve"> </w:t>
      </w:r>
    </w:p>
    <w:p w14:paraId="65C641F0" w14:textId="77777777" w:rsidR="00000000" w:rsidRDefault="00EF48A2">
      <w:pPr>
        <w:pStyle w:val="a3"/>
        <w:spacing w:before="180" w:beforeAutospacing="0" w:after="0" w:afterAutospacing="0"/>
        <w:jc w:val="both"/>
        <w:rPr>
          <w:sz w:val="20"/>
          <w:szCs w:val="20"/>
        </w:rPr>
      </w:pPr>
      <w:r>
        <w:rPr>
          <w:sz w:val="20"/>
          <w:szCs w:val="20"/>
        </w:rPr>
        <w:t>We have incurred significant losses in each period since our inception. These losses and accumulated deficit reflect the substantial investments we made to acquire new clients and members and to develop our technology platform. To date, we h</w:t>
      </w:r>
      <w:r>
        <w:rPr>
          <w:sz w:val="20"/>
          <w:szCs w:val="20"/>
        </w:rPr>
        <w:t>ave derived a substantial majority of our revenue from clients and members who pay for access to our virtual behavioral health platform, and our longer-term results of operations and continued growth will depend on our ability to successfully grow our reve</w:t>
      </w:r>
      <w:r>
        <w:rPr>
          <w:sz w:val="20"/>
          <w:szCs w:val="20"/>
        </w:rPr>
        <w:t>nue from existing clients and members, to acquire new potential future clients and develop and market new virtual behavioral health products and services that are attractive to our clients and members. We intend to continue scaling our business to increase</w:t>
      </w:r>
      <w:r>
        <w:rPr>
          <w:sz w:val="20"/>
          <w:szCs w:val="20"/>
        </w:rPr>
        <w:t xml:space="preserve"> our client, member and provider bases, broaden the scope of services we offer, invest in research and development and expand the applications of our technology through which clients and members can access our services. Accordingly, we expect to make incre</w:t>
      </w:r>
      <w:r>
        <w:rPr>
          <w:sz w:val="20"/>
          <w:szCs w:val="20"/>
        </w:rPr>
        <w:t>ased investments to support accelerated growth and the required investment to scale our provider network, we also expect increased efficiencies and economies of scale. These efforts may prove more expensive than we currently anticipate, and we may not succ</w:t>
      </w:r>
      <w:r>
        <w:rPr>
          <w:sz w:val="20"/>
          <w:szCs w:val="20"/>
        </w:rPr>
        <w:t>eed in increasing our revenue sufficiently to offset these expenses. In addition, our results of operations would also suffer if our innovations are not responsive to the needs of our clients and members, appropriately timed with market opportunity, effect</w:t>
      </w:r>
      <w:r>
        <w:rPr>
          <w:sz w:val="20"/>
          <w:szCs w:val="20"/>
        </w:rPr>
        <w:t>ively brought to market or do not achieve market acceptance. We cannot assure you that we will achieve profitability in the future or that, if we do become profitable, we will be able to sustain or increase profitability. Our prior losses, combined with ou</w:t>
      </w:r>
      <w:r>
        <w:rPr>
          <w:sz w:val="20"/>
          <w:szCs w:val="20"/>
        </w:rPr>
        <w:t>r expected future losses, have had and will continue to have an adverse effect on our stockholders’ equity and working capital. As a result of these factors, we may need to raise additional capital through debt or equity financings in order to fund our ope</w:t>
      </w:r>
      <w:r>
        <w:rPr>
          <w:sz w:val="20"/>
          <w:szCs w:val="20"/>
        </w:rPr>
        <w:t>rations, and such capital may not be available on reasonable terms, if at all</w:t>
      </w:r>
      <w:r>
        <w:rPr>
          <w:sz w:val="20"/>
          <w:szCs w:val="20"/>
        </w:rPr>
        <w:t>.</w:t>
      </w:r>
      <w:r>
        <w:rPr>
          <w:sz w:val="20"/>
          <w:szCs w:val="20"/>
        </w:rPr>
        <w:t xml:space="preserve"> </w:t>
      </w:r>
    </w:p>
    <w:p w14:paraId="01DC7F0A" w14:textId="77777777" w:rsidR="00000000" w:rsidRDefault="00EF48A2">
      <w:pPr>
        <w:pStyle w:val="a3"/>
        <w:spacing w:before="240" w:beforeAutospacing="0" w:after="0" w:afterAutospacing="0"/>
        <w:jc w:val="both"/>
        <w:rPr>
          <w:sz w:val="20"/>
          <w:szCs w:val="20"/>
        </w:rPr>
      </w:pPr>
      <w:r>
        <w:rPr>
          <w:b/>
          <w:bCs/>
          <w:i/>
          <w:iCs/>
          <w:sz w:val="20"/>
          <w:szCs w:val="20"/>
        </w:rPr>
        <w:t>Our business and the markets we operate in are new and rapidly evolving, which makes it difficult to evaluate our future prospects and the risks and challenges we may encounter</w:t>
      </w:r>
      <w:r>
        <w:rPr>
          <w:b/>
          <w:bCs/>
          <w:i/>
          <w:iCs/>
          <w:sz w:val="20"/>
          <w:szCs w:val="20"/>
        </w:rPr>
        <w:t>.</w:t>
      </w:r>
      <w:r>
        <w:rPr>
          <w:b/>
          <w:bCs/>
          <w:i/>
          <w:iCs/>
          <w:sz w:val="20"/>
          <w:szCs w:val="20"/>
        </w:rPr>
        <w:t xml:space="preserve"> </w:t>
      </w:r>
    </w:p>
    <w:p w14:paraId="030256DD" w14:textId="77777777" w:rsidR="00000000" w:rsidRDefault="00EF48A2">
      <w:pPr>
        <w:pStyle w:val="a3"/>
        <w:spacing w:before="180" w:beforeAutospacing="0" w:after="0" w:afterAutospacing="0"/>
        <w:jc w:val="both"/>
        <w:rPr>
          <w:sz w:val="20"/>
          <w:szCs w:val="20"/>
        </w:rPr>
      </w:pPr>
      <w:r>
        <w:rPr>
          <w:sz w:val="20"/>
          <w:szCs w:val="20"/>
        </w:rPr>
        <w:t>Our business and the markets we operate in are new and rapidly evolving whic</w:t>
      </w:r>
      <w:r>
        <w:rPr>
          <w:sz w:val="20"/>
          <w:szCs w:val="20"/>
        </w:rPr>
        <w:t>h</w:t>
      </w:r>
      <w:r>
        <w:rPr>
          <w:b/>
          <w:bCs/>
          <w:i/>
          <w:iCs/>
          <w:sz w:val="20"/>
          <w:szCs w:val="20"/>
        </w:rPr>
        <w:t xml:space="preserve"> </w:t>
      </w:r>
      <w:r>
        <w:rPr>
          <w:sz w:val="20"/>
          <w:szCs w:val="20"/>
        </w:rPr>
        <w:t>make it difficult to evaluate and assess the success of our business to date, our future prospects and the risks and challenges that we may encounter. These risks and challeng</w:t>
      </w:r>
      <w:r>
        <w:rPr>
          <w:sz w:val="20"/>
          <w:szCs w:val="20"/>
        </w:rPr>
        <w:t>es include our ability to</w:t>
      </w:r>
      <w:r>
        <w:rPr>
          <w:sz w:val="20"/>
          <w:szCs w:val="20"/>
        </w:rPr>
        <w:t>:</w:t>
      </w:r>
      <w:r>
        <w:rPr>
          <w:sz w:val="20"/>
          <w:szCs w:val="20"/>
        </w:rPr>
        <w:t xml:space="preserve"> </w:t>
      </w:r>
    </w:p>
    <w:p w14:paraId="0BCB008E" w14:textId="77777777" w:rsidR="00000000" w:rsidRDefault="00EF48A2">
      <w:pPr>
        <w:spacing w:before="120"/>
        <w:ind w:left="3"/>
        <w:jc w:val="both"/>
        <w:divId w:val="1652370264"/>
        <w:rPr>
          <w:rFonts w:eastAsia="Times New Roman"/>
        </w:rPr>
      </w:pPr>
      <w:r>
        <w:rPr>
          <w:rFonts w:eastAsia="Times New Roman"/>
          <w:sz w:val="20"/>
          <w:szCs w:val="20"/>
        </w:rPr>
        <w:t>●</w:t>
      </w:r>
    </w:p>
    <w:p w14:paraId="05E10EC4" w14:textId="77777777" w:rsidR="00000000" w:rsidRDefault="00EF48A2">
      <w:pPr>
        <w:jc w:val="both"/>
        <w:divId w:val="2057730239"/>
        <w:rPr>
          <w:rFonts w:eastAsia="Times New Roman"/>
        </w:rPr>
      </w:pPr>
      <w:r>
        <w:rPr>
          <w:rFonts w:eastAsia="Times New Roman"/>
          <w:sz w:val="20"/>
          <w:szCs w:val="20"/>
        </w:rPr>
        <w:t>Retain our existing clients and members that subscribe to our subscription offerings and utilize our services and to attract new clients and members to our platform and subscription offerings and position our platform as a con</w:t>
      </w:r>
      <w:r>
        <w:rPr>
          <w:rFonts w:eastAsia="Times New Roman"/>
          <w:sz w:val="20"/>
          <w:szCs w:val="20"/>
        </w:rPr>
        <w:t>venient and accepted way to access therapy and psychiatry;</w:t>
      </w:r>
      <w:r>
        <w:rPr>
          <w:rFonts w:eastAsia="Times New Roman"/>
          <w:sz w:val="20"/>
          <w:szCs w:val="20"/>
        </w:rPr>
        <w:t xml:space="preserve"> </w:t>
      </w:r>
    </w:p>
    <w:p w14:paraId="2600367C" w14:textId="77777777" w:rsidR="00000000" w:rsidRDefault="00EF48A2">
      <w:pPr>
        <w:spacing w:before="120"/>
        <w:ind w:left="3"/>
        <w:jc w:val="both"/>
        <w:divId w:val="2125466591"/>
        <w:rPr>
          <w:rFonts w:eastAsia="Times New Roman"/>
        </w:rPr>
      </w:pPr>
      <w:r>
        <w:rPr>
          <w:rFonts w:eastAsia="Times New Roman"/>
          <w:sz w:val="20"/>
          <w:szCs w:val="20"/>
        </w:rPr>
        <w:t>●</w:t>
      </w:r>
    </w:p>
    <w:p w14:paraId="71370D0D" w14:textId="77777777" w:rsidR="00000000" w:rsidRDefault="00EF48A2">
      <w:pPr>
        <w:jc w:val="both"/>
        <w:divId w:val="1359891114"/>
        <w:rPr>
          <w:rFonts w:eastAsia="Times New Roman"/>
        </w:rPr>
      </w:pPr>
      <w:r>
        <w:rPr>
          <w:rFonts w:eastAsia="Times New Roman"/>
          <w:sz w:val="20"/>
          <w:szCs w:val="20"/>
        </w:rPr>
        <w:t>convince new and existing clients and members to rapidly adopt new offerings on our platform;</w:t>
      </w:r>
      <w:r>
        <w:rPr>
          <w:rFonts w:eastAsia="Times New Roman"/>
          <w:sz w:val="20"/>
          <w:szCs w:val="20"/>
        </w:rPr>
        <w:t xml:space="preserve"> </w:t>
      </w:r>
    </w:p>
    <w:p w14:paraId="67FCA9D3" w14:textId="77777777" w:rsidR="00000000" w:rsidRDefault="00EF48A2">
      <w:pPr>
        <w:spacing w:before="120"/>
        <w:ind w:left="3"/>
        <w:jc w:val="both"/>
        <w:divId w:val="1137989001"/>
        <w:rPr>
          <w:rFonts w:eastAsia="Times New Roman"/>
        </w:rPr>
      </w:pPr>
      <w:r>
        <w:rPr>
          <w:rFonts w:eastAsia="Times New Roman"/>
          <w:sz w:val="20"/>
          <w:szCs w:val="20"/>
        </w:rPr>
        <w:t>●</w:t>
      </w:r>
    </w:p>
    <w:p w14:paraId="630BF877" w14:textId="77777777" w:rsidR="00000000" w:rsidRDefault="00EF48A2">
      <w:pPr>
        <w:jc w:val="both"/>
        <w:divId w:val="1773084813"/>
        <w:rPr>
          <w:rFonts w:eastAsia="Times New Roman"/>
        </w:rPr>
      </w:pPr>
      <w:r>
        <w:rPr>
          <w:rFonts w:eastAsia="Times New Roman"/>
          <w:sz w:val="20"/>
          <w:szCs w:val="20"/>
        </w:rPr>
        <w:t>attract and retain providers for inclusion in our platform;</w:t>
      </w:r>
      <w:r>
        <w:rPr>
          <w:rFonts w:eastAsia="Times New Roman"/>
          <w:sz w:val="20"/>
          <w:szCs w:val="20"/>
        </w:rPr>
        <w:t xml:space="preserve"> </w:t>
      </w:r>
    </w:p>
    <w:p w14:paraId="5D47CDE3" w14:textId="77777777" w:rsidR="00000000" w:rsidRDefault="00EF48A2">
      <w:pPr>
        <w:spacing w:before="120"/>
        <w:ind w:left="3"/>
        <w:jc w:val="both"/>
        <w:divId w:val="1093819992"/>
        <w:rPr>
          <w:rFonts w:eastAsia="Times New Roman"/>
        </w:rPr>
      </w:pPr>
      <w:r>
        <w:rPr>
          <w:rFonts w:eastAsia="Times New Roman"/>
          <w:sz w:val="20"/>
          <w:szCs w:val="20"/>
        </w:rPr>
        <w:t>●</w:t>
      </w:r>
    </w:p>
    <w:p w14:paraId="26B26372" w14:textId="77777777" w:rsidR="00000000" w:rsidRDefault="00EF48A2">
      <w:pPr>
        <w:jc w:val="both"/>
        <w:divId w:val="238295293"/>
        <w:rPr>
          <w:rFonts w:eastAsia="Times New Roman"/>
        </w:rPr>
      </w:pPr>
      <w:r>
        <w:rPr>
          <w:rFonts w:eastAsia="Times New Roman"/>
          <w:sz w:val="20"/>
          <w:szCs w:val="20"/>
        </w:rPr>
        <w:t>comply with existing and new laws and regulations applicable to our business and in our industry, as well as additional laws that may be applicable to new service offerings;</w:t>
      </w:r>
      <w:r>
        <w:rPr>
          <w:rFonts w:eastAsia="Times New Roman"/>
          <w:sz w:val="20"/>
          <w:szCs w:val="20"/>
        </w:rPr>
        <w:t xml:space="preserve"> </w:t>
      </w:r>
    </w:p>
    <w:p w14:paraId="249DC80F" w14:textId="77777777" w:rsidR="00000000" w:rsidRDefault="00EF48A2">
      <w:pPr>
        <w:spacing w:before="120"/>
        <w:ind w:left="3"/>
        <w:jc w:val="both"/>
        <w:divId w:val="1564366658"/>
        <w:rPr>
          <w:rFonts w:eastAsia="Times New Roman"/>
        </w:rPr>
      </w:pPr>
      <w:r>
        <w:rPr>
          <w:rFonts w:eastAsia="Times New Roman"/>
          <w:sz w:val="20"/>
          <w:szCs w:val="20"/>
        </w:rPr>
        <w:t>●</w:t>
      </w:r>
    </w:p>
    <w:p w14:paraId="5410B167" w14:textId="77777777" w:rsidR="00000000" w:rsidRDefault="00EF48A2">
      <w:pPr>
        <w:jc w:val="both"/>
        <w:divId w:val="1946646969"/>
        <w:rPr>
          <w:rFonts w:eastAsia="Times New Roman"/>
        </w:rPr>
      </w:pPr>
      <w:r>
        <w:rPr>
          <w:rFonts w:eastAsia="Times New Roman"/>
          <w:sz w:val="20"/>
          <w:szCs w:val="20"/>
        </w:rPr>
        <w:t>anticipate and respond to macroeconomic changes, and industry pricing benchmarks and changes in the markets in which we operate;</w:t>
      </w:r>
      <w:r>
        <w:rPr>
          <w:rFonts w:eastAsia="Times New Roman"/>
          <w:sz w:val="20"/>
          <w:szCs w:val="20"/>
        </w:rPr>
        <w:t xml:space="preserve"> </w:t>
      </w:r>
    </w:p>
    <w:p w14:paraId="1F72A0F9" w14:textId="77777777" w:rsidR="00000000" w:rsidRDefault="00EF48A2">
      <w:pPr>
        <w:spacing w:before="120"/>
        <w:ind w:left="3"/>
        <w:jc w:val="both"/>
        <w:divId w:val="21513271"/>
        <w:rPr>
          <w:rFonts w:eastAsia="Times New Roman"/>
        </w:rPr>
      </w:pPr>
      <w:r>
        <w:rPr>
          <w:rFonts w:eastAsia="Times New Roman"/>
          <w:sz w:val="20"/>
          <w:szCs w:val="20"/>
        </w:rPr>
        <w:t>●</w:t>
      </w:r>
    </w:p>
    <w:p w14:paraId="0B964129" w14:textId="77777777" w:rsidR="00000000" w:rsidRDefault="00EF48A2">
      <w:pPr>
        <w:jc w:val="both"/>
        <w:divId w:val="495003527"/>
        <w:rPr>
          <w:rFonts w:eastAsia="Times New Roman"/>
        </w:rPr>
      </w:pPr>
      <w:r>
        <w:rPr>
          <w:rFonts w:eastAsia="Times New Roman"/>
          <w:sz w:val="20"/>
          <w:szCs w:val="20"/>
        </w:rPr>
        <w:t>react to challenges from existing and new competitors;</w:t>
      </w:r>
      <w:r>
        <w:rPr>
          <w:rFonts w:eastAsia="Times New Roman"/>
          <w:sz w:val="20"/>
          <w:szCs w:val="20"/>
        </w:rPr>
        <w:t xml:space="preserve"> </w:t>
      </w:r>
    </w:p>
    <w:p w14:paraId="1E4E6710" w14:textId="77777777" w:rsidR="00000000" w:rsidRDefault="00EF48A2">
      <w:pPr>
        <w:spacing w:before="120"/>
        <w:ind w:left="3"/>
        <w:jc w:val="both"/>
        <w:divId w:val="1759253617"/>
        <w:rPr>
          <w:rFonts w:eastAsia="Times New Roman"/>
        </w:rPr>
      </w:pPr>
      <w:r>
        <w:rPr>
          <w:rFonts w:eastAsia="Times New Roman"/>
          <w:sz w:val="20"/>
          <w:szCs w:val="20"/>
        </w:rPr>
        <w:t>●</w:t>
      </w:r>
    </w:p>
    <w:p w14:paraId="40D487E3" w14:textId="77777777" w:rsidR="00000000" w:rsidRDefault="00EF48A2">
      <w:pPr>
        <w:jc w:val="both"/>
        <w:divId w:val="250628464"/>
        <w:rPr>
          <w:rFonts w:eastAsia="Times New Roman"/>
        </w:rPr>
      </w:pPr>
      <w:r>
        <w:rPr>
          <w:rFonts w:eastAsia="Times New Roman"/>
          <w:sz w:val="20"/>
          <w:szCs w:val="20"/>
        </w:rPr>
        <w:t>maintain and enhance the value of our reputation and brand;</w:t>
      </w:r>
      <w:r>
        <w:rPr>
          <w:rFonts w:eastAsia="Times New Roman"/>
          <w:sz w:val="20"/>
          <w:szCs w:val="20"/>
        </w:rPr>
        <w:t xml:space="preserve"> </w:t>
      </w:r>
    </w:p>
    <w:p w14:paraId="346DD659" w14:textId="77777777" w:rsidR="00000000" w:rsidRDefault="00EF48A2">
      <w:pPr>
        <w:spacing w:before="120"/>
        <w:ind w:left="3"/>
        <w:jc w:val="both"/>
        <w:divId w:val="1893033905"/>
        <w:rPr>
          <w:rFonts w:eastAsia="Times New Roman"/>
        </w:rPr>
      </w:pPr>
      <w:r>
        <w:rPr>
          <w:rFonts w:eastAsia="Times New Roman"/>
          <w:sz w:val="20"/>
          <w:szCs w:val="20"/>
        </w:rPr>
        <w:t>●</w:t>
      </w:r>
    </w:p>
    <w:p w14:paraId="74C4E7B9" w14:textId="77777777" w:rsidR="00000000" w:rsidRDefault="00EF48A2">
      <w:pPr>
        <w:jc w:val="both"/>
        <w:divId w:val="1163202764"/>
        <w:rPr>
          <w:rFonts w:eastAsia="Times New Roman"/>
        </w:rPr>
      </w:pPr>
      <w:r>
        <w:rPr>
          <w:rFonts w:eastAsia="Times New Roman"/>
          <w:sz w:val="20"/>
          <w:szCs w:val="20"/>
        </w:rPr>
        <w:t>mai</w:t>
      </w:r>
      <w:r>
        <w:rPr>
          <w:rFonts w:eastAsia="Times New Roman"/>
          <w:sz w:val="20"/>
          <w:szCs w:val="20"/>
        </w:rPr>
        <w:t>ntain and improve the infrastructure underlying our platform, including our apps and websites and with respect to data protection, intellectual property and cybersecurity; and</w:t>
      </w:r>
      <w:r>
        <w:rPr>
          <w:rFonts w:eastAsia="Times New Roman"/>
          <w:sz w:val="20"/>
          <w:szCs w:val="20"/>
        </w:rPr>
        <w:t xml:space="preserve"> </w:t>
      </w:r>
    </w:p>
    <w:p w14:paraId="40FAAAC7" w14:textId="77777777" w:rsidR="00000000" w:rsidRDefault="00EF48A2">
      <w:pPr>
        <w:spacing w:before="120"/>
        <w:ind w:left="3"/>
        <w:jc w:val="both"/>
        <w:divId w:val="367069920"/>
        <w:rPr>
          <w:rFonts w:eastAsia="Times New Roman"/>
        </w:rPr>
      </w:pPr>
      <w:r>
        <w:rPr>
          <w:rFonts w:eastAsia="Times New Roman"/>
          <w:sz w:val="20"/>
          <w:szCs w:val="20"/>
        </w:rPr>
        <w:t>●</w:t>
      </w:r>
    </w:p>
    <w:p w14:paraId="6B7676D2" w14:textId="77777777" w:rsidR="00000000" w:rsidRDefault="00EF48A2">
      <w:pPr>
        <w:jc w:val="both"/>
        <w:divId w:val="456725282"/>
        <w:rPr>
          <w:rFonts w:eastAsia="Times New Roman"/>
        </w:rPr>
      </w:pPr>
      <w:r>
        <w:rPr>
          <w:rFonts w:eastAsia="Times New Roman"/>
          <w:sz w:val="20"/>
          <w:szCs w:val="20"/>
        </w:rPr>
        <w:t>successfully update our platform, including expanding our platform and offeri</w:t>
      </w:r>
      <w:r>
        <w:rPr>
          <w:rFonts w:eastAsia="Times New Roman"/>
          <w:sz w:val="20"/>
          <w:szCs w:val="20"/>
        </w:rPr>
        <w:t>ngs into different healthcare products and services, develop and update our software, apps, features, offerings and services to benefit our clients and members and enhance their experience.</w:t>
      </w:r>
      <w:r>
        <w:rPr>
          <w:rFonts w:eastAsia="Times New Roman"/>
          <w:sz w:val="20"/>
          <w:szCs w:val="20"/>
        </w:rPr>
        <w:t xml:space="preserve"> </w:t>
      </w:r>
    </w:p>
    <w:p w14:paraId="3AB95106" w14:textId="77777777" w:rsidR="00000000" w:rsidRDefault="00EF48A2">
      <w:pPr>
        <w:pStyle w:val="a3"/>
        <w:spacing w:before="180" w:beforeAutospacing="0" w:after="0" w:afterAutospacing="0"/>
        <w:jc w:val="both"/>
        <w:rPr>
          <w:sz w:val="20"/>
          <w:szCs w:val="20"/>
        </w:rPr>
      </w:pPr>
      <w:r>
        <w:rPr>
          <w:sz w:val="20"/>
          <w:szCs w:val="20"/>
        </w:rPr>
        <w:t>If we fail to understand fully or adequately address the challeng</w:t>
      </w:r>
      <w:r>
        <w:rPr>
          <w:sz w:val="20"/>
          <w:szCs w:val="20"/>
        </w:rPr>
        <w:t>es that we are currently encountering or that we may encounter in the future, including those challenges described here and elsewhere in this “Risk Factors” section, our business, financial condition and results of operations could be adversely affected. I</w:t>
      </w:r>
      <w:r>
        <w:rPr>
          <w:sz w:val="20"/>
          <w:szCs w:val="20"/>
        </w:rPr>
        <w:t>f the risks and uncertainties that we plan for when operating our business are incorrect or change, or if we fail to manage these risks successfully, our results of operations could differ materially from our expectations and our business, financial condit</w:t>
      </w:r>
      <w:r>
        <w:rPr>
          <w:sz w:val="20"/>
          <w:szCs w:val="20"/>
        </w:rPr>
        <w:t>ion and results of operations could be adversely affected</w:t>
      </w:r>
      <w:r>
        <w:rPr>
          <w:sz w:val="20"/>
          <w:szCs w:val="20"/>
        </w:rPr>
        <w:t>.</w:t>
      </w:r>
      <w:r>
        <w:rPr>
          <w:sz w:val="20"/>
          <w:szCs w:val="20"/>
        </w:rPr>
        <w:t xml:space="preserve"> </w:t>
      </w:r>
    </w:p>
    <w:p w14:paraId="72661B08"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5</w:t>
      </w:r>
    </w:p>
    <w:p w14:paraId="52280987" w14:textId="77777777" w:rsidR="00000000" w:rsidRDefault="00EF48A2">
      <w:pPr>
        <w:rPr>
          <w:rFonts w:eastAsia="Times New Roman"/>
        </w:rPr>
      </w:pPr>
      <w:r>
        <w:rPr>
          <w:rFonts w:eastAsia="Times New Roman"/>
        </w:rPr>
        <w:pict w14:anchorId="30790B26">
          <v:rect id="_x0000_i1042" style="width:0;height:1.5pt" o:hralign="center" o:hrstd="t" o:hr="t" fillcolor="#a0a0a0" stroked="f"/>
        </w:pict>
      </w:r>
    </w:p>
    <w:p w14:paraId="6502513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4F193C7" w14:textId="77777777" w:rsidR="00000000" w:rsidRDefault="00EF48A2">
      <w:pPr>
        <w:pStyle w:val="a3"/>
        <w:spacing w:before="240" w:beforeAutospacing="0" w:after="0" w:afterAutospacing="0"/>
        <w:jc w:val="both"/>
        <w:rPr>
          <w:sz w:val="20"/>
          <w:szCs w:val="20"/>
        </w:rPr>
      </w:pPr>
      <w:r>
        <w:rPr>
          <w:b/>
          <w:bCs/>
          <w:i/>
          <w:iCs/>
          <w:sz w:val="20"/>
          <w:szCs w:val="20"/>
        </w:rPr>
        <w:t xml:space="preserve">We may not grow at the rates we historically have achieved or at all, even if our key metrics may indicate </w:t>
      </w:r>
      <w:r>
        <w:rPr>
          <w:b/>
          <w:bCs/>
          <w:i/>
          <w:iCs/>
          <w:sz w:val="20"/>
          <w:szCs w:val="20"/>
        </w:rPr>
        <w:t>growth, which could have a material adverse effect on the market price of our common stock</w:t>
      </w:r>
      <w:r>
        <w:rPr>
          <w:b/>
          <w:bCs/>
          <w:i/>
          <w:iCs/>
          <w:sz w:val="20"/>
          <w:szCs w:val="20"/>
        </w:rPr>
        <w:t>.</w:t>
      </w:r>
      <w:r>
        <w:rPr>
          <w:b/>
          <w:bCs/>
          <w:i/>
          <w:iCs/>
          <w:sz w:val="20"/>
          <w:szCs w:val="20"/>
        </w:rPr>
        <w:t xml:space="preserve"> </w:t>
      </w:r>
    </w:p>
    <w:p w14:paraId="62BEFE00" w14:textId="77777777" w:rsidR="00000000" w:rsidRDefault="00EF48A2">
      <w:pPr>
        <w:pStyle w:val="a3"/>
        <w:spacing w:before="180" w:beforeAutospacing="0" w:after="0" w:afterAutospacing="0"/>
        <w:jc w:val="both"/>
        <w:rPr>
          <w:sz w:val="20"/>
          <w:szCs w:val="20"/>
        </w:rPr>
      </w:pPr>
      <w:r>
        <w:rPr>
          <w:sz w:val="20"/>
          <w:szCs w:val="20"/>
        </w:rPr>
        <w:t>We have experienced significant growth in the last several years, and therefore our recent revenue growth rate and financial performance should not be considered i</w:t>
      </w:r>
      <w:r>
        <w:rPr>
          <w:sz w:val="20"/>
          <w:szCs w:val="20"/>
        </w:rPr>
        <w:t>ndicative of our future performance. From 2021 to 2022, our revenues grew at a compound annual rate of 5.2%. In addition, as a result of the COVID-19 pandemic, we experienced a significant increase in revenue, which increases we have managed to maintain fo</w:t>
      </w:r>
      <w:r>
        <w:rPr>
          <w:sz w:val="20"/>
          <w:szCs w:val="20"/>
        </w:rPr>
        <w:t>r the time being. You should not rely on our revenue or key business metrics for any previous quarterly or annual period as any indication of our revenue, revenue growth, key business metrics, or key business metrics growth in future periods. In particular</w:t>
      </w:r>
      <w:r>
        <w:rPr>
          <w:sz w:val="20"/>
          <w:szCs w:val="20"/>
        </w:rPr>
        <w:t>, our revenue growth rate has fluctuated in prior periods. Our future growth will depend, in part, on our ability to grow our revenue from existing clients and members, to acquire potential future clients and members and to expand our client, member and pr</w:t>
      </w:r>
      <w:r>
        <w:rPr>
          <w:sz w:val="20"/>
          <w:szCs w:val="20"/>
        </w:rPr>
        <w:t>ovider bases. We can provide no assurances that we will be successful in executing on these growth strategies or that, even if our key metrics would indicate future growth, we will continue to grow our revenue or to generate net income. Our ability to exec</w:t>
      </w:r>
      <w:r>
        <w:rPr>
          <w:sz w:val="20"/>
          <w:szCs w:val="20"/>
        </w:rPr>
        <w:t>ute on our existing sales pipeline, create additional sales pipelines, and expand our client and member bases depends on, among other things, the attractiveness of our services relative to those offered by our competitors, our ability to demonstrate the va</w:t>
      </w:r>
      <w:r>
        <w:rPr>
          <w:sz w:val="20"/>
          <w:szCs w:val="20"/>
        </w:rPr>
        <w:t xml:space="preserve">lue of our existing and future services, and our ability to attract and retain a sufficient number of qualified sales and marketing leadership and support personnel. In addition, our existing clients and members may be slower to adopt our services than we </w:t>
      </w:r>
      <w:r>
        <w:rPr>
          <w:sz w:val="20"/>
          <w:szCs w:val="20"/>
        </w:rPr>
        <w:t>currently anticipate, which could adversely affect our results of operations and growth prospects</w:t>
      </w:r>
      <w:r>
        <w:rPr>
          <w:sz w:val="20"/>
          <w:szCs w:val="20"/>
        </w:rPr>
        <w:t>.</w:t>
      </w:r>
    </w:p>
    <w:p w14:paraId="5423357E" w14:textId="77777777" w:rsidR="00000000" w:rsidRDefault="00EF48A2">
      <w:pPr>
        <w:pStyle w:val="a3"/>
        <w:spacing w:before="240" w:beforeAutospacing="0" w:after="0" w:afterAutospacing="0"/>
        <w:jc w:val="both"/>
        <w:rPr>
          <w:sz w:val="20"/>
          <w:szCs w:val="20"/>
        </w:rPr>
      </w:pPr>
      <w:r>
        <w:rPr>
          <w:b/>
          <w:bCs/>
          <w:i/>
          <w:iCs/>
          <w:sz w:val="20"/>
          <w:szCs w:val="20"/>
        </w:rPr>
        <w:t>We may experience difficulties in managing our growth and expanding our operations</w:t>
      </w:r>
      <w:r>
        <w:rPr>
          <w:b/>
          <w:bCs/>
          <w:i/>
          <w:iCs/>
          <w:sz w:val="20"/>
          <w:szCs w:val="20"/>
        </w:rPr>
        <w:t>.</w:t>
      </w:r>
      <w:r>
        <w:rPr>
          <w:b/>
          <w:bCs/>
          <w:i/>
          <w:iCs/>
          <w:sz w:val="20"/>
          <w:szCs w:val="20"/>
        </w:rPr>
        <w:t xml:space="preserve"> </w:t>
      </w:r>
    </w:p>
    <w:p w14:paraId="65C80766" w14:textId="77777777" w:rsidR="00000000" w:rsidRDefault="00EF48A2">
      <w:pPr>
        <w:pStyle w:val="a3"/>
        <w:spacing w:before="180" w:beforeAutospacing="0" w:after="0" w:afterAutospacing="0"/>
        <w:jc w:val="both"/>
        <w:rPr>
          <w:sz w:val="20"/>
          <w:szCs w:val="20"/>
        </w:rPr>
      </w:pPr>
      <w:r>
        <w:rPr>
          <w:sz w:val="20"/>
          <w:szCs w:val="20"/>
        </w:rPr>
        <w:t>We expect to experience significant growth in the scope of our operations. Our ability to manage our operations and future growth will require us to continue to improve our operational, financial and management controls, compliance programs and reporting s</w:t>
      </w:r>
      <w:r>
        <w:rPr>
          <w:sz w:val="20"/>
          <w:szCs w:val="20"/>
        </w:rPr>
        <w:t>ystems. We may not be able to implement improvements in an efficient or timely manner and may discover deficiencies in existing controls, programs, systems and procedures, which could have an adverse effect on our business, reputation and financial results</w:t>
      </w:r>
      <w:r>
        <w:rPr>
          <w:sz w:val="20"/>
          <w:szCs w:val="20"/>
        </w:rPr>
        <w:t>. Additionally, rapid growth in our business may place a strain on our human and capital resources</w:t>
      </w:r>
      <w:r>
        <w:rPr>
          <w:sz w:val="20"/>
          <w:szCs w:val="20"/>
        </w:rPr>
        <w:t>.</w:t>
      </w:r>
    </w:p>
    <w:p w14:paraId="45D0D216" w14:textId="77777777" w:rsidR="00000000" w:rsidRDefault="00EF48A2">
      <w:pPr>
        <w:pStyle w:val="a3"/>
        <w:spacing w:before="240" w:beforeAutospacing="0" w:after="0" w:afterAutospacing="0"/>
        <w:jc w:val="both"/>
        <w:rPr>
          <w:sz w:val="20"/>
          <w:szCs w:val="20"/>
        </w:rPr>
      </w:pPr>
      <w:r>
        <w:rPr>
          <w:b/>
          <w:bCs/>
          <w:sz w:val="20"/>
          <w:szCs w:val="20"/>
        </w:rPr>
        <w:t>RISKS RELATED TO OUR BUSINESS AND INDUSTR</w:t>
      </w:r>
      <w:r>
        <w:rPr>
          <w:b/>
          <w:bCs/>
          <w:sz w:val="20"/>
          <w:szCs w:val="20"/>
        </w:rPr>
        <w:t>Y</w:t>
      </w:r>
      <w:r>
        <w:rPr>
          <w:b/>
          <w:bCs/>
          <w:sz w:val="20"/>
          <w:szCs w:val="20"/>
        </w:rPr>
        <w:t xml:space="preserve"> </w:t>
      </w:r>
    </w:p>
    <w:p w14:paraId="77185D65" w14:textId="77777777" w:rsidR="00000000" w:rsidRDefault="00EF48A2">
      <w:pPr>
        <w:pStyle w:val="a3"/>
        <w:spacing w:before="240" w:beforeAutospacing="0" w:after="0" w:afterAutospacing="0"/>
        <w:jc w:val="both"/>
        <w:rPr>
          <w:sz w:val="20"/>
          <w:szCs w:val="20"/>
        </w:rPr>
      </w:pPr>
      <w:r>
        <w:rPr>
          <w:b/>
          <w:bCs/>
          <w:i/>
          <w:iCs/>
          <w:sz w:val="20"/>
          <w:szCs w:val="20"/>
        </w:rPr>
        <w:t>Rapid technological change in our industry presents us with significant risks and challenges</w:t>
      </w:r>
      <w:r>
        <w:rPr>
          <w:b/>
          <w:bCs/>
          <w:i/>
          <w:iCs/>
          <w:sz w:val="20"/>
          <w:szCs w:val="20"/>
        </w:rPr>
        <w:t>.</w:t>
      </w:r>
      <w:r>
        <w:rPr>
          <w:b/>
          <w:bCs/>
          <w:i/>
          <w:iCs/>
          <w:sz w:val="20"/>
          <w:szCs w:val="20"/>
        </w:rPr>
        <w:t xml:space="preserve"> </w:t>
      </w:r>
    </w:p>
    <w:p w14:paraId="7CC3EFDD" w14:textId="77777777" w:rsidR="00000000" w:rsidRDefault="00EF48A2">
      <w:pPr>
        <w:pStyle w:val="a3"/>
        <w:spacing w:before="180" w:beforeAutospacing="0" w:after="0" w:afterAutospacing="0"/>
        <w:jc w:val="both"/>
        <w:rPr>
          <w:sz w:val="20"/>
          <w:szCs w:val="20"/>
        </w:rPr>
      </w:pPr>
      <w:r>
        <w:rPr>
          <w:sz w:val="20"/>
          <w:szCs w:val="20"/>
        </w:rPr>
        <w:t>The virtual behav</w:t>
      </w:r>
      <w:r>
        <w:rPr>
          <w:sz w:val="20"/>
          <w:szCs w:val="20"/>
        </w:rPr>
        <w:t>ioral health market is characterized by rapid technological change, changing consumer requirements, short product lifecycles and evolving industry standards. Our success will depend on our ability to enhance our solution with next-generation technologies a</w:t>
      </w:r>
      <w:r>
        <w:rPr>
          <w:sz w:val="20"/>
          <w:szCs w:val="20"/>
        </w:rPr>
        <w:t>nd to develop or to acquire and market new services to access new client and member populations. There is no guarantee that we will possess the resources, either financial or personnel, for the research, design and development of new applications or servic</w:t>
      </w:r>
      <w:r>
        <w:rPr>
          <w:sz w:val="20"/>
          <w:szCs w:val="20"/>
        </w:rPr>
        <w:t>es, or that we will be able to utilize these resources successfully and avoid technological or market obsolescence. Further, there can be no assurance that technological advances by one or more of our competitors or future competitors will not result in ou</w:t>
      </w:r>
      <w:r>
        <w:rPr>
          <w:sz w:val="20"/>
          <w:szCs w:val="20"/>
        </w:rPr>
        <w:t>r present or future software-based products and services becoming uncompetitive or obsolete</w:t>
      </w:r>
      <w:r>
        <w:rPr>
          <w:sz w:val="20"/>
          <w:szCs w:val="20"/>
        </w:rPr>
        <w:t>.</w:t>
      </w:r>
      <w:r>
        <w:rPr>
          <w:sz w:val="20"/>
          <w:szCs w:val="20"/>
        </w:rPr>
        <w:t xml:space="preserve"> </w:t>
      </w:r>
    </w:p>
    <w:p w14:paraId="03D5DB03" w14:textId="77777777" w:rsidR="00000000" w:rsidRDefault="00EF48A2">
      <w:pPr>
        <w:pStyle w:val="a3"/>
        <w:spacing w:before="240" w:beforeAutospacing="0" w:after="0" w:afterAutospacing="0"/>
        <w:jc w:val="both"/>
        <w:rPr>
          <w:sz w:val="20"/>
          <w:szCs w:val="20"/>
        </w:rPr>
      </w:pPr>
      <w:r>
        <w:rPr>
          <w:b/>
          <w:bCs/>
          <w:i/>
          <w:iCs/>
          <w:sz w:val="20"/>
          <w:szCs w:val="20"/>
        </w:rPr>
        <w:t>We operate in a competitive industry, and if we are not able to compete effectively, our business, financial condition and results of operations will be harmed</w:t>
      </w:r>
      <w:r>
        <w:rPr>
          <w:b/>
          <w:bCs/>
          <w:i/>
          <w:iCs/>
          <w:sz w:val="20"/>
          <w:szCs w:val="20"/>
        </w:rPr>
        <w:t>.</w:t>
      </w:r>
      <w:r>
        <w:rPr>
          <w:b/>
          <w:bCs/>
          <w:i/>
          <w:iCs/>
          <w:sz w:val="20"/>
          <w:szCs w:val="20"/>
        </w:rPr>
        <w:t xml:space="preserve"> </w:t>
      </w:r>
    </w:p>
    <w:p w14:paraId="3E3FC0F5" w14:textId="77777777" w:rsidR="00000000" w:rsidRDefault="00EF48A2">
      <w:pPr>
        <w:pStyle w:val="a3"/>
        <w:spacing w:before="180" w:beforeAutospacing="0" w:after="0" w:afterAutospacing="0"/>
        <w:jc w:val="both"/>
        <w:rPr>
          <w:sz w:val="20"/>
          <w:szCs w:val="20"/>
        </w:rPr>
      </w:pPr>
      <w:r>
        <w:rPr>
          <w:sz w:val="20"/>
          <w:szCs w:val="20"/>
        </w:rPr>
        <w:t>While the virtual behavioral health market is in an early stage of development, it is competitive and we expect it to attract increased competition, which could make it difficult for us to succeed. We currently face competition from a range of companies, i</w:t>
      </w:r>
      <w:r>
        <w:rPr>
          <w:sz w:val="20"/>
          <w:szCs w:val="20"/>
        </w:rPr>
        <w:t>ncluding specialized software and solution providers that offer similar solutions and that are continuing to develop additional products and becoming more sophisticated and effective. These competitors include American Well Corporation, Teladoc, Included H</w:t>
      </w:r>
      <w:r>
        <w:rPr>
          <w:sz w:val="20"/>
          <w:szCs w:val="20"/>
        </w:rPr>
        <w:t xml:space="preserve">ealth, MDLive, BetterHelp, Lyra Health and Headspace. In addition, large, well-financed health systems and health plans have in some cases developed their own telehealth and teletherapy tools and may provide these solutions to their consumer at discounted </w:t>
      </w:r>
      <w:r>
        <w:rPr>
          <w:sz w:val="20"/>
          <w:szCs w:val="20"/>
        </w:rPr>
        <w:t>prices. Competition may also increase from large technology companies, such as Apple, Amazon, Meta, Google, Verizon, or Microsoft, who may wish to develop their own virtual behavioral health solutions, as well as from large retailers like Amazon or Walmart</w:t>
      </w:r>
      <w:r>
        <w:rPr>
          <w:sz w:val="20"/>
          <w:szCs w:val="20"/>
        </w:rPr>
        <w:t>. The surge in interest in virtual behavioral healthcare, including as a result of the COVID-19 pandemic, and in particular the relaxation of HIPAA privacy and security requirements, has also attracted new competition from providers who utilize consumer-gr</w:t>
      </w:r>
      <w:r>
        <w:rPr>
          <w:sz w:val="20"/>
          <w:szCs w:val="20"/>
        </w:rPr>
        <w:t>ade video conferencing platforms such as Zoom and Twilio. Competition from large software companies or other specialized solution providers, health systems and health plans, communication tools and other parties could result in continued pricing pressures,</w:t>
      </w:r>
      <w:r>
        <w:rPr>
          <w:sz w:val="20"/>
          <w:szCs w:val="20"/>
        </w:rPr>
        <w:t xml:space="preserve"> which is likely to lead to price declines in certain product segments, which could negatively impact our sales, profitability and market share</w:t>
      </w:r>
      <w:r>
        <w:rPr>
          <w:sz w:val="20"/>
          <w:szCs w:val="20"/>
        </w:rPr>
        <w:t>.</w:t>
      </w:r>
      <w:r>
        <w:rPr>
          <w:sz w:val="20"/>
          <w:szCs w:val="20"/>
        </w:rPr>
        <w:t xml:space="preserve"> </w:t>
      </w:r>
    </w:p>
    <w:p w14:paraId="2EDA39B1"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6</w:t>
      </w:r>
    </w:p>
    <w:p w14:paraId="04E4081B" w14:textId="77777777" w:rsidR="00000000" w:rsidRDefault="00EF48A2">
      <w:pPr>
        <w:rPr>
          <w:rFonts w:eastAsia="Times New Roman"/>
        </w:rPr>
      </w:pPr>
      <w:r>
        <w:rPr>
          <w:rFonts w:eastAsia="Times New Roman"/>
        </w:rPr>
        <w:pict w14:anchorId="2EAD7D75">
          <v:rect id="_x0000_i1043" style="width:0;height:1.5pt" o:hralign="center" o:hrstd="t" o:hr="t" fillcolor="#a0a0a0" stroked="f"/>
        </w:pict>
      </w:r>
    </w:p>
    <w:p w14:paraId="3B17AE41"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684C12B" w14:textId="77777777" w:rsidR="00000000" w:rsidRDefault="00EF48A2">
      <w:pPr>
        <w:pStyle w:val="a3"/>
        <w:spacing w:before="180" w:beforeAutospacing="0" w:after="0" w:afterAutospacing="0"/>
        <w:jc w:val="both"/>
        <w:rPr>
          <w:sz w:val="20"/>
          <w:szCs w:val="20"/>
        </w:rPr>
      </w:pPr>
      <w:r>
        <w:rPr>
          <w:sz w:val="20"/>
          <w:szCs w:val="20"/>
        </w:rPr>
        <w:t>Some of our competito</w:t>
      </w:r>
      <w:r>
        <w:rPr>
          <w:sz w:val="20"/>
          <w:szCs w:val="20"/>
        </w:rPr>
        <w:t>rs may have greater name recognition, longer operating histories and significantly greater resources than we do. Further, our current or potential competitors may be acquired by third parties with greater available resources. As a result, our competitors m</w:t>
      </w:r>
      <w:r>
        <w:rPr>
          <w:sz w:val="20"/>
          <w:szCs w:val="20"/>
        </w:rPr>
        <w:t>ay be able to respond more quickly and effectively than we can to new or changing opportunities, technologies, standards or consumer requirements and may have the ability to initiate or withstand substantial price competition. In addition, current and pote</w:t>
      </w:r>
      <w:r>
        <w:rPr>
          <w:sz w:val="20"/>
          <w:szCs w:val="20"/>
        </w:rPr>
        <w:t>ntial competitors have established, and may in the future establish, cooperative relationships with vendors of complementary products, technologies or services to increase the availability of their solutions in the marketplace. Accordingly, new competitors</w:t>
      </w:r>
      <w:r>
        <w:rPr>
          <w:sz w:val="20"/>
          <w:szCs w:val="20"/>
        </w:rPr>
        <w:t xml:space="preserve"> or alliances may emerge that have greater market share, a larger consumer base, more widely adopted proprietary technologies, greater marketing expertise, greater financial resources and larger sales forces than we have, which could put us at a competitiv</w:t>
      </w:r>
      <w:r>
        <w:rPr>
          <w:sz w:val="20"/>
          <w:szCs w:val="20"/>
        </w:rPr>
        <w:t>e disadvantage</w:t>
      </w:r>
      <w:r>
        <w:rPr>
          <w:sz w:val="20"/>
          <w:szCs w:val="20"/>
        </w:rPr>
        <w:t>.</w:t>
      </w:r>
      <w:r>
        <w:rPr>
          <w:sz w:val="20"/>
          <w:szCs w:val="20"/>
        </w:rPr>
        <w:t xml:space="preserve"> </w:t>
      </w:r>
    </w:p>
    <w:p w14:paraId="7DF34205" w14:textId="77777777" w:rsidR="00000000" w:rsidRDefault="00EF48A2">
      <w:pPr>
        <w:pStyle w:val="a3"/>
        <w:spacing w:before="180" w:beforeAutospacing="0" w:after="0" w:afterAutospacing="0"/>
        <w:jc w:val="both"/>
        <w:rPr>
          <w:sz w:val="20"/>
          <w:szCs w:val="20"/>
        </w:rPr>
      </w:pPr>
      <w:r>
        <w:rPr>
          <w:sz w:val="20"/>
          <w:szCs w:val="20"/>
        </w:rPr>
        <w:t>Many healthcare provider organizations are consolidating to create integrated healthcare delivery systems with greater market power. As provider networks and managed care organizations consolidate, thus decreasing the number of market part</w:t>
      </w:r>
      <w:r>
        <w:rPr>
          <w:sz w:val="20"/>
          <w:szCs w:val="20"/>
        </w:rPr>
        <w:t>icipants, competition to provide products and services like ours could become more intense, and the importance of establishing and maintaining relationships with key industry participants could increase. These industry participants may try to use their mar</w:t>
      </w:r>
      <w:r>
        <w:rPr>
          <w:sz w:val="20"/>
          <w:szCs w:val="20"/>
        </w:rPr>
        <w:t>ket power to negotiate price reductions for our products and services. In light of these factors, even if our solution is more effective than those of our competitors, current or potential clients and members may accept competitive solutions in lieu of pur</w:t>
      </w:r>
      <w:r>
        <w:rPr>
          <w:sz w:val="20"/>
          <w:szCs w:val="20"/>
        </w:rPr>
        <w:t>chasing our solution. If we are unable to successfully compete in the virtual behavioral health market, our business, financial condition and results of operations could be materially adversely affected</w:t>
      </w:r>
      <w:r>
        <w:rPr>
          <w:sz w:val="20"/>
          <w:szCs w:val="20"/>
        </w:rPr>
        <w:t>.</w:t>
      </w:r>
      <w:r>
        <w:rPr>
          <w:sz w:val="20"/>
          <w:szCs w:val="20"/>
        </w:rPr>
        <w:t xml:space="preserve"> </w:t>
      </w:r>
    </w:p>
    <w:p w14:paraId="7838AAE1" w14:textId="77777777" w:rsidR="00000000" w:rsidRDefault="00EF48A2">
      <w:pPr>
        <w:pStyle w:val="a3"/>
        <w:spacing w:before="240" w:beforeAutospacing="0" w:after="0" w:afterAutospacing="0"/>
        <w:jc w:val="both"/>
        <w:rPr>
          <w:sz w:val="20"/>
          <w:szCs w:val="20"/>
        </w:rPr>
      </w:pPr>
      <w:r>
        <w:rPr>
          <w:b/>
          <w:bCs/>
          <w:i/>
          <w:iCs/>
          <w:sz w:val="20"/>
          <w:szCs w:val="20"/>
        </w:rPr>
        <w:t>If growth in the number of clients and members on o</w:t>
      </w:r>
      <w:r>
        <w:rPr>
          <w:b/>
          <w:bCs/>
          <w:i/>
          <w:iCs/>
          <w:sz w:val="20"/>
          <w:szCs w:val="20"/>
        </w:rPr>
        <w:t>ur platform decreases, or the number of products or services that we are able to sell to our clients and members decreases, due to legal, economic or business developments, our business, financial condition and results of operations will be harmed</w:t>
      </w:r>
      <w:r>
        <w:rPr>
          <w:b/>
          <w:bCs/>
          <w:i/>
          <w:iCs/>
          <w:sz w:val="20"/>
          <w:szCs w:val="20"/>
        </w:rPr>
        <w:t>.</w:t>
      </w:r>
      <w:r>
        <w:rPr>
          <w:b/>
          <w:bCs/>
          <w:i/>
          <w:iCs/>
          <w:sz w:val="20"/>
          <w:szCs w:val="20"/>
        </w:rPr>
        <w:t xml:space="preserve"> </w:t>
      </w:r>
    </w:p>
    <w:p w14:paraId="31007DB0" w14:textId="77777777" w:rsidR="00000000" w:rsidRDefault="00EF48A2">
      <w:pPr>
        <w:pStyle w:val="a3"/>
        <w:spacing w:before="180" w:beforeAutospacing="0" w:after="0" w:afterAutospacing="0"/>
        <w:jc w:val="both"/>
        <w:rPr>
          <w:sz w:val="20"/>
          <w:szCs w:val="20"/>
        </w:rPr>
      </w:pPr>
      <w:r>
        <w:rPr>
          <w:sz w:val="20"/>
          <w:szCs w:val="20"/>
        </w:rPr>
        <w:t>We cur</w:t>
      </w:r>
      <w:r>
        <w:rPr>
          <w:sz w:val="20"/>
          <w:szCs w:val="20"/>
        </w:rPr>
        <w:t>rently generate most of our revenues from our health plan and enterprise clients which contracts are one to three years in length. We also generate revenues from members who purchase subscription access to our platform. These subscriptions generally have s</w:t>
      </w:r>
      <w:r>
        <w:rPr>
          <w:sz w:val="20"/>
          <w:szCs w:val="20"/>
        </w:rPr>
        <w:t>tated initial terms of one-to-six months and members may cancel their subscription at any time and will receive a pro-rata refund for the subscription price. Most of our clients and members have no obligation to renew their subscriptions for our services a</w:t>
      </w:r>
      <w:r>
        <w:rPr>
          <w:sz w:val="20"/>
          <w:szCs w:val="20"/>
        </w:rPr>
        <w:t>fter the initial term expires. In addition, our clients may negotiate terms less advantageous to us upon renewal, which may reduce our revenue from these clients. Additionally, as we grow our client and member bases, we will need to maintain and grow our n</w:t>
      </w:r>
      <w:r>
        <w:rPr>
          <w:sz w:val="20"/>
          <w:szCs w:val="20"/>
        </w:rPr>
        <w:t xml:space="preserve">etwork of providers. Certain of our providers are permitted to provide services on other platforms, and therefore, our success will be dependent on our ability to retain and recruit highly trained and licensed therapists, psychiatrists and other providers </w:t>
      </w:r>
      <w:r>
        <w:rPr>
          <w:sz w:val="20"/>
          <w:szCs w:val="20"/>
        </w:rPr>
        <w:t>to our platform. Additionally, our future results of operations depend, in part, on our ability to expand our services and offerings, including broadening our continuum of care. If our clients and members fail to renew their contracts, renew their contract</w:t>
      </w:r>
      <w:r>
        <w:rPr>
          <w:sz w:val="20"/>
          <w:szCs w:val="20"/>
        </w:rPr>
        <w:t>s upon less favorable terms or at lower fee levels or fail to purchase new products and services from us, our revenue may decline or our future revenue growth may be constrained</w:t>
      </w:r>
      <w:r>
        <w:rPr>
          <w:sz w:val="20"/>
          <w:szCs w:val="20"/>
        </w:rPr>
        <w:t>.</w:t>
      </w:r>
      <w:r>
        <w:rPr>
          <w:sz w:val="20"/>
          <w:szCs w:val="20"/>
        </w:rPr>
        <w:t xml:space="preserve"> </w:t>
      </w:r>
    </w:p>
    <w:p w14:paraId="7AE29DD4" w14:textId="77777777" w:rsidR="00000000" w:rsidRDefault="00EF48A2">
      <w:pPr>
        <w:pStyle w:val="a3"/>
        <w:spacing w:before="180" w:beforeAutospacing="0" w:after="0" w:afterAutospacing="0"/>
        <w:jc w:val="both"/>
        <w:rPr>
          <w:sz w:val="20"/>
          <w:szCs w:val="20"/>
        </w:rPr>
      </w:pPr>
      <w:r>
        <w:rPr>
          <w:sz w:val="20"/>
          <w:szCs w:val="20"/>
        </w:rPr>
        <w:t>Additional factors that could affect our ability to sell products and servic</w:t>
      </w:r>
      <w:r>
        <w:rPr>
          <w:sz w:val="20"/>
          <w:szCs w:val="20"/>
        </w:rPr>
        <w:t>es include, but are not limited to</w:t>
      </w:r>
      <w:r>
        <w:rPr>
          <w:sz w:val="20"/>
          <w:szCs w:val="20"/>
        </w:rPr>
        <w:t>:</w:t>
      </w:r>
      <w:r>
        <w:rPr>
          <w:sz w:val="20"/>
          <w:szCs w:val="20"/>
        </w:rPr>
        <w:t xml:space="preserve"> </w:t>
      </w:r>
    </w:p>
    <w:p w14:paraId="62CDC680" w14:textId="77777777" w:rsidR="00000000" w:rsidRDefault="00EF48A2">
      <w:pPr>
        <w:spacing w:before="120"/>
        <w:ind w:left="3"/>
        <w:jc w:val="both"/>
        <w:divId w:val="396321753"/>
        <w:rPr>
          <w:rFonts w:eastAsia="Times New Roman"/>
        </w:rPr>
      </w:pPr>
      <w:r>
        <w:rPr>
          <w:rFonts w:eastAsia="Times New Roman"/>
          <w:sz w:val="20"/>
          <w:szCs w:val="20"/>
        </w:rPr>
        <w:t>●</w:t>
      </w:r>
    </w:p>
    <w:p w14:paraId="0B44F957" w14:textId="77777777" w:rsidR="00000000" w:rsidRDefault="00EF48A2">
      <w:pPr>
        <w:jc w:val="both"/>
        <w:divId w:val="1011252804"/>
        <w:rPr>
          <w:rFonts w:eastAsia="Times New Roman"/>
        </w:rPr>
      </w:pPr>
      <w:r>
        <w:rPr>
          <w:rFonts w:eastAsia="Times New Roman"/>
          <w:sz w:val="20"/>
          <w:szCs w:val="20"/>
        </w:rPr>
        <w:t>price, performance and functionality of our solution;</w:t>
      </w:r>
      <w:r>
        <w:rPr>
          <w:rFonts w:eastAsia="Times New Roman"/>
          <w:sz w:val="20"/>
          <w:szCs w:val="20"/>
        </w:rPr>
        <w:t xml:space="preserve"> </w:t>
      </w:r>
    </w:p>
    <w:p w14:paraId="701E341A" w14:textId="77777777" w:rsidR="00000000" w:rsidRDefault="00EF48A2">
      <w:pPr>
        <w:spacing w:before="120"/>
        <w:ind w:left="3"/>
        <w:jc w:val="both"/>
        <w:divId w:val="1256591005"/>
        <w:rPr>
          <w:rFonts w:eastAsia="Times New Roman"/>
        </w:rPr>
      </w:pPr>
      <w:r>
        <w:rPr>
          <w:rFonts w:eastAsia="Times New Roman"/>
          <w:sz w:val="20"/>
          <w:szCs w:val="20"/>
        </w:rPr>
        <w:t>●</w:t>
      </w:r>
    </w:p>
    <w:p w14:paraId="51C1BDCF" w14:textId="77777777" w:rsidR="00000000" w:rsidRDefault="00EF48A2">
      <w:pPr>
        <w:jc w:val="both"/>
        <w:divId w:val="864517214"/>
        <w:rPr>
          <w:rFonts w:eastAsia="Times New Roman"/>
        </w:rPr>
      </w:pPr>
      <w:r>
        <w:rPr>
          <w:rFonts w:eastAsia="Times New Roman"/>
          <w:sz w:val="20"/>
          <w:szCs w:val="20"/>
        </w:rPr>
        <w:t>availability, price, performance and functionality of competing solutions;</w:t>
      </w:r>
      <w:r>
        <w:rPr>
          <w:rFonts w:eastAsia="Times New Roman"/>
          <w:sz w:val="20"/>
          <w:szCs w:val="20"/>
        </w:rPr>
        <w:t xml:space="preserve"> </w:t>
      </w:r>
    </w:p>
    <w:p w14:paraId="109B8B7D" w14:textId="77777777" w:rsidR="00000000" w:rsidRDefault="00EF48A2">
      <w:pPr>
        <w:spacing w:before="120"/>
        <w:ind w:left="3"/>
        <w:jc w:val="both"/>
        <w:divId w:val="1539514406"/>
        <w:rPr>
          <w:rFonts w:eastAsia="Times New Roman"/>
        </w:rPr>
      </w:pPr>
      <w:r>
        <w:rPr>
          <w:rFonts w:eastAsia="Times New Roman"/>
          <w:sz w:val="20"/>
          <w:szCs w:val="20"/>
        </w:rPr>
        <w:t>●</w:t>
      </w:r>
    </w:p>
    <w:p w14:paraId="3A42F35B" w14:textId="77777777" w:rsidR="00000000" w:rsidRDefault="00EF48A2">
      <w:pPr>
        <w:jc w:val="both"/>
        <w:divId w:val="942693221"/>
        <w:rPr>
          <w:rFonts w:eastAsia="Times New Roman"/>
        </w:rPr>
      </w:pPr>
      <w:r>
        <w:rPr>
          <w:rFonts w:eastAsia="Times New Roman"/>
          <w:sz w:val="20"/>
          <w:szCs w:val="20"/>
        </w:rPr>
        <w:t>our ability to develop and sell complementary products and services;</w:t>
      </w:r>
      <w:r>
        <w:rPr>
          <w:rFonts w:eastAsia="Times New Roman"/>
          <w:sz w:val="20"/>
          <w:szCs w:val="20"/>
        </w:rPr>
        <w:t xml:space="preserve"> </w:t>
      </w:r>
    </w:p>
    <w:p w14:paraId="357EC5B2" w14:textId="77777777" w:rsidR="00000000" w:rsidRDefault="00EF48A2">
      <w:pPr>
        <w:spacing w:before="120"/>
        <w:ind w:left="3"/>
        <w:jc w:val="both"/>
        <w:divId w:val="1253856112"/>
        <w:rPr>
          <w:rFonts w:eastAsia="Times New Roman"/>
        </w:rPr>
      </w:pPr>
      <w:r>
        <w:rPr>
          <w:rFonts w:eastAsia="Times New Roman"/>
          <w:sz w:val="20"/>
          <w:szCs w:val="20"/>
        </w:rPr>
        <w:t>●</w:t>
      </w:r>
    </w:p>
    <w:p w14:paraId="5B731D1F" w14:textId="77777777" w:rsidR="00000000" w:rsidRDefault="00EF48A2">
      <w:pPr>
        <w:jc w:val="both"/>
        <w:divId w:val="1362853392"/>
        <w:rPr>
          <w:rFonts w:eastAsia="Times New Roman"/>
        </w:rPr>
      </w:pPr>
      <w:r>
        <w:rPr>
          <w:rFonts w:eastAsia="Times New Roman"/>
          <w:sz w:val="20"/>
          <w:szCs w:val="20"/>
        </w:rPr>
        <w:t>stability,</w:t>
      </w:r>
      <w:r>
        <w:rPr>
          <w:rFonts w:eastAsia="Times New Roman"/>
          <w:sz w:val="20"/>
          <w:szCs w:val="20"/>
        </w:rPr>
        <w:t xml:space="preserve"> performance and security of our hosting infrastructure and hosting services; and</w:t>
      </w:r>
      <w:r>
        <w:rPr>
          <w:rFonts w:eastAsia="Times New Roman"/>
          <w:sz w:val="20"/>
          <w:szCs w:val="20"/>
        </w:rPr>
        <w:t xml:space="preserve"> </w:t>
      </w:r>
    </w:p>
    <w:p w14:paraId="6A3117D5" w14:textId="77777777" w:rsidR="00000000" w:rsidRDefault="00EF48A2">
      <w:pPr>
        <w:spacing w:before="120"/>
        <w:ind w:left="3"/>
        <w:jc w:val="both"/>
        <w:divId w:val="2039961211"/>
        <w:rPr>
          <w:rFonts w:eastAsia="Times New Roman"/>
        </w:rPr>
      </w:pPr>
      <w:r>
        <w:rPr>
          <w:rFonts w:eastAsia="Times New Roman"/>
          <w:sz w:val="20"/>
          <w:szCs w:val="20"/>
        </w:rPr>
        <w:t>●</w:t>
      </w:r>
    </w:p>
    <w:p w14:paraId="786C43F5" w14:textId="77777777" w:rsidR="00000000" w:rsidRDefault="00EF48A2">
      <w:pPr>
        <w:jc w:val="both"/>
        <w:divId w:val="587421005"/>
        <w:rPr>
          <w:rFonts w:eastAsia="Times New Roman"/>
        </w:rPr>
      </w:pPr>
      <w:r>
        <w:rPr>
          <w:rFonts w:eastAsia="Times New Roman"/>
          <w:sz w:val="20"/>
          <w:szCs w:val="20"/>
        </w:rPr>
        <w:t>changes in healthcare laws, regulations or trends.</w:t>
      </w:r>
      <w:r>
        <w:rPr>
          <w:rFonts w:eastAsia="Times New Roman"/>
          <w:sz w:val="20"/>
          <w:szCs w:val="20"/>
        </w:rPr>
        <w:t xml:space="preserve"> </w:t>
      </w:r>
    </w:p>
    <w:p w14:paraId="6C77F853" w14:textId="77777777" w:rsidR="00000000" w:rsidRDefault="00EF48A2">
      <w:pPr>
        <w:pStyle w:val="a3"/>
        <w:spacing w:before="180" w:beforeAutospacing="0" w:after="0" w:afterAutospacing="0"/>
        <w:jc w:val="both"/>
        <w:rPr>
          <w:sz w:val="20"/>
          <w:szCs w:val="20"/>
        </w:rPr>
      </w:pPr>
      <w:r>
        <w:rPr>
          <w:sz w:val="20"/>
          <w:szCs w:val="20"/>
        </w:rPr>
        <w:t>Any of these consequences could lower retention and have a material adverse effect on our business, financial condition and results of operations</w:t>
      </w:r>
      <w:r>
        <w:rPr>
          <w:sz w:val="20"/>
          <w:szCs w:val="20"/>
        </w:rPr>
        <w:t>.</w:t>
      </w:r>
      <w:r>
        <w:rPr>
          <w:sz w:val="20"/>
          <w:szCs w:val="20"/>
        </w:rPr>
        <w:t xml:space="preserve"> </w:t>
      </w:r>
    </w:p>
    <w:p w14:paraId="517E7EC3" w14:textId="77777777" w:rsidR="00000000" w:rsidRDefault="00EF48A2">
      <w:pPr>
        <w:pStyle w:val="a3"/>
        <w:spacing w:before="240" w:beforeAutospacing="0" w:after="0" w:afterAutospacing="0"/>
        <w:jc w:val="both"/>
        <w:rPr>
          <w:sz w:val="20"/>
          <w:szCs w:val="20"/>
        </w:rPr>
      </w:pPr>
      <w:r>
        <w:rPr>
          <w:b/>
          <w:bCs/>
          <w:i/>
          <w:iCs/>
          <w:sz w:val="20"/>
          <w:szCs w:val="20"/>
        </w:rPr>
        <w:t>Our future growth and profitability of our business will depend in large part upon the effectiveness and eff</w:t>
      </w:r>
      <w:r>
        <w:rPr>
          <w:b/>
          <w:bCs/>
          <w:i/>
          <w:iCs/>
          <w:sz w:val="20"/>
          <w:szCs w:val="20"/>
        </w:rPr>
        <w:t>iciency of our marketing efforts, and our ability to develop brand awareness cost-effectively</w:t>
      </w:r>
      <w:r>
        <w:rPr>
          <w:b/>
          <w:bCs/>
          <w:i/>
          <w:iCs/>
          <w:sz w:val="20"/>
          <w:szCs w:val="20"/>
        </w:rPr>
        <w:t>.</w:t>
      </w:r>
      <w:r>
        <w:rPr>
          <w:b/>
          <w:bCs/>
          <w:i/>
          <w:iCs/>
          <w:sz w:val="20"/>
          <w:szCs w:val="20"/>
        </w:rPr>
        <w:t xml:space="preserve"> </w:t>
      </w:r>
    </w:p>
    <w:p w14:paraId="7CD1ED5B" w14:textId="77777777" w:rsidR="00000000" w:rsidRDefault="00EF48A2">
      <w:pPr>
        <w:pStyle w:val="a3"/>
        <w:spacing w:before="180" w:beforeAutospacing="0" w:after="0" w:afterAutospacing="0"/>
        <w:jc w:val="both"/>
        <w:rPr>
          <w:sz w:val="20"/>
          <w:szCs w:val="20"/>
        </w:rPr>
      </w:pPr>
      <w:r>
        <w:rPr>
          <w:sz w:val="20"/>
          <w:szCs w:val="20"/>
        </w:rPr>
        <w:t>We believe that developing and maintaining widespread awareness of our brand in a cost-effective manner is critical to achieving widespread adoption of our solu</w:t>
      </w:r>
      <w:r>
        <w:rPr>
          <w:sz w:val="20"/>
          <w:szCs w:val="20"/>
        </w:rPr>
        <w:t>tion and attracting new clients and members. Our brand promotion activities may not generate consumer awareness or increase revenue, and even if they do, any increase in revenue may not offset the expenses we incur in building our brand. If we fail to succ</w:t>
      </w:r>
      <w:r>
        <w:rPr>
          <w:sz w:val="20"/>
          <w:szCs w:val="20"/>
        </w:rPr>
        <w:t>essfully promote and maintain our brand, or incur substantial expenses in doing so, we may fail to attract or retain clients and members necessary to realize a sufficient return on our brand-building efforts or to achieve the widespread brand awareness tha</w:t>
      </w:r>
      <w:r>
        <w:rPr>
          <w:sz w:val="20"/>
          <w:szCs w:val="20"/>
        </w:rPr>
        <w:t>t is critical for broad adoption of our brands</w:t>
      </w:r>
      <w:r>
        <w:rPr>
          <w:sz w:val="20"/>
          <w:szCs w:val="20"/>
        </w:rPr>
        <w:t>.</w:t>
      </w:r>
      <w:r>
        <w:rPr>
          <w:sz w:val="20"/>
          <w:szCs w:val="20"/>
        </w:rPr>
        <w:t xml:space="preserve"> </w:t>
      </w:r>
    </w:p>
    <w:p w14:paraId="1C8BB931"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7</w:t>
      </w:r>
    </w:p>
    <w:p w14:paraId="374C4D77" w14:textId="77777777" w:rsidR="00000000" w:rsidRDefault="00EF48A2">
      <w:pPr>
        <w:rPr>
          <w:rFonts w:eastAsia="Times New Roman"/>
        </w:rPr>
      </w:pPr>
      <w:r>
        <w:rPr>
          <w:rFonts w:eastAsia="Times New Roman"/>
        </w:rPr>
        <w:pict w14:anchorId="50B2C460">
          <v:rect id="_x0000_i1044" style="width:0;height:1.5pt" o:hralign="center" o:hrstd="t" o:hr="t" fillcolor="#a0a0a0" stroked="f"/>
        </w:pict>
      </w:r>
    </w:p>
    <w:p w14:paraId="05449EB5"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4893C61" w14:textId="77777777" w:rsidR="00000000" w:rsidRDefault="00EF48A2">
      <w:pPr>
        <w:pStyle w:val="a3"/>
        <w:spacing w:before="240" w:beforeAutospacing="0" w:after="0" w:afterAutospacing="0"/>
        <w:jc w:val="both"/>
        <w:rPr>
          <w:sz w:val="20"/>
          <w:szCs w:val="20"/>
        </w:rPr>
      </w:pPr>
      <w:r>
        <w:rPr>
          <w:b/>
          <w:bCs/>
          <w:i/>
          <w:iCs/>
          <w:sz w:val="20"/>
          <w:szCs w:val="20"/>
        </w:rPr>
        <w:t>We may be unsuccessful in achieving broad market education and changing consumer purchasing habits</w:t>
      </w:r>
      <w:r>
        <w:rPr>
          <w:b/>
          <w:bCs/>
          <w:i/>
          <w:iCs/>
          <w:sz w:val="20"/>
          <w:szCs w:val="20"/>
        </w:rPr>
        <w:t>.</w:t>
      </w:r>
      <w:r>
        <w:rPr>
          <w:b/>
          <w:bCs/>
          <w:i/>
          <w:iCs/>
          <w:sz w:val="20"/>
          <w:szCs w:val="20"/>
        </w:rPr>
        <w:t xml:space="preserve"> </w:t>
      </w:r>
    </w:p>
    <w:p w14:paraId="0FDE18AD" w14:textId="77777777" w:rsidR="00000000" w:rsidRDefault="00EF48A2">
      <w:pPr>
        <w:pStyle w:val="a3"/>
        <w:spacing w:before="180" w:beforeAutospacing="0" w:after="0" w:afterAutospacing="0"/>
        <w:jc w:val="both"/>
        <w:rPr>
          <w:sz w:val="20"/>
          <w:szCs w:val="20"/>
        </w:rPr>
      </w:pPr>
      <w:r>
        <w:rPr>
          <w:sz w:val="20"/>
          <w:szCs w:val="20"/>
        </w:rPr>
        <w:t>Our success and future growth largely depend on our ability to increase consumer awareness of virtual behavioral therapy in general and our platform and of</w:t>
      </w:r>
      <w:r>
        <w:rPr>
          <w:sz w:val="20"/>
          <w:szCs w:val="20"/>
        </w:rPr>
        <w:t>ferings, in particular, and on the willingness of current and potential clients and members to utilize our platform to access information and behavioral health services. We believe the vast majority of consumers make purchasing decisions for behavioral hea</w:t>
      </w:r>
      <w:r>
        <w:rPr>
          <w:sz w:val="20"/>
          <w:szCs w:val="20"/>
        </w:rPr>
        <w:t>lth services on the basis of traditional factors, such as insurance coverage. This traditional decision-making process does not always account for restrictive and complex insurance plans, high deductibles, expensive co-pays and other factors, such as disco</w:t>
      </w:r>
      <w:r>
        <w:rPr>
          <w:sz w:val="20"/>
          <w:szCs w:val="20"/>
        </w:rPr>
        <w:t>unts or savings available at alternative therapists or practices. To effectively market our platform, we must educate consumers about the various purchase options and the benefits of using Talkspace for behavioral healthcare, including when such services m</w:t>
      </w:r>
      <w:r>
        <w:rPr>
          <w:sz w:val="20"/>
          <w:szCs w:val="20"/>
        </w:rPr>
        <w:t>ay not be covered by their health insurance benefits. We focus our marketing and education efforts on potential clients, members and other consumers, but also aim to educate and inform healthcare providers and other participants that interact with consumer</w:t>
      </w:r>
      <w:r>
        <w:rPr>
          <w:sz w:val="20"/>
          <w:szCs w:val="20"/>
        </w:rPr>
        <w:t>s, including at the point of purchase. However, we cannot assure you that we will be successful in changing consumer purchasing habits or that we will achieve broad market education or awareness among consumers. Even if we are able to raise awareness among</w:t>
      </w:r>
      <w:r>
        <w:rPr>
          <w:sz w:val="20"/>
          <w:szCs w:val="20"/>
        </w:rPr>
        <w:t xml:space="preserve"> consumers, they may be slow in changing their habits and may be hesitant to use our platform for a variety of reasons</w:t>
      </w:r>
      <w:r>
        <w:rPr>
          <w:sz w:val="20"/>
          <w:szCs w:val="20"/>
        </w:rPr>
        <w:t>.</w:t>
      </w:r>
    </w:p>
    <w:p w14:paraId="56656A9B" w14:textId="77777777" w:rsidR="00000000" w:rsidRDefault="00EF48A2">
      <w:pPr>
        <w:pStyle w:val="a3"/>
        <w:spacing w:before="180" w:beforeAutospacing="0" w:after="0" w:afterAutospacing="0"/>
        <w:jc w:val="both"/>
        <w:rPr>
          <w:sz w:val="20"/>
          <w:szCs w:val="20"/>
        </w:rPr>
      </w:pPr>
      <w:r>
        <w:rPr>
          <w:sz w:val="20"/>
          <w:szCs w:val="20"/>
        </w:rPr>
        <w:t>If we fail to achieve broad market education of our platform and/or the options for purchasing healthcare products and services, or if w</w:t>
      </w:r>
      <w:r>
        <w:rPr>
          <w:sz w:val="20"/>
          <w:szCs w:val="20"/>
        </w:rPr>
        <w:t>e are unsuccessful in changing consumer purchasing habits, our business, financial condition and results of operations would be adversely affected</w:t>
      </w:r>
      <w:r>
        <w:rPr>
          <w:sz w:val="20"/>
          <w:szCs w:val="20"/>
        </w:rPr>
        <w:t>.</w:t>
      </w:r>
      <w:r>
        <w:rPr>
          <w:sz w:val="20"/>
          <w:szCs w:val="20"/>
        </w:rPr>
        <w:t xml:space="preserve"> </w:t>
      </w:r>
    </w:p>
    <w:p w14:paraId="0BB79A46" w14:textId="77777777" w:rsidR="00000000" w:rsidRDefault="00EF48A2">
      <w:pPr>
        <w:pStyle w:val="a3"/>
        <w:spacing w:before="240" w:beforeAutospacing="0" w:after="0" w:afterAutospacing="0"/>
        <w:jc w:val="both"/>
        <w:rPr>
          <w:sz w:val="20"/>
          <w:szCs w:val="20"/>
        </w:rPr>
      </w:pPr>
      <w:r>
        <w:rPr>
          <w:b/>
          <w:bCs/>
          <w:i/>
          <w:iCs/>
          <w:sz w:val="20"/>
          <w:szCs w:val="20"/>
        </w:rPr>
        <w:t>Our growth depends in part on the success of our strategic relationships with third parties that we provide</w:t>
      </w:r>
      <w:r>
        <w:rPr>
          <w:b/>
          <w:bCs/>
          <w:i/>
          <w:iCs/>
          <w:sz w:val="20"/>
          <w:szCs w:val="20"/>
        </w:rPr>
        <w:t xml:space="preserve"> services to</w:t>
      </w:r>
      <w:r>
        <w:rPr>
          <w:b/>
          <w:bCs/>
          <w:i/>
          <w:iCs/>
          <w:sz w:val="20"/>
          <w:szCs w:val="20"/>
        </w:rPr>
        <w:t>.</w:t>
      </w:r>
      <w:r>
        <w:rPr>
          <w:b/>
          <w:bCs/>
          <w:i/>
          <w:iCs/>
          <w:sz w:val="20"/>
          <w:szCs w:val="20"/>
        </w:rPr>
        <w:t xml:space="preserve"> </w:t>
      </w:r>
    </w:p>
    <w:p w14:paraId="1DA61A5E" w14:textId="77777777" w:rsidR="00000000" w:rsidRDefault="00EF48A2">
      <w:pPr>
        <w:pStyle w:val="a3"/>
        <w:spacing w:before="180" w:beforeAutospacing="0" w:after="0" w:afterAutospacing="0"/>
        <w:jc w:val="both"/>
        <w:rPr>
          <w:sz w:val="20"/>
          <w:szCs w:val="20"/>
        </w:rPr>
      </w:pPr>
      <w:r>
        <w:rPr>
          <w:sz w:val="20"/>
          <w:szCs w:val="20"/>
        </w:rPr>
        <w:t>In order to grow our business, we anticipate that we will continue to depend on our existing and future relationships with third parties, such as third-party payors, including health plans and government agencies, as well as our ability to e</w:t>
      </w:r>
      <w:r>
        <w:rPr>
          <w:sz w:val="20"/>
          <w:szCs w:val="20"/>
        </w:rPr>
        <w:t xml:space="preserve">xpand our B2B business with employers and health plan clients that we provide services to. Identifying potential clients, and negotiating and documenting relationships with them, requires significant time and resources. Our competitors may be effective in </w:t>
      </w:r>
      <w:r>
        <w:rPr>
          <w:sz w:val="20"/>
          <w:szCs w:val="20"/>
        </w:rPr>
        <w:t xml:space="preserve">providing incentives to third parties to favor their products or services or to prevent or reduce subscriptions to, or utilization of, our products and services. In addition, acquisitions of our clients by our competitors could result in a decrease in the </w:t>
      </w:r>
      <w:r>
        <w:rPr>
          <w:sz w:val="20"/>
          <w:szCs w:val="20"/>
        </w:rPr>
        <w:t>number of our current and potential clients and members, as our clients may no longer facilitate the adoption of our applications by potential members. If we are unsuccessful in establishing or maintaining our relationships with third parties that we provi</w:t>
      </w:r>
      <w:r>
        <w:rPr>
          <w:sz w:val="20"/>
          <w:szCs w:val="20"/>
        </w:rPr>
        <w:t>de services to, our ability to compete in the marketplace or to grow our revenue could be impaired and our results of operations may suffer. Even if we are successful, we cannot assure you that these relationships will result in increased client use of our</w:t>
      </w:r>
      <w:r>
        <w:rPr>
          <w:sz w:val="20"/>
          <w:szCs w:val="20"/>
        </w:rPr>
        <w:t xml:space="preserve"> services or increased revenue</w:t>
      </w:r>
      <w:r>
        <w:rPr>
          <w:sz w:val="20"/>
          <w:szCs w:val="20"/>
        </w:rPr>
        <w:t>.</w:t>
      </w:r>
      <w:r>
        <w:rPr>
          <w:sz w:val="20"/>
          <w:szCs w:val="20"/>
        </w:rPr>
        <w:t xml:space="preserve"> </w:t>
      </w:r>
    </w:p>
    <w:p w14:paraId="084E3EB3" w14:textId="77777777" w:rsidR="00000000" w:rsidRDefault="00EF48A2">
      <w:pPr>
        <w:pStyle w:val="a3"/>
        <w:spacing w:before="240" w:beforeAutospacing="0" w:after="0" w:afterAutospacing="0"/>
        <w:jc w:val="both"/>
        <w:rPr>
          <w:sz w:val="20"/>
          <w:szCs w:val="20"/>
        </w:rPr>
      </w:pPr>
      <w:r>
        <w:rPr>
          <w:b/>
          <w:bCs/>
          <w:i/>
          <w:iCs/>
          <w:sz w:val="20"/>
          <w:szCs w:val="20"/>
        </w:rPr>
        <w:t>Our virtual behavioral healthcare strategies depend on our ability to maintain and expand our network of therapists, psychiatrists and other providers. If we are unable to do so, our future growth would be limited and our b</w:t>
      </w:r>
      <w:r>
        <w:rPr>
          <w:b/>
          <w:bCs/>
          <w:i/>
          <w:iCs/>
          <w:sz w:val="20"/>
          <w:szCs w:val="20"/>
        </w:rPr>
        <w:t>usiness, financial condition and results of operations would be harmed</w:t>
      </w:r>
      <w:r>
        <w:rPr>
          <w:b/>
          <w:bCs/>
          <w:i/>
          <w:iCs/>
          <w:sz w:val="20"/>
          <w:szCs w:val="20"/>
        </w:rPr>
        <w:t>.</w:t>
      </w:r>
      <w:r>
        <w:rPr>
          <w:b/>
          <w:bCs/>
          <w:i/>
          <w:iCs/>
          <w:sz w:val="20"/>
          <w:szCs w:val="20"/>
        </w:rPr>
        <w:t xml:space="preserve"> </w:t>
      </w:r>
    </w:p>
    <w:p w14:paraId="3CC8157F" w14:textId="77777777" w:rsidR="00000000" w:rsidRDefault="00EF48A2">
      <w:pPr>
        <w:pStyle w:val="a3"/>
        <w:spacing w:before="180" w:beforeAutospacing="0" w:after="0" w:afterAutospacing="0"/>
        <w:jc w:val="both"/>
        <w:rPr>
          <w:sz w:val="20"/>
          <w:szCs w:val="20"/>
        </w:rPr>
      </w:pPr>
      <w:r>
        <w:rPr>
          <w:sz w:val="20"/>
          <w:szCs w:val="20"/>
        </w:rPr>
        <w:t>Our success is dependent upon our continued ability to maintain a network of highly trained and qualified therapists, psychiatrists and other providers. If we are unable to recruit an</w:t>
      </w:r>
      <w:r>
        <w:rPr>
          <w:sz w:val="20"/>
          <w:szCs w:val="20"/>
        </w:rPr>
        <w:t>d retain licensed therapists, psychiatrists and other providers, it would have a material adverse effect on our business and ability to grow and would adversely affect our results of operations</w:t>
      </w:r>
      <w:r>
        <w:rPr>
          <w:sz w:val="20"/>
          <w:szCs w:val="20"/>
        </w:rPr>
        <w:t>.</w:t>
      </w:r>
      <w:r>
        <w:rPr>
          <w:sz w:val="20"/>
          <w:szCs w:val="20"/>
        </w:rPr>
        <w:t xml:space="preserve"> </w:t>
      </w:r>
    </w:p>
    <w:p w14:paraId="62ED7304" w14:textId="77777777" w:rsidR="00000000" w:rsidRDefault="00EF48A2">
      <w:pPr>
        <w:pStyle w:val="a3"/>
        <w:spacing w:before="180" w:beforeAutospacing="0" w:after="0" w:afterAutospacing="0"/>
        <w:jc w:val="both"/>
        <w:rPr>
          <w:sz w:val="20"/>
          <w:szCs w:val="20"/>
        </w:rPr>
      </w:pPr>
      <w:r>
        <w:rPr>
          <w:sz w:val="20"/>
          <w:szCs w:val="20"/>
        </w:rPr>
        <w:t>In any particular market, providers could demand higher paym</w:t>
      </w:r>
      <w:r>
        <w:rPr>
          <w:sz w:val="20"/>
          <w:szCs w:val="20"/>
        </w:rPr>
        <w:t>ents or take other actions that could result in higher medical costs, less attractive service for our clients or members or difficulty meeting regulatory or accreditation requirements</w:t>
      </w:r>
      <w:r>
        <w:rPr>
          <w:sz w:val="20"/>
          <w:szCs w:val="20"/>
        </w:rPr>
        <w:t>.</w:t>
      </w:r>
      <w:r>
        <w:rPr>
          <w:sz w:val="20"/>
          <w:szCs w:val="20"/>
        </w:rPr>
        <w:t xml:space="preserve"> </w:t>
      </w:r>
    </w:p>
    <w:p w14:paraId="4A623E0A" w14:textId="77777777" w:rsidR="00000000" w:rsidRDefault="00EF48A2">
      <w:pPr>
        <w:pStyle w:val="a3"/>
        <w:spacing w:before="180" w:beforeAutospacing="0" w:after="0" w:afterAutospacing="0"/>
        <w:jc w:val="both"/>
        <w:rPr>
          <w:sz w:val="20"/>
          <w:szCs w:val="20"/>
        </w:rPr>
      </w:pPr>
      <w:r>
        <w:rPr>
          <w:sz w:val="20"/>
          <w:szCs w:val="20"/>
        </w:rPr>
        <w:t>The ability to develop and maintain satisfactory relationships with pr</w:t>
      </w:r>
      <w:r>
        <w:rPr>
          <w:sz w:val="20"/>
          <w:szCs w:val="20"/>
        </w:rPr>
        <w:t>oviders also may be negatively impacted by other factors not associated with us, such as state therapist or psychiatrist licensing laws and standard of care requirements, and other pressures on healthcare providers and consolidation activity among hospital</w:t>
      </w:r>
      <w:r>
        <w:rPr>
          <w:sz w:val="20"/>
          <w:szCs w:val="20"/>
        </w:rPr>
        <w:t>s, physician groups and healthcare providers. Our failure to maintain or to secure new cost-effective provider contracts may result in a loss of or inability to grow our client and member bases, higher costs, less attractive services for our clients and me</w:t>
      </w:r>
      <w:r>
        <w:rPr>
          <w:sz w:val="20"/>
          <w:szCs w:val="20"/>
        </w:rPr>
        <w:t>mbers and/or difficulty in meeting regulatory or accreditation requirements, any of which could have a material adverse effect on our business, financial condition and results of operations</w:t>
      </w:r>
      <w:r>
        <w:rPr>
          <w:sz w:val="20"/>
          <w:szCs w:val="20"/>
        </w:rPr>
        <w:t>.</w:t>
      </w:r>
      <w:r>
        <w:rPr>
          <w:sz w:val="20"/>
          <w:szCs w:val="20"/>
        </w:rPr>
        <w:t xml:space="preserve"> </w:t>
      </w:r>
    </w:p>
    <w:p w14:paraId="35F2DA74" w14:textId="77777777" w:rsidR="00000000" w:rsidRDefault="00EF48A2">
      <w:pPr>
        <w:pStyle w:val="a3"/>
        <w:spacing w:before="240" w:beforeAutospacing="0" w:after="0" w:afterAutospacing="0"/>
        <w:jc w:val="both"/>
        <w:rPr>
          <w:sz w:val="20"/>
          <w:szCs w:val="20"/>
        </w:rPr>
      </w:pPr>
      <w:r>
        <w:rPr>
          <w:b/>
          <w:bCs/>
          <w:i/>
          <w:iCs/>
          <w:sz w:val="20"/>
          <w:szCs w:val="20"/>
        </w:rPr>
        <w:t>Developments affecting spending by the healthcare industry could</w:t>
      </w:r>
      <w:r>
        <w:rPr>
          <w:b/>
          <w:bCs/>
          <w:i/>
          <w:iCs/>
          <w:sz w:val="20"/>
          <w:szCs w:val="20"/>
        </w:rPr>
        <w:t xml:space="preserve"> adversely affect our business</w:t>
      </w:r>
      <w:r>
        <w:rPr>
          <w:b/>
          <w:bCs/>
          <w:i/>
          <w:iCs/>
          <w:sz w:val="20"/>
          <w:szCs w:val="20"/>
        </w:rPr>
        <w:t>.</w:t>
      </w:r>
      <w:r>
        <w:rPr>
          <w:b/>
          <w:bCs/>
          <w:i/>
          <w:iCs/>
          <w:sz w:val="20"/>
          <w:szCs w:val="20"/>
        </w:rPr>
        <w:t xml:space="preserve"> </w:t>
      </w:r>
    </w:p>
    <w:p w14:paraId="40B35F4B" w14:textId="77777777" w:rsidR="00000000" w:rsidRDefault="00EF48A2">
      <w:pPr>
        <w:pStyle w:val="a3"/>
        <w:spacing w:before="180" w:beforeAutospacing="0" w:after="0" w:afterAutospacing="0"/>
        <w:jc w:val="both"/>
        <w:rPr>
          <w:sz w:val="20"/>
          <w:szCs w:val="20"/>
        </w:rPr>
      </w:pPr>
      <w:r>
        <w:rPr>
          <w:sz w:val="20"/>
          <w:szCs w:val="20"/>
        </w:rPr>
        <w:t>The U.S. healthcare industry has changed significantly in recent years, and we expect that significant changes will continue to occur. General reductions in expenditures by healthcare industry participants could result from</w:t>
      </w:r>
      <w:r>
        <w:rPr>
          <w:sz w:val="20"/>
          <w:szCs w:val="20"/>
        </w:rPr>
        <w:t>, among other things</w:t>
      </w:r>
      <w:r>
        <w:rPr>
          <w:sz w:val="20"/>
          <w:szCs w:val="20"/>
        </w:rPr>
        <w:t>:</w:t>
      </w:r>
      <w:r>
        <w:rPr>
          <w:sz w:val="20"/>
          <w:szCs w:val="20"/>
        </w:rPr>
        <w:t xml:space="preserve"> </w:t>
      </w:r>
    </w:p>
    <w:p w14:paraId="3C5BA134" w14:textId="77777777" w:rsidR="00000000" w:rsidRDefault="00EF48A2">
      <w:pPr>
        <w:spacing w:before="120"/>
        <w:ind w:left="3"/>
        <w:jc w:val="both"/>
        <w:divId w:val="1096906161"/>
        <w:rPr>
          <w:rFonts w:eastAsia="Times New Roman"/>
        </w:rPr>
      </w:pPr>
      <w:r>
        <w:rPr>
          <w:rFonts w:eastAsia="Times New Roman"/>
          <w:sz w:val="20"/>
          <w:szCs w:val="20"/>
        </w:rPr>
        <w:t>●</w:t>
      </w:r>
    </w:p>
    <w:p w14:paraId="22442361" w14:textId="77777777" w:rsidR="00000000" w:rsidRDefault="00EF48A2">
      <w:pPr>
        <w:jc w:val="both"/>
        <w:divId w:val="1615596319"/>
        <w:rPr>
          <w:rFonts w:eastAsia="Times New Roman"/>
        </w:rPr>
      </w:pPr>
      <w:r>
        <w:rPr>
          <w:rFonts w:eastAsia="Times New Roman"/>
          <w:sz w:val="20"/>
          <w:szCs w:val="20"/>
        </w:rPr>
        <w:t>government regulations or private initiatives that affect the manner in which healthcare providers interact with patients, payors or other healthcare industry participants, including changes in pricing or means of delivery of healt</w:t>
      </w:r>
      <w:r>
        <w:rPr>
          <w:rFonts w:eastAsia="Times New Roman"/>
          <w:sz w:val="20"/>
          <w:szCs w:val="20"/>
        </w:rPr>
        <w:t>hcare products and services;</w:t>
      </w:r>
      <w:r>
        <w:rPr>
          <w:rFonts w:eastAsia="Times New Roman"/>
          <w:sz w:val="20"/>
          <w:szCs w:val="20"/>
        </w:rPr>
        <w:t xml:space="preserve"> </w:t>
      </w:r>
    </w:p>
    <w:p w14:paraId="2B0E11C3"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8</w:t>
      </w:r>
    </w:p>
    <w:p w14:paraId="55CC314B" w14:textId="77777777" w:rsidR="00000000" w:rsidRDefault="00EF48A2">
      <w:pPr>
        <w:rPr>
          <w:rFonts w:eastAsia="Times New Roman"/>
        </w:rPr>
      </w:pPr>
      <w:r>
        <w:rPr>
          <w:rFonts w:eastAsia="Times New Roman"/>
        </w:rPr>
        <w:pict w14:anchorId="75246CAA">
          <v:rect id="_x0000_i1045" style="width:0;height:1.5pt" o:hralign="center" o:hrstd="t" o:hr="t" fillcolor="#a0a0a0" stroked="f"/>
        </w:pict>
      </w:r>
    </w:p>
    <w:p w14:paraId="158BE0B7"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238977C" w14:textId="77777777" w:rsidR="00000000" w:rsidRDefault="00EF48A2">
      <w:pPr>
        <w:spacing w:before="120"/>
        <w:ind w:left="3"/>
        <w:jc w:val="both"/>
        <w:divId w:val="148598069"/>
        <w:rPr>
          <w:rFonts w:eastAsia="Times New Roman"/>
        </w:rPr>
      </w:pPr>
      <w:r>
        <w:rPr>
          <w:rFonts w:eastAsia="Times New Roman"/>
          <w:sz w:val="20"/>
          <w:szCs w:val="20"/>
        </w:rPr>
        <w:t>●</w:t>
      </w:r>
    </w:p>
    <w:p w14:paraId="40184311" w14:textId="77777777" w:rsidR="00000000" w:rsidRDefault="00EF48A2">
      <w:pPr>
        <w:jc w:val="both"/>
        <w:divId w:val="868294782"/>
        <w:rPr>
          <w:rFonts w:eastAsia="Times New Roman"/>
        </w:rPr>
      </w:pPr>
      <w:r>
        <w:rPr>
          <w:rFonts w:eastAsia="Times New Roman"/>
          <w:sz w:val="20"/>
          <w:szCs w:val="20"/>
        </w:rPr>
        <w:t>consolidation of healthcare industry participants;</w:t>
      </w:r>
      <w:r>
        <w:rPr>
          <w:rFonts w:eastAsia="Times New Roman"/>
          <w:sz w:val="20"/>
          <w:szCs w:val="20"/>
        </w:rPr>
        <w:t xml:space="preserve"> </w:t>
      </w:r>
    </w:p>
    <w:p w14:paraId="7DD1C6E7" w14:textId="77777777" w:rsidR="00000000" w:rsidRDefault="00EF48A2">
      <w:pPr>
        <w:spacing w:before="120"/>
        <w:ind w:left="3"/>
        <w:jc w:val="both"/>
        <w:divId w:val="1272665347"/>
        <w:rPr>
          <w:rFonts w:eastAsia="Times New Roman"/>
        </w:rPr>
      </w:pPr>
      <w:r>
        <w:rPr>
          <w:rFonts w:eastAsia="Times New Roman"/>
          <w:sz w:val="20"/>
          <w:szCs w:val="20"/>
        </w:rPr>
        <w:t>●</w:t>
      </w:r>
    </w:p>
    <w:p w14:paraId="73C8830D" w14:textId="77777777" w:rsidR="00000000" w:rsidRDefault="00EF48A2">
      <w:pPr>
        <w:jc w:val="both"/>
        <w:divId w:val="573928965"/>
        <w:rPr>
          <w:rFonts w:eastAsia="Times New Roman"/>
        </w:rPr>
      </w:pPr>
      <w:r>
        <w:rPr>
          <w:rFonts w:eastAsia="Times New Roman"/>
          <w:sz w:val="20"/>
          <w:szCs w:val="20"/>
        </w:rPr>
        <w:t>federal amendments to, lack of enforcement or development of applicable regulations for, or repeal of The Patient Protection and Affordable Care Act, as amended by the Health Care and Education Reconciliation Act (the “Affordable Care Act” or the “ACA”);</w:t>
      </w:r>
      <w:r>
        <w:rPr>
          <w:rFonts w:eastAsia="Times New Roman"/>
          <w:sz w:val="20"/>
          <w:szCs w:val="20"/>
        </w:rPr>
        <w:t xml:space="preserve"> </w:t>
      </w:r>
    </w:p>
    <w:p w14:paraId="6E5882BB" w14:textId="77777777" w:rsidR="00000000" w:rsidRDefault="00EF48A2">
      <w:pPr>
        <w:spacing w:before="120"/>
        <w:ind w:left="3"/>
        <w:jc w:val="both"/>
        <w:divId w:val="1365903998"/>
        <w:rPr>
          <w:rFonts w:eastAsia="Times New Roman"/>
        </w:rPr>
      </w:pPr>
      <w:r>
        <w:rPr>
          <w:rFonts w:eastAsia="Times New Roman"/>
          <w:sz w:val="20"/>
          <w:szCs w:val="20"/>
        </w:rPr>
        <w:t>●</w:t>
      </w:r>
    </w:p>
    <w:p w14:paraId="549C2742" w14:textId="77777777" w:rsidR="00000000" w:rsidRDefault="00EF48A2">
      <w:pPr>
        <w:jc w:val="both"/>
        <w:divId w:val="2065642091"/>
        <w:rPr>
          <w:rFonts w:eastAsia="Times New Roman"/>
        </w:rPr>
      </w:pPr>
      <w:r>
        <w:rPr>
          <w:rFonts w:eastAsia="Times New Roman"/>
          <w:sz w:val="20"/>
          <w:szCs w:val="20"/>
        </w:rPr>
        <w:t>reductions in government funding for healthcare; and</w:t>
      </w:r>
      <w:r>
        <w:rPr>
          <w:rFonts w:eastAsia="Times New Roman"/>
          <w:sz w:val="20"/>
          <w:szCs w:val="20"/>
        </w:rPr>
        <w:t xml:space="preserve"> </w:t>
      </w:r>
    </w:p>
    <w:p w14:paraId="059AFB67" w14:textId="77777777" w:rsidR="00000000" w:rsidRDefault="00EF48A2">
      <w:pPr>
        <w:spacing w:before="120"/>
        <w:ind w:left="3"/>
        <w:jc w:val="both"/>
        <w:divId w:val="249774425"/>
        <w:rPr>
          <w:rFonts w:eastAsia="Times New Roman"/>
        </w:rPr>
      </w:pPr>
      <w:r>
        <w:rPr>
          <w:rFonts w:eastAsia="Times New Roman"/>
          <w:sz w:val="20"/>
          <w:szCs w:val="20"/>
        </w:rPr>
        <w:t>●</w:t>
      </w:r>
    </w:p>
    <w:p w14:paraId="25AB4B87" w14:textId="77777777" w:rsidR="00000000" w:rsidRDefault="00EF48A2">
      <w:pPr>
        <w:jc w:val="both"/>
        <w:divId w:val="443967716"/>
        <w:rPr>
          <w:rFonts w:eastAsia="Times New Roman"/>
        </w:rPr>
      </w:pPr>
      <w:r>
        <w:rPr>
          <w:rFonts w:eastAsia="Times New Roman"/>
          <w:sz w:val="20"/>
          <w:szCs w:val="20"/>
        </w:rPr>
        <w:t>adverse changes in business or economic conditions affecting healthcare payors or providers or other healthcare industry participants.</w:t>
      </w:r>
      <w:r>
        <w:rPr>
          <w:rFonts w:eastAsia="Times New Roman"/>
          <w:sz w:val="20"/>
          <w:szCs w:val="20"/>
        </w:rPr>
        <w:t xml:space="preserve"> </w:t>
      </w:r>
    </w:p>
    <w:p w14:paraId="377D3ADB" w14:textId="77777777" w:rsidR="00000000" w:rsidRDefault="00EF48A2">
      <w:pPr>
        <w:pStyle w:val="a3"/>
        <w:spacing w:before="180" w:beforeAutospacing="0" w:after="0" w:afterAutospacing="0"/>
        <w:jc w:val="both"/>
        <w:rPr>
          <w:sz w:val="20"/>
          <w:szCs w:val="20"/>
        </w:rPr>
      </w:pPr>
      <w:r>
        <w:rPr>
          <w:sz w:val="20"/>
          <w:szCs w:val="20"/>
        </w:rPr>
        <w:t>Any of these changes in healthcare spending could adversely af</w:t>
      </w:r>
      <w:r>
        <w:rPr>
          <w:sz w:val="20"/>
          <w:szCs w:val="20"/>
        </w:rPr>
        <w:t>fect our revenue. Even if general expenditures by industry participants remain the same or increase, developments in the healthcare industry may result in reduced spending in some or all of the specific market segments that we serve now or in the future. W</w:t>
      </w:r>
      <w:r>
        <w:rPr>
          <w:sz w:val="20"/>
          <w:szCs w:val="20"/>
        </w:rPr>
        <w:t>e cannot assure you that the demand for our solutions and services will continue to exist at current levels or that we will have adequate technical, financial, and marketing resources to react to changes in the healthcare industry</w:t>
      </w:r>
      <w:r>
        <w:rPr>
          <w:sz w:val="20"/>
          <w:szCs w:val="20"/>
        </w:rPr>
        <w:t>.</w:t>
      </w:r>
      <w:r>
        <w:rPr>
          <w:sz w:val="20"/>
          <w:szCs w:val="20"/>
        </w:rPr>
        <w:t xml:space="preserve"> </w:t>
      </w:r>
    </w:p>
    <w:p w14:paraId="5A47C1F8" w14:textId="77777777" w:rsidR="00000000" w:rsidRDefault="00EF48A2">
      <w:pPr>
        <w:pStyle w:val="a3"/>
        <w:spacing w:before="240" w:beforeAutospacing="0" w:after="0" w:afterAutospacing="0"/>
        <w:jc w:val="both"/>
        <w:rPr>
          <w:sz w:val="20"/>
          <w:szCs w:val="20"/>
        </w:rPr>
      </w:pPr>
      <w:r>
        <w:rPr>
          <w:b/>
          <w:bCs/>
          <w:i/>
          <w:iCs/>
          <w:sz w:val="20"/>
          <w:szCs w:val="20"/>
        </w:rPr>
        <w:t>Negative media coverage</w:t>
      </w:r>
      <w:r>
        <w:rPr>
          <w:b/>
          <w:bCs/>
          <w:i/>
          <w:iCs/>
          <w:sz w:val="20"/>
          <w:szCs w:val="20"/>
        </w:rPr>
        <w:t xml:space="preserve"> and social media engagement could adversely affect our business</w:t>
      </w:r>
      <w:r>
        <w:rPr>
          <w:b/>
          <w:bCs/>
          <w:i/>
          <w:iCs/>
          <w:sz w:val="20"/>
          <w:szCs w:val="20"/>
        </w:rPr>
        <w:t>.</w:t>
      </w:r>
      <w:r>
        <w:rPr>
          <w:b/>
          <w:bCs/>
          <w:i/>
          <w:iCs/>
          <w:sz w:val="20"/>
          <w:szCs w:val="20"/>
        </w:rPr>
        <w:t xml:space="preserve"> </w:t>
      </w:r>
    </w:p>
    <w:p w14:paraId="0DE91BD7" w14:textId="77777777" w:rsidR="00000000" w:rsidRDefault="00EF48A2">
      <w:pPr>
        <w:pStyle w:val="a3"/>
        <w:spacing w:before="180" w:beforeAutospacing="0" w:after="0" w:afterAutospacing="0"/>
        <w:jc w:val="both"/>
        <w:rPr>
          <w:sz w:val="20"/>
          <w:szCs w:val="20"/>
        </w:rPr>
      </w:pPr>
      <w:r>
        <w:rPr>
          <w:sz w:val="20"/>
          <w:szCs w:val="20"/>
        </w:rPr>
        <w:t>We receive a substantial amount of media coverage in the United States. Unfavorable publicity regarding, among others, the healthcare industry, litigation or regulatory activity, the action</w:t>
      </w:r>
      <w:r>
        <w:rPr>
          <w:sz w:val="20"/>
          <w:szCs w:val="20"/>
        </w:rPr>
        <w:t xml:space="preserve">s of the entities included or otherwise involved in our platform, virtual behavioral health services included on our platform or by other industry participants, our data privacy or data security practices, or our platform could materially adversely affect </w:t>
      </w:r>
      <w:r>
        <w:rPr>
          <w:sz w:val="20"/>
          <w:szCs w:val="20"/>
        </w:rPr>
        <w:t>our reputation. In addition, from time to time, news media outlets have provided negative coverage regarding our platform and privacy practices and any such negative media coverage, regardless of the accuracy of such reporting, may have an adverse impact o</w:t>
      </w:r>
      <w:r>
        <w:rPr>
          <w:sz w:val="20"/>
          <w:szCs w:val="20"/>
        </w:rPr>
        <w:t>n our business and reputation, as well as have an adverse effect on our ability to attract and retain clients, members, other consumers, or employees, and result in decreased revenue, which would materially adversely affect our business, financial conditio</w:t>
      </w:r>
      <w:r>
        <w:rPr>
          <w:sz w:val="20"/>
          <w:szCs w:val="20"/>
        </w:rPr>
        <w:t>n and results of operations</w:t>
      </w:r>
      <w:r>
        <w:rPr>
          <w:sz w:val="20"/>
          <w:szCs w:val="20"/>
        </w:rPr>
        <w:t>.</w:t>
      </w:r>
    </w:p>
    <w:p w14:paraId="42DDCB4A" w14:textId="77777777" w:rsidR="00000000" w:rsidRDefault="00EF48A2">
      <w:pPr>
        <w:pStyle w:val="a3"/>
        <w:spacing w:before="180" w:beforeAutospacing="0" w:after="0" w:afterAutospacing="0"/>
        <w:jc w:val="both"/>
        <w:rPr>
          <w:sz w:val="20"/>
          <w:szCs w:val="20"/>
        </w:rPr>
      </w:pPr>
      <w:r>
        <w:rPr>
          <w:sz w:val="20"/>
          <w:szCs w:val="20"/>
        </w:rPr>
        <w:t>Our clients and members may engage with us online through our social media pages, including, for example, our presence on Facebook, Instagram and Twitter, by providing feedback and public commentary about all aspects of our bus</w:t>
      </w:r>
      <w:r>
        <w:rPr>
          <w:sz w:val="20"/>
          <w:szCs w:val="20"/>
        </w:rPr>
        <w:t>iness. Information concerning us or our platform and offerings, whether accurate or not, may be posted on social media pages at any time and may have a disproportionately adverse impact on our brand, reputation or business. The harm may be immediate withou</w:t>
      </w:r>
      <w:r>
        <w:rPr>
          <w:sz w:val="20"/>
          <w:szCs w:val="20"/>
        </w:rPr>
        <w:t>t affording us an opportunity for redress or correction and could have a material adverse effect on our business, financial condition, results of operations and prospects</w:t>
      </w:r>
      <w:r>
        <w:rPr>
          <w:sz w:val="20"/>
          <w:szCs w:val="20"/>
        </w:rPr>
        <w:t>.</w:t>
      </w:r>
      <w:r>
        <w:rPr>
          <w:sz w:val="20"/>
          <w:szCs w:val="20"/>
        </w:rPr>
        <w:t xml:space="preserve"> </w:t>
      </w:r>
    </w:p>
    <w:p w14:paraId="51CCBAF6" w14:textId="77777777" w:rsidR="00000000" w:rsidRDefault="00EF48A2">
      <w:pPr>
        <w:pStyle w:val="a3"/>
        <w:spacing w:before="240" w:beforeAutospacing="0" w:after="0" w:afterAutospacing="0"/>
        <w:jc w:val="both"/>
        <w:rPr>
          <w:sz w:val="20"/>
          <w:szCs w:val="20"/>
        </w:rPr>
      </w:pPr>
      <w:r>
        <w:rPr>
          <w:b/>
          <w:bCs/>
          <w:i/>
          <w:iCs/>
          <w:sz w:val="20"/>
          <w:szCs w:val="20"/>
        </w:rPr>
        <w:t>We may become subject to medical liability claims, which could cause us to incur si</w:t>
      </w:r>
      <w:r>
        <w:rPr>
          <w:b/>
          <w:bCs/>
          <w:i/>
          <w:iCs/>
          <w:sz w:val="20"/>
          <w:szCs w:val="20"/>
        </w:rPr>
        <w:t>gnificant expenses and may require us to pay significant damages if not covered by insurance</w:t>
      </w:r>
      <w:r>
        <w:rPr>
          <w:b/>
          <w:bCs/>
          <w:i/>
          <w:iCs/>
          <w:sz w:val="20"/>
          <w:szCs w:val="20"/>
        </w:rPr>
        <w:t>.</w:t>
      </w:r>
      <w:r>
        <w:rPr>
          <w:b/>
          <w:bCs/>
          <w:i/>
          <w:iCs/>
          <w:sz w:val="20"/>
          <w:szCs w:val="20"/>
        </w:rPr>
        <w:t xml:space="preserve"> </w:t>
      </w:r>
    </w:p>
    <w:p w14:paraId="362D4A7B" w14:textId="77777777" w:rsidR="00000000" w:rsidRDefault="00EF48A2">
      <w:pPr>
        <w:pStyle w:val="a3"/>
        <w:spacing w:before="180" w:beforeAutospacing="0" w:after="0" w:afterAutospacing="0"/>
        <w:jc w:val="both"/>
        <w:rPr>
          <w:sz w:val="20"/>
          <w:szCs w:val="20"/>
        </w:rPr>
      </w:pPr>
      <w:r>
        <w:rPr>
          <w:sz w:val="20"/>
          <w:szCs w:val="20"/>
        </w:rPr>
        <w:t>Our overall business entails the risk of medical liability claims. Although TPN and our affiliated professionals carry or will carry insurance covering medical m</w:t>
      </w:r>
      <w:r>
        <w:rPr>
          <w:sz w:val="20"/>
          <w:szCs w:val="20"/>
        </w:rPr>
        <w:t>alpractice claims in amounts that we believe are appropriate in light of the risks attendant to the services rendered, successful medical liability claims could result in substantial damage awards that exceed the limits of TPN’s and those affiliated profes</w:t>
      </w:r>
      <w:r>
        <w:rPr>
          <w:sz w:val="20"/>
          <w:szCs w:val="20"/>
        </w:rPr>
        <w:t>sionals’ insurance coverage. TPN carries or will carry professional liability insurance for itself and each of its healthcare professionals (our providers). Additionally, all of our network providers that contract or will contract with TPN separately carry</w:t>
      </w:r>
      <w:r>
        <w:rPr>
          <w:sz w:val="20"/>
          <w:szCs w:val="20"/>
        </w:rPr>
        <w:t xml:space="preserve"> or will carry professional liability insurance for itself and its healthcare professionals. Professional liability insurance is expensive and insurance premiums may increase significantly in the future, particularly as we expand our services through TPN a</w:t>
      </w:r>
      <w:r>
        <w:rPr>
          <w:sz w:val="20"/>
          <w:szCs w:val="20"/>
        </w:rPr>
        <w:t>nd our affiliated professionals. As a result, adequate professional liability insurance may not be available to TPN and our affiliated professionals in the future at acceptable costs or at all, which may negatively impact TPN and our affiliated professiona</w:t>
      </w:r>
      <w:r>
        <w:rPr>
          <w:sz w:val="20"/>
          <w:szCs w:val="20"/>
        </w:rPr>
        <w:t>ls to provide services to our members, and thereby adversely affect our overall business and operations</w:t>
      </w:r>
      <w:r>
        <w:rPr>
          <w:sz w:val="20"/>
          <w:szCs w:val="20"/>
        </w:rPr>
        <w:t>.</w:t>
      </w:r>
      <w:r>
        <w:rPr>
          <w:sz w:val="20"/>
          <w:szCs w:val="20"/>
        </w:rPr>
        <w:t xml:space="preserve"> </w:t>
      </w:r>
    </w:p>
    <w:p w14:paraId="028F25BB" w14:textId="77777777" w:rsidR="00000000" w:rsidRDefault="00EF48A2">
      <w:pPr>
        <w:pStyle w:val="a3"/>
        <w:spacing w:before="180" w:beforeAutospacing="0" w:after="0" w:afterAutospacing="0"/>
        <w:jc w:val="both"/>
        <w:rPr>
          <w:sz w:val="20"/>
          <w:szCs w:val="20"/>
        </w:rPr>
      </w:pPr>
      <w:r>
        <w:rPr>
          <w:sz w:val="20"/>
          <w:szCs w:val="20"/>
        </w:rPr>
        <w:t>Any claims made against TPN or our affiliated professionals that are not fully covered by insurance could be costly to defend against, result in subst</w:t>
      </w:r>
      <w:r>
        <w:rPr>
          <w:sz w:val="20"/>
          <w:szCs w:val="20"/>
        </w:rPr>
        <w:t>antial damage awards, and divert the attention of our management and our affiliated professional entities from our operations, which could have a material adverse effect on our business, financial condition and results of operations. In addition, any claim</w:t>
      </w:r>
      <w:r>
        <w:rPr>
          <w:sz w:val="20"/>
          <w:szCs w:val="20"/>
        </w:rPr>
        <w:t>s may adversely affect our business or reputation</w:t>
      </w:r>
      <w:r>
        <w:rPr>
          <w:sz w:val="20"/>
          <w:szCs w:val="20"/>
        </w:rPr>
        <w:t>.</w:t>
      </w:r>
    </w:p>
    <w:p w14:paraId="48A730A1" w14:textId="77777777" w:rsidR="00000000" w:rsidRDefault="00EF48A2">
      <w:pPr>
        <w:pStyle w:val="a3"/>
        <w:spacing w:before="0" w:beforeAutospacing="0" w:after="0" w:afterAutospacing="0"/>
        <w:rPr>
          <w:sz w:val="20"/>
          <w:szCs w:val="20"/>
        </w:rPr>
      </w:pPr>
      <w:r>
        <w:rPr>
          <w:sz w:val="20"/>
          <w:szCs w:val="20"/>
        </w:rPr>
        <w:t> </w:t>
      </w:r>
    </w:p>
    <w:p w14:paraId="51016515" w14:textId="77777777" w:rsidR="00000000" w:rsidRDefault="00EF48A2">
      <w:pPr>
        <w:pStyle w:val="a3"/>
        <w:spacing w:before="0" w:beforeAutospacing="0" w:after="0" w:afterAutospacing="0"/>
        <w:jc w:val="center"/>
        <w:rPr>
          <w:sz w:val="20"/>
          <w:szCs w:val="20"/>
        </w:rPr>
      </w:pPr>
      <w:r>
        <w:rPr>
          <w:sz w:val="20"/>
          <w:szCs w:val="20"/>
        </w:rPr>
        <w:t>1</w:t>
      </w:r>
      <w:r>
        <w:rPr>
          <w:sz w:val="20"/>
          <w:szCs w:val="20"/>
        </w:rPr>
        <w:t>9</w:t>
      </w:r>
    </w:p>
    <w:p w14:paraId="3D8FCA3E" w14:textId="77777777" w:rsidR="00000000" w:rsidRDefault="00EF48A2">
      <w:pPr>
        <w:rPr>
          <w:rFonts w:eastAsia="Times New Roman"/>
        </w:rPr>
      </w:pPr>
      <w:r>
        <w:rPr>
          <w:rFonts w:eastAsia="Times New Roman"/>
        </w:rPr>
        <w:pict w14:anchorId="1169B524">
          <v:rect id="_x0000_i1046" style="width:0;height:1.5pt" o:hralign="center" o:hrstd="t" o:hr="t" fillcolor="#a0a0a0" stroked="f"/>
        </w:pict>
      </w:r>
    </w:p>
    <w:p w14:paraId="504E90C7"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7114FD7A" w14:textId="77777777" w:rsidR="00000000" w:rsidRDefault="00EF48A2">
      <w:pPr>
        <w:pStyle w:val="a3"/>
        <w:spacing w:before="240" w:beforeAutospacing="0" w:after="0" w:afterAutospacing="0"/>
        <w:jc w:val="both"/>
        <w:rPr>
          <w:sz w:val="20"/>
          <w:szCs w:val="20"/>
        </w:rPr>
      </w:pPr>
      <w:r>
        <w:rPr>
          <w:b/>
          <w:bCs/>
          <w:i/>
          <w:iCs/>
          <w:sz w:val="20"/>
          <w:szCs w:val="20"/>
        </w:rPr>
        <w:t>A decline in the prevalence of employer-sponsored healthcare or the emergence of new technologies may adversely imp</w:t>
      </w:r>
      <w:r>
        <w:rPr>
          <w:b/>
          <w:bCs/>
          <w:i/>
          <w:iCs/>
          <w:sz w:val="20"/>
          <w:szCs w:val="20"/>
        </w:rPr>
        <w:t>act our business-to-business segment or require us to expend significant resources in order to remain competitive</w:t>
      </w:r>
      <w:r>
        <w:rPr>
          <w:b/>
          <w:bCs/>
          <w:i/>
          <w:iCs/>
          <w:sz w:val="20"/>
          <w:szCs w:val="20"/>
        </w:rPr>
        <w:t>.</w:t>
      </w:r>
      <w:r>
        <w:rPr>
          <w:b/>
          <w:bCs/>
          <w:i/>
          <w:iCs/>
          <w:sz w:val="20"/>
          <w:szCs w:val="20"/>
        </w:rPr>
        <w:t xml:space="preserve"> </w:t>
      </w:r>
    </w:p>
    <w:p w14:paraId="4D4D33B2" w14:textId="77777777" w:rsidR="00000000" w:rsidRDefault="00EF48A2">
      <w:pPr>
        <w:pStyle w:val="a3"/>
        <w:spacing w:before="180" w:beforeAutospacing="0" w:after="0" w:afterAutospacing="0"/>
        <w:jc w:val="both"/>
        <w:rPr>
          <w:sz w:val="20"/>
          <w:szCs w:val="20"/>
        </w:rPr>
      </w:pPr>
      <w:r>
        <w:rPr>
          <w:sz w:val="20"/>
          <w:szCs w:val="20"/>
        </w:rPr>
        <w:t>The U.S. healthcare industry is massive, with a number of large market participants with conflicting agendas, and it is subject to significa</w:t>
      </w:r>
      <w:r>
        <w:rPr>
          <w:sz w:val="20"/>
          <w:szCs w:val="20"/>
        </w:rPr>
        <w:t>nt government regulation and is currently undergoing significant change</w:t>
      </w:r>
      <w:r>
        <w:rPr>
          <w:sz w:val="20"/>
          <w:szCs w:val="20"/>
        </w:rPr>
        <w:t>.</w:t>
      </w:r>
    </w:p>
    <w:p w14:paraId="25C50F9A" w14:textId="77777777" w:rsidR="00000000" w:rsidRDefault="00EF48A2">
      <w:pPr>
        <w:pStyle w:val="a3"/>
        <w:spacing w:before="180" w:beforeAutospacing="0" w:after="0" w:afterAutospacing="0"/>
        <w:jc w:val="both"/>
        <w:rPr>
          <w:sz w:val="20"/>
          <w:szCs w:val="20"/>
        </w:rPr>
      </w:pPr>
      <w:r>
        <w:rPr>
          <w:sz w:val="20"/>
          <w:szCs w:val="20"/>
        </w:rPr>
        <w:t>Some experts have predicted that future healthcare reform will encourage employer-sponsored health insurance to become significantly less prevalent as employees migrate to obtaining t</w:t>
      </w:r>
      <w:r>
        <w:rPr>
          <w:sz w:val="20"/>
          <w:szCs w:val="20"/>
        </w:rPr>
        <w:t>heir own insurance over the state-sponsored insurance marketplaces. Were this to occur, there is no guarantee that we would be able to compensate for the loss in revenue from employers by increasing sales of our solution to health insurance companies or to</w:t>
      </w:r>
      <w:r>
        <w:rPr>
          <w:sz w:val="20"/>
          <w:szCs w:val="20"/>
        </w:rPr>
        <w:t xml:space="preserve"> individuals or government agencies. In such a case, our results of operations would be adversely impacted</w:t>
      </w:r>
      <w:r>
        <w:rPr>
          <w:sz w:val="20"/>
          <w:szCs w:val="20"/>
        </w:rPr>
        <w:t>.</w:t>
      </w:r>
    </w:p>
    <w:p w14:paraId="13F45BEB" w14:textId="77777777" w:rsidR="00000000" w:rsidRDefault="00EF48A2">
      <w:pPr>
        <w:pStyle w:val="a3"/>
        <w:spacing w:before="240" w:beforeAutospacing="0" w:after="0" w:afterAutospacing="0"/>
        <w:jc w:val="both"/>
        <w:rPr>
          <w:sz w:val="20"/>
          <w:szCs w:val="20"/>
        </w:rPr>
      </w:pPr>
      <w:r>
        <w:rPr>
          <w:b/>
          <w:bCs/>
          <w:i/>
          <w:iCs/>
          <w:sz w:val="20"/>
          <w:szCs w:val="20"/>
        </w:rPr>
        <w:t>We rely on third-party platforms such as the Apple App Store and Google Play App Store, to distribute our platform and offerings</w:t>
      </w:r>
      <w:r>
        <w:rPr>
          <w:b/>
          <w:bCs/>
          <w:i/>
          <w:iCs/>
          <w:sz w:val="20"/>
          <w:szCs w:val="20"/>
        </w:rPr>
        <w:t>.</w:t>
      </w:r>
      <w:r>
        <w:rPr>
          <w:b/>
          <w:bCs/>
          <w:i/>
          <w:iCs/>
          <w:sz w:val="20"/>
          <w:szCs w:val="20"/>
        </w:rPr>
        <w:t xml:space="preserve"> </w:t>
      </w:r>
    </w:p>
    <w:p w14:paraId="2076F91A" w14:textId="77777777" w:rsidR="00000000" w:rsidRDefault="00EF48A2">
      <w:pPr>
        <w:pStyle w:val="a3"/>
        <w:spacing w:before="180" w:beforeAutospacing="0" w:after="0" w:afterAutospacing="0"/>
        <w:jc w:val="both"/>
        <w:rPr>
          <w:sz w:val="20"/>
          <w:szCs w:val="20"/>
        </w:rPr>
      </w:pPr>
      <w:r>
        <w:rPr>
          <w:sz w:val="20"/>
          <w:szCs w:val="20"/>
        </w:rPr>
        <w:t>Our apps are accessed and operate through third-party platforms or marketplaces, including the Apple App Store and Google Play App Store, which also serve as significant online distribution platforms for our apps. As a result, the expansion and prospects o</w:t>
      </w:r>
      <w:r>
        <w:rPr>
          <w:sz w:val="20"/>
          <w:szCs w:val="20"/>
        </w:rPr>
        <w:t>f our business and our apps depend on our continued relationships with these providers and any other emerging platform providers that are widely adopted by consumers. We are subject to the standard terms and conditions that these providers have for applica</w:t>
      </w:r>
      <w:r>
        <w:rPr>
          <w:sz w:val="20"/>
          <w:szCs w:val="20"/>
        </w:rPr>
        <w:t>tion developers, which govern the content, promotion, distribution and operation of apps on their platforms or marketplaces, and which the providers can change unilaterally on short or no notice</w:t>
      </w:r>
      <w:r>
        <w:rPr>
          <w:sz w:val="20"/>
          <w:szCs w:val="20"/>
        </w:rPr>
        <w:t>.</w:t>
      </w:r>
      <w:r>
        <w:rPr>
          <w:sz w:val="20"/>
          <w:szCs w:val="20"/>
        </w:rPr>
        <w:t xml:space="preserve"> </w:t>
      </w:r>
    </w:p>
    <w:p w14:paraId="0F3F0CCD" w14:textId="77777777" w:rsidR="00000000" w:rsidRDefault="00EF48A2">
      <w:pPr>
        <w:pStyle w:val="a3"/>
        <w:spacing w:before="180" w:beforeAutospacing="0" w:after="0" w:afterAutospacing="0"/>
        <w:jc w:val="both"/>
        <w:rPr>
          <w:sz w:val="20"/>
          <w:szCs w:val="20"/>
        </w:rPr>
      </w:pPr>
      <w:r>
        <w:rPr>
          <w:sz w:val="20"/>
          <w:szCs w:val="20"/>
        </w:rPr>
        <w:t>Thus, our business could suffer materially if platform prov</w:t>
      </w:r>
      <w:r>
        <w:rPr>
          <w:sz w:val="20"/>
          <w:szCs w:val="20"/>
        </w:rPr>
        <w:t>iders change their standard terms and conditions, interpretations or other policies and practices in a way that is detrimental to us or if platform providers determine that we are in violation of their standard terms and conditions and prohibit us from dis</w:t>
      </w:r>
      <w:r>
        <w:rPr>
          <w:sz w:val="20"/>
          <w:szCs w:val="20"/>
        </w:rPr>
        <w:t>tributing our apps on their platforms. In addition, our business would be harmed if the providers discontinue or limit our access to their platforms or marketplaces; the platforms or marketplaces decline in popularity; the platforms modify their algorithms</w:t>
      </w:r>
      <w:r>
        <w:rPr>
          <w:sz w:val="20"/>
          <w:szCs w:val="20"/>
        </w:rPr>
        <w:t>, communication channels available to developers, respective terms of service or other policies, including fees; the providers adopt changes or updates to their technology that impede integration with other software systems or otherwise require us to modif</w:t>
      </w:r>
      <w:r>
        <w:rPr>
          <w:sz w:val="20"/>
          <w:szCs w:val="20"/>
        </w:rPr>
        <w:t>y our technology or update our apps in order to ensure that consumers can continue to access and use our virtual behavioral health services</w:t>
      </w:r>
      <w:r>
        <w:rPr>
          <w:sz w:val="20"/>
          <w:szCs w:val="20"/>
        </w:rPr>
        <w:t>.</w:t>
      </w:r>
      <w:r>
        <w:rPr>
          <w:sz w:val="20"/>
          <w:szCs w:val="20"/>
        </w:rPr>
        <w:t xml:space="preserve"> </w:t>
      </w:r>
    </w:p>
    <w:p w14:paraId="00DACA5A" w14:textId="77777777" w:rsidR="00000000" w:rsidRDefault="00EF48A2">
      <w:pPr>
        <w:pStyle w:val="a3"/>
        <w:spacing w:before="180" w:beforeAutospacing="0" w:after="0" w:afterAutospacing="0"/>
        <w:jc w:val="both"/>
        <w:rPr>
          <w:sz w:val="20"/>
          <w:szCs w:val="20"/>
        </w:rPr>
      </w:pPr>
      <w:r>
        <w:rPr>
          <w:sz w:val="20"/>
          <w:szCs w:val="20"/>
        </w:rPr>
        <w:t>If alternative providers increase in popularity, we could be adversely impacted if we fail to create compatible ve</w:t>
      </w:r>
      <w:r>
        <w:rPr>
          <w:sz w:val="20"/>
          <w:szCs w:val="20"/>
        </w:rPr>
        <w:t>rsions of our apps in a timely manner, or if we fail to establish a relationship with such alternative providers. Likewise, if our current providers alter their operating platforms, we could be adversely impacted as our offerings may not be compatible with</w:t>
      </w:r>
      <w:r>
        <w:rPr>
          <w:sz w:val="20"/>
          <w:szCs w:val="20"/>
        </w:rPr>
        <w:t xml:space="preserve"> the altered platforms or may require significant and costly modifications in order to become compatible. If our providers do not perform their obligations in accordance with our platform agreements, we could be adversely impacted</w:t>
      </w:r>
      <w:r>
        <w:rPr>
          <w:sz w:val="20"/>
          <w:szCs w:val="20"/>
        </w:rPr>
        <w:t>.</w:t>
      </w:r>
      <w:r>
        <w:rPr>
          <w:sz w:val="20"/>
          <w:szCs w:val="20"/>
        </w:rPr>
        <w:t xml:space="preserve"> </w:t>
      </w:r>
    </w:p>
    <w:p w14:paraId="649182CF" w14:textId="77777777" w:rsidR="00000000" w:rsidRDefault="00EF48A2">
      <w:pPr>
        <w:pStyle w:val="a3"/>
        <w:spacing w:before="180" w:beforeAutospacing="0" w:after="0" w:afterAutospacing="0"/>
        <w:jc w:val="both"/>
        <w:rPr>
          <w:sz w:val="20"/>
          <w:szCs w:val="20"/>
        </w:rPr>
      </w:pPr>
      <w:r>
        <w:rPr>
          <w:sz w:val="20"/>
          <w:szCs w:val="20"/>
        </w:rPr>
        <w:t>In the past, some of th</w:t>
      </w:r>
      <w:r>
        <w:rPr>
          <w:sz w:val="20"/>
          <w:szCs w:val="20"/>
        </w:rPr>
        <w:t>ese platforms or marketplaces have been unavailable for short periods of time. If this or a similar event were to occur on a short- or long-term basis, or if these platforms or marketplaces otherwise experience issues that impact the ability of consumers t</w:t>
      </w:r>
      <w:r>
        <w:rPr>
          <w:sz w:val="20"/>
          <w:szCs w:val="20"/>
        </w:rPr>
        <w:t>o download or access our apps and other information, it could have a material adverse effect on our brand and reputation, as well as our business, financial condition and operating results</w:t>
      </w:r>
      <w:r>
        <w:rPr>
          <w:sz w:val="20"/>
          <w:szCs w:val="20"/>
        </w:rPr>
        <w:t>.</w:t>
      </w:r>
      <w:r>
        <w:rPr>
          <w:sz w:val="20"/>
          <w:szCs w:val="20"/>
        </w:rPr>
        <w:t xml:space="preserve"> </w:t>
      </w:r>
    </w:p>
    <w:p w14:paraId="3D542E2B" w14:textId="77777777" w:rsidR="00000000" w:rsidRDefault="00EF48A2">
      <w:pPr>
        <w:pStyle w:val="a3"/>
        <w:spacing w:before="240" w:beforeAutospacing="0" w:after="0" w:afterAutospacing="0"/>
        <w:jc w:val="both"/>
        <w:rPr>
          <w:sz w:val="20"/>
          <w:szCs w:val="20"/>
        </w:rPr>
      </w:pPr>
      <w:r>
        <w:rPr>
          <w:b/>
          <w:bCs/>
          <w:i/>
          <w:iCs/>
          <w:sz w:val="20"/>
          <w:szCs w:val="20"/>
        </w:rPr>
        <w:t>We rely on data center providers, Internet infrastructure, bandwi</w:t>
      </w:r>
      <w:r>
        <w:rPr>
          <w:b/>
          <w:bCs/>
          <w:i/>
          <w:iCs/>
          <w:sz w:val="20"/>
          <w:szCs w:val="20"/>
        </w:rPr>
        <w:t>dth providers, third-party computer hardware and software, other third parties and our own systems for providing services to our clients and members, and any failure or interruption in the services provided by these third parties or our own systems could e</w:t>
      </w:r>
      <w:r>
        <w:rPr>
          <w:b/>
          <w:bCs/>
          <w:i/>
          <w:iCs/>
          <w:sz w:val="20"/>
          <w:szCs w:val="20"/>
        </w:rPr>
        <w:t>xpose us to litigation and negatively impact our relationships with clients and members, adversely affecting our brand and our business</w:t>
      </w:r>
      <w:r>
        <w:rPr>
          <w:b/>
          <w:bCs/>
          <w:i/>
          <w:iCs/>
          <w:sz w:val="20"/>
          <w:szCs w:val="20"/>
        </w:rPr>
        <w:t>.</w:t>
      </w:r>
      <w:r>
        <w:rPr>
          <w:b/>
          <w:bCs/>
          <w:i/>
          <w:iCs/>
          <w:sz w:val="20"/>
          <w:szCs w:val="20"/>
        </w:rPr>
        <w:t xml:space="preserve"> </w:t>
      </w:r>
    </w:p>
    <w:p w14:paraId="617C0D4C" w14:textId="77777777" w:rsidR="00000000" w:rsidRDefault="00EF48A2">
      <w:pPr>
        <w:pStyle w:val="a3"/>
        <w:spacing w:before="180" w:beforeAutospacing="0" w:after="0" w:afterAutospacing="0"/>
        <w:jc w:val="both"/>
        <w:rPr>
          <w:sz w:val="20"/>
          <w:szCs w:val="20"/>
        </w:rPr>
      </w:pPr>
      <w:r>
        <w:rPr>
          <w:sz w:val="20"/>
          <w:szCs w:val="20"/>
        </w:rPr>
        <w:t>We serve all of our clients and members from third party interconnection and data centers, such as Amazon Web Services</w:t>
      </w:r>
      <w:r>
        <w:rPr>
          <w:sz w:val="20"/>
          <w:szCs w:val="20"/>
        </w:rPr>
        <w:t>. While we control and have access to our servers, we do not control the operation of these facilities. The cloud vendors and the owners of our data center facilities have no obligation to renew their agreements with us on commercially reasonable terms, or</w:t>
      </w:r>
      <w:r>
        <w:rPr>
          <w:sz w:val="20"/>
          <w:szCs w:val="20"/>
        </w:rPr>
        <w:t xml:space="preserve"> at all. If we are unable to renew these agreements on commercially reasonable terms, or if one of our cloud vendors or data center operators is acquired, we may be required to transfer our servers and other infrastructure to a new vendor or a new data cen</w:t>
      </w:r>
      <w:r>
        <w:rPr>
          <w:sz w:val="20"/>
          <w:szCs w:val="20"/>
        </w:rPr>
        <w:t>ter facility, and we may incur significant costs and possible service interruption in connection with doing so. Problems faced by our cloud vendors or third-party data center locations with the telecommunications network providers with whom we or they cont</w:t>
      </w:r>
      <w:r>
        <w:rPr>
          <w:sz w:val="20"/>
          <w:szCs w:val="20"/>
        </w:rPr>
        <w:t>ract, or with the systems by which our telecommunications providers allocate capacity among their clients, including us, could adversely affect the experience of our clients and members. Our third-party data center operators could decide to close their fac</w:t>
      </w:r>
      <w:r>
        <w:rPr>
          <w:sz w:val="20"/>
          <w:szCs w:val="20"/>
        </w:rPr>
        <w:t>ilities without adequate notice. In addition, any financial difficulties, such as bankruptcy faced by our cloud vendors o</w:t>
      </w:r>
      <w:r>
        <w:rPr>
          <w:sz w:val="20"/>
          <w:szCs w:val="20"/>
        </w:rPr>
        <w:t>r</w:t>
      </w:r>
      <w:r>
        <w:rPr>
          <w:sz w:val="20"/>
          <w:szCs w:val="20"/>
        </w:rPr>
        <w:t xml:space="preserve"> </w:t>
      </w:r>
    </w:p>
    <w:p w14:paraId="6F17091A"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0</w:t>
      </w:r>
    </w:p>
    <w:p w14:paraId="61C52B3F" w14:textId="77777777" w:rsidR="00000000" w:rsidRDefault="00EF48A2">
      <w:pPr>
        <w:rPr>
          <w:rFonts w:eastAsia="Times New Roman"/>
        </w:rPr>
      </w:pPr>
      <w:r>
        <w:rPr>
          <w:rFonts w:eastAsia="Times New Roman"/>
        </w:rPr>
        <w:pict w14:anchorId="1F56D177">
          <v:rect id="_x0000_i1047" style="width:0;height:1.5pt" o:hralign="center" o:hrstd="t" o:hr="t" fillcolor="#a0a0a0" stroked="f"/>
        </w:pict>
      </w:r>
    </w:p>
    <w:p w14:paraId="6418F304"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C2FC635" w14:textId="77777777" w:rsidR="00000000" w:rsidRDefault="00EF48A2">
      <w:pPr>
        <w:pStyle w:val="a3"/>
        <w:spacing w:before="180" w:beforeAutospacing="0" w:after="0" w:afterAutospacing="0"/>
        <w:jc w:val="both"/>
        <w:rPr>
          <w:sz w:val="20"/>
          <w:szCs w:val="20"/>
        </w:rPr>
      </w:pPr>
      <w:r>
        <w:rPr>
          <w:sz w:val="20"/>
          <w:szCs w:val="20"/>
        </w:rPr>
        <w:t>third-party data centers operators or any o</w:t>
      </w:r>
      <w:r>
        <w:rPr>
          <w:sz w:val="20"/>
          <w:szCs w:val="20"/>
        </w:rPr>
        <w:t>f the service providers with whom we or they contract may have negative effects on our business, the nature and extent of which are difficult to predict</w:t>
      </w:r>
      <w:r>
        <w:rPr>
          <w:sz w:val="20"/>
          <w:szCs w:val="20"/>
        </w:rPr>
        <w:t>.</w:t>
      </w:r>
      <w:r>
        <w:rPr>
          <w:sz w:val="20"/>
          <w:szCs w:val="20"/>
        </w:rPr>
        <w:t xml:space="preserve"> </w:t>
      </w:r>
    </w:p>
    <w:p w14:paraId="3FD3AC5B" w14:textId="77777777" w:rsidR="00000000" w:rsidRDefault="00EF48A2">
      <w:pPr>
        <w:pStyle w:val="a3"/>
        <w:spacing w:before="180" w:beforeAutospacing="0" w:after="0" w:afterAutospacing="0"/>
        <w:jc w:val="both"/>
        <w:rPr>
          <w:sz w:val="20"/>
          <w:szCs w:val="20"/>
        </w:rPr>
      </w:pPr>
      <w:r>
        <w:rPr>
          <w:sz w:val="20"/>
          <w:szCs w:val="20"/>
        </w:rPr>
        <w:t>Additionally, if our cloud or data center vendors are unable to keep up with our growing needs for ca</w:t>
      </w:r>
      <w:r>
        <w:rPr>
          <w:sz w:val="20"/>
          <w:szCs w:val="20"/>
        </w:rPr>
        <w:t>pacity, this could have an adverse effect on our business. For example, a rapid expansion of our business could affect the service levels at our cloud vendors or data centers or cause such data centers and systems to fail. Any changes in third-party servic</w:t>
      </w:r>
      <w:r>
        <w:rPr>
          <w:sz w:val="20"/>
          <w:szCs w:val="20"/>
        </w:rPr>
        <w:t xml:space="preserve">e levels at our data centers or any disruptions or other performance problems with our solution could adversely affect our reputation and may damage our clients and members’ stored files or result in lengthy interruptions in our services. Interruptions in </w:t>
      </w:r>
      <w:r>
        <w:rPr>
          <w:sz w:val="20"/>
          <w:szCs w:val="20"/>
        </w:rPr>
        <w:t>our services may reduce our revenue, cause us to issue refunds to clients and members for prepaid and unused subscriptions, as well as loss of revenue related to service level credits and uptime, subject us to potential liability or adversely affect client</w:t>
      </w:r>
      <w:r>
        <w:rPr>
          <w:sz w:val="20"/>
          <w:szCs w:val="20"/>
        </w:rPr>
        <w:t xml:space="preserve"> retention</w:t>
      </w:r>
      <w:r>
        <w:rPr>
          <w:sz w:val="20"/>
          <w:szCs w:val="20"/>
        </w:rPr>
        <w:t>.</w:t>
      </w:r>
      <w:r>
        <w:rPr>
          <w:sz w:val="20"/>
          <w:szCs w:val="20"/>
        </w:rPr>
        <w:t xml:space="preserve"> </w:t>
      </w:r>
    </w:p>
    <w:p w14:paraId="3687F560" w14:textId="77777777" w:rsidR="00000000" w:rsidRDefault="00EF48A2">
      <w:pPr>
        <w:pStyle w:val="a3"/>
        <w:spacing w:before="180" w:beforeAutospacing="0" w:after="0" w:afterAutospacing="0"/>
        <w:jc w:val="both"/>
        <w:rPr>
          <w:sz w:val="20"/>
          <w:szCs w:val="20"/>
        </w:rPr>
      </w:pPr>
      <w:r>
        <w:rPr>
          <w:sz w:val="20"/>
          <w:szCs w:val="20"/>
        </w:rPr>
        <w:t>In addition, our ability to deliver our Internet-based services depends on the development and maintenance of the infrastructure of the Internet by third parties. This includes maintenance of a reliable network backbone with the necessary spee</w:t>
      </w:r>
      <w:r>
        <w:rPr>
          <w:sz w:val="20"/>
          <w:szCs w:val="20"/>
        </w:rPr>
        <w:t xml:space="preserve">d, data capacity, bandwidth capacity and security. Our services are designed to operate without interruption in accordance with our service level commitments. However, we have experienced, and expect that we may experience in the future, interruptions and </w:t>
      </w:r>
      <w:r>
        <w:rPr>
          <w:sz w:val="20"/>
          <w:szCs w:val="20"/>
        </w:rPr>
        <w:t>delays in services and availability from time to time. In the event of a catastrophic event with respect to one or more of our systems, we may experience an extended period of system unavailability, which could negatively impact our relationship with clien</w:t>
      </w:r>
      <w:r>
        <w:rPr>
          <w:sz w:val="20"/>
          <w:szCs w:val="20"/>
        </w:rPr>
        <w:t>ts and members</w:t>
      </w:r>
      <w:r>
        <w:rPr>
          <w:sz w:val="20"/>
          <w:szCs w:val="20"/>
        </w:rPr>
        <w:t>.</w:t>
      </w:r>
      <w:r>
        <w:rPr>
          <w:sz w:val="20"/>
          <w:szCs w:val="20"/>
        </w:rPr>
        <w:t xml:space="preserve"> </w:t>
      </w:r>
    </w:p>
    <w:p w14:paraId="18DD474F" w14:textId="77777777" w:rsidR="00000000" w:rsidRDefault="00EF48A2">
      <w:pPr>
        <w:pStyle w:val="a3"/>
        <w:spacing w:before="180" w:beforeAutospacing="0" w:after="0" w:afterAutospacing="0"/>
        <w:jc w:val="both"/>
        <w:rPr>
          <w:sz w:val="20"/>
          <w:szCs w:val="20"/>
        </w:rPr>
      </w:pPr>
      <w:r>
        <w:rPr>
          <w:sz w:val="20"/>
          <w:szCs w:val="20"/>
        </w:rPr>
        <w:t>We also rely on computer hardware purchased and software licensed from third parties in order to offer our services. These licenses are generally commercially available on varying terms. However, it is possible that this hardware and softw</w:t>
      </w:r>
      <w:r>
        <w:rPr>
          <w:sz w:val="20"/>
          <w:szCs w:val="20"/>
        </w:rPr>
        <w:t>are may not continue to be available on commercially reasonable terms, or at all. Any loss of the right to use any of this hardware or software could result in delays in the provisioning of our services until equivalent technology is either developed by us</w:t>
      </w:r>
      <w:r>
        <w:rPr>
          <w:sz w:val="20"/>
          <w:szCs w:val="20"/>
        </w:rPr>
        <w:t>, or, if available from third parties, is identified, obtained and integrated</w:t>
      </w:r>
      <w:r>
        <w:rPr>
          <w:sz w:val="20"/>
          <w:szCs w:val="20"/>
        </w:rPr>
        <w:t>.</w:t>
      </w:r>
    </w:p>
    <w:p w14:paraId="7C055698" w14:textId="77777777" w:rsidR="00000000" w:rsidRDefault="00EF48A2">
      <w:pPr>
        <w:pStyle w:val="a3"/>
        <w:spacing w:before="180" w:beforeAutospacing="0" w:after="0" w:afterAutospacing="0"/>
        <w:jc w:val="both"/>
        <w:rPr>
          <w:sz w:val="20"/>
          <w:szCs w:val="20"/>
        </w:rPr>
      </w:pPr>
      <w:r>
        <w:rPr>
          <w:sz w:val="20"/>
          <w:szCs w:val="20"/>
        </w:rPr>
        <w:t>Our ability to rely on these services of third-party vendors could be impaired as a result of the failure of such providers to comply with applicable laws, regulations and contr</w:t>
      </w:r>
      <w:r>
        <w:rPr>
          <w:sz w:val="20"/>
          <w:szCs w:val="20"/>
        </w:rPr>
        <w:t>actual covenants, or as a result of events affecting such providers, such as power loss, telecommunication failures, software or hardware errors, computer viruses, cyber incidents and similar disruptive problems, fire, flood and natural disasters. Any such</w:t>
      </w:r>
      <w:r>
        <w:rPr>
          <w:sz w:val="20"/>
          <w:szCs w:val="20"/>
        </w:rPr>
        <w:t xml:space="preserve"> failure or event could adversely affect our relationships with our clients and members and damage our reputation. This could materially and adversely impact our business, financial condition and operating results</w:t>
      </w:r>
      <w:r>
        <w:rPr>
          <w:sz w:val="20"/>
          <w:szCs w:val="20"/>
        </w:rPr>
        <w:t>.</w:t>
      </w:r>
      <w:r>
        <w:rPr>
          <w:sz w:val="20"/>
          <w:szCs w:val="20"/>
        </w:rPr>
        <w:t xml:space="preserve"> </w:t>
      </w:r>
    </w:p>
    <w:p w14:paraId="73D80E8F" w14:textId="77777777" w:rsidR="00000000" w:rsidRDefault="00EF48A2">
      <w:pPr>
        <w:pStyle w:val="a3"/>
        <w:spacing w:before="240" w:beforeAutospacing="0" w:after="0" w:afterAutospacing="0"/>
        <w:jc w:val="both"/>
        <w:rPr>
          <w:sz w:val="20"/>
          <w:szCs w:val="20"/>
        </w:rPr>
      </w:pPr>
      <w:r>
        <w:rPr>
          <w:b/>
          <w:bCs/>
          <w:i/>
          <w:iCs/>
          <w:sz w:val="20"/>
          <w:szCs w:val="20"/>
        </w:rPr>
        <w:t>If our or our vendors’ security measures</w:t>
      </w:r>
      <w:r>
        <w:rPr>
          <w:b/>
          <w:bCs/>
          <w:i/>
          <w:iCs/>
          <w:sz w:val="20"/>
          <w:szCs w:val="20"/>
        </w:rPr>
        <w:t xml:space="preserve"> fail or are breached and unauthorized access to a client’s data or information systems is obtained, our services may be perceived as insecure, we may incur significant liabilities, our reputation may be harmed, and we could lose sales, clients and members</w:t>
      </w:r>
      <w:r>
        <w:rPr>
          <w:b/>
          <w:bCs/>
          <w:i/>
          <w:iCs/>
          <w:sz w:val="20"/>
          <w:szCs w:val="20"/>
        </w:rPr>
        <w:t>.</w:t>
      </w:r>
      <w:r>
        <w:rPr>
          <w:b/>
          <w:bCs/>
          <w:i/>
          <w:iCs/>
          <w:sz w:val="20"/>
          <w:szCs w:val="20"/>
        </w:rPr>
        <w:t xml:space="preserve"> </w:t>
      </w:r>
    </w:p>
    <w:p w14:paraId="42B38234" w14:textId="77777777" w:rsidR="00000000" w:rsidRDefault="00EF48A2">
      <w:pPr>
        <w:pStyle w:val="a3"/>
        <w:spacing w:before="180" w:beforeAutospacing="0" w:after="0" w:afterAutospacing="0"/>
        <w:jc w:val="both"/>
        <w:rPr>
          <w:sz w:val="20"/>
          <w:szCs w:val="20"/>
        </w:rPr>
      </w:pPr>
      <w:r>
        <w:rPr>
          <w:sz w:val="20"/>
          <w:szCs w:val="20"/>
        </w:rPr>
        <w:t xml:space="preserve">Our services involve the storage and transmission of our clients’ and members’ proprietary information, sensitive or confidential data, including valuable intellectual property and personal information of employees, clients, members and others, as well </w:t>
      </w:r>
      <w:r>
        <w:rPr>
          <w:sz w:val="20"/>
          <w:szCs w:val="20"/>
        </w:rPr>
        <w:t xml:space="preserve">as the protected health information (“PHI”), of our clients and members. We are subject to laws and regulations relating to the collection, use, retention, security and transfer of this information. Because of the extreme sensitivity of the information we </w:t>
      </w:r>
      <w:r>
        <w:rPr>
          <w:sz w:val="20"/>
          <w:szCs w:val="20"/>
        </w:rPr>
        <w:t>store and transmit, the security features of our and our third-party vendors’ computer, network, and communications systems infrastructure are critical to the success of our business. A breach or failure of our or our third-party vendors’ network, hosted s</w:t>
      </w:r>
      <w:r>
        <w:rPr>
          <w:sz w:val="20"/>
          <w:szCs w:val="20"/>
        </w:rPr>
        <w:t xml:space="preserve">ervice providers or vendor systems could result from a variety of circumstances and events, including third-party action, employee negligence or error, malfeasance, computer viruses, cyber-attacks by computer hackers such as denial-of-service and phishing </w:t>
      </w:r>
      <w:r>
        <w:rPr>
          <w:sz w:val="20"/>
          <w:szCs w:val="20"/>
        </w:rPr>
        <w:t>attacks, failures during the process of upgrading or replacing software and databases, power outages, hardware failures, telecommunication failures, user errors, or catastrophic events. Information security risks have generally increased in recent years be</w:t>
      </w:r>
      <w:r>
        <w:rPr>
          <w:sz w:val="20"/>
          <w:szCs w:val="20"/>
        </w:rPr>
        <w:t>cause of the proliferation of new technologies and the increased sophistication and activities of perpetrators of cyber-attacks. Hackers and data thieves are increasingly sophisticated and operating large-scale and complex automated attacks, including on c</w:t>
      </w:r>
      <w:r>
        <w:rPr>
          <w:sz w:val="20"/>
          <w:szCs w:val="20"/>
        </w:rPr>
        <w:t>ompanies within the healthcare industry. In certain cases, these hackers are or are acting on behalf of state sponsors which further increases the risk of sophistication. As cyber threats continue to evolve, we may be required to expend additional resource</w:t>
      </w:r>
      <w:r>
        <w:rPr>
          <w:sz w:val="20"/>
          <w:szCs w:val="20"/>
        </w:rPr>
        <w:t>s to further enhance our information security measures, develop additional protocols and/or to investigate and remediate any information security vulnerabilities. If our or our third-party vendors’ security measures fail or are breached, it could result in</w:t>
      </w:r>
      <w:r>
        <w:rPr>
          <w:sz w:val="20"/>
          <w:szCs w:val="20"/>
        </w:rPr>
        <w:t xml:space="preserve"> unauthorized persons accessing sensitive client or member data (including PHI), a loss of or damage to our data, an inability to access data sources, or process data or provide our services to our clients and members. Such failures or breaches of our or o</w:t>
      </w:r>
      <w:r>
        <w:rPr>
          <w:sz w:val="20"/>
          <w:szCs w:val="20"/>
        </w:rPr>
        <w:t>ur third-party vendors’ security measures, or our or our third-party vendors’ inability to effectively resolve such failures or breaches in a timely manner, could severely damage our reputation, adversely affect client, member or investor confidence in us,</w:t>
      </w:r>
      <w:r>
        <w:rPr>
          <w:sz w:val="20"/>
          <w:szCs w:val="20"/>
        </w:rPr>
        <w:t xml:space="preserve"> and reduce the demand for our services from existing and potential clients and members. In addition, we could face litigation, damages for contract breach, monetary penalties, or regulatory actions for violation of applicable laws or regulations and incu</w:t>
      </w:r>
      <w:r>
        <w:rPr>
          <w:sz w:val="20"/>
          <w:szCs w:val="20"/>
        </w:rPr>
        <w:t>r</w:t>
      </w:r>
      <w:r>
        <w:rPr>
          <w:sz w:val="20"/>
          <w:szCs w:val="20"/>
        </w:rPr>
        <w:t xml:space="preserve"> </w:t>
      </w:r>
    </w:p>
    <w:p w14:paraId="7B96E146"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1</w:t>
      </w:r>
    </w:p>
    <w:p w14:paraId="664D3935" w14:textId="77777777" w:rsidR="00000000" w:rsidRDefault="00EF48A2">
      <w:pPr>
        <w:rPr>
          <w:rFonts w:eastAsia="Times New Roman"/>
        </w:rPr>
      </w:pPr>
      <w:r>
        <w:rPr>
          <w:rFonts w:eastAsia="Times New Roman"/>
        </w:rPr>
        <w:pict w14:anchorId="60AE7C39">
          <v:rect id="_x0000_i1048" style="width:0;height:1.5pt" o:hralign="center" o:hrstd="t" o:hr="t" fillcolor="#a0a0a0" stroked="f"/>
        </w:pict>
      </w:r>
    </w:p>
    <w:p w14:paraId="3B988CF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6655425" w14:textId="77777777" w:rsidR="00000000" w:rsidRDefault="00EF48A2">
      <w:pPr>
        <w:pStyle w:val="a3"/>
        <w:spacing w:before="180" w:beforeAutospacing="0" w:after="0" w:afterAutospacing="0"/>
        <w:jc w:val="both"/>
        <w:rPr>
          <w:sz w:val="20"/>
          <w:szCs w:val="20"/>
        </w:rPr>
      </w:pPr>
      <w:r>
        <w:rPr>
          <w:sz w:val="20"/>
          <w:szCs w:val="20"/>
        </w:rPr>
        <w:t xml:space="preserve">significant costs for remedial measures to prevent future occurrences and mitigate past violations. Any potential security breach could also result in increased costs associated with liability for stolen assets or information, repairing system damage that </w:t>
      </w:r>
      <w:r>
        <w:rPr>
          <w:sz w:val="20"/>
          <w:szCs w:val="20"/>
        </w:rPr>
        <w:t>may have been caused by such breaches, incentives offered to clients or other business partners in an effort to maintain our business relationships after a breach and implementing measures to prevent future occurrences, including organizational changes, de</w:t>
      </w:r>
      <w:r>
        <w:rPr>
          <w:sz w:val="20"/>
          <w:szCs w:val="20"/>
        </w:rPr>
        <w:t>ploying additional personnel and protection technologies, training employees and engaging third-party experts and consultants. Although we maintain insurance covering certain security and privacy damages and claim expenses, we may not carry insurance or ma</w:t>
      </w:r>
      <w:r>
        <w:rPr>
          <w:sz w:val="20"/>
          <w:szCs w:val="20"/>
        </w:rPr>
        <w:t>intain coverage sufficient to compensate for all liability and we cannot be certain that our insurance coverage will be adequate for data security liabilities actually incurred, will cover any indemnification claims against us relating to any incident, wil</w:t>
      </w:r>
      <w:r>
        <w:rPr>
          <w:sz w:val="20"/>
          <w:szCs w:val="20"/>
        </w:rPr>
        <w:t>l continue to be available to us on economically reasonable terms, or at all, or that any insurer will not deny coverage as to any future claim. In any event, insurance coverage would not address the reputational damage that could result from a security in</w:t>
      </w:r>
      <w:r>
        <w:rPr>
          <w:sz w:val="20"/>
          <w:szCs w:val="20"/>
        </w:rPr>
        <w:t>cident</w:t>
      </w:r>
      <w:r>
        <w:rPr>
          <w:sz w:val="20"/>
          <w:szCs w:val="20"/>
        </w:rPr>
        <w:t>.</w:t>
      </w:r>
      <w:r>
        <w:rPr>
          <w:sz w:val="20"/>
          <w:szCs w:val="20"/>
        </w:rPr>
        <w:t xml:space="preserve"> </w:t>
      </w:r>
    </w:p>
    <w:p w14:paraId="5859FCE9" w14:textId="77777777" w:rsidR="00000000" w:rsidRDefault="00EF48A2">
      <w:pPr>
        <w:pStyle w:val="a3"/>
        <w:spacing w:before="180" w:beforeAutospacing="0" w:after="0" w:afterAutospacing="0"/>
        <w:jc w:val="both"/>
        <w:rPr>
          <w:sz w:val="20"/>
          <w:szCs w:val="20"/>
        </w:rPr>
      </w:pPr>
      <w:r>
        <w:rPr>
          <w:sz w:val="20"/>
          <w:szCs w:val="20"/>
        </w:rPr>
        <w:t>Data privacy is also subject to frequently changing laws, rules and regulations in the various jurisdictions in which we operate. Such initiatives around the country could increase the cost of developing, implementing or securing our servers and r</w:t>
      </w:r>
      <w:r>
        <w:rPr>
          <w:sz w:val="20"/>
          <w:szCs w:val="20"/>
        </w:rPr>
        <w:t>equire us to allocate more resources to improved technologies, adding to our IT and compliance costs. Our Board of Directors is briefed periodically on cybersecurity and risk management issues and we have implemented a number of processes to avoid cyber th</w:t>
      </w:r>
      <w:r>
        <w:rPr>
          <w:sz w:val="20"/>
          <w:szCs w:val="20"/>
        </w:rPr>
        <w:t xml:space="preserve">reats and to protect privacy. However, the processes we have implemented in connection with such initiatives may be insufficient to prevent or detect improper access to confidential, proprietary or sensitive data, including personal data. In addition, the </w:t>
      </w:r>
      <w:r>
        <w:rPr>
          <w:sz w:val="20"/>
          <w:szCs w:val="20"/>
        </w:rPr>
        <w:t>competition for talent in the data privacy and cybersecurity space is intense, and we may be unable to hire, develop or retain suitable talent capable of adequately detecting, mitigating or remediating these risks. Our failure to adhere to, or successfully</w:t>
      </w:r>
      <w:r>
        <w:rPr>
          <w:sz w:val="20"/>
          <w:szCs w:val="20"/>
        </w:rPr>
        <w:t xml:space="preserve"> implement processes in response to, changing legal or regulatory requirements in this area could result in legal liability or damage to our reputation in the marketplace</w:t>
      </w:r>
      <w:r>
        <w:rPr>
          <w:sz w:val="20"/>
          <w:szCs w:val="20"/>
        </w:rPr>
        <w:t>.</w:t>
      </w:r>
      <w:r>
        <w:rPr>
          <w:sz w:val="20"/>
          <w:szCs w:val="20"/>
        </w:rPr>
        <w:t xml:space="preserve"> </w:t>
      </w:r>
    </w:p>
    <w:p w14:paraId="0F485EF3" w14:textId="77777777" w:rsidR="00000000" w:rsidRDefault="00EF48A2">
      <w:pPr>
        <w:pStyle w:val="a3"/>
        <w:spacing w:before="180" w:beforeAutospacing="0" w:after="0" w:afterAutospacing="0"/>
        <w:jc w:val="both"/>
        <w:rPr>
          <w:sz w:val="20"/>
          <w:szCs w:val="20"/>
        </w:rPr>
      </w:pPr>
      <w:r>
        <w:rPr>
          <w:sz w:val="20"/>
          <w:szCs w:val="20"/>
        </w:rPr>
        <w:t>Should an attacker gain access to our network, including by way of example, using c</w:t>
      </w:r>
      <w:r>
        <w:rPr>
          <w:sz w:val="20"/>
          <w:szCs w:val="20"/>
        </w:rPr>
        <w:t>ompromised credentials of an authorized user, we are at risk that the attacker might successfully leverage that access to compromise additional systems and data. Certain measures that we currently have in place in order to increase the security of our syst</w:t>
      </w:r>
      <w:r>
        <w:rPr>
          <w:sz w:val="20"/>
          <w:szCs w:val="20"/>
        </w:rPr>
        <w:t xml:space="preserve">ems, such as data encryption (including data at rest encryption), heightened monitoring and logging, scanning for source code errors or deployment of multi-factor authentication, take significant time and resources to deploy broadly, and such measures may </w:t>
      </w:r>
      <w:r>
        <w:rPr>
          <w:sz w:val="20"/>
          <w:szCs w:val="20"/>
        </w:rPr>
        <w:t xml:space="preserve">not be deployed in a timely manner or be effective against an attack. As cybersecurity threats continue to evolve, we may be required to expend significant additional resources to continue to modify or enhance our protective measures or to investigate and </w:t>
      </w:r>
      <w:r>
        <w:rPr>
          <w:sz w:val="20"/>
          <w:szCs w:val="20"/>
        </w:rPr>
        <w:t>remediate any information security vulnerabilities. The inability to implement, maintain and upgrade adequate safeguards could have a material adverse effect on our business</w:t>
      </w:r>
      <w:r>
        <w:rPr>
          <w:sz w:val="20"/>
          <w:szCs w:val="20"/>
        </w:rPr>
        <w:t>.</w:t>
      </w:r>
      <w:r>
        <w:rPr>
          <w:sz w:val="20"/>
          <w:szCs w:val="20"/>
        </w:rPr>
        <w:t xml:space="preserve"> </w:t>
      </w:r>
    </w:p>
    <w:p w14:paraId="666F3DC2" w14:textId="77777777" w:rsidR="00000000" w:rsidRDefault="00EF48A2">
      <w:pPr>
        <w:pStyle w:val="a3"/>
        <w:spacing w:before="180" w:beforeAutospacing="0" w:after="0" w:afterAutospacing="0"/>
        <w:jc w:val="both"/>
        <w:rPr>
          <w:sz w:val="20"/>
          <w:szCs w:val="20"/>
        </w:rPr>
      </w:pPr>
      <w:r>
        <w:rPr>
          <w:sz w:val="20"/>
          <w:szCs w:val="20"/>
        </w:rPr>
        <w:t>Our information systems must be continually updated, patched and upgraded to pro</w:t>
      </w:r>
      <w:r>
        <w:rPr>
          <w:sz w:val="20"/>
          <w:szCs w:val="20"/>
        </w:rPr>
        <w:t xml:space="preserve">tect against known vulnerabilities. The volume of new vulnerabilities has increased markedly, as has the criticality of patches and other remedial measures. In addition to remediating newly identified vulnerabilities, previously identified vulnerabilities </w:t>
      </w:r>
      <w:r>
        <w:rPr>
          <w:sz w:val="20"/>
          <w:szCs w:val="20"/>
        </w:rPr>
        <w:t>must also be continuously addressed. Accordingly, we are at risk that cyber-attackers exploit these known vulnerabilities before they have been addressed. Any failure related to these activities and any breach of our information systems could result in sig</w:t>
      </w:r>
      <w:r>
        <w:rPr>
          <w:sz w:val="20"/>
          <w:szCs w:val="20"/>
        </w:rPr>
        <w:t>nificant liability and/or have a material adverse effect on our business, reputation and financial condition</w:t>
      </w:r>
      <w:r>
        <w:rPr>
          <w:sz w:val="20"/>
          <w:szCs w:val="20"/>
        </w:rPr>
        <w:t>.</w:t>
      </w:r>
    </w:p>
    <w:p w14:paraId="54A11F21" w14:textId="77777777" w:rsidR="00000000" w:rsidRDefault="00EF48A2">
      <w:pPr>
        <w:pStyle w:val="a3"/>
        <w:spacing w:before="180" w:beforeAutospacing="0" w:after="0" w:afterAutospacing="0"/>
        <w:jc w:val="both"/>
        <w:rPr>
          <w:sz w:val="20"/>
          <w:szCs w:val="20"/>
        </w:rPr>
      </w:pPr>
      <w:r>
        <w:rPr>
          <w:sz w:val="20"/>
          <w:szCs w:val="20"/>
        </w:rPr>
        <w:t>Due to applicable laws and regulations or contractual obligations, we may be held responsible for any information security failure or cyber-attack</w:t>
      </w:r>
      <w:r>
        <w:rPr>
          <w:sz w:val="20"/>
          <w:szCs w:val="20"/>
        </w:rPr>
        <w:t xml:space="preserve"> attributed to our vendors as they relate to the information we share with them. In addition, because we do not control our vendors and our ability to monitor their data security is limited, we cannot ensure the security measures they take will be sufficie</w:t>
      </w:r>
      <w:r>
        <w:rPr>
          <w:sz w:val="20"/>
          <w:szCs w:val="20"/>
        </w:rPr>
        <w:t>nt to protect confidential, proprietary, or sensitive data, including personal data. Regardless of whether an actual or perceived cyber-attack is attributable to us or our vendors, such an incident could, among other things, result in improper disclosure o</w:t>
      </w:r>
      <w:r>
        <w:rPr>
          <w:sz w:val="20"/>
          <w:szCs w:val="20"/>
        </w:rPr>
        <w:t>f information, harm our reputation and brand, reduce the demand for our products and services, lead to loss of client confidence in the effectiveness of our security measures, disrupt normal business operations or result in our systems or products and serv</w:t>
      </w:r>
      <w:r>
        <w:rPr>
          <w:sz w:val="20"/>
          <w:szCs w:val="20"/>
        </w:rPr>
        <w:t>ices being unavailable. In addition, it may require us to spend material resources to investigate or correct the breach and to prevent future security breaches and incidents, expose us to uninsured liability, increase our risk of regulatory scrutiny, expos</w:t>
      </w:r>
      <w:r>
        <w:rPr>
          <w:sz w:val="20"/>
          <w:szCs w:val="20"/>
        </w:rPr>
        <w:t>e us to legal liabilities, including litigation, regulatory enforcement, indemnity obligations or damages for contract breach, divert the attention of management from the operation of our business and cause us to incur significant costs, any of which could</w:t>
      </w:r>
      <w:r>
        <w:rPr>
          <w:sz w:val="20"/>
          <w:szCs w:val="20"/>
        </w:rPr>
        <w:t xml:space="preserve"> affect our financial condition, operating results and our reputation. No material cybersecurity incidents have occurred during the year ended December 31, 2022</w:t>
      </w:r>
      <w:r>
        <w:rPr>
          <w:sz w:val="20"/>
          <w:szCs w:val="20"/>
        </w:rPr>
        <w:t>.</w:t>
      </w:r>
    </w:p>
    <w:p w14:paraId="44342528" w14:textId="77777777" w:rsidR="00000000" w:rsidRDefault="00EF48A2">
      <w:pPr>
        <w:pStyle w:val="a3"/>
        <w:spacing w:before="0" w:beforeAutospacing="0" w:after="0" w:afterAutospacing="0"/>
        <w:rPr>
          <w:sz w:val="20"/>
          <w:szCs w:val="20"/>
        </w:rPr>
      </w:pPr>
      <w:r>
        <w:rPr>
          <w:sz w:val="20"/>
          <w:szCs w:val="20"/>
        </w:rPr>
        <w:t> </w:t>
      </w:r>
    </w:p>
    <w:p w14:paraId="1F824627"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2</w:t>
      </w:r>
    </w:p>
    <w:p w14:paraId="63C9F8BE" w14:textId="77777777" w:rsidR="00000000" w:rsidRDefault="00EF48A2">
      <w:pPr>
        <w:rPr>
          <w:rFonts w:eastAsia="Times New Roman"/>
        </w:rPr>
      </w:pPr>
      <w:r>
        <w:rPr>
          <w:rFonts w:eastAsia="Times New Roman"/>
        </w:rPr>
        <w:pict w14:anchorId="20E0872D">
          <v:rect id="_x0000_i1049" style="width:0;height:1.5pt" o:hralign="center" o:hrstd="t" o:hr="t" fillcolor="#a0a0a0" stroked="f"/>
        </w:pict>
      </w:r>
    </w:p>
    <w:p w14:paraId="5658822A"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C8669BD" w14:textId="77777777" w:rsidR="00000000" w:rsidRDefault="00EF48A2">
      <w:pPr>
        <w:pStyle w:val="a3"/>
        <w:spacing w:before="240" w:beforeAutospacing="0" w:after="0" w:afterAutospacing="0"/>
        <w:jc w:val="both"/>
        <w:rPr>
          <w:sz w:val="20"/>
          <w:szCs w:val="20"/>
        </w:rPr>
      </w:pPr>
      <w:r>
        <w:rPr>
          <w:b/>
          <w:bCs/>
          <w:i/>
          <w:iCs/>
          <w:sz w:val="20"/>
          <w:szCs w:val="20"/>
        </w:rPr>
        <w:t>There may be adverse tax, legal and other consequences if the employment status of providers on our platform is challenged</w:t>
      </w:r>
      <w:r>
        <w:rPr>
          <w:b/>
          <w:bCs/>
          <w:i/>
          <w:iCs/>
          <w:sz w:val="20"/>
          <w:szCs w:val="20"/>
        </w:rPr>
        <w:t>.</w:t>
      </w:r>
      <w:r>
        <w:rPr>
          <w:b/>
          <w:bCs/>
          <w:i/>
          <w:iCs/>
          <w:sz w:val="20"/>
          <w:szCs w:val="20"/>
        </w:rPr>
        <w:t xml:space="preserve"> </w:t>
      </w:r>
    </w:p>
    <w:p w14:paraId="6B934163" w14:textId="77777777" w:rsidR="00000000" w:rsidRDefault="00EF48A2">
      <w:pPr>
        <w:pStyle w:val="a3"/>
        <w:spacing w:before="180" w:beforeAutospacing="0" w:after="0" w:afterAutospacing="0"/>
        <w:jc w:val="both"/>
        <w:rPr>
          <w:sz w:val="20"/>
          <w:szCs w:val="20"/>
        </w:rPr>
      </w:pPr>
      <w:r>
        <w:rPr>
          <w:sz w:val="20"/>
          <w:szCs w:val="20"/>
        </w:rPr>
        <w:t xml:space="preserve">There is often uncertainty in the application </w:t>
      </w:r>
      <w:r>
        <w:rPr>
          <w:sz w:val="20"/>
          <w:szCs w:val="20"/>
        </w:rPr>
        <w:t xml:space="preserve">of worker classification laws, especially in the medical field where individuals are required to hold professional licenses, and, consequently, there is risk that providers could be deemed to be misclassified under applicable law. We and TPN structure our </w:t>
      </w:r>
      <w:r>
        <w:rPr>
          <w:sz w:val="20"/>
          <w:szCs w:val="20"/>
        </w:rPr>
        <w:t>relationships with the majority of our respective providers in a manner that we believe results in an independent contractor relationship, not an employee relationship. The tests governing whether a service provider is an independent contractor, or an empl</w:t>
      </w:r>
      <w:r>
        <w:rPr>
          <w:sz w:val="20"/>
          <w:szCs w:val="20"/>
        </w:rPr>
        <w:t>oyee are typically highly fact sensitive and vary by governing law. An independent contractor is generally distinguished from an employee by his or her degree of autonomy and independence in providing services. A high degree of autonomy and independence is</w:t>
      </w:r>
      <w:r>
        <w:rPr>
          <w:sz w:val="20"/>
          <w:szCs w:val="20"/>
        </w:rPr>
        <w:t xml:space="preserve"> generally indicative of a contractor relationship, while a high degree of control is generally indicative of an employment relationship. Although we believe that our and TPN’s providers are properly characterized as independent contractors, tax or other r</w:t>
      </w:r>
      <w:r>
        <w:rPr>
          <w:sz w:val="20"/>
          <w:szCs w:val="20"/>
        </w:rPr>
        <w:t xml:space="preserve">egulatory authorities may in the future challenge our characterization of these relationships. An actual or alleged misclassification determination creates potential exposure for us, including but not limited to: monetary exposure arising from or relating </w:t>
      </w:r>
      <w:r>
        <w:rPr>
          <w:sz w:val="20"/>
          <w:szCs w:val="20"/>
        </w:rPr>
        <w:t>to failure to withhold and remit taxes, unpaid wages and wage and hour laws and requirements (such as those pertaining to minimum wage and overtime); claims for employee benefits, social security, Medicare, workers’ compensation and unemployment; claims of</w:t>
      </w:r>
      <w:r>
        <w:rPr>
          <w:sz w:val="20"/>
          <w:szCs w:val="20"/>
        </w:rPr>
        <w:t xml:space="preserve"> discrimination, harassment and retaliation under civil rights laws; claims under laws pertaining to unionizing, collective bargaining and other concerted activity; and other claims, charges, or other proceedings under laws and regulations applicable to em</w:t>
      </w:r>
      <w:r>
        <w:rPr>
          <w:sz w:val="20"/>
          <w:szCs w:val="20"/>
        </w:rPr>
        <w:t>ployers and employees, including risks relating to allegations of joint employer liability. Such claims could result in monetary damages or other liability, and any adverse determination, including potentially the requirement for us to indemnify a user, co</w:t>
      </w:r>
      <w:r>
        <w:rPr>
          <w:sz w:val="20"/>
          <w:szCs w:val="20"/>
        </w:rPr>
        <w:t xml:space="preserve">uld also harm our brand, which could materially and adversely affect our business, prospects, financial condition and results of operations. While these risks are mitigated, in part, by our contractual rights of indemnification against third-party claims, </w:t>
      </w:r>
      <w:r>
        <w:rPr>
          <w:sz w:val="20"/>
          <w:szCs w:val="20"/>
        </w:rPr>
        <w:t>such indemnification agreements could be determined to be unenforceable or costly to enforce and indemnification under such agreements may otherwise prove inadequate. As a result, any determination that our and/or TPN’s providers are employees could have a</w:t>
      </w:r>
      <w:r>
        <w:rPr>
          <w:sz w:val="20"/>
          <w:szCs w:val="20"/>
        </w:rPr>
        <w:t xml:space="preserve"> material adverse effect on our business, financial condition and results of operations</w:t>
      </w:r>
      <w:r>
        <w:rPr>
          <w:sz w:val="20"/>
          <w:szCs w:val="20"/>
        </w:rPr>
        <w:t>.</w:t>
      </w:r>
      <w:r>
        <w:rPr>
          <w:sz w:val="20"/>
          <w:szCs w:val="20"/>
        </w:rPr>
        <w:t xml:space="preserve"> </w:t>
      </w:r>
    </w:p>
    <w:p w14:paraId="0B4068FB" w14:textId="77777777" w:rsidR="00000000" w:rsidRDefault="00EF48A2">
      <w:pPr>
        <w:pStyle w:val="a3"/>
        <w:spacing w:before="240" w:beforeAutospacing="0" w:after="0" w:afterAutospacing="0"/>
        <w:jc w:val="both"/>
        <w:rPr>
          <w:sz w:val="20"/>
          <w:szCs w:val="20"/>
        </w:rPr>
      </w:pPr>
      <w:r>
        <w:rPr>
          <w:b/>
          <w:bCs/>
          <w:i/>
          <w:iCs/>
          <w:sz w:val="20"/>
          <w:szCs w:val="20"/>
        </w:rPr>
        <w:t>Changes in consumer sentiment or laws, rules or regulations regarding the use of cookies and other tracking technologies and other privacy matters could have a materi</w:t>
      </w:r>
      <w:r>
        <w:rPr>
          <w:b/>
          <w:bCs/>
          <w:i/>
          <w:iCs/>
          <w:sz w:val="20"/>
          <w:szCs w:val="20"/>
        </w:rPr>
        <w:t>al adverse effect on our ability to generate net revenues and could adversely affect our ability to collect proprietary data on consumer behavior</w:t>
      </w:r>
      <w:r>
        <w:rPr>
          <w:b/>
          <w:bCs/>
          <w:i/>
          <w:iCs/>
          <w:sz w:val="20"/>
          <w:szCs w:val="20"/>
        </w:rPr>
        <w:t>.</w:t>
      </w:r>
      <w:r>
        <w:rPr>
          <w:b/>
          <w:bCs/>
          <w:i/>
          <w:iCs/>
          <w:sz w:val="20"/>
          <w:szCs w:val="20"/>
        </w:rPr>
        <w:t xml:space="preserve"> </w:t>
      </w:r>
    </w:p>
    <w:p w14:paraId="41081BF5" w14:textId="77777777" w:rsidR="00000000" w:rsidRDefault="00EF48A2">
      <w:pPr>
        <w:pStyle w:val="a3"/>
        <w:spacing w:before="180" w:beforeAutospacing="0" w:after="0" w:afterAutospacing="0"/>
        <w:jc w:val="both"/>
        <w:rPr>
          <w:sz w:val="20"/>
          <w:szCs w:val="20"/>
        </w:rPr>
      </w:pPr>
      <w:r>
        <w:rPr>
          <w:sz w:val="20"/>
          <w:szCs w:val="20"/>
        </w:rPr>
        <w:t>Consumers may become increasingly resistant to the collection, use and sharing of information online, includ</w:t>
      </w:r>
      <w:r>
        <w:rPr>
          <w:sz w:val="20"/>
          <w:szCs w:val="20"/>
        </w:rPr>
        <w:t>ing information used to deliver and optimize advertising, and take steps to prevent such collection, use and sharing of information. For example, consumer complaints and/or lawsuits regarding online advertising or the use of cookies or other tracking techn</w:t>
      </w:r>
      <w:r>
        <w:rPr>
          <w:sz w:val="20"/>
          <w:szCs w:val="20"/>
        </w:rPr>
        <w:t>ologies in general and our practices specifically could adversely impact our business</w:t>
      </w:r>
      <w:r>
        <w:rPr>
          <w:sz w:val="20"/>
          <w:szCs w:val="20"/>
        </w:rPr>
        <w:t>.</w:t>
      </w:r>
      <w:r>
        <w:rPr>
          <w:sz w:val="20"/>
          <w:szCs w:val="20"/>
        </w:rPr>
        <w:t xml:space="preserve"> </w:t>
      </w:r>
    </w:p>
    <w:p w14:paraId="6F255760" w14:textId="77777777" w:rsidR="00000000" w:rsidRDefault="00EF48A2">
      <w:pPr>
        <w:pStyle w:val="a3"/>
        <w:spacing w:before="180" w:beforeAutospacing="0" w:after="0" w:afterAutospacing="0"/>
        <w:jc w:val="both"/>
        <w:rPr>
          <w:sz w:val="20"/>
          <w:szCs w:val="20"/>
        </w:rPr>
      </w:pPr>
      <w:r>
        <w:rPr>
          <w:sz w:val="20"/>
          <w:szCs w:val="20"/>
        </w:rPr>
        <w:t>Consumers can currently opt out of the placement or use of most cookies for online advertising purposes by either deleting or disabling cookies on their browsers, visit</w:t>
      </w:r>
      <w:r>
        <w:rPr>
          <w:sz w:val="20"/>
          <w:szCs w:val="20"/>
        </w:rPr>
        <w:t>ing websites that allow consumers to place an opt-out cookie on their browsers, which instructs participating entities not to use certain data about consumers’ online activity for the delivery of targeted advertising, or by downloading browser plug-ins and</w:t>
      </w:r>
      <w:r>
        <w:rPr>
          <w:sz w:val="20"/>
          <w:szCs w:val="20"/>
        </w:rPr>
        <w:t xml:space="preserve"> other tools that can be set to: identify cookies and other tracking technologies used on websites; prevent websites from placing third-party cookies and other tracking technologies on the consumer’s browser; or block the delivery of online advertisements </w:t>
      </w:r>
      <w:r>
        <w:rPr>
          <w:sz w:val="20"/>
          <w:szCs w:val="20"/>
        </w:rPr>
        <w:t>on apps and websites</w:t>
      </w:r>
      <w:r>
        <w:rPr>
          <w:sz w:val="20"/>
          <w:szCs w:val="20"/>
        </w:rPr>
        <w:t>.</w:t>
      </w:r>
      <w:r>
        <w:rPr>
          <w:sz w:val="20"/>
          <w:szCs w:val="20"/>
        </w:rPr>
        <w:t xml:space="preserve"> </w:t>
      </w:r>
    </w:p>
    <w:p w14:paraId="0695E1C2" w14:textId="77777777" w:rsidR="00000000" w:rsidRDefault="00EF48A2">
      <w:pPr>
        <w:pStyle w:val="a3"/>
        <w:spacing w:before="180" w:beforeAutospacing="0" w:after="0" w:afterAutospacing="0"/>
        <w:jc w:val="both"/>
        <w:rPr>
          <w:sz w:val="20"/>
          <w:szCs w:val="20"/>
        </w:rPr>
      </w:pPr>
      <w:r>
        <w:rPr>
          <w:sz w:val="20"/>
          <w:szCs w:val="20"/>
        </w:rPr>
        <w:t>We are subject to evolving EU and UK privacy laws on cookies and e-marketing. In the EU and the UK, under national laws derived from the ePrivacy Directive, informed consent is required for the placement of a cookie or similar techno</w:t>
      </w:r>
      <w:r>
        <w:rPr>
          <w:sz w:val="20"/>
          <w:szCs w:val="20"/>
        </w:rPr>
        <w:t>logies on a user’s device and generally for direct electronic marketing to consumers. The General Data Protection Regulation (“GDPR”) also imposes conditions on obtaining valid consent, such as a prohibition on pre-checked consents and a requirement to ens</w:t>
      </w:r>
      <w:r>
        <w:rPr>
          <w:sz w:val="20"/>
          <w:szCs w:val="20"/>
        </w:rPr>
        <w:t>ure separate consents are sought for each type of cookie or similar technology. The current national laws that implement the ePrivacy Directive are highly likely to be replaced across the EU (but not directly in the UK) by an EU regulation known as the ePr</w:t>
      </w:r>
      <w:r>
        <w:rPr>
          <w:sz w:val="20"/>
          <w:szCs w:val="20"/>
        </w:rPr>
        <w:t>ivacy Regulation which will significantly increase fines for non-compliance</w:t>
      </w:r>
      <w:r>
        <w:rPr>
          <w:sz w:val="20"/>
          <w:szCs w:val="20"/>
        </w:rPr>
        <w:t>.</w:t>
      </w:r>
      <w:r>
        <w:rPr>
          <w:sz w:val="20"/>
          <w:szCs w:val="20"/>
        </w:rPr>
        <w:t xml:space="preserve"> </w:t>
      </w:r>
    </w:p>
    <w:p w14:paraId="3F0287E6" w14:textId="77777777" w:rsidR="00000000" w:rsidRDefault="00EF48A2">
      <w:pPr>
        <w:pStyle w:val="a3"/>
        <w:spacing w:before="180" w:beforeAutospacing="0" w:after="0" w:afterAutospacing="0"/>
        <w:jc w:val="both"/>
        <w:rPr>
          <w:sz w:val="20"/>
          <w:szCs w:val="20"/>
        </w:rPr>
      </w:pPr>
      <w:r>
        <w:rPr>
          <w:sz w:val="20"/>
          <w:szCs w:val="20"/>
        </w:rPr>
        <w:t>There is a trend of increasing enforcement by regulators of the strict approach in recent guidance and decisions which could lead to substantial costs, require significant system</w:t>
      </w:r>
      <w:r>
        <w:rPr>
          <w:sz w:val="20"/>
          <w:szCs w:val="20"/>
        </w:rPr>
        <w:t>s changes, limit the effectiveness of our marketing activities, divert the attention of our technology personnel, adversely affect our margins, increase costs and subject us to additional liabilities. Regulation of cookies and similar technologies, and any</w:t>
      </w:r>
      <w:r>
        <w:rPr>
          <w:sz w:val="20"/>
          <w:szCs w:val="20"/>
        </w:rPr>
        <w:t xml:space="preserve"> decline of cookies or similar online tracking technologies as a means to identify and potentially target users, may lead to broader restrictions and impairments on our marketing and personalization activities and may negatively impact our efforts to under</w:t>
      </w:r>
      <w:r>
        <w:rPr>
          <w:sz w:val="20"/>
          <w:szCs w:val="20"/>
        </w:rPr>
        <w:t>stand users</w:t>
      </w:r>
      <w:r>
        <w:rPr>
          <w:sz w:val="20"/>
          <w:szCs w:val="20"/>
        </w:rPr>
        <w:t>.</w:t>
      </w:r>
      <w:r>
        <w:rPr>
          <w:sz w:val="20"/>
          <w:szCs w:val="20"/>
        </w:rPr>
        <w:t xml:space="preserve"> </w:t>
      </w:r>
    </w:p>
    <w:p w14:paraId="5F2453C6"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3</w:t>
      </w:r>
    </w:p>
    <w:p w14:paraId="0FAECF3D" w14:textId="77777777" w:rsidR="00000000" w:rsidRDefault="00EF48A2">
      <w:pPr>
        <w:rPr>
          <w:rFonts w:eastAsia="Times New Roman"/>
        </w:rPr>
      </w:pPr>
      <w:r>
        <w:rPr>
          <w:rFonts w:eastAsia="Times New Roman"/>
        </w:rPr>
        <w:pict w14:anchorId="60AE9579">
          <v:rect id="_x0000_i1050" style="width:0;height:1.5pt" o:hralign="center" o:hrstd="t" o:hr="t" fillcolor="#a0a0a0" stroked="f"/>
        </w:pict>
      </w:r>
    </w:p>
    <w:p w14:paraId="405117C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208EA42" w14:textId="77777777" w:rsidR="00000000" w:rsidRDefault="00EF48A2">
      <w:pPr>
        <w:pStyle w:val="a3"/>
        <w:spacing w:before="180" w:beforeAutospacing="0" w:after="0" w:afterAutospacing="0"/>
        <w:jc w:val="both"/>
        <w:rPr>
          <w:sz w:val="20"/>
          <w:szCs w:val="20"/>
        </w:rPr>
      </w:pPr>
      <w:r>
        <w:rPr>
          <w:sz w:val="20"/>
          <w:szCs w:val="20"/>
        </w:rPr>
        <w:t>In response to marketplace concerns about the usage of third-party cookies and web beacons to track user behaviors, providers of major browsers have incl</w:t>
      </w:r>
      <w:r>
        <w:rPr>
          <w:sz w:val="20"/>
          <w:szCs w:val="20"/>
        </w:rPr>
        <w:t xml:space="preserve">uded features that allow users to limit the collection of certain data generally or from specified websites. In addition, various software tools and applications have been developed that can block advertisements from a consumer’s screen or allow consumers </w:t>
      </w:r>
      <w:r>
        <w:rPr>
          <w:sz w:val="20"/>
          <w:szCs w:val="20"/>
        </w:rPr>
        <w:t>to shift the location in which advertising appears on webpages or opt out of display, search and internet-based advertising entirely. In addition, changes in device and software features could make it easier for internet users to prevent the placement of c</w:t>
      </w:r>
      <w:r>
        <w:rPr>
          <w:sz w:val="20"/>
          <w:szCs w:val="20"/>
        </w:rPr>
        <w:t xml:space="preserve">ookies or to block other tracking technologies. In particular, the default settings of consumer devices and software may be set to prevent the placement of cookies unless the user actively elects to allow them. Various industry participants have worked to </w:t>
      </w:r>
      <w:r>
        <w:rPr>
          <w:sz w:val="20"/>
          <w:szCs w:val="20"/>
        </w:rPr>
        <w:t>develop and finalize standards relating to a mechanism in which consumers choose whether to allow the tracking of their online search and browsing activities, and such standards may be implemented and adopted by industry participants at any time. These dev</w:t>
      </w:r>
      <w:r>
        <w:rPr>
          <w:sz w:val="20"/>
          <w:szCs w:val="20"/>
        </w:rPr>
        <w:t>elopments could impair our ability to collect user information, including personal data and usage information, that helps us provide more targeted advertising to our current and prospective consumers, which could adversely affect our business, given our us</w:t>
      </w:r>
      <w:r>
        <w:rPr>
          <w:sz w:val="20"/>
          <w:szCs w:val="20"/>
        </w:rPr>
        <w:t>e of cookies and similar technologies to target our marketing and personalize the consumer experience</w:t>
      </w:r>
      <w:r>
        <w:rPr>
          <w:sz w:val="20"/>
          <w:szCs w:val="20"/>
        </w:rPr>
        <w:t>.</w:t>
      </w:r>
    </w:p>
    <w:p w14:paraId="2B0FA0B9" w14:textId="77777777" w:rsidR="00000000" w:rsidRDefault="00EF48A2">
      <w:pPr>
        <w:pStyle w:val="a3"/>
        <w:spacing w:before="180" w:beforeAutospacing="0" w:after="0" w:afterAutospacing="0"/>
        <w:jc w:val="both"/>
        <w:rPr>
          <w:sz w:val="20"/>
          <w:szCs w:val="20"/>
        </w:rPr>
      </w:pPr>
      <w:r>
        <w:rPr>
          <w:sz w:val="20"/>
          <w:szCs w:val="20"/>
        </w:rPr>
        <w:t>If consumer sentiment regarding privacy issues or the development and deployment of new browser solutions or other Do Not Track mechanisms result in a ma</w:t>
      </w:r>
      <w:r>
        <w:rPr>
          <w:sz w:val="20"/>
          <w:szCs w:val="20"/>
        </w:rPr>
        <w:t>terial increase in the number of consumers who choose to opt out or block cookies and other tracking technologies or who are otherwise using browsers where they need to, and fail to, allow the browser to accept cookies, or otherwise result in cookies or ot</w:t>
      </w:r>
      <w:r>
        <w:rPr>
          <w:sz w:val="20"/>
          <w:szCs w:val="20"/>
        </w:rPr>
        <w:t>her tracking technologies not functioning properly, our ability to advertise effectively and conduct our business, and our results of operations and financial condition would be adversely affected</w:t>
      </w:r>
      <w:r>
        <w:rPr>
          <w:sz w:val="20"/>
          <w:szCs w:val="20"/>
        </w:rPr>
        <w:t>.</w:t>
      </w:r>
    </w:p>
    <w:p w14:paraId="11959C46" w14:textId="77777777" w:rsidR="00000000" w:rsidRDefault="00EF48A2">
      <w:pPr>
        <w:pStyle w:val="a3"/>
        <w:spacing w:before="240" w:beforeAutospacing="0" w:after="0" w:afterAutospacing="0"/>
        <w:rPr>
          <w:sz w:val="20"/>
          <w:szCs w:val="20"/>
        </w:rPr>
      </w:pPr>
      <w:r>
        <w:rPr>
          <w:b/>
          <w:bCs/>
          <w:i/>
          <w:iCs/>
          <w:sz w:val="20"/>
          <w:szCs w:val="20"/>
        </w:rPr>
        <w:t>Changes in tax laws could adversely affect our operating r</w:t>
      </w:r>
      <w:r>
        <w:rPr>
          <w:b/>
          <w:bCs/>
          <w:i/>
          <w:iCs/>
          <w:sz w:val="20"/>
          <w:szCs w:val="20"/>
        </w:rPr>
        <w:t>esults and financial condition</w:t>
      </w:r>
      <w:r>
        <w:rPr>
          <w:b/>
          <w:bCs/>
          <w:i/>
          <w:iCs/>
          <w:sz w:val="20"/>
          <w:szCs w:val="20"/>
        </w:rPr>
        <w:t>.</w:t>
      </w:r>
      <w:r>
        <w:rPr>
          <w:sz w:val="20"/>
          <w:szCs w:val="20"/>
        </w:rPr>
        <w:t xml:space="preserve"> </w:t>
      </w:r>
    </w:p>
    <w:p w14:paraId="3398E35A" w14:textId="77777777" w:rsidR="00000000" w:rsidRDefault="00EF48A2">
      <w:pPr>
        <w:pStyle w:val="a3"/>
        <w:spacing w:before="240" w:beforeAutospacing="0" w:after="0" w:afterAutospacing="0"/>
        <w:jc w:val="both"/>
        <w:rPr>
          <w:sz w:val="20"/>
          <w:szCs w:val="20"/>
        </w:rPr>
      </w:pPr>
      <w:r>
        <w:rPr>
          <w:sz w:val="20"/>
          <w:szCs w:val="20"/>
        </w:rPr>
        <w:t>We may be subject to changes in tax laws and have additional tax liabilities. We are subject to changes in tax laws, treaties or regulations and the interpretation or enforcement thereof in the United States and in jurisdic</w:t>
      </w:r>
      <w:r>
        <w:rPr>
          <w:sz w:val="20"/>
          <w:szCs w:val="20"/>
        </w:rPr>
        <w:t>tions in which we or any of our subsidiaries operate or are organized, and any such changes could have a material effect on our results of operations and liquidity. In October 2021, the Group of 20 endorsed a new global minimum tax rate for large multinati</w:t>
      </w:r>
      <w:r>
        <w:rPr>
          <w:sz w:val="20"/>
          <w:szCs w:val="20"/>
        </w:rPr>
        <w:t xml:space="preserve">onal companies, which also has the support of a large number of countries and territories responsible for the overwhelming majority of global economic output. To take effect, the minimum tax would need to be implemented by each jurisdiction. It is not yet </w:t>
      </w:r>
      <w:r>
        <w:rPr>
          <w:sz w:val="20"/>
          <w:szCs w:val="20"/>
        </w:rPr>
        <w:t>clear how such a minimum tax would impact our business. The Tax Cuts and Jobs Act of 2017 (“Tax Reform Act”) adopted sweeping changes to the U.S. Internal Revenue Code which also could have a material adverse effect on our financial condition and results o</w:t>
      </w:r>
      <w:r>
        <w:rPr>
          <w:sz w:val="20"/>
          <w:szCs w:val="20"/>
        </w:rPr>
        <w:t>f operations. In addition to lowering the U.S. corporate income tax rate and numerous other changes, the law imposes more stringent limitations on the deductibility of net operating losses and imposes a type of minimum tax designed to reduce the benefits d</w:t>
      </w:r>
      <w:r>
        <w:rPr>
          <w:sz w:val="20"/>
          <w:szCs w:val="20"/>
        </w:rPr>
        <w:t>erived from intercompany transactions and payments that result in base erosion. Although the Tax Reform Act has not had a material effect on our financial statements to date, if these tax laws, treaties or regulations change or any tax authority successful</w:t>
      </w:r>
      <w:r>
        <w:rPr>
          <w:sz w:val="20"/>
          <w:szCs w:val="20"/>
        </w:rPr>
        <w:t>ly challenges our assessment of the effects of such laws, treaties and regulations it could have a material adverse effect on us, resulting in a higher effective tax rate on our consolidated earnings or a reclassification of the tax effects of our signific</w:t>
      </w:r>
      <w:r>
        <w:rPr>
          <w:sz w:val="20"/>
          <w:szCs w:val="20"/>
        </w:rPr>
        <w:t xml:space="preserve">ant corporate restructuring transactions. On August 16, 2022, the Inflation Reduction Act (“IRA”) was signed into law in the United States. Among other provisions, the IRA includes a 15% corporate minimum tax rate applied to certain large corporations and </w:t>
      </w:r>
      <w:r>
        <w:rPr>
          <w:sz w:val="20"/>
          <w:szCs w:val="20"/>
        </w:rPr>
        <w:t>a 1% excise tax on corporate stock repurchases made after December 31, 2022. We do not expect the IRA to have a material impact to the Company</w:t>
      </w:r>
      <w:r>
        <w:rPr>
          <w:sz w:val="20"/>
          <w:szCs w:val="20"/>
        </w:rPr>
        <w:t>.</w:t>
      </w:r>
    </w:p>
    <w:p w14:paraId="0B56B6D6" w14:textId="77777777" w:rsidR="00000000" w:rsidRDefault="00EF48A2">
      <w:pPr>
        <w:pStyle w:val="a3"/>
        <w:spacing w:before="240" w:beforeAutospacing="0" w:after="0" w:afterAutospacing="0"/>
        <w:jc w:val="both"/>
        <w:rPr>
          <w:sz w:val="20"/>
          <w:szCs w:val="20"/>
        </w:rPr>
      </w:pPr>
      <w:r>
        <w:rPr>
          <w:b/>
          <w:bCs/>
          <w:i/>
          <w:iCs/>
          <w:sz w:val="20"/>
          <w:szCs w:val="20"/>
        </w:rPr>
        <w:t xml:space="preserve">Certain U.S. state and local tax authorities may assert that we have a nexus with such states or localities and </w:t>
      </w:r>
      <w:r>
        <w:rPr>
          <w:b/>
          <w:bCs/>
          <w:i/>
          <w:iCs/>
          <w:sz w:val="20"/>
          <w:szCs w:val="20"/>
        </w:rPr>
        <w:t>may seek to impose state and local income taxes on our income allocated to such state and localities and assert we are required to collect sales and use taxes</w:t>
      </w:r>
      <w:r>
        <w:rPr>
          <w:b/>
          <w:bCs/>
          <w:i/>
          <w:iCs/>
          <w:sz w:val="20"/>
          <w:szCs w:val="20"/>
        </w:rPr>
        <w:t>.</w:t>
      </w:r>
    </w:p>
    <w:p w14:paraId="18B0D9A1" w14:textId="77777777" w:rsidR="00000000" w:rsidRDefault="00EF48A2">
      <w:pPr>
        <w:pStyle w:val="a3"/>
        <w:spacing w:before="180" w:beforeAutospacing="0" w:after="0" w:afterAutospacing="0"/>
        <w:jc w:val="both"/>
        <w:rPr>
          <w:sz w:val="20"/>
          <w:szCs w:val="20"/>
        </w:rPr>
      </w:pPr>
      <w:r>
        <w:rPr>
          <w:sz w:val="20"/>
          <w:szCs w:val="20"/>
        </w:rPr>
        <w:t>There is a risk that certain state tax authorities where we do not currently file a state income</w:t>
      </w:r>
      <w:r>
        <w:rPr>
          <w:sz w:val="20"/>
          <w:szCs w:val="20"/>
        </w:rPr>
        <w:t xml:space="preserve"> tax return could assert that we are liable for state and local income taxes based upon income or gross receipts allocable to such states or localities. States and localities are becoming increasingly aggressive in asserting nexus for state and local incom</w:t>
      </w:r>
      <w:r>
        <w:rPr>
          <w:sz w:val="20"/>
          <w:szCs w:val="20"/>
        </w:rPr>
        <w:t xml:space="preserve">e tax purposes. We could be subject to additional state and local income taxation, including penalties and interest attributable to prior periods, if a state or local tax authority in a state or locality where we do not currently file an income tax return </w:t>
      </w:r>
      <w:r>
        <w:rPr>
          <w:sz w:val="20"/>
          <w:szCs w:val="20"/>
        </w:rPr>
        <w:t>successfully asserts that our activities give rise to nexus for state income tax purposes. Such tax assessments, penalties and interest may adversely affect our cash, tax liabilities, results of operations and financial condition</w:t>
      </w:r>
      <w:r>
        <w:rPr>
          <w:sz w:val="20"/>
          <w:szCs w:val="20"/>
        </w:rPr>
        <w:t>.</w:t>
      </w:r>
      <w:r>
        <w:rPr>
          <w:sz w:val="20"/>
          <w:szCs w:val="20"/>
        </w:rPr>
        <w:t xml:space="preserve"> </w:t>
      </w:r>
    </w:p>
    <w:p w14:paraId="5399BD92" w14:textId="77777777" w:rsidR="00000000" w:rsidRDefault="00EF48A2">
      <w:pPr>
        <w:pStyle w:val="a3"/>
        <w:spacing w:before="180" w:beforeAutospacing="0" w:after="0" w:afterAutospacing="0"/>
        <w:jc w:val="both"/>
        <w:rPr>
          <w:sz w:val="20"/>
          <w:szCs w:val="20"/>
        </w:rPr>
      </w:pPr>
      <w:r>
        <w:rPr>
          <w:sz w:val="20"/>
          <w:szCs w:val="20"/>
        </w:rPr>
        <w:t>In addition, state taxin</w:t>
      </w:r>
      <w:r>
        <w:rPr>
          <w:sz w:val="20"/>
          <w:szCs w:val="20"/>
        </w:rPr>
        <w:t>g authorities may assert that we had economic nexus with their state and were required to collect sales and use or similar taxes with respect to past or future services that we have provided or will provide, which could result in tax assessments and penalt</w:t>
      </w:r>
      <w:r>
        <w:rPr>
          <w:sz w:val="20"/>
          <w:szCs w:val="20"/>
        </w:rPr>
        <w:t>ies and interest</w:t>
      </w:r>
      <w:r>
        <w:rPr>
          <w:sz w:val="20"/>
          <w:szCs w:val="20"/>
        </w:rPr>
        <w:t>.</w:t>
      </w:r>
    </w:p>
    <w:p w14:paraId="4C0A59D6"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4</w:t>
      </w:r>
    </w:p>
    <w:p w14:paraId="442551BD" w14:textId="77777777" w:rsidR="00000000" w:rsidRDefault="00EF48A2">
      <w:pPr>
        <w:rPr>
          <w:rFonts w:eastAsia="Times New Roman"/>
        </w:rPr>
      </w:pPr>
      <w:r>
        <w:rPr>
          <w:rFonts w:eastAsia="Times New Roman"/>
        </w:rPr>
        <w:pict w14:anchorId="24A931C7">
          <v:rect id="_x0000_i1051" style="width:0;height:1.5pt" o:hralign="center" o:hrstd="t" o:hr="t" fillcolor="#a0a0a0" stroked="f"/>
        </w:pict>
      </w:r>
    </w:p>
    <w:p w14:paraId="66BDA82F"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4E9FBD4" w14:textId="77777777" w:rsidR="00000000" w:rsidRDefault="00EF48A2">
      <w:pPr>
        <w:pStyle w:val="a3"/>
        <w:spacing w:before="240" w:beforeAutospacing="0" w:after="0" w:afterAutospacing="0"/>
        <w:jc w:val="both"/>
        <w:rPr>
          <w:sz w:val="20"/>
          <w:szCs w:val="20"/>
        </w:rPr>
      </w:pPr>
      <w:r>
        <w:rPr>
          <w:b/>
          <w:bCs/>
          <w:i/>
          <w:iCs/>
          <w:sz w:val="20"/>
          <w:szCs w:val="20"/>
        </w:rPr>
        <w:t>Our ability to use our net operating losses and certain other attributes may be subject to certain limitations</w:t>
      </w:r>
      <w:r>
        <w:rPr>
          <w:b/>
          <w:bCs/>
          <w:i/>
          <w:iCs/>
          <w:sz w:val="20"/>
          <w:szCs w:val="20"/>
        </w:rPr>
        <w:t>.</w:t>
      </w:r>
      <w:r>
        <w:rPr>
          <w:b/>
          <w:bCs/>
          <w:i/>
          <w:iCs/>
          <w:sz w:val="20"/>
          <w:szCs w:val="20"/>
        </w:rPr>
        <w:t xml:space="preserve"> </w:t>
      </w:r>
    </w:p>
    <w:p w14:paraId="6F6EA4F1" w14:textId="77777777" w:rsidR="00000000" w:rsidRDefault="00EF48A2">
      <w:pPr>
        <w:pStyle w:val="a3"/>
        <w:spacing w:before="180" w:beforeAutospacing="0" w:after="0" w:afterAutospacing="0"/>
        <w:jc w:val="both"/>
        <w:rPr>
          <w:sz w:val="20"/>
          <w:szCs w:val="20"/>
        </w:rPr>
      </w:pPr>
      <w:r>
        <w:rPr>
          <w:sz w:val="20"/>
          <w:szCs w:val="20"/>
        </w:rPr>
        <w:t>The Company has federal and state net operating loss carryovers (“NOL”) which are available to reduce future taxable income. The NOL carryforwa</w:t>
      </w:r>
      <w:r>
        <w:rPr>
          <w:sz w:val="20"/>
          <w:szCs w:val="20"/>
        </w:rPr>
        <w:t>rds begin to expire in 2032 and may become subject to annual limitation in the event of certain cumulative changes in the ownership interest of significant stockholders over a three-year period in excess of 50%, as defined under I.R.C. Section 382. This co</w:t>
      </w:r>
      <w:r>
        <w:rPr>
          <w:sz w:val="20"/>
          <w:szCs w:val="20"/>
        </w:rPr>
        <w:t>uld limit the amount of tax attributes that can be utilized annually to offset future taxable income or future tax liabilities. The federal losses generated from 2018 onward do not expire</w:t>
      </w:r>
      <w:r>
        <w:rPr>
          <w:sz w:val="20"/>
          <w:szCs w:val="20"/>
        </w:rPr>
        <w:t>.</w:t>
      </w:r>
    </w:p>
    <w:p w14:paraId="02BAA2D9" w14:textId="77777777" w:rsidR="00000000" w:rsidRDefault="00EF48A2">
      <w:pPr>
        <w:pStyle w:val="a3"/>
        <w:spacing w:before="180" w:beforeAutospacing="0" w:after="0" w:afterAutospacing="0"/>
        <w:jc w:val="both"/>
        <w:rPr>
          <w:sz w:val="20"/>
          <w:szCs w:val="20"/>
        </w:rPr>
      </w:pPr>
      <w:r>
        <w:rPr>
          <w:sz w:val="20"/>
          <w:szCs w:val="20"/>
        </w:rPr>
        <w:t xml:space="preserve">It is possible that we will not generate taxable income in time to </w:t>
      </w:r>
      <w:r>
        <w:rPr>
          <w:sz w:val="20"/>
          <w:szCs w:val="20"/>
        </w:rPr>
        <w:t xml:space="preserve">use these net operating loss carryforwards before their expiration (or that we will not generate taxable income at all). Under the Tax Cuts and Jobs Act of 2017, U.S. federal net operating losses incurred in 2018 and in future years may be carried forward </w:t>
      </w:r>
      <w:r>
        <w:rPr>
          <w:sz w:val="20"/>
          <w:szCs w:val="20"/>
        </w:rPr>
        <w:t>indefinitely, but the deductibility of such net operating losses is limited. It is uncertain if and to what extent various states will conform to these in federal tax laws. In addition, the federal and state net operating loss carryforwards and certain tax</w:t>
      </w:r>
      <w:r>
        <w:rPr>
          <w:sz w:val="20"/>
          <w:szCs w:val="20"/>
        </w:rPr>
        <w:t xml:space="preserve"> credits may be subject to significant limitations under Section 382 and Section 383 of the Internal Revenue Code, respectively, and similar provisions of state law. Under those sections of the Internal Revenue Code, if a corporation undergoes an “ownershi</w:t>
      </w:r>
      <w:r>
        <w:rPr>
          <w:sz w:val="20"/>
          <w:szCs w:val="20"/>
        </w:rPr>
        <w:t xml:space="preserve">p change,” the corporation’s ability to use its pre-change net operating loss carryforwards and other pre-change attributes, such as research tax credits, to offset its post-change income or tax may be limited. In general, an “ownership change” will occur </w:t>
      </w:r>
      <w:r>
        <w:rPr>
          <w:sz w:val="20"/>
          <w:szCs w:val="20"/>
        </w:rPr>
        <w:t>if there is a cumulative change in our ownership by “5-percent shareholders” that exceeds 50 percentage points over a rolling three-year period. Similar rules may apply under state tax laws. We have not undertaken an analysis of whether we have experienced</w:t>
      </w:r>
      <w:r>
        <w:rPr>
          <w:sz w:val="20"/>
          <w:szCs w:val="20"/>
        </w:rPr>
        <w:t xml:space="preserve"> an “ownership change” for purposes of Section 382 and Section 383 of the Internal Revenue Code or whether there are any limitations on use with respect to our net operating losses and other tax attributes</w:t>
      </w:r>
      <w:r>
        <w:rPr>
          <w:sz w:val="20"/>
          <w:szCs w:val="20"/>
        </w:rPr>
        <w:t>.</w:t>
      </w:r>
      <w:r>
        <w:rPr>
          <w:sz w:val="20"/>
          <w:szCs w:val="20"/>
        </w:rPr>
        <w:t xml:space="preserve"> </w:t>
      </w:r>
    </w:p>
    <w:p w14:paraId="4D060485" w14:textId="77777777" w:rsidR="00000000" w:rsidRDefault="00EF48A2">
      <w:pPr>
        <w:pStyle w:val="a3"/>
        <w:spacing w:before="240" w:beforeAutospacing="0" w:after="0" w:afterAutospacing="0"/>
        <w:jc w:val="both"/>
        <w:rPr>
          <w:sz w:val="20"/>
          <w:szCs w:val="20"/>
        </w:rPr>
      </w:pPr>
      <w:r>
        <w:rPr>
          <w:b/>
          <w:bCs/>
          <w:i/>
          <w:iCs/>
          <w:sz w:val="20"/>
          <w:szCs w:val="20"/>
        </w:rPr>
        <w:t>Our quarterly results may fluctuate significantl</w:t>
      </w:r>
      <w:r>
        <w:rPr>
          <w:b/>
          <w:bCs/>
          <w:i/>
          <w:iCs/>
          <w:sz w:val="20"/>
          <w:szCs w:val="20"/>
        </w:rPr>
        <w:t>y, which could adversely impact the value of our common stock</w:t>
      </w:r>
      <w:r>
        <w:rPr>
          <w:b/>
          <w:bCs/>
          <w:i/>
          <w:iCs/>
          <w:sz w:val="20"/>
          <w:szCs w:val="20"/>
        </w:rPr>
        <w:t>.</w:t>
      </w:r>
      <w:r>
        <w:rPr>
          <w:b/>
          <w:bCs/>
          <w:i/>
          <w:iCs/>
          <w:sz w:val="20"/>
          <w:szCs w:val="20"/>
        </w:rPr>
        <w:t xml:space="preserve"> </w:t>
      </w:r>
    </w:p>
    <w:p w14:paraId="7AE84A2B" w14:textId="77777777" w:rsidR="00000000" w:rsidRDefault="00EF48A2">
      <w:pPr>
        <w:pStyle w:val="a3"/>
        <w:spacing w:before="180" w:beforeAutospacing="0" w:after="0" w:afterAutospacing="0"/>
        <w:jc w:val="both"/>
        <w:rPr>
          <w:sz w:val="20"/>
          <w:szCs w:val="20"/>
        </w:rPr>
      </w:pPr>
      <w:r>
        <w:rPr>
          <w:sz w:val="20"/>
          <w:szCs w:val="20"/>
        </w:rPr>
        <w:t>Our quarterly results of operations, including our revenue, net loss and cash flows, has varied and may vary significantly in the future, and period-to-period comparisons of our results of ope</w:t>
      </w:r>
      <w:r>
        <w:rPr>
          <w:sz w:val="20"/>
          <w:szCs w:val="20"/>
        </w:rPr>
        <w:t>rations may not be meaningful. Accordingly, our quarterly results should not be relied upon as an indication of future performance. Our quarterly financial results may fluctuate as a result of a variety of factors, many of which are outside of our control,</w:t>
      </w:r>
      <w:r>
        <w:rPr>
          <w:sz w:val="20"/>
          <w:szCs w:val="20"/>
        </w:rPr>
        <w:t xml:space="preserve"> including, without limitation, the factors described in this section</w:t>
      </w:r>
      <w:r>
        <w:rPr>
          <w:sz w:val="20"/>
          <w:szCs w:val="20"/>
        </w:rPr>
        <w:t>.</w:t>
      </w:r>
    </w:p>
    <w:p w14:paraId="3C723B06" w14:textId="77777777" w:rsidR="00000000" w:rsidRDefault="00EF48A2">
      <w:pPr>
        <w:pStyle w:val="a3"/>
        <w:spacing w:before="180" w:beforeAutospacing="0" w:after="0" w:afterAutospacing="0"/>
        <w:jc w:val="both"/>
        <w:rPr>
          <w:sz w:val="20"/>
          <w:szCs w:val="20"/>
        </w:rPr>
      </w:pPr>
      <w:r>
        <w:rPr>
          <w:sz w:val="20"/>
          <w:szCs w:val="20"/>
        </w:rPr>
        <w:t>Most of our revenue in any given quarter is derived from contracts entered into with our clients during previous quarters. Consequently, a decline in new or renewed contracts in any one</w:t>
      </w:r>
      <w:r>
        <w:rPr>
          <w:sz w:val="20"/>
          <w:szCs w:val="20"/>
        </w:rPr>
        <w:t xml:space="preserve"> quarter may not be fully reflected in our revenue for that quarter. Such declines, however, would negatively affect our revenue in future periods and the effect of significant downturns in sales of and market demand for our solution, and potential changes</w:t>
      </w:r>
      <w:r>
        <w:rPr>
          <w:sz w:val="20"/>
          <w:szCs w:val="20"/>
        </w:rPr>
        <w:t xml:space="preserve"> in our renewals or renewal terms, may not be fully reflected in our results of operations until future periods. Our subscription model also makes it difficult for us to rapidly increase our total revenue through additional sales in any period, as revenue </w:t>
      </w:r>
      <w:r>
        <w:rPr>
          <w:sz w:val="20"/>
          <w:szCs w:val="20"/>
        </w:rPr>
        <w:t xml:space="preserve">from new clients must be recognized over the applicable term of the contract. Accordingly, the effect of changes in the industry impacting our business or changes we experience in our new sales may not be reflected in our short-term results of operations. </w:t>
      </w:r>
      <w:r>
        <w:rPr>
          <w:sz w:val="20"/>
          <w:szCs w:val="20"/>
        </w:rPr>
        <w:t>Any fluctuation in our quarterly results may not accurately reflect the underlying performance of our business and could cause a decline in the trading price of our securities</w:t>
      </w:r>
      <w:r>
        <w:rPr>
          <w:sz w:val="20"/>
          <w:szCs w:val="20"/>
        </w:rPr>
        <w:t>.</w:t>
      </w:r>
      <w:r>
        <w:rPr>
          <w:sz w:val="20"/>
          <w:szCs w:val="20"/>
        </w:rPr>
        <w:t xml:space="preserve"> </w:t>
      </w:r>
    </w:p>
    <w:p w14:paraId="054F2223" w14:textId="77777777" w:rsidR="00000000" w:rsidRDefault="00EF48A2">
      <w:pPr>
        <w:pStyle w:val="a3"/>
        <w:spacing w:before="240" w:beforeAutospacing="0" w:after="0" w:afterAutospacing="0"/>
        <w:jc w:val="both"/>
        <w:rPr>
          <w:sz w:val="20"/>
          <w:szCs w:val="20"/>
        </w:rPr>
      </w:pPr>
      <w:r>
        <w:rPr>
          <w:b/>
          <w:bCs/>
          <w:i/>
          <w:iCs/>
          <w:sz w:val="20"/>
          <w:szCs w:val="20"/>
        </w:rPr>
        <w:t>We depend on our senior management team, and the loss of one or more of our ex</w:t>
      </w:r>
      <w:r>
        <w:rPr>
          <w:b/>
          <w:bCs/>
          <w:i/>
          <w:iCs/>
          <w:sz w:val="20"/>
          <w:szCs w:val="20"/>
        </w:rPr>
        <w:t>ecutive officers or key employees or an inability to attract and retain highly skilled and diverse employees could adversely affect our business</w:t>
      </w:r>
      <w:r>
        <w:rPr>
          <w:b/>
          <w:bCs/>
          <w:i/>
          <w:iCs/>
          <w:sz w:val="20"/>
          <w:szCs w:val="20"/>
        </w:rPr>
        <w:t>.</w:t>
      </w:r>
      <w:r>
        <w:rPr>
          <w:b/>
          <w:bCs/>
          <w:i/>
          <w:iCs/>
          <w:sz w:val="20"/>
          <w:szCs w:val="20"/>
        </w:rPr>
        <w:t xml:space="preserve"> </w:t>
      </w:r>
    </w:p>
    <w:p w14:paraId="47DD3ABB" w14:textId="77777777" w:rsidR="00000000" w:rsidRDefault="00EF48A2">
      <w:pPr>
        <w:pStyle w:val="a3"/>
        <w:spacing w:before="180" w:beforeAutospacing="0" w:after="0" w:afterAutospacing="0"/>
        <w:jc w:val="both"/>
        <w:rPr>
          <w:sz w:val="20"/>
          <w:szCs w:val="20"/>
        </w:rPr>
      </w:pPr>
      <w:r>
        <w:rPr>
          <w:sz w:val="20"/>
          <w:szCs w:val="20"/>
        </w:rPr>
        <w:t>Our success depends largely upon the continued services of our key members of senior management. These member</w:t>
      </w:r>
      <w:r>
        <w:rPr>
          <w:sz w:val="20"/>
          <w:szCs w:val="20"/>
        </w:rPr>
        <w:t>s of senior management are at-will employees and therefore they may terminate employment with us at any time with no advance notice. We also rely on our leadership team in the areas of research and development, marketing, services and general and administr</w:t>
      </w:r>
      <w:r>
        <w:rPr>
          <w:sz w:val="20"/>
          <w:szCs w:val="20"/>
        </w:rPr>
        <w:t>ative functions. From time to time, there may be changes in our management team resulting from the hiring or departure of executives, which could disrupt our business. For instance, on November 7, 2022, we appointed Dr. Jon R. Cohen to the position of Chie</w:t>
      </w:r>
      <w:r>
        <w:rPr>
          <w:sz w:val="20"/>
          <w:szCs w:val="20"/>
        </w:rPr>
        <w:t>f Executive Officer of the Company, effective as of November 9, 2022. The replacement of one or more of our executive officers or other key employees will likely involve significant time and costs and may significantly delay or prevent the achievement of o</w:t>
      </w:r>
      <w:r>
        <w:rPr>
          <w:sz w:val="20"/>
          <w:szCs w:val="20"/>
        </w:rPr>
        <w:t>ur business objectives. Our business would also be adversely affected if we fail to adequately plan for succession of our executives and senior management; or if we fail to effectively recruit, integrate, retain and develop key talent and/or align our tale</w:t>
      </w:r>
      <w:r>
        <w:rPr>
          <w:sz w:val="20"/>
          <w:szCs w:val="20"/>
        </w:rPr>
        <w:t>nt with our business needs, in light of the current rapidly changing environment. While we have employment arrangements with a limited number of key executives, these do not guarantee that the services of these or suitable successor executives will continu</w:t>
      </w:r>
      <w:r>
        <w:rPr>
          <w:sz w:val="20"/>
          <w:szCs w:val="20"/>
        </w:rPr>
        <w:t>e to be available to us</w:t>
      </w:r>
      <w:r>
        <w:rPr>
          <w:sz w:val="20"/>
          <w:szCs w:val="20"/>
        </w:rPr>
        <w:t>.</w:t>
      </w:r>
      <w:r>
        <w:rPr>
          <w:sz w:val="20"/>
          <w:szCs w:val="20"/>
        </w:rPr>
        <w:t xml:space="preserve"> </w:t>
      </w:r>
    </w:p>
    <w:p w14:paraId="0D23039C" w14:textId="77777777" w:rsidR="00000000" w:rsidRDefault="00EF48A2">
      <w:pPr>
        <w:pStyle w:val="a3"/>
        <w:spacing w:before="180" w:beforeAutospacing="0" w:after="0" w:afterAutospacing="0"/>
        <w:jc w:val="both"/>
        <w:rPr>
          <w:sz w:val="20"/>
          <w:szCs w:val="20"/>
        </w:rPr>
      </w:pPr>
      <w:r>
        <w:rPr>
          <w:sz w:val="20"/>
          <w:szCs w:val="20"/>
        </w:rPr>
        <w:t>Our success is dependent on our ability to align our talent with our business needs, engage our employees and inspire our employees to be open to change, to innovate and to maintain member- and client-focus when delivering our ser</w:t>
      </w:r>
      <w:r>
        <w:rPr>
          <w:sz w:val="20"/>
          <w:szCs w:val="20"/>
        </w:rPr>
        <w:t>vices. To continu</w:t>
      </w:r>
      <w:r>
        <w:rPr>
          <w:sz w:val="20"/>
          <w:szCs w:val="20"/>
        </w:rPr>
        <w:t>e</w:t>
      </w:r>
      <w:r>
        <w:rPr>
          <w:sz w:val="20"/>
          <w:szCs w:val="20"/>
        </w:rPr>
        <w:t xml:space="preserve"> </w:t>
      </w:r>
    </w:p>
    <w:p w14:paraId="134E2BD3"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5</w:t>
      </w:r>
    </w:p>
    <w:p w14:paraId="38F40150" w14:textId="77777777" w:rsidR="00000000" w:rsidRDefault="00EF48A2">
      <w:pPr>
        <w:rPr>
          <w:rFonts w:eastAsia="Times New Roman"/>
        </w:rPr>
      </w:pPr>
      <w:r>
        <w:rPr>
          <w:rFonts w:eastAsia="Times New Roman"/>
        </w:rPr>
        <w:pict w14:anchorId="09E76B93">
          <v:rect id="_x0000_i1052" style="width:0;height:1.5pt" o:hralign="center" o:hrstd="t" o:hr="t" fillcolor="#a0a0a0" stroked="f"/>
        </w:pict>
      </w:r>
    </w:p>
    <w:p w14:paraId="03E334B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E6A952B" w14:textId="77777777" w:rsidR="00000000" w:rsidRDefault="00EF48A2">
      <w:pPr>
        <w:pStyle w:val="a3"/>
        <w:spacing w:before="180" w:beforeAutospacing="0" w:after="0" w:afterAutospacing="0"/>
        <w:jc w:val="both"/>
        <w:rPr>
          <w:sz w:val="20"/>
          <w:szCs w:val="20"/>
        </w:rPr>
      </w:pPr>
      <w:r>
        <w:rPr>
          <w:sz w:val="20"/>
          <w:szCs w:val="20"/>
        </w:rPr>
        <w:t>to execute our growth strategy, we also must attract and retain highly skilled personnel. Competition is intense for qualified professionals. We ma</w:t>
      </w:r>
      <w:r>
        <w:rPr>
          <w:sz w:val="20"/>
          <w:szCs w:val="20"/>
        </w:rPr>
        <w:t>y not be successful in continuing to attract and retain qualified personnel. We have from time to time in the past experienced, and we expect to continue to experience in the future, difficulty in hiring and retaining highly skilled personnel with appropri</w:t>
      </w:r>
      <w:r>
        <w:rPr>
          <w:sz w:val="20"/>
          <w:szCs w:val="20"/>
        </w:rPr>
        <w:t>ate qualifications. The pool of qualified personnel with experience working in the healthcare market is limited overall</w:t>
      </w:r>
      <w:r>
        <w:rPr>
          <w:sz w:val="20"/>
          <w:szCs w:val="20"/>
        </w:rPr>
        <w:t>.</w:t>
      </w:r>
    </w:p>
    <w:p w14:paraId="19E9650B" w14:textId="77777777" w:rsidR="00000000" w:rsidRDefault="00EF48A2">
      <w:pPr>
        <w:pStyle w:val="a3"/>
        <w:spacing w:before="180" w:beforeAutospacing="0" w:after="0" w:afterAutospacing="0"/>
        <w:jc w:val="both"/>
        <w:rPr>
          <w:sz w:val="20"/>
          <w:szCs w:val="20"/>
        </w:rPr>
      </w:pPr>
      <w:r>
        <w:rPr>
          <w:sz w:val="20"/>
          <w:szCs w:val="20"/>
        </w:rPr>
        <w:t>In addition, in making employment decisions, particularly in high-technology industries, job candidates often consider the value of the</w:t>
      </w:r>
      <w:r>
        <w:rPr>
          <w:sz w:val="20"/>
          <w:szCs w:val="20"/>
        </w:rPr>
        <w:t xml:space="preserve"> stock options or other equity instruments they are to receive in connection with their employment. Volatility in the price of our stock may, therefore, adversely affect our ability to attract or retain highly skilled personnel. Failure to attract new pers</w:t>
      </w:r>
      <w:r>
        <w:rPr>
          <w:sz w:val="20"/>
          <w:szCs w:val="20"/>
        </w:rPr>
        <w:t>onnel or failure to retain and motivate our current personnel, could have a material adverse effect on our business, financial condition and results of operations</w:t>
      </w:r>
      <w:r>
        <w:rPr>
          <w:sz w:val="20"/>
          <w:szCs w:val="20"/>
        </w:rPr>
        <w:t>.</w:t>
      </w:r>
      <w:r>
        <w:rPr>
          <w:sz w:val="20"/>
          <w:szCs w:val="20"/>
        </w:rPr>
        <w:t xml:space="preserve"> </w:t>
      </w:r>
    </w:p>
    <w:p w14:paraId="29D62958" w14:textId="77777777" w:rsidR="00000000" w:rsidRDefault="00EF48A2">
      <w:pPr>
        <w:pStyle w:val="a3"/>
        <w:spacing w:before="240" w:beforeAutospacing="0" w:after="0" w:afterAutospacing="0"/>
        <w:jc w:val="both"/>
        <w:rPr>
          <w:sz w:val="20"/>
          <w:szCs w:val="20"/>
        </w:rPr>
      </w:pPr>
      <w:r>
        <w:rPr>
          <w:b/>
          <w:bCs/>
          <w:i/>
          <w:iCs/>
          <w:sz w:val="20"/>
          <w:szCs w:val="20"/>
        </w:rPr>
        <w:t>We may acquire other companies or technologies, which could divert our management’s attenti</w:t>
      </w:r>
      <w:r>
        <w:rPr>
          <w:b/>
          <w:bCs/>
          <w:i/>
          <w:iCs/>
          <w:sz w:val="20"/>
          <w:szCs w:val="20"/>
        </w:rPr>
        <w:t xml:space="preserve">on, result in dilution to our stockholders and otherwise disrupt our operations and we may have difficulty integrating any such acquisitions successfully or realizing the anticipated benefits therefrom, any of which could have a material adverse effect on </w:t>
      </w:r>
      <w:r>
        <w:rPr>
          <w:b/>
          <w:bCs/>
          <w:i/>
          <w:iCs/>
          <w:sz w:val="20"/>
          <w:szCs w:val="20"/>
        </w:rPr>
        <w:t>our business, financial condition and results of operations</w:t>
      </w:r>
      <w:r>
        <w:rPr>
          <w:b/>
          <w:bCs/>
          <w:i/>
          <w:iCs/>
          <w:sz w:val="20"/>
          <w:szCs w:val="20"/>
        </w:rPr>
        <w:t>.</w:t>
      </w:r>
      <w:r>
        <w:rPr>
          <w:b/>
          <w:bCs/>
          <w:i/>
          <w:iCs/>
          <w:sz w:val="20"/>
          <w:szCs w:val="20"/>
        </w:rPr>
        <w:t xml:space="preserve"> </w:t>
      </w:r>
    </w:p>
    <w:p w14:paraId="17FCE059" w14:textId="77777777" w:rsidR="00000000" w:rsidRDefault="00EF48A2">
      <w:pPr>
        <w:pStyle w:val="a3"/>
        <w:spacing w:before="180" w:beforeAutospacing="0" w:after="0" w:afterAutospacing="0"/>
        <w:jc w:val="both"/>
        <w:rPr>
          <w:sz w:val="20"/>
          <w:szCs w:val="20"/>
        </w:rPr>
      </w:pPr>
      <w:r>
        <w:rPr>
          <w:sz w:val="20"/>
          <w:szCs w:val="20"/>
        </w:rPr>
        <w:t>We intend to seek to acquire or invest in businesses, software-based products and services or technologies that we believe could complement or expand our solution, enhance our technical capabili</w:t>
      </w:r>
      <w:r>
        <w:rPr>
          <w:sz w:val="20"/>
          <w:szCs w:val="20"/>
        </w:rPr>
        <w:t>ties or otherwise offer growth opportunities. To pursue this strategy successfully, we must identify attractive acquisition or investment opportunities and successfully complete transactions, some of which may be large and complex. We may not be able to id</w:t>
      </w:r>
      <w:r>
        <w:rPr>
          <w:sz w:val="20"/>
          <w:szCs w:val="20"/>
        </w:rPr>
        <w:t>entify or complete attractive acquisition or investment opportunities due to, among other things, the intense competition for these transactions. If we are not able to identify and complete such acquisition or investment opportunities, our future results o</w:t>
      </w:r>
      <w:r>
        <w:rPr>
          <w:sz w:val="20"/>
          <w:szCs w:val="20"/>
        </w:rPr>
        <w:t>f operations and financial condition may be adversely affected. Additionally, the pursuit of potential acquisitions may divert the attention of management and cause us to incur various expenses in identifying, investigating and pursuing suitable acquisitio</w:t>
      </w:r>
      <w:r>
        <w:rPr>
          <w:sz w:val="20"/>
          <w:szCs w:val="20"/>
        </w:rPr>
        <w:t>ns, whether or not they are consummated</w:t>
      </w:r>
      <w:r>
        <w:rPr>
          <w:sz w:val="20"/>
          <w:szCs w:val="20"/>
        </w:rPr>
        <w:t>.</w:t>
      </w:r>
      <w:r>
        <w:rPr>
          <w:sz w:val="20"/>
          <w:szCs w:val="20"/>
        </w:rPr>
        <w:t xml:space="preserve"> </w:t>
      </w:r>
    </w:p>
    <w:p w14:paraId="5B3785D4" w14:textId="77777777" w:rsidR="00000000" w:rsidRDefault="00EF48A2">
      <w:pPr>
        <w:pStyle w:val="a3"/>
        <w:spacing w:before="180" w:beforeAutospacing="0" w:after="0" w:afterAutospacing="0"/>
        <w:jc w:val="both"/>
        <w:rPr>
          <w:sz w:val="20"/>
          <w:szCs w:val="20"/>
        </w:rPr>
      </w:pPr>
      <w:r>
        <w:rPr>
          <w:sz w:val="20"/>
          <w:szCs w:val="20"/>
        </w:rPr>
        <w:t xml:space="preserve">If we acquire additional businesses, we may not be able to integrate the acquired personnel, operations and technologies successfully, or effectively manage the combined business following the acquisition. We also </w:t>
      </w:r>
      <w:r>
        <w:rPr>
          <w:sz w:val="20"/>
          <w:szCs w:val="20"/>
        </w:rPr>
        <w:t>may not achieve the anticipated benefits from the acquired business as a result of unanticipated costs or liabilities, difficulty converting the clients of the acquired business onto our platform and contract terms, diversion of management’s attention from</w:t>
      </w:r>
      <w:r>
        <w:rPr>
          <w:sz w:val="20"/>
          <w:szCs w:val="20"/>
        </w:rPr>
        <w:t xml:space="preserve"> other business concerns and employee retention issues, among other reasons</w:t>
      </w:r>
      <w:r>
        <w:rPr>
          <w:sz w:val="20"/>
          <w:szCs w:val="20"/>
        </w:rPr>
        <w:t>.</w:t>
      </w:r>
    </w:p>
    <w:p w14:paraId="7C160B80" w14:textId="77777777" w:rsidR="00000000" w:rsidRDefault="00EF48A2">
      <w:pPr>
        <w:pStyle w:val="a3"/>
        <w:spacing w:before="180" w:beforeAutospacing="0" w:after="0" w:afterAutospacing="0"/>
        <w:jc w:val="both"/>
        <w:rPr>
          <w:sz w:val="20"/>
          <w:szCs w:val="20"/>
        </w:rPr>
      </w:pPr>
      <w:r>
        <w:rPr>
          <w:sz w:val="20"/>
          <w:szCs w:val="20"/>
        </w:rPr>
        <w:t>In addition, a significant portion of the purchase price of companies we acquire may be allocated to acquired goodwill and other intangible assets, which generally must be assesse</w:t>
      </w:r>
      <w:r>
        <w:rPr>
          <w:sz w:val="20"/>
          <w:szCs w:val="20"/>
        </w:rPr>
        <w:t>d for impairment at least annually. In the future, if our acquisitions do not yield expected returns, we may be required to take charges to our results of operations based on this impairment assessment process, which could adversely affect our results of o</w:t>
      </w:r>
      <w:r>
        <w:rPr>
          <w:sz w:val="20"/>
          <w:szCs w:val="20"/>
        </w:rPr>
        <w:t>perations</w:t>
      </w:r>
      <w:r>
        <w:rPr>
          <w:sz w:val="20"/>
          <w:szCs w:val="20"/>
        </w:rPr>
        <w:t>.</w:t>
      </w:r>
      <w:r>
        <w:rPr>
          <w:sz w:val="20"/>
          <w:szCs w:val="20"/>
        </w:rPr>
        <w:t xml:space="preserve"> </w:t>
      </w:r>
    </w:p>
    <w:p w14:paraId="74C42682" w14:textId="77777777" w:rsidR="00000000" w:rsidRDefault="00EF48A2">
      <w:pPr>
        <w:pStyle w:val="a3"/>
        <w:spacing w:before="180" w:beforeAutospacing="0" w:after="0" w:afterAutospacing="0"/>
        <w:jc w:val="both"/>
        <w:rPr>
          <w:sz w:val="20"/>
          <w:szCs w:val="20"/>
        </w:rPr>
      </w:pPr>
      <w:r>
        <w:rPr>
          <w:sz w:val="20"/>
          <w:szCs w:val="20"/>
        </w:rPr>
        <w:t>Acquisitions could also result in dilutive issuances of equity securities or the incurrence of debt, which could adversely affect our results of operations. In addition, if an acquired business fails to meet our expectations, our business, fina</w:t>
      </w:r>
      <w:r>
        <w:rPr>
          <w:sz w:val="20"/>
          <w:szCs w:val="20"/>
        </w:rPr>
        <w:t>ncial condition and results of operations may suffer. For example, the goodwill acquired in connection with the acquisition of the relationship counseling App “Lasting” in November 2020 was fully written-off in December 31, 2022, following an annual goodwi</w:t>
      </w:r>
      <w:r>
        <w:rPr>
          <w:sz w:val="20"/>
          <w:szCs w:val="20"/>
        </w:rPr>
        <w:t>ll impairment test and resulting $6.1 million impairment charge</w:t>
      </w:r>
      <w:r>
        <w:rPr>
          <w:sz w:val="20"/>
          <w:szCs w:val="20"/>
        </w:rPr>
        <w:t>.</w:t>
      </w:r>
    </w:p>
    <w:p w14:paraId="2406308E" w14:textId="77777777" w:rsidR="00000000" w:rsidRDefault="00EF48A2">
      <w:pPr>
        <w:pStyle w:val="a3"/>
        <w:spacing w:before="240" w:beforeAutospacing="0" w:after="0" w:afterAutospacing="0"/>
        <w:jc w:val="both"/>
        <w:rPr>
          <w:sz w:val="20"/>
          <w:szCs w:val="20"/>
        </w:rPr>
      </w:pPr>
      <w:r>
        <w:rPr>
          <w:b/>
          <w:bCs/>
          <w:i/>
          <w:iCs/>
          <w:sz w:val="20"/>
          <w:szCs w:val="20"/>
        </w:rPr>
        <w:t>Inflation and increased interest rates may increase our operating and capital costs</w:t>
      </w:r>
      <w:r>
        <w:rPr>
          <w:b/>
          <w:bCs/>
          <w:i/>
          <w:iCs/>
          <w:sz w:val="20"/>
          <w:szCs w:val="20"/>
        </w:rPr>
        <w:t>.</w:t>
      </w:r>
    </w:p>
    <w:p w14:paraId="1C817DA5" w14:textId="77777777" w:rsidR="00000000" w:rsidRDefault="00EF48A2">
      <w:pPr>
        <w:pStyle w:val="a3"/>
        <w:spacing w:before="180" w:beforeAutospacing="0" w:after="0" w:afterAutospacing="0"/>
        <w:jc w:val="both"/>
        <w:rPr>
          <w:sz w:val="20"/>
          <w:szCs w:val="20"/>
        </w:rPr>
      </w:pPr>
      <w:r>
        <w:rPr>
          <w:sz w:val="20"/>
          <w:szCs w:val="20"/>
        </w:rPr>
        <w:t xml:space="preserve">In 2022, inflationary pressures resulting from COVID-19 relief and aid programs, supply chain constraints </w:t>
      </w:r>
      <w:r>
        <w:rPr>
          <w:sz w:val="20"/>
          <w:szCs w:val="20"/>
        </w:rPr>
        <w:t>and generally improved economic conditions increased our costs for provider compensation necessary to operate our business, and our clients’ costs of living. We expect these inflationary pressures to continue to impact our margins and more generally, our b</w:t>
      </w:r>
      <w:r>
        <w:rPr>
          <w:sz w:val="20"/>
          <w:szCs w:val="20"/>
        </w:rPr>
        <w:t>usiness in 2023</w:t>
      </w:r>
      <w:r>
        <w:rPr>
          <w:sz w:val="20"/>
          <w:szCs w:val="20"/>
        </w:rPr>
        <w:t>.</w:t>
      </w:r>
    </w:p>
    <w:p w14:paraId="2EBDF66A" w14:textId="77777777" w:rsidR="00000000" w:rsidRDefault="00EF48A2">
      <w:pPr>
        <w:pStyle w:val="a3"/>
        <w:spacing w:before="180" w:beforeAutospacing="0" w:after="0" w:afterAutospacing="0"/>
        <w:jc w:val="both"/>
        <w:rPr>
          <w:sz w:val="20"/>
          <w:szCs w:val="20"/>
        </w:rPr>
      </w:pPr>
      <w:r>
        <w:rPr>
          <w:sz w:val="20"/>
          <w:szCs w:val="20"/>
        </w:rPr>
        <w:t>After almost 10 years of low interest rate environments, inflationary pressures and efforts in the U.S. and around the world to combat inflation have resulted in increased interest rates by central banks globally. As a result, to the exten</w:t>
      </w:r>
      <w:r>
        <w:rPr>
          <w:sz w:val="20"/>
          <w:szCs w:val="20"/>
        </w:rPr>
        <w:t>t we incur any indebtedness the interest rates we are charged may be significantly higher than our interest rates in prior years, which increases our cost to operate our business. Further, the increased interest rates could affect our clients’ businesses a</w:t>
      </w:r>
      <w:r>
        <w:rPr>
          <w:sz w:val="20"/>
          <w:szCs w:val="20"/>
        </w:rPr>
        <w:t>nd borrowing costs, which in turn could impact their ability to make timely payments to us</w:t>
      </w:r>
      <w:r>
        <w:rPr>
          <w:sz w:val="20"/>
          <w:szCs w:val="20"/>
        </w:rPr>
        <w:t>.</w:t>
      </w:r>
    </w:p>
    <w:p w14:paraId="48A30152"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6</w:t>
      </w:r>
    </w:p>
    <w:p w14:paraId="30768533" w14:textId="77777777" w:rsidR="00000000" w:rsidRDefault="00EF48A2">
      <w:pPr>
        <w:rPr>
          <w:rFonts w:eastAsia="Times New Roman"/>
        </w:rPr>
      </w:pPr>
      <w:r>
        <w:rPr>
          <w:rFonts w:eastAsia="Times New Roman"/>
        </w:rPr>
        <w:pict w14:anchorId="0E16966F">
          <v:rect id="_x0000_i1053" style="width:0;height:1.5pt" o:hralign="center" o:hrstd="t" o:hr="t" fillcolor="#a0a0a0" stroked="f"/>
        </w:pict>
      </w:r>
    </w:p>
    <w:p w14:paraId="4DE0CA45"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3BCA39D" w14:textId="77777777" w:rsidR="00000000" w:rsidRDefault="00EF48A2">
      <w:pPr>
        <w:pStyle w:val="a3"/>
        <w:spacing w:before="180" w:beforeAutospacing="0" w:after="0" w:afterAutospacing="0"/>
        <w:jc w:val="both"/>
        <w:rPr>
          <w:sz w:val="20"/>
          <w:szCs w:val="20"/>
        </w:rPr>
      </w:pPr>
      <w:r>
        <w:rPr>
          <w:sz w:val="20"/>
          <w:szCs w:val="20"/>
        </w:rPr>
        <w:t>Our attempts to offset these increasing costs, such as improving efficiency in other areas of the business, may not be successful. To the extent that our offsetting measur</w:t>
      </w:r>
      <w:r>
        <w:rPr>
          <w:sz w:val="20"/>
          <w:szCs w:val="20"/>
        </w:rPr>
        <w:t>es are not sufficient to offset these higher costs, our results of operations may be adversely affected</w:t>
      </w:r>
      <w:r>
        <w:rPr>
          <w:sz w:val="20"/>
          <w:szCs w:val="20"/>
        </w:rPr>
        <w:t>.</w:t>
      </w:r>
    </w:p>
    <w:p w14:paraId="36DDA31D" w14:textId="77777777" w:rsidR="00000000" w:rsidRDefault="00EF48A2">
      <w:pPr>
        <w:pStyle w:val="a3"/>
        <w:spacing w:before="240" w:beforeAutospacing="0" w:after="0" w:afterAutospacing="0"/>
        <w:jc w:val="both"/>
        <w:rPr>
          <w:sz w:val="20"/>
          <w:szCs w:val="20"/>
        </w:rPr>
      </w:pPr>
      <w:r>
        <w:rPr>
          <w:b/>
          <w:bCs/>
          <w:sz w:val="20"/>
          <w:szCs w:val="20"/>
        </w:rPr>
        <w:t>RISKS RELATED TO OUR LEGAL AND REGULATORY ENVIRONMEN</w:t>
      </w:r>
      <w:r>
        <w:rPr>
          <w:b/>
          <w:bCs/>
          <w:sz w:val="20"/>
          <w:szCs w:val="20"/>
        </w:rPr>
        <w:t>T</w:t>
      </w:r>
    </w:p>
    <w:p w14:paraId="6FC76AA5" w14:textId="77777777" w:rsidR="00000000" w:rsidRDefault="00EF48A2">
      <w:pPr>
        <w:pStyle w:val="a3"/>
        <w:spacing w:before="240" w:beforeAutospacing="0" w:after="0" w:afterAutospacing="0"/>
        <w:jc w:val="both"/>
        <w:rPr>
          <w:sz w:val="20"/>
          <w:szCs w:val="20"/>
        </w:rPr>
      </w:pPr>
      <w:r>
        <w:rPr>
          <w:b/>
          <w:bCs/>
          <w:i/>
          <w:iCs/>
          <w:sz w:val="20"/>
          <w:szCs w:val="20"/>
        </w:rPr>
        <w:t>Our business could be adversely affected by legal challenges to our business model or by actions restricting our ability to provide the full range of our services in certain jurisdictions</w:t>
      </w:r>
      <w:r>
        <w:rPr>
          <w:b/>
          <w:bCs/>
          <w:i/>
          <w:iCs/>
          <w:sz w:val="20"/>
          <w:szCs w:val="20"/>
        </w:rPr>
        <w:t>.</w:t>
      </w:r>
      <w:r>
        <w:rPr>
          <w:b/>
          <w:bCs/>
          <w:i/>
          <w:iCs/>
          <w:sz w:val="20"/>
          <w:szCs w:val="20"/>
        </w:rPr>
        <w:t xml:space="preserve"> </w:t>
      </w:r>
    </w:p>
    <w:p w14:paraId="50533759" w14:textId="77777777" w:rsidR="00000000" w:rsidRDefault="00EF48A2">
      <w:pPr>
        <w:pStyle w:val="a3"/>
        <w:spacing w:before="180" w:beforeAutospacing="0" w:after="0" w:afterAutospacing="0"/>
        <w:jc w:val="both"/>
        <w:rPr>
          <w:sz w:val="20"/>
          <w:szCs w:val="20"/>
        </w:rPr>
      </w:pPr>
      <w:r>
        <w:rPr>
          <w:sz w:val="20"/>
          <w:szCs w:val="20"/>
        </w:rPr>
        <w:t>Our ability to conduct telehealth and teletherapy services through</w:t>
      </w:r>
      <w:r>
        <w:rPr>
          <w:sz w:val="20"/>
          <w:szCs w:val="20"/>
        </w:rPr>
        <w:t xml:space="preserve"> our network of providers in a particular jurisdiction is directly dependent upon the applicable laws governing remote care, the practice of medicine and healthcare delivery in general in such location, which are subject to changing political, regulatory a</w:t>
      </w:r>
      <w:r>
        <w:rPr>
          <w:sz w:val="20"/>
          <w:szCs w:val="20"/>
        </w:rPr>
        <w:t>nd other influences. With respect to telehealth and teletherapy services, in the past, state medical boards have established new rules or interpreted existing rules in a manner that has limited or restricted our ability to conduct our business as it was co</w:t>
      </w:r>
      <w:r>
        <w:rPr>
          <w:sz w:val="20"/>
          <w:szCs w:val="20"/>
        </w:rPr>
        <w:t>nducted in other states. Some of these actions have resulted in the suspension or modification of our telehealth and teletherapy operations in certain states. However, the extent to which a jurisdiction considers particular actions or relationships to comp</w:t>
      </w:r>
      <w:r>
        <w:rPr>
          <w:sz w:val="20"/>
          <w:szCs w:val="20"/>
        </w:rPr>
        <w:t>ly with the applicable standard of care is subject to change and to evolving interpretations by (in the case of U.S. states) medical boards and state attorneys general, among others, each with broad discretion. Accordingly, we must monitor our compliance w</w:t>
      </w:r>
      <w:r>
        <w:rPr>
          <w:sz w:val="20"/>
          <w:szCs w:val="20"/>
        </w:rPr>
        <w:t>ith the law in every jurisdiction in which we operate, on an ongoing basis, and we cannot provide assurance that our activities and arrangements, if challenged, will be found to be in compliance with the law. Although the COVID-19 pandemic has led to the r</w:t>
      </w:r>
      <w:r>
        <w:rPr>
          <w:sz w:val="20"/>
          <w:szCs w:val="20"/>
        </w:rPr>
        <w:t xml:space="preserve">elaxation of certain Medicare, Medicaid and state licensure restrictions on the delivery of telehealth and teletherapy services, it is uncertain how long the relaxed policies will remain in effect, and there can be no guarantee that such restrictions will </w:t>
      </w:r>
      <w:r>
        <w:rPr>
          <w:sz w:val="20"/>
          <w:szCs w:val="20"/>
        </w:rPr>
        <w:t>not be reinstated or changed in a way that adversely affects our business</w:t>
      </w:r>
      <w:r>
        <w:rPr>
          <w:sz w:val="20"/>
          <w:szCs w:val="20"/>
        </w:rPr>
        <w:t>.</w:t>
      </w:r>
    </w:p>
    <w:p w14:paraId="237F3178" w14:textId="77777777" w:rsidR="00000000" w:rsidRDefault="00EF48A2">
      <w:pPr>
        <w:pStyle w:val="a3"/>
        <w:spacing w:before="180" w:beforeAutospacing="0" w:after="0" w:afterAutospacing="0"/>
        <w:jc w:val="both"/>
        <w:rPr>
          <w:sz w:val="20"/>
          <w:szCs w:val="20"/>
        </w:rPr>
      </w:pPr>
      <w:r>
        <w:rPr>
          <w:sz w:val="20"/>
          <w:szCs w:val="20"/>
        </w:rPr>
        <w:t>Additionally, it is possible that the laws and rules governing the practice of medicine, including remote care and prescribing medication online, in one or more jurisdictions may ch</w:t>
      </w:r>
      <w:r>
        <w:rPr>
          <w:sz w:val="20"/>
          <w:szCs w:val="20"/>
        </w:rPr>
        <w:t>ange in a manner deleterious to our business. For instance, a few states have imposed different, and, in some cases, additional, standards regarding the provision of services via telehealth and teletherapy. Some states impose strict standards on using tele</w:t>
      </w:r>
      <w:r>
        <w:rPr>
          <w:sz w:val="20"/>
          <w:szCs w:val="20"/>
        </w:rPr>
        <w:t>health and teletherapy to prescribe certain classes of controlled substances that can be commonly used to treat behavioral health disorders. The unpredictability of this regulatory landscape means that sudden changes in policy regarding standards of care a</w:t>
      </w:r>
      <w:r>
        <w:rPr>
          <w:sz w:val="20"/>
          <w:szCs w:val="20"/>
        </w:rPr>
        <w:t>nd reimbursement are possible. If a successful legal challenge or an adverse change in the relevant laws were to occur, and we or our affiliated medical group were unable to adapt our business model accordingly, our operations in the affected jurisdictions</w:t>
      </w:r>
      <w:r>
        <w:rPr>
          <w:sz w:val="20"/>
          <w:szCs w:val="20"/>
        </w:rPr>
        <w:t xml:space="preserve"> would be disrupted, which could have a material adverse effect on our business, financial condition and results of operations</w:t>
      </w:r>
      <w:r>
        <w:rPr>
          <w:sz w:val="20"/>
          <w:szCs w:val="20"/>
        </w:rPr>
        <w:t>.</w:t>
      </w:r>
      <w:r>
        <w:rPr>
          <w:sz w:val="20"/>
          <w:szCs w:val="20"/>
        </w:rPr>
        <w:t xml:space="preserve"> </w:t>
      </w:r>
    </w:p>
    <w:p w14:paraId="61997DCB" w14:textId="77777777" w:rsidR="00000000" w:rsidRDefault="00EF48A2">
      <w:pPr>
        <w:pStyle w:val="a3"/>
        <w:spacing w:before="240" w:beforeAutospacing="0" w:after="0" w:afterAutospacing="0"/>
        <w:jc w:val="both"/>
        <w:rPr>
          <w:sz w:val="20"/>
          <w:szCs w:val="20"/>
        </w:rPr>
      </w:pPr>
      <w:r>
        <w:rPr>
          <w:b/>
          <w:bCs/>
          <w:i/>
          <w:iCs/>
          <w:sz w:val="20"/>
          <w:szCs w:val="20"/>
        </w:rPr>
        <w:t>Evolving government regulations may result in increased costs or adversely affect our results of operations</w:t>
      </w:r>
      <w:r>
        <w:rPr>
          <w:b/>
          <w:bCs/>
          <w:i/>
          <w:iCs/>
          <w:sz w:val="20"/>
          <w:szCs w:val="20"/>
        </w:rPr>
        <w:t>.</w:t>
      </w:r>
      <w:r>
        <w:rPr>
          <w:b/>
          <w:bCs/>
          <w:i/>
          <w:iCs/>
          <w:sz w:val="20"/>
          <w:szCs w:val="20"/>
        </w:rPr>
        <w:t xml:space="preserve"> </w:t>
      </w:r>
    </w:p>
    <w:p w14:paraId="587BAD3C" w14:textId="77777777" w:rsidR="00000000" w:rsidRDefault="00EF48A2">
      <w:pPr>
        <w:pStyle w:val="a3"/>
        <w:spacing w:before="180" w:beforeAutospacing="0" w:after="0" w:afterAutospacing="0"/>
        <w:jc w:val="both"/>
        <w:rPr>
          <w:sz w:val="20"/>
          <w:szCs w:val="20"/>
        </w:rPr>
      </w:pPr>
      <w:r>
        <w:rPr>
          <w:sz w:val="20"/>
          <w:szCs w:val="20"/>
        </w:rPr>
        <w:t>In a regulatory c</w:t>
      </w:r>
      <w:r>
        <w:rPr>
          <w:sz w:val="20"/>
          <w:szCs w:val="20"/>
        </w:rPr>
        <w:t>limate that is uncertain, our operations may be subject to direct and indirect adoption, expansion or reinterpretation of various laws and regulations. Compliance with these future laws and regulations may require us to change our practices at an undetermi</w:t>
      </w:r>
      <w:r>
        <w:rPr>
          <w:sz w:val="20"/>
          <w:szCs w:val="20"/>
        </w:rPr>
        <w:t xml:space="preserve">nable and possibly significant initial monetary and recurring expense. These additional monetary expenditures may increase future overhead, which could have a material adverse effect on our results of operations. We have identified what we believe are the </w:t>
      </w:r>
      <w:r>
        <w:rPr>
          <w:sz w:val="20"/>
          <w:szCs w:val="20"/>
        </w:rPr>
        <w:t xml:space="preserve">areas of government regulation that, if changed, would be costly to us. These include rules governing the practice of medicine by physicians and other licensed professionals; laws relating to licensure requirements for physicians and other licensed health </w:t>
      </w:r>
      <w:r>
        <w:rPr>
          <w:sz w:val="20"/>
          <w:szCs w:val="20"/>
        </w:rPr>
        <w:t>professionals; laws limiting the corporate practice of medicine and professional fee-splitting; laws governing the issuances of prescriptions in an online setting; cybersecurity and privacy laws; and laws and rules relating to the distinction between indep</w:t>
      </w:r>
      <w:r>
        <w:rPr>
          <w:sz w:val="20"/>
          <w:szCs w:val="20"/>
        </w:rPr>
        <w:t>endent contractors and employees. There could be laws and regulations applicable to our business that we have not identified or that, if changed, may be costly to us, and we cannot predict all the ways in which implementation of such laws and regulations m</w:t>
      </w:r>
      <w:r>
        <w:rPr>
          <w:sz w:val="20"/>
          <w:szCs w:val="20"/>
        </w:rPr>
        <w:t>ay affect us</w:t>
      </w:r>
      <w:r>
        <w:rPr>
          <w:sz w:val="20"/>
          <w:szCs w:val="20"/>
        </w:rPr>
        <w:t>.</w:t>
      </w:r>
      <w:r>
        <w:rPr>
          <w:sz w:val="20"/>
          <w:szCs w:val="20"/>
        </w:rPr>
        <w:t xml:space="preserve"> </w:t>
      </w:r>
    </w:p>
    <w:p w14:paraId="1BB1C47F" w14:textId="77777777" w:rsidR="00000000" w:rsidRDefault="00EF48A2">
      <w:pPr>
        <w:pStyle w:val="a3"/>
        <w:spacing w:before="180" w:beforeAutospacing="0" w:after="0" w:afterAutospacing="0"/>
        <w:jc w:val="both"/>
        <w:rPr>
          <w:sz w:val="20"/>
          <w:szCs w:val="20"/>
        </w:rPr>
      </w:pPr>
      <w:r>
        <w:rPr>
          <w:sz w:val="20"/>
          <w:szCs w:val="20"/>
        </w:rPr>
        <w:t>In the jurisdictions in which we operate, even where we believe we are in compliance with all applicable laws, due to the uncertain regulatory environment, certain jurisdictions may determine that we are in violation of their laws. In the ev</w:t>
      </w:r>
      <w:r>
        <w:rPr>
          <w:sz w:val="20"/>
          <w:szCs w:val="20"/>
        </w:rPr>
        <w:t>ent that we must remedy such violations, we may be required to modify our services and products in a manner that undermines our solution’s attractiveness to our clients, members or providers or experts, we may become subject to fines or other penalties or,</w:t>
      </w:r>
      <w:r>
        <w:rPr>
          <w:sz w:val="20"/>
          <w:szCs w:val="20"/>
        </w:rPr>
        <w:t xml:space="preserve"> if we determine that the requirements to operate in compliance in such jurisdictions are overly burdensome, we may elect to terminate our operations in such places. In each case, our revenue may decline and our business, financial condition and results of</w:t>
      </w:r>
      <w:r>
        <w:rPr>
          <w:sz w:val="20"/>
          <w:szCs w:val="20"/>
        </w:rPr>
        <w:t xml:space="preserve"> operations could be materially adversely affected</w:t>
      </w:r>
      <w:r>
        <w:rPr>
          <w:sz w:val="20"/>
          <w:szCs w:val="20"/>
        </w:rPr>
        <w:t>.</w:t>
      </w:r>
      <w:r>
        <w:rPr>
          <w:sz w:val="20"/>
          <w:szCs w:val="20"/>
        </w:rPr>
        <w:t xml:space="preserve"> </w:t>
      </w:r>
    </w:p>
    <w:p w14:paraId="0DCBEC9E"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7</w:t>
      </w:r>
    </w:p>
    <w:p w14:paraId="634130E1" w14:textId="77777777" w:rsidR="00000000" w:rsidRDefault="00EF48A2">
      <w:pPr>
        <w:rPr>
          <w:rFonts w:eastAsia="Times New Roman"/>
        </w:rPr>
      </w:pPr>
      <w:r>
        <w:rPr>
          <w:rFonts w:eastAsia="Times New Roman"/>
        </w:rPr>
        <w:pict w14:anchorId="1395E45D">
          <v:rect id="_x0000_i1054" style="width:0;height:1.5pt" o:hralign="center" o:hrstd="t" o:hr="t" fillcolor="#a0a0a0" stroked="f"/>
        </w:pict>
      </w:r>
    </w:p>
    <w:p w14:paraId="56FD0C84"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4D6098E" w14:textId="77777777" w:rsidR="00000000" w:rsidRDefault="00EF48A2">
      <w:pPr>
        <w:pStyle w:val="a3"/>
        <w:spacing w:before="180" w:beforeAutospacing="0" w:after="0" w:afterAutospacing="0"/>
        <w:jc w:val="both"/>
        <w:rPr>
          <w:sz w:val="20"/>
          <w:szCs w:val="20"/>
        </w:rPr>
      </w:pPr>
      <w:r>
        <w:rPr>
          <w:sz w:val="20"/>
          <w:szCs w:val="20"/>
        </w:rPr>
        <w:t>Additionally, the introduction of new services may require us to comply with additional, yet undetermined, laws and</w:t>
      </w:r>
      <w:r>
        <w:rPr>
          <w:sz w:val="20"/>
          <w:szCs w:val="20"/>
        </w:rPr>
        <w:t xml:space="preserve"> regulations. Compliance may require obtaining appropriate licenses or certificates, increasing our security measures and expending additional resources to monitor developments in applicable rules and ensure compliance. The failure to adequately comply wit</w:t>
      </w:r>
      <w:r>
        <w:rPr>
          <w:sz w:val="20"/>
          <w:szCs w:val="20"/>
        </w:rPr>
        <w:t>h these future laws and regulations may delay or possibly prevent some of our products or services from being offered to members and clients, or their members and patients, which could have a material adverse effect on our business, financial condition and</w:t>
      </w:r>
      <w:r>
        <w:rPr>
          <w:sz w:val="20"/>
          <w:szCs w:val="20"/>
        </w:rPr>
        <w:t xml:space="preserve"> results of operations</w:t>
      </w:r>
      <w:r>
        <w:rPr>
          <w:sz w:val="20"/>
          <w:szCs w:val="20"/>
        </w:rPr>
        <w:t>.</w:t>
      </w:r>
    </w:p>
    <w:p w14:paraId="6239721D" w14:textId="77777777" w:rsidR="00000000" w:rsidRDefault="00EF48A2">
      <w:pPr>
        <w:pStyle w:val="a3"/>
        <w:spacing w:before="240" w:beforeAutospacing="0" w:after="0" w:afterAutospacing="0"/>
        <w:jc w:val="both"/>
        <w:rPr>
          <w:sz w:val="20"/>
          <w:szCs w:val="20"/>
        </w:rPr>
      </w:pPr>
      <w:r>
        <w:rPr>
          <w:b/>
          <w:bCs/>
          <w:i/>
          <w:iCs/>
          <w:sz w:val="20"/>
          <w:szCs w:val="20"/>
        </w:rPr>
        <w:t>We are dependent on our relationships with affiliated professional entities, which we do not own, to provide physician and other professional services, and our business, financial condition and our ability to operate in certain juri</w:t>
      </w:r>
      <w:r>
        <w:rPr>
          <w:b/>
          <w:bCs/>
          <w:i/>
          <w:iCs/>
          <w:sz w:val="20"/>
          <w:szCs w:val="20"/>
        </w:rPr>
        <w:t>sdictions would be adversely affected if those relationships were disrupted or if our arrangements with our providers or clients are found to violate state laws prohibiting the corporate practice of medicine or fee splitting</w:t>
      </w:r>
      <w:r>
        <w:rPr>
          <w:b/>
          <w:bCs/>
          <w:i/>
          <w:iCs/>
          <w:sz w:val="20"/>
          <w:szCs w:val="20"/>
        </w:rPr>
        <w:t>.</w:t>
      </w:r>
      <w:r>
        <w:rPr>
          <w:b/>
          <w:bCs/>
          <w:i/>
          <w:iCs/>
          <w:sz w:val="20"/>
          <w:szCs w:val="20"/>
        </w:rPr>
        <w:t xml:space="preserve"> </w:t>
      </w:r>
    </w:p>
    <w:p w14:paraId="50DBA118" w14:textId="77777777" w:rsidR="00000000" w:rsidRDefault="00EF48A2">
      <w:pPr>
        <w:pStyle w:val="a3"/>
        <w:spacing w:before="180" w:beforeAutospacing="0" w:after="0" w:afterAutospacing="0"/>
        <w:jc w:val="both"/>
        <w:rPr>
          <w:sz w:val="20"/>
          <w:szCs w:val="20"/>
        </w:rPr>
      </w:pPr>
      <w:r>
        <w:rPr>
          <w:sz w:val="20"/>
          <w:szCs w:val="20"/>
        </w:rPr>
        <w:t>We have transitioned to a str</w:t>
      </w:r>
      <w:r>
        <w:rPr>
          <w:sz w:val="20"/>
          <w:szCs w:val="20"/>
        </w:rPr>
        <w:t>ucture where we have entered into various agreements with a Texas professional association entity, TPN, which in turn contracts with our affiliated professional entities and physicians, therapists, and other licensed professionals for clinical and professi</w:t>
      </w:r>
      <w:r>
        <w:rPr>
          <w:sz w:val="20"/>
          <w:szCs w:val="20"/>
        </w:rPr>
        <w:t>onal services provided to our members. There is a risk that U.S. state authorities in some jurisdictions may find that these contractual relationships with professional entities, physicians and other healthcare providers providing telehealth and teletherap</w:t>
      </w:r>
      <w:r>
        <w:rPr>
          <w:sz w:val="20"/>
          <w:szCs w:val="20"/>
        </w:rPr>
        <w:t>y violate laws prohibiting the corporate practice of medicine and professional fee splitting. These laws generally prohibit the practice of medicine by lay persons or entities and prohibit us from employing physicians and certain licensed professionals, di</w:t>
      </w:r>
      <w:r>
        <w:rPr>
          <w:sz w:val="20"/>
          <w:szCs w:val="20"/>
        </w:rPr>
        <w:t>recting the clinical practice of physicians and certain licensed professionals, holding an ownership interest in an entity that employs physicians and certain licensed professionals or from engaging in certain financial arrangements, such as splitting prof</w:t>
      </w:r>
      <w:r>
        <w:rPr>
          <w:sz w:val="20"/>
          <w:szCs w:val="20"/>
        </w:rPr>
        <w:t>essional fees with physicians and certain licensed professionals. The laws are intended to prevent unlicensed persons or entities from interfering with or inappropriately influencing a healthcare provider’s professional judgment. The extent to which each s</w:t>
      </w:r>
      <w:r>
        <w:rPr>
          <w:sz w:val="20"/>
          <w:szCs w:val="20"/>
        </w:rPr>
        <w:t>tate considers particular actions or contractual relationships to constitute improper influence of professional judgment varies across the states and is subject to change and to evolving interpretations by state boards of medicine and professional counselo</w:t>
      </w:r>
      <w:r>
        <w:rPr>
          <w:sz w:val="20"/>
          <w:szCs w:val="20"/>
        </w:rPr>
        <w:t>rs and therapists, and state attorneys general, among others. As such, we must monitor our compliance with applicable laws in every jurisdiction in which we operate on an ongoing basis and we cannot guarantee that subsequent interpretation of the corporate</w:t>
      </w:r>
      <w:r>
        <w:rPr>
          <w:sz w:val="20"/>
          <w:szCs w:val="20"/>
        </w:rPr>
        <w:t xml:space="preserve"> practice of medicine or fee splitting laws will not circumscribe our business operations</w:t>
      </w:r>
      <w:r>
        <w:rPr>
          <w:sz w:val="20"/>
          <w:szCs w:val="20"/>
        </w:rPr>
        <w:t>.</w:t>
      </w:r>
      <w:r>
        <w:rPr>
          <w:sz w:val="20"/>
          <w:szCs w:val="20"/>
        </w:rPr>
        <w:t xml:space="preserve"> </w:t>
      </w:r>
    </w:p>
    <w:p w14:paraId="14BFF867" w14:textId="77777777" w:rsidR="00000000" w:rsidRDefault="00EF48A2">
      <w:pPr>
        <w:pStyle w:val="a3"/>
        <w:spacing w:before="180" w:beforeAutospacing="0" w:after="0" w:afterAutospacing="0"/>
        <w:jc w:val="both"/>
        <w:rPr>
          <w:sz w:val="20"/>
          <w:szCs w:val="20"/>
        </w:rPr>
      </w:pPr>
      <w:r>
        <w:rPr>
          <w:sz w:val="20"/>
          <w:szCs w:val="20"/>
        </w:rPr>
        <w:t>TPN contracts with therapists and other licensed professionals or enters into agreements with our affiliated professional entities, physicians, therapists and other</w:t>
      </w:r>
      <w:r>
        <w:rPr>
          <w:sz w:val="20"/>
          <w:szCs w:val="20"/>
        </w:rPr>
        <w:t xml:space="preserve"> licensed professionals for the clinical and professional services provided to our members. We do not own TPN or the professional entities with which it will contract. TPN and the professional entities are 100% owned by an independent licensed physician qu</w:t>
      </w:r>
      <w:r>
        <w:rPr>
          <w:sz w:val="20"/>
          <w:szCs w:val="20"/>
        </w:rPr>
        <w:t>alified to own TPN and such professional entities in the respective states of incorporation. A material change in our relationship with TPN or among TPN and the contracted professional entities, whether resulting from a dispute among the entities, a change</w:t>
      </w:r>
      <w:r>
        <w:rPr>
          <w:sz w:val="20"/>
          <w:szCs w:val="20"/>
        </w:rPr>
        <w:t xml:space="preserve"> in government regulation, or the loss of these affiliations, could impair our ability to provide services to members as we intend under the transitioned structure and could have a material adverse effect on our business, financial condition, and results o</w:t>
      </w:r>
      <w:r>
        <w:rPr>
          <w:sz w:val="20"/>
          <w:szCs w:val="20"/>
        </w:rPr>
        <w:t>f operations</w:t>
      </w:r>
      <w:r>
        <w:rPr>
          <w:sz w:val="20"/>
          <w:szCs w:val="20"/>
        </w:rPr>
        <w:t>.</w:t>
      </w:r>
      <w:r>
        <w:rPr>
          <w:sz w:val="20"/>
          <w:szCs w:val="20"/>
        </w:rPr>
        <w:t xml:space="preserve"> </w:t>
      </w:r>
    </w:p>
    <w:p w14:paraId="23A9435D" w14:textId="77777777" w:rsidR="00000000" w:rsidRDefault="00EF48A2">
      <w:pPr>
        <w:pStyle w:val="a3"/>
        <w:spacing w:before="180" w:beforeAutospacing="0" w:after="0" w:afterAutospacing="0"/>
        <w:jc w:val="both"/>
        <w:rPr>
          <w:sz w:val="20"/>
          <w:szCs w:val="20"/>
        </w:rPr>
      </w:pPr>
      <w:r>
        <w:rPr>
          <w:sz w:val="20"/>
          <w:szCs w:val="20"/>
        </w:rPr>
        <w:t>State corporate practice of medicine doctrines also often impose penalties on physicians themselves for aiding the corporate practice of medicine, which could discourage physicians from participating in our network of providers. Due to the p</w:t>
      </w:r>
      <w:r>
        <w:rPr>
          <w:sz w:val="20"/>
          <w:szCs w:val="20"/>
        </w:rPr>
        <w:t>revalence of the corporate practice of medicine doctrine, including in states where we conduct our business, we are subject to related agreements with TPN. One such agreement is a management services agreement with TPN, pursuant to which TPN reserves exclu</w:t>
      </w:r>
      <w:r>
        <w:rPr>
          <w:sz w:val="20"/>
          <w:szCs w:val="20"/>
        </w:rPr>
        <w:t>sive control and responsibility for all aspects of the practice of medicine and the delivery of medical services and we provide non-clinical management and administrative services in exchange for a management fee. The other professional entities, physician</w:t>
      </w:r>
      <w:r>
        <w:rPr>
          <w:sz w:val="20"/>
          <w:szCs w:val="20"/>
        </w:rPr>
        <w:t>s, therapists and other licensed professionals who provide clinical and professional services to our members through contracts with TPN also retain exclusive control and responsibility for all aspects of medical services provided to our members. Although w</w:t>
      </w:r>
      <w:r>
        <w:rPr>
          <w:sz w:val="20"/>
          <w:szCs w:val="20"/>
        </w:rPr>
        <w:t>e seek to substantially comply with applicable state prohibitions on the corporate practice of medicine and fee splitting, state officials who administer these laws or other third parties may successfully challenge our organization and contractual arrangem</w:t>
      </w:r>
      <w:r>
        <w:rPr>
          <w:sz w:val="20"/>
          <w:szCs w:val="20"/>
        </w:rPr>
        <w:t>ents with our providers once implemented. If such a claim were successful, we could be subject to civil and criminal penalties and could be required to restructure or terminate the applicable contractual arrangements. A determination that these arrangement</w:t>
      </w:r>
      <w:r>
        <w:rPr>
          <w:sz w:val="20"/>
          <w:szCs w:val="20"/>
        </w:rPr>
        <w:t>s violate state statutes, or our inability to successfully restructure our relationships with our providers to comply with these statutes, could eliminate clients located in certain states from the market for our services. Furthermore, these arrangements c</w:t>
      </w:r>
      <w:r>
        <w:rPr>
          <w:sz w:val="20"/>
          <w:szCs w:val="20"/>
        </w:rPr>
        <w:t>ould subject us to additional scrutiny by federal and state regulatory bodies regarding federal and state fraud and abuse laws. Any scrutiny, investigation, adverse determination or litigation with regard to our arrangements with TPN and our affiliated pro</w:t>
      </w:r>
      <w:r>
        <w:rPr>
          <w:sz w:val="20"/>
          <w:szCs w:val="20"/>
        </w:rPr>
        <w:t>fessional entities could have a material adverse effect on our business, financial condition, and results of operations</w:t>
      </w:r>
      <w:r>
        <w:rPr>
          <w:sz w:val="20"/>
          <w:szCs w:val="20"/>
        </w:rPr>
        <w:t>.</w:t>
      </w:r>
      <w:r>
        <w:rPr>
          <w:sz w:val="20"/>
          <w:szCs w:val="20"/>
        </w:rPr>
        <w:t xml:space="preserve"> </w:t>
      </w:r>
    </w:p>
    <w:p w14:paraId="2F8A0640"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8</w:t>
      </w:r>
    </w:p>
    <w:p w14:paraId="5D1E9951" w14:textId="77777777" w:rsidR="00000000" w:rsidRDefault="00EF48A2">
      <w:pPr>
        <w:rPr>
          <w:rFonts w:eastAsia="Times New Roman"/>
        </w:rPr>
      </w:pPr>
      <w:r>
        <w:rPr>
          <w:rFonts w:eastAsia="Times New Roman"/>
        </w:rPr>
        <w:pict w14:anchorId="7866748F">
          <v:rect id="_x0000_i1055" style="width:0;height:1.5pt" o:hralign="center" o:hrstd="t" o:hr="t" fillcolor="#a0a0a0" stroked="f"/>
        </w:pict>
      </w:r>
    </w:p>
    <w:p w14:paraId="79ECB0F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84E975B" w14:textId="77777777" w:rsidR="00000000" w:rsidRDefault="00EF48A2">
      <w:pPr>
        <w:pStyle w:val="a3"/>
        <w:spacing w:before="240" w:beforeAutospacing="0" w:after="0" w:afterAutospacing="0"/>
        <w:jc w:val="both"/>
        <w:rPr>
          <w:sz w:val="20"/>
          <w:szCs w:val="20"/>
        </w:rPr>
      </w:pPr>
      <w:r>
        <w:rPr>
          <w:b/>
          <w:bCs/>
          <w:i/>
          <w:iCs/>
          <w:sz w:val="20"/>
          <w:szCs w:val="20"/>
        </w:rPr>
        <w:t>The impact on us of recent healthcare legisla</w:t>
      </w:r>
      <w:r>
        <w:rPr>
          <w:b/>
          <w:bCs/>
          <w:i/>
          <w:iCs/>
          <w:sz w:val="20"/>
          <w:szCs w:val="20"/>
        </w:rPr>
        <w:t>tion and other changes in the healthcare industry and in healthcare spending is currently unknown, but may adversely affect our business, financial condition and results of operations</w:t>
      </w:r>
      <w:r>
        <w:rPr>
          <w:b/>
          <w:bCs/>
          <w:i/>
          <w:iCs/>
          <w:sz w:val="20"/>
          <w:szCs w:val="20"/>
        </w:rPr>
        <w:t>.</w:t>
      </w:r>
      <w:r>
        <w:rPr>
          <w:b/>
          <w:bCs/>
          <w:i/>
          <w:iCs/>
          <w:sz w:val="20"/>
          <w:szCs w:val="20"/>
        </w:rPr>
        <w:t xml:space="preserve"> </w:t>
      </w:r>
    </w:p>
    <w:p w14:paraId="4A112F70" w14:textId="77777777" w:rsidR="00000000" w:rsidRDefault="00EF48A2">
      <w:pPr>
        <w:pStyle w:val="a3"/>
        <w:spacing w:before="180" w:beforeAutospacing="0" w:after="0" w:afterAutospacing="0"/>
        <w:jc w:val="both"/>
        <w:rPr>
          <w:sz w:val="20"/>
          <w:szCs w:val="20"/>
        </w:rPr>
      </w:pPr>
      <w:r>
        <w:rPr>
          <w:sz w:val="20"/>
          <w:szCs w:val="20"/>
        </w:rPr>
        <w:t>The impact on us of healthcare reform legislation and other changes in</w:t>
      </w:r>
      <w:r>
        <w:rPr>
          <w:sz w:val="20"/>
          <w:szCs w:val="20"/>
        </w:rPr>
        <w:t xml:space="preserve"> the healthcare industry and in healthcare spending is currently unknown, but may adversely affect our business, financial condition and results of operations. Our revenue is dependent on the healthcare industry and could be affected by changes in healthca</w:t>
      </w:r>
      <w:r>
        <w:rPr>
          <w:sz w:val="20"/>
          <w:szCs w:val="20"/>
        </w:rPr>
        <w:t>re spending, reimbursement and policy. The healthcare industry is subject to changing political, regulatory and other influences. The ACA made major changes in how healthcare is delivered and reimbursed, and it increased access to health insurance benefits</w:t>
      </w:r>
      <w:r>
        <w:rPr>
          <w:sz w:val="20"/>
          <w:szCs w:val="20"/>
        </w:rPr>
        <w:t xml:space="preserve"> to the uninsured and underinsured population of the United States</w:t>
      </w:r>
      <w:r>
        <w:rPr>
          <w:sz w:val="20"/>
          <w:szCs w:val="20"/>
        </w:rPr>
        <w:t>.</w:t>
      </w:r>
      <w:r>
        <w:rPr>
          <w:sz w:val="20"/>
          <w:szCs w:val="20"/>
        </w:rPr>
        <w:t xml:space="preserve"> </w:t>
      </w:r>
    </w:p>
    <w:p w14:paraId="1055AA11" w14:textId="77777777" w:rsidR="00000000" w:rsidRDefault="00EF48A2">
      <w:pPr>
        <w:pStyle w:val="a3"/>
        <w:spacing w:before="180" w:beforeAutospacing="0" w:after="0" w:afterAutospacing="0"/>
        <w:jc w:val="both"/>
        <w:rPr>
          <w:sz w:val="20"/>
          <w:szCs w:val="20"/>
        </w:rPr>
      </w:pPr>
      <w:r>
        <w:rPr>
          <w:sz w:val="20"/>
          <w:szCs w:val="20"/>
        </w:rPr>
        <w:t xml:space="preserve">Since its enactment, there have been judicial and Congressional challenges to certain aspects of the ACA. We continue to evaluate the effect that the ACA and its possible modification or </w:t>
      </w:r>
      <w:r>
        <w:rPr>
          <w:sz w:val="20"/>
          <w:szCs w:val="20"/>
        </w:rPr>
        <w:t>repeal and replacement has on our business. It is uncertain the extent to which any such changes may impact our business or financial condition</w:t>
      </w:r>
      <w:r>
        <w:rPr>
          <w:sz w:val="20"/>
          <w:szCs w:val="20"/>
        </w:rPr>
        <w:t>.</w:t>
      </w:r>
    </w:p>
    <w:p w14:paraId="416A0180" w14:textId="77777777" w:rsidR="00000000" w:rsidRDefault="00EF48A2">
      <w:pPr>
        <w:pStyle w:val="a3"/>
        <w:spacing w:before="180" w:beforeAutospacing="0" w:after="0" w:afterAutospacing="0"/>
        <w:jc w:val="both"/>
        <w:rPr>
          <w:sz w:val="20"/>
          <w:szCs w:val="20"/>
        </w:rPr>
      </w:pPr>
      <w:r>
        <w:rPr>
          <w:sz w:val="20"/>
          <w:szCs w:val="20"/>
        </w:rPr>
        <w:t>Other legislative changes have been proposed and adopted since the ACA was enacted. These changes include aggregate reductions to Medicare payments to providers of up to 2% per fiscal year pursuant to the Budget Control Act of 2011 and subsequent laws, whi</w:t>
      </w:r>
      <w:r>
        <w:rPr>
          <w:sz w:val="20"/>
          <w:szCs w:val="20"/>
        </w:rPr>
        <w:t>ch began in 2013 and will remain in effect through 2030, with the exception of a temporary suspension from May 1, 2020 through March 31, 2022, unless additional Congressional action is taken. In January 2013, the American Taxpayer Relief Act of 2012 was si</w:t>
      </w:r>
      <w:r>
        <w:rPr>
          <w:sz w:val="20"/>
          <w:szCs w:val="20"/>
        </w:rPr>
        <w:t>gned into law, which, among other things, further reduced Medicare payments to several types of providers, including hospitals, imaging centers and cancer treatment centers, and increased the statute of limitations period for the government to recover over</w:t>
      </w:r>
      <w:r>
        <w:rPr>
          <w:sz w:val="20"/>
          <w:szCs w:val="20"/>
        </w:rPr>
        <w:t>payments to providers from three to five years. New laws may result in additional reductions in Medicare and other healthcare funding, which may materially adversely affect consumer demand and affordability for our products and services and, accordingly, t</w:t>
      </w:r>
      <w:r>
        <w:rPr>
          <w:sz w:val="20"/>
          <w:szCs w:val="20"/>
        </w:rPr>
        <w:t>he results of our financial operations. Additional changes that may affect our business include the expansion of new programs such as Medicare payment for performance initiatives for physicians under the Medicare Access and CHIP Reauthorization Act of 2015</w:t>
      </w:r>
      <w:r>
        <w:rPr>
          <w:sz w:val="20"/>
          <w:szCs w:val="20"/>
        </w:rPr>
        <w:t xml:space="preserve"> (MACRA) which first affected physician payment in 2019. At this time, it is unclear how the introduction of the Medicare quality payment program will impact overall physician reimbursement</w:t>
      </w:r>
      <w:r>
        <w:rPr>
          <w:sz w:val="20"/>
          <w:szCs w:val="20"/>
        </w:rPr>
        <w:t>.</w:t>
      </w:r>
    </w:p>
    <w:p w14:paraId="1AC8759A" w14:textId="77777777" w:rsidR="00000000" w:rsidRDefault="00EF48A2">
      <w:pPr>
        <w:pStyle w:val="a3"/>
        <w:spacing w:before="180" w:beforeAutospacing="0" w:after="0" w:afterAutospacing="0"/>
        <w:jc w:val="both"/>
        <w:rPr>
          <w:sz w:val="20"/>
          <w:szCs w:val="20"/>
        </w:rPr>
      </w:pPr>
      <w:r>
        <w:rPr>
          <w:sz w:val="20"/>
          <w:szCs w:val="20"/>
        </w:rPr>
        <w:t>In addition, in 2022, the No Surprises Act went into effect to pr</w:t>
      </w:r>
      <w:r>
        <w:rPr>
          <w:sz w:val="20"/>
          <w:szCs w:val="20"/>
        </w:rPr>
        <w:t>event surprise medical bills to non-federal healthcare program patients. Such changes in the regulatory environment may also result in changes to our payer mix that may affect our operations and revenue. In addition, certain provisions of the ACA authorize</w:t>
      </w:r>
      <w:r>
        <w:rPr>
          <w:sz w:val="20"/>
          <w:szCs w:val="20"/>
        </w:rPr>
        <w:t xml:space="preserve"> voluntary demonstration projects, which include the development of bundling payments for acute, inpatient hospital services, physician services and post-acute services for episodes of hospital care. Further, the ACA may adversely affect payers by increasi</w:t>
      </w:r>
      <w:r>
        <w:rPr>
          <w:sz w:val="20"/>
          <w:szCs w:val="20"/>
        </w:rPr>
        <w:t>ng medical costs generally, which could have an effect on the industry and potentially impact our business and revenue as payers seek to offset these increases by reducing costs in other areas. Certain of these provisions are still being implemented and th</w:t>
      </w:r>
      <w:r>
        <w:rPr>
          <w:sz w:val="20"/>
          <w:szCs w:val="20"/>
        </w:rPr>
        <w:t>e full impact of these changes on us cannot be determined at this time</w:t>
      </w:r>
      <w:r>
        <w:rPr>
          <w:sz w:val="20"/>
          <w:szCs w:val="20"/>
        </w:rPr>
        <w:t>.</w:t>
      </w:r>
      <w:r>
        <w:rPr>
          <w:sz w:val="20"/>
          <w:szCs w:val="20"/>
        </w:rPr>
        <w:t xml:space="preserve"> </w:t>
      </w:r>
    </w:p>
    <w:p w14:paraId="17545037" w14:textId="77777777" w:rsidR="00000000" w:rsidRDefault="00EF48A2">
      <w:pPr>
        <w:pStyle w:val="a3"/>
        <w:spacing w:before="180" w:beforeAutospacing="0" w:after="0" w:afterAutospacing="0"/>
        <w:jc w:val="both"/>
        <w:rPr>
          <w:sz w:val="20"/>
          <w:szCs w:val="20"/>
        </w:rPr>
      </w:pPr>
      <w:r>
        <w:rPr>
          <w:sz w:val="20"/>
          <w:szCs w:val="20"/>
        </w:rPr>
        <w:t>Uncertainty regarding future amendments to the ACA as well as new legislative proposals to reform healthcare and government insurance programs, along with the trend toward managed hea</w:t>
      </w:r>
      <w:r>
        <w:rPr>
          <w:sz w:val="20"/>
          <w:szCs w:val="20"/>
        </w:rPr>
        <w:t>lthcare in the United States, could result in reduced demand and prices for our services. We expect that additional state and federal healthcare reform measures will be adopted in the future, any of which could limit the amounts that federal and state gove</w:t>
      </w:r>
      <w:r>
        <w:rPr>
          <w:sz w:val="20"/>
          <w:szCs w:val="20"/>
        </w:rPr>
        <w:t>rnments and other third-party payers will pay for healthcare products and services, which could adversely affect our business, financial condition and results of operations</w:t>
      </w:r>
      <w:r>
        <w:rPr>
          <w:sz w:val="20"/>
          <w:szCs w:val="20"/>
        </w:rPr>
        <w:t>.</w:t>
      </w:r>
      <w:r>
        <w:rPr>
          <w:sz w:val="20"/>
          <w:szCs w:val="20"/>
        </w:rPr>
        <w:t xml:space="preserve"> </w:t>
      </w:r>
    </w:p>
    <w:p w14:paraId="18961B76" w14:textId="77777777" w:rsidR="00000000" w:rsidRDefault="00EF48A2">
      <w:pPr>
        <w:pStyle w:val="a3"/>
        <w:spacing w:before="240" w:beforeAutospacing="0" w:after="0" w:afterAutospacing="0"/>
        <w:jc w:val="both"/>
        <w:rPr>
          <w:sz w:val="20"/>
          <w:szCs w:val="20"/>
        </w:rPr>
      </w:pPr>
      <w:r>
        <w:rPr>
          <w:b/>
          <w:bCs/>
          <w:i/>
          <w:iCs/>
          <w:sz w:val="20"/>
          <w:szCs w:val="20"/>
        </w:rPr>
        <w:t>We conduct business in a heavily regulated industry and if we fail to comply with</w:t>
      </w:r>
      <w:r>
        <w:rPr>
          <w:b/>
          <w:bCs/>
          <w:i/>
          <w:iCs/>
          <w:sz w:val="20"/>
          <w:szCs w:val="20"/>
        </w:rPr>
        <w:t xml:space="preserve"> these laws and government regulations, we could incur penalties or be required to make significant changes to our operations or experience adverse publicity, which could have a material adverse effect on our business, financial condition, and results of o</w:t>
      </w:r>
      <w:r>
        <w:rPr>
          <w:b/>
          <w:bCs/>
          <w:i/>
          <w:iCs/>
          <w:sz w:val="20"/>
          <w:szCs w:val="20"/>
        </w:rPr>
        <w:t>perations</w:t>
      </w:r>
      <w:r>
        <w:rPr>
          <w:b/>
          <w:bCs/>
          <w:i/>
          <w:iCs/>
          <w:sz w:val="20"/>
          <w:szCs w:val="20"/>
        </w:rPr>
        <w:t>.</w:t>
      </w:r>
      <w:r>
        <w:rPr>
          <w:b/>
          <w:bCs/>
          <w:i/>
          <w:iCs/>
          <w:sz w:val="20"/>
          <w:szCs w:val="20"/>
        </w:rPr>
        <w:t xml:space="preserve"> </w:t>
      </w:r>
    </w:p>
    <w:p w14:paraId="51A82A4D" w14:textId="77777777" w:rsidR="00000000" w:rsidRDefault="00EF48A2">
      <w:pPr>
        <w:pStyle w:val="a3"/>
        <w:spacing w:before="180" w:beforeAutospacing="0" w:after="0" w:afterAutospacing="0"/>
        <w:jc w:val="both"/>
        <w:rPr>
          <w:sz w:val="20"/>
          <w:szCs w:val="20"/>
        </w:rPr>
      </w:pPr>
      <w:r>
        <w:rPr>
          <w:sz w:val="20"/>
          <w:szCs w:val="20"/>
        </w:rPr>
        <w:t xml:space="preserve">Although our services are not currently reimbursed by government healthcare programs such as Medicare or Medicaid, any future reimbursement from federal and/or state healthcare programs could expose our business to broadly applicable fraud and </w:t>
      </w:r>
      <w:r>
        <w:rPr>
          <w:sz w:val="20"/>
          <w:szCs w:val="20"/>
        </w:rPr>
        <w:t>abuse laws and other healthcare laws and regulations that would regulate the business. The U.S. healthcare industry is heavily regulated and closely scrutinized by federal and state governments. Comprehensive statutes and regulations govern the manner in w</w:t>
      </w:r>
      <w:r>
        <w:rPr>
          <w:sz w:val="20"/>
          <w:szCs w:val="20"/>
        </w:rPr>
        <w:t>hich we and our affiliated professional entities may provide and bill for services and collect reimbursement from governmental programs and private payers, our contractual relationships with TPN and its corresponding relationship with its contracted provid</w:t>
      </w:r>
      <w:r>
        <w:rPr>
          <w:sz w:val="20"/>
          <w:szCs w:val="20"/>
        </w:rPr>
        <w:t>ers, vendors and clients, our marketing activities and other aspects of our operations</w:t>
      </w:r>
      <w:r>
        <w:rPr>
          <w:sz w:val="20"/>
          <w:szCs w:val="20"/>
        </w:rPr>
        <w:t>.</w:t>
      </w:r>
    </w:p>
    <w:p w14:paraId="3B6B9ACC" w14:textId="77777777" w:rsidR="00000000" w:rsidRDefault="00EF48A2">
      <w:pPr>
        <w:pStyle w:val="a3"/>
        <w:spacing w:before="180" w:beforeAutospacing="0" w:after="0" w:afterAutospacing="0"/>
        <w:jc w:val="both"/>
        <w:rPr>
          <w:sz w:val="20"/>
          <w:szCs w:val="20"/>
        </w:rPr>
      </w:pPr>
      <w:r>
        <w:rPr>
          <w:sz w:val="20"/>
          <w:szCs w:val="20"/>
        </w:rPr>
        <w:t>For a summary of the potential applicable U.S. federal and state healthcare laws, see, “Item 1. Business – U.S. Regulation.</w:t>
      </w:r>
      <w:r>
        <w:rPr>
          <w:sz w:val="20"/>
          <w:szCs w:val="20"/>
        </w:rPr>
        <w:t>”</w:t>
      </w:r>
    </w:p>
    <w:p w14:paraId="2A1E613F" w14:textId="77777777" w:rsidR="00000000" w:rsidRDefault="00EF48A2">
      <w:pPr>
        <w:pStyle w:val="a3"/>
        <w:spacing w:before="0" w:beforeAutospacing="0" w:after="0" w:afterAutospacing="0"/>
        <w:jc w:val="center"/>
        <w:rPr>
          <w:sz w:val="20"/>
          <w:szCs w:val="20"/>
        </w:rPr>
      </w:pPr>
      <w:r>
        <w:rPr>
          <w:sz w:val="20"/>
          <w:szCs w:val="20"/>
        </w:rPr>
        <w:t>2</w:t>
      </w:r>
      <w:r>
        <w:rPr>
          <w:sz w:val="20"/>
          <w:szCs w:val="20"/>
        </w:rPr>
        <w:t>9</w:t>
      </w:r>
    </w:p>
    <w:p w14:paraId="6A857F42" w14:textId="77777777" w:rsidR="00000000" w:rsidRDefault="00EF48A2">
      <w:pPr>
        <w:rPr>
          <w:rFonts w:eastAsia="Times New Roman"/>
        </w:rPr>
      </w:pPr>
      <w:r>
        <w:rPr>
          <w:rFonts w:eastAsia="Times New Roman"/>
        </w:rPr>
        <w:pict w14:anchorId="0D929BAC">
          <v:rect id="_x0000_i1056" style="width:0;height:1.5pt" o:hralign="center" o:hrstd="t" o:hr="t" fillcolor="#a0a0a0" stroked="f"/>
        </w:pict>
      </w:r>
    </w:p>
    <w:p w14:paraId="1E6FEAD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691B245" w14:textId="77777777" w:rsidR="00000000" w:rsidRDefault="00EF48A2">
      <w:pPr>
        <w:pStyle w:val="a3"/>
        <w:spacing w:before="180" w:beforeAutospacing="0" w:after="0" w:afterAutospacing="0"/>
        <w:jc w:val="both"/>
        <w:rPr>
          <w:sz w:val="20"/>
          <w:szCs w:val="20"/>
        </w:rPr>
      </w:pPr>
      <w:r>
        <w:rPr>
          <w:sz w:val="20"/>
          <w:szCs w:val="20"/>
        </w:rPr>
        <w:t>Because of the breadth of these laws and the need to fit certain activities within one of the statutory exceptions and safe harbors available, it is possible that some of our business activities could be subject</w:t>
      </w:r>
      <w:r>
        <w:rPr>
          <w:sz w:val="20"/>
          <w:szCs w:val="20"/>
        </w:rPr>
        <w:t xml:space="preserve"> to challenge under one or more of such laws. Achieving and sustaining compliance with these laws may prove costly. Failure to comply with these laws and other laws can result in civil and criminal penalties such as fines, damages, overpayment recoupment, </w:t>
      </w:r>
      <w:r>
        <w:rPr>
          <w:sz w:val="20"/>
          <w:szCs w:val="20"/>
        </w:rPr>
        <w:t>loss of enrollment status and, if in the future we provide services reimbursable by government healthcare programs, exclusion from the Medicare and Medicaid programs. The risk of our being found in violation of these laws and regulations is increased by th</w:t>
      </w:r>
      <w:r>
        <w:rPr>
          <w:sz w:val="20"/>
          <w:szCs w:val="20"/>
        </w:rPr>
        <w:t>e fact that many of them have not been fully interpreted by the regulatory authorities or the courts, and their provisions are sometimes open to a variety of interpretations. Our failure to accurately anticipate the application of these laws and regulation</w:t>
      </w:r>
      <w:r>
        <w:rPr>
          <w:sz w:val="20"/>
          <w:szCs w:val="20"/>
        </w:rPr>
        <w:t>s to our business or any other failure to comply with regulatory requirements could create liability for us and negatively affect our business. Any action against us for violation of these laws or regulations, even if we successfully defend against it, cou</w:t>
      </w:r>
      <w:r>
        <w:rPr>
          <w:sz w:val="20"/>
          <w:szCs w:val="20"/>
        </w:rPr>
        <w:t>ld cause us to incur significant legal expenses, divert our management’s attention from the operation of our business and result in adverse publicity</w:t>
      </w:r>
      <w:r>
        <w:rPr>
          <w:sz w:val="20"/>
          <w:szCs w:val="20"/>
        </w:rPr>
        <w:t>.</w:t>
      </w:r>
      <w:r>
        <w:rPr>
          <w:sz w:val="20"/>
          <w:szCs w:val="20"/>
        </w:rPr>
        <w:t xml:space="preserve"> </w:t>
      </w:r>
    </w:p>
    <w:p w14:paraId="5E70CB52" w14:textId="77777777" w:rsidR="00000000" w:rsidRDefault="00EF48A2">
      <w:pPr>
        <w:pStyle w:val="a3"/>
        <w:spacing w:before="180" w:beforeAutospacing="0" w:after="0" w:afterAutospacing="0"/>
        <w:jc w:val="both"/>
        <w:rPr>
          <w:sz w:val="20"/>
          <w:szCs w:val="20"/>
        </w:rPr>
      </w:pPr>
      <w:r>
        <w:rPr>
          <w:sz w:val="20"/>
          <w:szCs w:val="20"/>
        </w:rPr>
        <w:t>The laws, regulations and standards governing the provision of healthcare services may change significan</w:t>
      </w:r>
      <w:r>
        <w:rPr>
          <w:sz w:val="20"/>
          <w:szCs w:val="20"/>
        </w:rPr>
        <w:t>tly in the future. We cannot assure you that any new or changed healthcare laws, regulations or standards will not materially adversely affect our business. We cannot assure you that a review of our business by judicial, law enforcement, regulatory or accr</w:t>
      </w:r>
      <w:r>
        <w:rPr>
          <w:sz w:val="20"/>
          <w:szCs w:val="20"/>
        </w:rPr>
        <w:t>editation authorities will not result in a determination that could adversely affect our operations</w:t>
      </w:r>
      <w:r>
        <w:rPr>
          <w:sz w:val="20"/>
          <w:szCs w:val="20"/>
        </w:rPr>
        <w:t>.</w:t>
      </w:r>
      <w:r>
        <w:rPr>
          <w:sz w:val="20"/>
          <w:szCs w:val="20"/>
        </w:rPr>
        <w:t xml:space="preserve"> </w:t>
      </w:r>
    </w:p>
    <w:p w14:paraId="2834E2DB" w14:textId="77777777" w:rsidR="00000000" w:rsidRDefault="00EF48A2">
      <w:pPr>
        <w:pStyle w:val="a3"/>
        <w:spacing w:before="180" w:beforeAutospacing="0" w:after="0" w:afterAutospacing="0"/>
        <w:jc w:val="both"/>
        <w:rPr>
          <w:sz w:val="20"/>
          <w:szCs w:val="20"/>
        </w:rPr>
      </w:pPr>
      <w:r>
        <w:rPr>
          <w:sz w:val="20"/>
          <w:szCs w:val="20"/>
        </w:rPr>
        <w:t>Failure by us, our employees, affiliates, partners or others with whom we work to comply with applicable laws and regulations could result in administrati</w:t>
      </w:r>
      <w:r>
        <w:rPr>
          <w:sz w:val="20"/>
          <w:szCs w:val="20"/>
        </w:rPr>
        <w:t xml:space="preserve">ve, civil, commercial or criminal liabilities, including exclusion from participation in government healthcare programs, including Medicare and Medicaid. Any such penalties could have a material adverse effect on our reputation, our ability to compete for </w:t>
      </w:r>
      <w:r>
        <w:rPr>
          <w:sz w:val="20"/>
          <w:szCs w:val="20"/>
        </w:rPr>
        <w:t>other contracts and our financial position, results of operations and/or cash flows</w:t>
      </w:r>
      <w:r>
        <w:rPr>
          <w:sz w:val="20"/>
          <w:szCs w:val="20"/>
        </w:rPr>
        <w:t>.</w:t>
      </w:r>
    </w:p>
    <w:p w14:paraId="0FEFABC7" w14:textId="77777777" w:rsidR="00000000" w:rsidRDefault="00EF48A2">
      <w:pPr>
        <w:pStyle w:val="a3"/>
        <w:spacing w:before="240" w:beforeAutospacing="0" w:after="0" w:afterAutospacing="0"/>
        <w:jc w:val="both"/>
        <w:rPr>
          <w:sz w:val="20"/>
          <w:szCs w:val="20"/>
        </w:rPr>
      </w:pPr>
      <w:r>
        <w:rPr>
          <w:b/>
          <w:bCs/>
          <w:i/>
          <w:iCs/>
          <w:sz w:val="20"/>
          <w:szCs w:val="20"/>
        </w:rPr>
        <w:t>Our use and disclosure of personal information, including PHI, personal data, and other health information, is subject to state, federal or other privacy and security regu</w:t>
      </w:r>
      <w:r>
        <w:rPr>
          <w:b/>
          <w:bCs/>
          <w:i/>
          <w:iCs/>
          <w:sz w:val="20"/>
          <w:szCs w:val="20"/>
        </w:rPr>
        <w:t>lations, and our failure to comply with those regulations or to adequately secure the information we hold could result in significant liability or reputational harm and, in turn, a material adverse effect on our client base and member bases and revenue</w:t>
      </w:r>
      <w:r>
        <w:rPr>
          <w:b/>
          <w:bCs/>
          <w:i/>
          <w:iCs/>
          <w:sz w:val="20"/>
          <w:szCs w:val="20"/>
        </w:rPr>
        <w:t>.</w:t>
      </w:r>
      <w:r>
        <w:rPr>
          <w:b/>
          <w:bCs/>
          <w:i/>
          <w:iCs/>
          <w:sz w:val="20"/>
          <w:szCs w:val="20"/>
        </w:rPr>
        <w:t xml:space="preserve"> </w:t>
      </w:r>
    </w:p>
    <w:p w14:paraId="789D97F4" w14:textId="77777777" w:rsidR="00000000" w:rsidRDefault="00EF48A2">
      <w:pPr>
        <w:pStyle w:val="a3"/>
        <w:spacing w:before="180" w:beforeAutospacing="0" w:after="0" w:afterAutospacing="0"/>
        <w:jc w:val="both"/>
        <w:rPr>
          <w:sz w:val="20"/>
          <w:szCs w:val="20"/>
        </w:rPr>
      </w:pPr>
      <w:r>
        <w:rPr>
          <w:sz w:val="20"/>
          <w:szCs w:val="20"/>
        </w:rPr>
        <w:t>T</w:t>
      </w:r>
      <w:r>
        <w:rPr>
          <w:sz w:val="20"/>
          <w:szCs w:val="20"/>
        </w:rPr>
        <w:t>he privacy and security of personal information stored, maintained, received or transmitted electronically is an enforcement priority in the United States and internationally. While we strive to comply with all applicable privacy and security laws and regu</w:t>
      </w:r>
      <w:r>
        <w:rPr>
          <w:sz w:val="20"/>
          <w:szCs w:val="20"/>
        </w:rPr>
        <w:t>lations, as well as our own posted privacy policies, legal standards for privacy, any failure or perceived failure to comply with such requirements may result in proceedings or actions against us by government entities or private parties, or could cause us</w:t>
      </w:r>
      <w:r>
        <w:rPr>
          <w:sz w:val="20"/>
          <w:szCs w:val="20"/>
        </w:rPr>
        <w:t xml:space="preserve"> to lose clients or members, any of which could have a material adverse effect on our business. Recently, there has been an increase in public awareness of privacy issues in the wake of revelations about the activities of various government agencies and in</w:t>
      </w:r>
      <w:r>
        <w:rPr>
          <w:sz w:val="20"/>
          <w:szCs w:val="20"/>
        </w:rPr>
        <w:t xml:space="preserve"> the number of private privacy-related lawsuits filed against companies. Any allegations about our practices with regard to the collection, use, disclosure, or security of personal information or other privacy-related matters, even if unfounded and even if</w:t>
      </w:r>
      <w:r>
        <w:rPr>
          <w:sz w:val="20"/>
          <w:szCs w:val="20"/>
        </w:rPr>
        <w:t xml:space="preserve"> we are in compliance with applicable laws, could damage our reputation and harm our business</w:t>
      </w:r>
      <w:r>
        <w:rPr>
          <w:sz w:val="20"/>
          <w:szCs w:val="20"/>
        </w:rPr>
        <w:t>.</w:t>
      </w:r>
      <w:r>
        <w:rPr>
          <w:sz w:val="20"/>
          <w:szCs w:val="20"/>
        </w:rPr>
        <w:t xml:space="preserve"> </w:t>
      </w:r>
    </w:p>
    <w:p w14:paraId="50DB615A" w14:textId="77777777" w:rsidR="00000000" w:rsidRDefault="00EF48A2">
      <w:pPr>
        <w:pStyle w:val="a3"/>
        <w:spacing w:before="180" w:beforeAutospacing="0" w:after="0" w:afterAutospacing="0"/>
        <w:jc w:val="both"/>
        <w:rPr>
          <w:sz w:val="20"/>
          <w:szCs w:val="20"/>
        </w:rPr>
      </w:pPr>
      <w:r>
        <w:rPr>
          <w:sz w:val="20"/>
          <w:szCs w:val="20"/>
        </w:rPr>
        <w:t>In the United States, numerous federal and state laws and regulations govern collection, storage, dissemination, use, retention, transfer, disposal, security an</w:t>
      </w:r>
      <w:r>
        <w:rPr>
          <w:sz w:val="20"/>
          <w:szCs w:val="20"/>
        </w:rPr>
        <w:t>d confidentiality of personal information, including HIPAA; U.S. state privacy, security and breach notification and healthcare information laws; the California Consumer Protection Act (“CCPA”); and other data protection laws</w:t>
      </w:r>
      <w:r>
        <w:rPr>
          <w:sz w:val="20"/>
          <w:szCs w:val="20"/>
        </w:rPr>
        <w:t>.</w:t>
      </w:r>
      <w:r>
        <w:rPr>
          <w:sz w:val="20"/>
          <w:szCs w:val="20"/>
        </w:rPr>
        <w:t xml:space="preserve"> </w:t>
      </w:r>
    </w:p>
    <w:p w14:paraId="0B32A153" w14:textId="77777777" w:rsidR="00000000" w:rsidRDefault="00EF48A2">
      <w:pPr>
        <w:pStyle w:val="a3"/>
        <w:spacing w:before="180" w:beforeAutospacing="0" w:after="0" w:afterAutospacing="0"/>
        <w:jc w:val="both"/>
        <w:rPr>
          <w:sz w:val="20"/>
          <w:szCs w:val="20"/>
        </w:rPr>
      </w:pPr>
      <w:r>
        <w:rPr>
          <w:sz w:val="20"/>
          <w:szCs w:val="20"/>
        </w:rPr>
        <w:t>HIPAA requires us to maintai</w:t>
      </w:r>
      <w:r>
        <w:rPr>
          <w:sz w:val="20"/>
          <w:szCs w:val="20"/>
        </w:rPr>
        <w:t>n policies and procedures governing PHI that is used or disclosed, and to implement administrative, physical and technical safeguards to protect PHI, including PHI maintained, used and disclosed in electronic form. Ongoing implementation and oversight of t</w:t>
      </w:r>
      <w:r>
        <w:rPr>
          <w:sz w:val="20"/>
          <w:szCs w:val="20"/>
        </w:rPr>
        <w:t>hese measures involves significant time, effort and expense</w:t>
      </w:r>
      <w:r>
        <w:rPr>
          <w:sz w:val="20"/>
          <w:szCs w:val="20"/>
        </w:rPr>
        <w:t>.</w:t>
      </w:r>
    </w:p>
    <w:p w14:paraId="3063A8A6" w14:textId="77777777" w:rsidR="00000000" w:rsidRDefault="00EF48A2">
      <w:pPr>
        <w:pStyle w:val="a3"/>
        <w:spacing w:before="180" w:beforeAutospacing="0" w:after="0" w:afterAutospacing="0"/>
        <w:jc w:val="both"/>
        <w:rPr>
          <w:sz w:val="20"/>
          <w:szCs w:val="20"/>
        </w:rPr>
      </w:pPr>
      <w:r>
        <w:rPr>
          <w:sz w:val="20"/>
          <w:szCs w:val="20"/>
        </w:rPr>
        <w:t xml:space="preserve">HIPAA also requires that patients be notified of any unauthorized acquisition, access, use or disclosure of their unsecured PHI that compromises the privacy or security of such information, with </w:t>
      </w:r>
      <w:r>
        <w:rPr>
          <w:sz w:val="20"/>
          <w:szCs w:val="20"/>
        </w:rPr>
        <w:t>certain exceptions related to unintentional or inadvertent use or disclosure by employees or authorized individuals. Further, if a breach affects 500 patients or more, it must be reported to the U.S. Department of Health and Human Services Office (“HHS”) w</w:t>
      </w:r>
      <w:r>
        <w:rPr>
          <w:sz w:val="20"/>
          <w:szCs w:val="20"/>
        </w:rPr>
        <w:t>ithout unreasonable delay, and HHS will post the name of the breaching entity on its public web site. Breaches affecting 500 patients or more in the same state or jurisdiction must also be reported to the local media. If a breach involves fewer than 500 pe</w:t>
      </w:r>
      <w:r>
        <w:rPr>
          <w:sz w:val="20"/>
          <w:szCs w:val="20"/>
        </w:rPr>
        <w:t>ople, the covered entity must record it in a log and notify HHS at least annually</w:t>
      </w:r>
      <w:r>
        <w:rPr>
          <w:sz w:val="20"/>
          <w:szCs w:val="20"/>
        </w:rPr>
        <w:t>.</w:t>
      </w:r>
      <w:r>
        <w:rPr>
          <w:sz w:val="20"/>
          <w:szCs w:val="20"/>
        </w:rPr>
        <w:t xml:space="preserve"> </w:t>
      </w:r>
    </w:p>
    <w:p w14:paraId="7A49A452" w14:textId="77777777" w:rsidR="00000000" w:rsidRDefault="00EF48A2">
      <w:pPr>
        <w:pStyle w:val="a3"/>
        <w:spacing w:before="180" w:beforeAutospacing="0" w:after="0" w:afterAutospacing="0"/>
        <w:jc w:val="both"/>
        <w:rPr>
          <w:sz w:val="20"/>
          <w:szCs w:val="20"/>
        </w:rPr>
      </w:pPr>
      <w:r>
        <w:rPr>
          <w:sz w:val="20"/>
          <w:szCs w:val="20"/>
        </w:rPr>
        <w:t>Entities that are found to be in violation of HIPAA as the result of a breach of unsecured PHI or following a complaint about privacy practices or an audit by HHS, may be s</w:t>
      </w:r>
      <w:r>
        <w:rPr>
          <w:sz w:val="20"/>
          <w:szCs w:val="20"/>
        </w:rPr>
        <w:t>ubject to significant civil, criminal and administrative fines and penalties and/or additional reporting and oversight obligations if required to enter into a resolution agreement and corrective action plan with HHS to settle allegations of HIPAA non-compl</w:t>
      </w:r>
      <w:r>
        <w:rPr>
          <w:sz w:val="20"/>
          <w:szCs w:val="20"/>
        </w:rPr>
        <w:t>iance. HIPAA also authorizes state attorneys general to file suit on behalf of thei</w:t>
      </w:r>
      <w:r>
        <w:rPr>
          <w:sz w:val="20"/>
          <w:szCs w:val="20"/>
        </w:rPr>
        <w:t>r</w:t>
      </w:r>
      <w:r>
        <w:rPr>
          <w:sz w:val="20"/>
          <w:szCs w:val="20"/>
        </w:rPr>
        <w:t xml:space="preserve"> </w:t>
      </w:r>
    </w:p>
    <w:p w14:paraId="7631CA95"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0</w:t>
      </w:r>
    </w:p>
    <w:p w14:paraId="6F35AC70" w14:textId="77777777" w:rsidR="00000000" w:rsidRDefault="00EF48A2">
      <w:pPr>
        <w:rPr>
          <w:rFonts w:eastAsia="Times New Roman"/>
        </w:rPr>
      </w:pPr>
      <w:r>
        <w:rPr>
          <w:rFonts w:eastAsia="Times New Roman"/>
        </w:rPr>
        <w:pict w14:anchorId="4C6AC391">
          <v:rect id="_x0000_i1057" style="width:0;height:1.5pt" o:hralign="center" o:hrstd="t" o:hr="t" fillcolor="#a0a0a0" stroked="f"/>
        </w:pict>
      </w:r>
    </w:p>
    <w:p w14:paraId="79253DB2"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4BCBCFE" w14:textId="77777777" w:rsidR="00000000" w:rsidRDefault="00EF48A2">
      <w:pPr>
        <w:pStyle w:val="a3"/>
        <w:spacing w:before="180" w:beforeAutospacing="0" w:after="0" w:afterAutospacing="0"/>
        <w:jc w:val="both"/>
        <w:rPr>
          <w:sz w:val="20"/>
          <w:szCs w:val="20"/>
        </w:rPr>
      </w:pPr>
      <w:r>
        <w:rPr>
          <w:sz w:val="20"/>
          <w:szCs w:val="20"/>
        </w:rPr>
        <w:t>residents and HIPAA's standards have been used as the basis for duty of care in s</w:t>
      </w:r>
      <w:r>
        <w:rPr>
          <w:sz w:val="20"/>
          <w:szCs w:val="20"/>
        </w:rPr>
        <w:t>tate civil suits such as those for negligence or recklessness in the misuse or breach of PHI. Any such penalties or lawsuits could harm our business, financial condition, results of operations and prospects</w:t>
      </w:r>
      <w:r>
        <w:rPr>
          <w:sz w:val="20"/>
          <w:szCs w:val="20"/>
        </w:rPr>
        <w:t>.</w:t>
      </w:r>
      <w:r>
        <w:rPr>
          <w:sz w:val="20"/>
          <w:szCs w:val="20"/>
        </w:rPr>
        <w:t xml:space="preserve"> </w:t>
      </w:r>
    </w:p>
    <w:p w14:paraId="77AB2254" w14:textId="77777777" w:rsidR="00000000" w:rsidRDefault="00EF48A2">
      <w:pPr>
        <w:pStyle w:val="a3"/>
        <w:spacing w:before="180" w:beforeAutospacing="0" w:after="0" w:afterAutospacing="0"/>
        <w:jc w:val="both"/>
        <w:rPr>
          <w:sz w:val="20"/>
          <w:szCs w:val="20"/>
        </w:rPr>
      </w:pPr>
      <w:r>
        <w:rPr>
          <w:sz w:val="20"/>
          <w:szCs w:val="20"/>
        </w:rPr>
        <w:t>In addition to HIPAA, the U.S. federal governme</w:t>
      </w:r>
      <w:r>
        <w:rPr>
          <w:sz w:val="20"/>
          <w:szCs w:val="20"/>
        </w:rPr>
        <w:t>nt and various states and governmental agencies have adopted or are considering adopting various laws, regulations and standards regarding the collection, use, retention, security, disclosure, transfer and other processing of sensitive and personal informa</w:t>
      </w:r>
      <w:r>
        <w:rPr>
          <w:sz w:val="20"/>
          <w:szCs w:val="20"/>
        </w:rPr>
        <w:t>tion, to which we are or may become subject. For example, California implemented the California Consumer Privacy Act, or CCPA, which came into effect in 2020, and the California Privacy Rights Act (“CPRA”), which came into effect on January 1, 2023, and to</w:t>
      </w:r>
      <w:r>
        <w:rPr>
          <w:sz w:val="20"/>
          <w:szCs w:val="20"/>
        </w:rPr>
        <w:t xml:space="preserve"> which we are subject. The CCPA imposes obligations and restrictions on businesses regarding their collection, use, processing, retaining and sharing of personal information and provides new and enhanced data privacy rights to California residents. Protect</w:t>
      </w:r>
      <w:r>
        <w:rPr>
          <w:sz w:val="20"/>
          <w:szCs w:val="20"/>
        </w:rPr>
        <w:t>ed health information that is subject to HIPAA is excluded from the CCPA; however, information we hold about individual residents of California that is not subject to HIPAA would be subject to the CCPA. Furthermore, California voters approved the Californi</w:t>
      </w:r>
      <w:r>
        <w:rPr>
          <w:sz w:val="20"/>
          <w:szCs w:val="20"/>
        </w:rPr>
        <w:t>a Privacy Rights Act (“CPRA”) in November 2020, which will significantly amend and expand the CCPA, including by providing consumers with additional rights with respect to their personal information. The CPRA also creates a new state agency that will be ve</w:t>
      </w:r>
      <w:r>
        <w:rPr>
          <w:sz w:val="20"/>
          <w:szCs w:val="20"/>
        </w:rPr>
        <w:t>sted with authority to implement and enforce the CCPA and the CPRA. The CPRA will come into effect on January 1, 2023, applying to information collected by businesses on or after January 1, 2022. We expect states to continue to enact legislation similar to</w:t>
      </w:r>
      <w:r>
        <w:rPr>
          <w:sz w:val="20"/>
          <w:szCs w:val="20"/>
        </w:rPr>
        <w:t xml:space="preserve"> the CCPA and CPRA that provides consumers with new privacy rights and increases the privacy and security obligations of entities handling certain personal information of such consumers. Laws similar to the CCPA and CPRA have passed in Virginia and Colorad</w:t>
      </w:r>
      <w:r>
        <w:rPr>
          <w:sz w:val="20"/>
          <w:szCs w:val="20"/>
        </w:rPr>
        <w:t>o, and have been proposed in other states and at the federal level, reflecting a trend toward more stringent privacy legislation in the United States</w:t>
      </w:r>
      <w:r>
        <w:rPr>
          <w:sz w:val="20"/>
          <w:szCs w:val="20"/>
        </w:rPr>
        <w:t>.</w:t>
      </w:r>
    </w:p>
    <w:p w14:paraId="7B50EA59" w14:textId="77777777" w:rsidR="00000000" w:rsidRDefault="00EF48A2">
      <w:pPr>
        <w:pStyle w:val="a3"/>
        <w:spacing w:before="180" w:beforeAutospacing="0" w:after="0" w:afterAutospacing="0"/>
        <w:jc w:val="both"/>
        <w:rPr>
          <w:sz w:val="20"/>
          <w:szCs w:val="20"/>
        </w:rPr>
      </w:pPr>
      <w:r>
        <w:rPr>
          <w:sz w:val="20"/>
          <w:szCs w:val="20"/>
        </w:rPr>
        <w:t>Moreover, we are subject to certain other state laws such as the California Confidentiality of Medical In</w:t>
      </w:r>
      <w:r>
        <w:rPr>
          <w:sz w:val="20"/>
          <w:szCs w:val="20"/>
        </w:rPr>
        <w:t>formation Act, which imposes restrictive requirements regulating the use and disclosure of health information and other personal information. Such laws and regulations are not necessarily preempted by HIPAA, particularly if a state affords greater protecti</w:t>
      </w:r>
      <w:r>
        <w:rPr>
          <w:sz w:val="20"/>
          <w:szCs w:val="20"/>
        </w:rPr>
        <w:t>on to individuals than HIPAA. Where state laws are more protective, we have to comply with the stricter provisions. Further, in addition to fines and penalties imposed upon violators, some of these state laws, such as the CCPA, also afford private rights o</w:t>
      </w:r>
      <w:r>
        <w:rPr>
          <w:sz w:val="20"/>
          <w:szCs w:val="20"/>
        </w:rPr>
        <w:t>f action to individuals who believe their personal information has been misused</w:t>
      </w:r>
      <w:r>
        <w:rPr>
          <w:sz w:val="20"/>
          <w:szCs w:val="20"/>
        </w:rPr>
        <w:t>.</w:t>
      </w:r>
      <w:r>
        <w:rPr>
          <w:sz w:val="20"/>
          <w:szCs w:val="20"/>
        </w:rPr>
        <w:t xml:space="preserve"> </w:t>
      </w:r>
    </w:p>
    <w:p w14:paraId="6A3B3FA8" w14:textId="77777777" w:rsidR="00000000" w:rsidRDefault="00EF48A2">
      <w:pPr>
        <w:pStyle w:val="a3"/>
        <w:spacing w:before="180" w:beforeAutospacing="0" w:after="0" w:afterAutospacing="0"/>
        <w:jc w:val="both"/>
        <w:rPr>
          <w:sz w:val="20"/>
          <w:szCs w:val="20"/>
        </w:rPr>
      </w:pPr>
      <w:r>
        <w:rPr>
          <w:sz w:val="20"/>
          <w:szCs w:val="20"/>
        </w:rPr>
        <w:t>In the aggregate, state-based data privacy and security laws and regulations may impact our business. All of these evolving compliance and operational requirements impose significant costs that are likely to increase over time, may require us to modify our</w:t>
      </w:r>
      <w:r>
        <w:rPr>
          <w:sz w:val="20"/>
          <w:szCs w:val="20"/>
        </w:rPr>
        <w:t xml:space="preserve"> data processing practices and policies, divert resources from other initiatives and projects could restrict the way services involving data are offered and could subject us to additional liabilities, all of which may adversely affect our results of operat</w:t>
      </w:r>
      <w:r>
        <w:rPr>
          <w:sz w:val="20"/>
          <w:szCs w:val="20"/>
        </w:rPr>
        <w:t>ions, business, and financial condition</w:t>
      </w:r>
      <w:r>
        <w:rPr>
          <w:sz w:val="20"/>
          <w:szCs w:val="20"/>
        </w:rPr>
        <w:t>.</w:t>
      </w:r>
    </w:p>
    <w:p w14:paraId="7E05FC73" w14:textId="77777777" w:rsidR="00000000" w:rsidRDefault="00EF48A2">
      <w:pPr>
        <w:pStyle w:val="a3"/>
        <w:spacing w:before="180" w:beforeAutospacing="0" w:after="0" w:afterAutospacing="0"/>
        <w:jc w:val="both"/>
        <w:rPr>
          <w:sz w:val="20"/>
          <w:szCs w:val="20"/>
        </w:rPr>
      </w:pPr>
      <w:r>
        <w:rPr>
          <w:sz w:val="20"/>
          <w:szCs w:val="20"/>
        </w:rPr>
        <w:t xml:space="preserve">Furthermore, there are numerous foreign laws, regulations and directives regarding privacy and the collection, storage, transmission, use, processing, disclosure and protection of personal information, the scope of </w:t>
      </w:r>
      <w:r>
        <w:rPr>
          <w:sz w:val="20"/>
          <w:szCs w:val="20"/>
        </w:rPr>
        <w:t>which is continually evolving and subject to differing interpretations. If we provide services to users outside the United States, we may be subject to such laws, regulations, directives and obligations in relation to processing of personal information, an</w:t>
      </w:r>
      <w:r>
        <w:rPr>
          <w:sz w:val="20"/>
          <w:szCs w:val="20"/>
        </w:rPr>
        <w:t>d we may be subject to significant consequences, including penalties, fines and contractual liability, for our failure to comply. We are subject to the EU GDPR and the UK data privacy regime consisting primarily of the UK General Data Protection Regulation</w:t>
      </w:r>
      <w:r>
        <w:rPr>
          <w:sz w:val="20"/>
          <w:szCs w:val="20"/>
        </w:rPr>
        <w:t xml:space="preserve"> and the UK Data Protection Act 2018 (the “UK GDPR”) (the EU GDPR and the UK GDPR, collectively the “GDPR”), which impose a strict data protection compliance regime including stringent data protection requirements. EU Member States and the UK are also able</w:t>
      </w:r>
      <w:r>
        <w:rPr>
          <w:sz w:val="20"/>
          <w:szCs w:val="20"/>
        </w:rPr>
        <w:t xml:space="preserve"> to legislate separately on sensitive data (i.e., mental health), and we must comply with these local laws where we offer our services</w:t>
      </w:r>
      <w:r>
        <w:rPr>
          <w:sz w:val="20"/>
          <w:szCs w:val="20"/>
        </w:rPr>
        <w:t>.</w:t>
      </w:r>
      <w:r>
        <w:rPr>
          <w:sz w:val="20"/>
          <w:szCs w:val="20"/>
        </w:rPr>
        <w:t xml:space="preserve"> </w:t>
      </w:r>
    </w:p>
    <w:p w14:paraId="46B2C19C" w14:textId="77777777" w:rsidR="00000000" w:rsidRDefault="00EF48A2">
      <w:pPr>
        <w:pStyle w:val="a3"/>
        <w:spacing w:before="180" w:beforeAutospacing="0" w:after="0" w:afterAutospacing="0"/>
        <w:jc w:val="both"/>
        <w:rPr>
          <w:sz w:val="20"/>
          <w:szCs w:val="20"/>
        </w:rPr>
      </w:pPr>
      <w:r>
        <w:rPr>
          <w:sz w:val="20"/>
          <w:szCs w:val="20"/>
        </w:rPr>
        <w:t xml:space="preserve">The GDPR also imposes strict rules on the transfer of personal data out of the EEA and the UK, including to the United </w:t>
      </w:r>
      <w:r>
        <w:rPr>
          <w:sz w:val="20"/>
          <w:szCs w:val="20"/>
        </w:rPr>
        <w:t>States. The European Commission has published revised standard contractual clauses for data transfers from the EEA: the revised clauses must be used for relevant new data transfers from September 27, 2021; existing standard contractual clauses arrangements</w:t>
      </w:r>
      <w:r>
        <w:rPr>
          <w:sz w:val="20"/>
          <w:szCs w:val="20"/>
        </w:rPr>
        <w:t xml:space="preserve"> must be migrated to the revised clauses by December 27, 2022. We will be required to implement the revised standard contractual clauses within the relevant time frames. The revised standard contractual clauses apply only to the transfer of personal data o</w:t>
      </w:r>
      <w:r>
        <w:rPr>
          <w:sz w:val="20"/>
          <w:szCs w:val="20"/>
        </w:rPr>
        <w:t>utside of the EEA and not the UK; the UK’s Information Commissioner’s Office launched a public consultation on its draft revised data transfers mechanisms in August 2021. We are monitoring the outcome of this, and we may be required to implement new or rev</w:t>
      </w:r>
      <w:r>
        <w:rPr>
          <w:sz w:val="20"/>
          <w:szCs w:val="20"/>
        </w:rPr>
        <w:t xml:space="preserve">ised documentation and processes in relation to our data transfers subject to the UK GDPR, within the relevant time frames. As supervisory authorities issue further guidance on data export mechanisms, including circumstances where the standard contractual </w:t>
      </w:r>
      <w:r>
        <w:rPr>
          <w:sz w:val="20"/>
          <w:szCs w:val="20"/>
        </w:rPr>
        <w:t>clauses cannot be used, and/or start taking enforcement action, we could suffer additional costs, complaints and/or regulatory investigations or fines, and/or if we are otherwise unable to transfer personal information between and among countries and regio</w:t>
      </w:r>
      <w:r>
        <w:rPr>
          <w:sz w:val="20"/>
          <w:szCs w:val="20"/>
        </w:rPr>
        <w:t>ns in which we operate, it could affect the manner in which we provide our services, the geographical location or segregation of our relevant systems and operations, and could adversely affect our financial results</w:t>
      </w:r>
      <w:r>
        <w:rPr>
          <w:sz w:val="20"/>
          <w:szCs w:val="20"/>
        </w:rPr>
        <w:t>.</w:t>
      </w:r>
    </w:p>
    <w:p w14:paraId="52BA64FF"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1</w:t>
      </w:r>
    </w:p>
    <w:p w14:paraId="53C176FB" w14:textId="77777777" w:rsidR="00000000" w:rsidRDefault="00EF48A2">
      <w:pPr>
        <w:rPr>
          <w:rFonts w:eastAsia="Times New Roman"/>
        </w:rPr>
      </w:pPr>
      <w:r>
        <w:rPr>
          <w:rFonts w:eastAsia="Times New Roman"/>
        </w:rPr>
        <w:pict w14:anchorId="36DD605A">
          <v:rect id="_x0000_i1058" style="width:0;height:1.5pt" o:hralign="center" o:hrstd="t" o:hr="t" fillcolor="#a0a0a0" stroked="f"/>
        </w:pict>
      </w:r>
    </w:p>
    <w:p w14:paraId="3FFE6E0D"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ED0ADA9" w14:textId="77777777" w:rsidR="00000000" w:rsidRDefault="00EF48A2">
      <w:pPr>
        <w:pStyle w:val="a3"/>
        <w:spacing w:before="180" w:beforeAutospacing="0" w:after="0" w:afterAutospacing="0"/>
        <w:jc w:val="both"/>
        <w:rPr>
          <w:sz w:val="20"/>
          <w:szCs w:val="20"/>
        </w:rPr>
      </w:pPr>
      <w:r>
        <w:rPr>
          <w:sz w:val="20"/>
          <w:szCs w:val="20"/>
        </w:rPr>
        <w:t xml:space="preserve">The relationship between the UK and the EU in relation to certain aspects of data protection law, particularly transfers of personal data, remains unclear following the UK’s departure from the EU on January </w:t>
      </w:r>
      <w:r>
        <w:rPr>
          <w:sz w:val="20"/>
          <w:szCs w:val="20"/>
        </w:rPr>
        <w:t>1, 2021, and it is unclear how UK data protection laws and regulations will develop in the medium to longer term, and how data transfers to and from the UK will be regulated in the long term. These changes will lead to additional costs and increase our ove</w:t>
      </w:r>
      <w:r>
        <w:rPr>
          <w:sz w:val="20"/>
          <w:szCs w:val="20"/>
        </w:rPr>
        <w:t>rall risk exposure</w:t>
      </w:r>
      <w:r>
        <w:rPr>
          <w:sz w:val="20"/>
          <w:szCs w:val="20"/>
        </w:rPr>
        <w:t>.</w:t>
      </w:r>
    </w:p>
    <w:p w14:paraId="46A2E411" w14:textId="77777777" w:rsidR="00000000" w:rsidRDefault="00EF48A2">
      <w:pPr>
        <w:pStyle w:val="a3"/>
        <w:spacing w:before="180" w:beforeAutospacing="0" w:after="0" w:afterAutospacing="0"/>
        <w:jc w:val="both"/>
        <w:rPr>
          <w:sz w:val="20"/>
          <w:szCs w:val="20"/>
        </w:rPr>
      </w:pPr>
      <w:r>
        <w:rPr>
          <w:sz w:val="20"/>
          <w:szCs w:val="20"/>
        </w:rPr>
        <w:t>Failure to comply with the requirements of the GDPR may result in fines of up to €20,000,000/ £17.5 million or up to 4% of our total worldwide annual revenue for the preceding financial year, whichever is higher. In addition, a breach o</w:t>
      </w:r>
      <w:r>
        <w:rPr>
          <w:sz w:val="20"/>
          <w:szCs w:val="20"/>
        </w:rPr>
        <w:t xml:space="preserve">f the GDPR could result in regulatory investigations, reputational damage, orders to cease/ change our processing of our data, enforcement notices, and/ or assessment notices (for a compulsory audit). We may also face civil claims including representative </w:t>
      </w:r>
      <w:r>
        <w:rPr>
          <w:sz w:val="20"/>
          <w:szCs w:val="20"/>
        </w:rPr>
        <w:t>actions and other class action type litigation (where individuals have suffered harm), potentially amounting to significant compensation or damages liabilities, as well as associated costs, diversion of internal resources, and reputational harm</w:t>
      </w:r>
      <w:r>
        <w:rPr>
          <w:sz w:val="20"/>
          <w:szCs w:val="20"/>
        </w:rPr>
        <w:t>.</w:t>
      </w:r>
    </w:p>
    <w:p w14:paraId="72143870" w14:textId="77777777" w:rsidR="00000000" w:rsidRDefault="00EF48A2">
      <w:pPr>
        <w:pStyle w:val="a3"/>
        <w:spacing w:before="180" w:beforeAutospacing="0" w:after="0" w:afterAutospacing="0"/>
        <w:jc w:val="both"/>
        <w:rPr>
          <w:sz w:val="20"/>
          <w:szCs w:val="20"/>
        </w:rPr>
      </w:pPr>
      <w:r>
        <w:rPr>
          <w:sz w:val="20"/>
          <w:szCs w:val="20"/>
        </w:rPr>
        <w:t>We also pu</w:t>
      </w:r>
      <w:r>
        <w:rPr>
          <w:sz w:val="20"/>
          <w:szCs w:val="20"/>
        </w:rPr>
        <w:t>blish statements to our clients and members that describe how we handle and protect personal information. If federal or state regulatory authorities or private litigants consider any portion of these statements to be inaccurate, incomplete, or not fully im</w:t>
      </w:r>
      <w:r>
        <w:rPr>
          <w:sz w:val="20"/>
          <w:szCs w:val="20"/>
        </w:rPr>
        <w:t>plemented, we may be subject to claims of deceptive practices or other violation of law, which could lead to significant liabilities and consequences, including, without limitation, costs of responding to investigations, defending against litigation, settl</w:t>
      </w:r>
      <w:r>
        <w:rPr>
          <w:sz w:val="20"/>
          <w:szCs w:val="20"/>
        </w:rPr>
        <w:t>ing claims and complying with regulatory or court orders</w:t>
      </w:r>
      <w:r>
        <w:rPr>
          <w:sz w:val="20"/>
          <w:szCs w:val="20"/>
        </w:rPr>
        <w:t>.</w:t>
      </w:r>
      <w:r>
        <w:rPr>
          <w:sz w:val="20"/>
          <w:szCs w:val="20"/>
        </w:rPr>
        <w:t xml:space="preserve"> </w:t>
      </w:r>
    </w:p>
    <w:p w14:paraId="0CC61FD8" w14:textId="77777777" w:rsidR="00000000" w:rsidRDefault="00EF48A2">
      <w:pPr>
        <w:pStyle w:val="a3"/>
        <w:spacing w:before="180" w:beforeAutospacing="0" w:after="0" w:afterAutospacing="0"/>
        <w:jc w:val="both"/>
        <w:rPr>
          <w:sz w:val="20"/>
          <w:szCs w:val="20"/>
        </w:rPr>
      </w:pPr>
      <w:r>
        <w:rPr>
          <w:sz w:val="20"/>
          <w:szCs w:val="20"/>
        </w:rPr>
        <w:t>Because of the breadth of these laws and the narrowness of their exceptions and safe harbors, it is possible that our business activities can be subject to challenge under one or more of such laws.</w:t>
      </w:r>
      <w:r>
        <w:rPr>
          <w:sz w:val="20"/>
          <w:szCs w:val="20"/>
        </w:rPr>
        <w:t xml:space="preserve"> The applicability, scope and enforcement of each of these laws is uncertain and subject to rapid change in the current environment of healthcare reform. Federal, state and foreign enforcement bodies have recently increased their scrutiny of interactions b</w:t>
      </w:r>
      <w:r>
        <w:rPr>
          <w:sz w:val="20"/>
          <w:szCs w:val="20"/>
        </w:rPr>
        <w:t>etween healthcare companies and healthcare providers and of processing of health data generally, which has led to a number of investigations, prosecutions, convictions and settlements in the healthcare industry. Any such investigations, prosecutions, convi</w:t>
      </w:r>
      <w:r>
        <w:rPr>
          <w:sz w:val="20"/>
          <w:szCs w:val="20"/>
        </w:rPr>
        <w:t>ctions or settlements could result in significant financial penalties, damage to our brand and reputation, and a loss of clients and/or members, any of which could have an adverse effect on our business</w:t>
      </w:r>
      <w:r>
        <w:rPr>
          <w:sz w:val="20"/>
          <w:szCs w:val="20"/>
        </w:rPr>
        <w:t>.</w:t>
      </w:r>
      <w:r>
        <w:rPr>
          <w:sz w:val="20"/>
          <w:szCs w:val="20"/>
        </w:rPr>
        <w:t xml:space="preserve"> </w:t>
      </w:r>
    </w:p>
    <w:p w14:paraId="27C05E63" w14:textId="77777777" w:rsidR="00000000" w:rsidRDefault="00EF48A2">
      <w:pPr>
        <w:pStyle w:val="a3"/>
        <w:spacing w:before="180" w:beforeAutospacing="0" w:after="0" w:afterAutospacing="0"/>
        <w:jc w:val="both"/>
        <w:rPr>
          <w:sz w:val="20"/>
          <w:szCs w:val="20"/>
        </w:rPr>
      </w:pPr>
      <w:r>
        <w:rPr>
          <w:sz w:val="20"/>
          <w:szCs w:val="20"/>
        </w:rPr>
        <w:t>In addition, any significant change to applicable l</w:t>
      </w:r>
      <w:r>
        <w:rPr>
          <w:sz w:val="20"/>
          <w:szCs w:val="20"/>
        </w:rPr>
        <w:t xml:space="preserve">aws, regulations or industry practices regarding the collection, use, retention, security or disclosure of our users’ personal information content, or regarding the manner in which the express or implied consent of users for the collection, use, retention </w:t>
      </w:r>
      <w:r>
        <w:rPr>
          <w:sz w:val="20"/>
          <w:szCs w:val="20"/>
        </w:rPr>
        <w:t>or disclosure of such content is obtained, could increase our costs and require us to modify our services and features, possibly in a material manner, which we may be unable to complete and may limit our ability to store and process users' personal informa</w:t>
      </w:r>
      <w:r>
        <w:rPr>
          <w:sz w:val="20"/>
          <w:szCs w:val="20"/>
        </w:rPr>
        <w:t>tion data or develop new services and features. Any of the foregoing could harm our competitive position, business, financial condition, results of operations and prospects</w:t>
      </w:r>
      <w:r>
        <w:rPr>
          <w:sz w:val="20"/>
          <w:szCs w:val="20"/>
        </w:rPr>
        <w:t>.</w:t>
      </w:r>
      <w:r>
        <w:rPr>
          <w:sz w:val="20"/>
          <w:szCs w:val="20"/>
        </w:rPr>
        <w:t xml:space="preserve"> </w:t>
      </w:r>
    </w:p>
    <w:p w14:paraId="19F1C94B" w14:textId="77777777" w:rsidR="00000000" w:rsidRDefault="00EF48A2">
      <w:pPr>
        <w:pStyle w:val="a3"/>
        <w:spacing w:before="240" w:beforeAutospacing="0" w:after="0" w:afterAutospacing="0"/>
        <w:jc w:val="both"/>
        <w:rPr>
          <w:sz w:val="20"/>
          <w:szCs w:val="20"/>
        </w:rPr>
      </w:pPr>
      <w:r>
        <w:rPr>
          <w:b/>
          <w:bCs/>
          <w:i/>
          <w:iCs/>
          <w:sz w:val="20"/>
          <w:szCs w:val="20"/>
        </w:rPr>
        <w:t>Use of social media may subject us to fines or other penalties or be an ineffecti</w:t>
      </w:r>
      <w:r>
        <w:rPr>
          <w:b/>
          <w:bCs/>
          <w:i/>
          <w:iCs/>
          <w:sz w:val="20"/>
          <w:szCs w:val="20"/>
        </w:rPr>
        <w:t>ve source to market our offerings</w:t>
      </w:r>
      <w:r>
        <w:rPr>
          <w:b/>
          <w:bCs/>
          <w:i/>
          <w:iCs/>
          <w:sz w:val="20"/>
          <w:szCs w:val="20"/>
        </w:rPr>
        <w:t>.</w:t>
      </w:r>
    </w:p>
    <w:p w14:paraId="6BC4071A" w14:textId="77777777" w:rsidR="00000000" w:rsidRDefault="00EF48A2">
      <w:pPr>
        <w:pStyle w:val="a3"/>
        <w:spacing w:before="180" w:beforeAutospacing="0" w:after="0" w:afterAutospacing="0"/>
        <w:jc w:val="both"/>
        <w:rPr>
          <w:sz w:val="20"/>
          <w:szCs w:val="20"/>
        </w:rPr>
      </w:pPr>
      <w:r>
        <w:rPr>
          <w:sz w:val="20"/>
          <w:szCs w:val="20"/>
        </w:rPr>
        <w:t>We use social media as part of our omnichannel approach to marketing and outreach to clients, members and other consumers. As laws and regulations rapidly evolve to govern the use of these channels, the failure by us, our</w:t>
      </w:r>
      <w:r>
        <w:rPr>
          <w:sz w:val="20"/>
          <w:szCs w:val="20"/>
        </w:rPr>
        <w:t xml:space="preserve"> employees or third parties acting at our direction to abide by applicable laws and regulations in the use of these channels could adversely affect our reputation or subject us to fines or other penalties. In addition, our employees or third parties acting</w:t>
      </w:r>
      <w:r>
        <w:rPr>
          <w:sz w:val="20"/>
          <w:szCs w:val="20"/>
        </w:rPr>
        <w:t xml:space="preserve"> at our direction may knowingly or inadvertently make use of social media in ways that could lead to the loss or infringement of intellectual property, as well as the public disclosure of proprietary, confidential or sensitive personal information of our b</w:t>
      </w:r>
      <w:r>
        <w:rPr>
          <w:sz w:val="20"/>
          <w:szCs w:val="20"/>
        </w:rPr>
        <w:t>usiness, employees, clients, members or others. Any such inappropriate use of social media could also cause reputational damage and adversely affect our business</w:t>
      </w:r>
      <w:r>
        <w:rPr>
          <w:sz w:val="20"/>
          <w:szCs w:val="20"/>
        </w:rPr>
        <w:t>.</w:t>
      </w:r>
    </w:p>
    <w:p w14:paraId="5A516DE0" w14:textId="77777777" w:rsidR="00000000" w:rsidRDefault="00EF48A2">
      <w:pPr>
        <w:pStyle w:val="a3"/>
        <w:spacing w:before="240" w:beforeAutospacing="0" w:after="0" w:afterAutospacing="0"/>
        <w:jc w:val="both"/>
        <w:rPr>
          <w:sz w:val="20"/>
          <w:szCs w:val="20"/>
        </w:rPr>
      </w:pPr>
      <w:r>
        <w:rPr>
          <w:b/>
          <w:bCs/>
          <w:i/>
          <w:iCs/>
          <w:sz w:val="20"/>
          <w:szCs w:val="20"/>
        </w:rPr>
        <w:t xml:space="preserve">We may be exposed to compliance obligations and risks under anti-corruption, export controls </w:t>
      </w:r>
      <w:r>
        <w:rPr>
          <w:b/>
          <w:bCs/>
          <w:i/>
          <w:iCs/>
          <w:sz w:val="20"/>
          <w:szCs w:val="20"/>
        </w:rPr>
        <w:t>and economic sanctions laws and regulations of the United States and applicable non-U.S. jurisdictions, and any instances of noncompliance could have a material adverse effect on our reputation and the results of our operations</w:t>
      </w:r>
      <w:r>
        <w:rPr>
          <w:b/>
          <w:bCs/>
          <w:i/>
          <w:iCs/>
          <w:sz w:val="20"/>
          <w:szCs w:val="20"/>
        </w:rPr>
        <w:t>.</w:t>
      </w:r>
      <w:r>
        <w:rPr>
          <w:b/>
          <w:bCs/>
          <w:i/>
          <w:iCs/>
          <w:sz w:val="20"/>
          <w:szCs w:val="20"/>
        </w:rPr>
        <w:t xml:space="preserve"> </w:t>
      </w:r>
    </w:p>
    <w:p w14:paraId="00F106EA" w14:textId="77777777" w:rsidR="00000000" w:rsidRDefault="00EF48A2">
      <w:pPr>
        <w:pStyle w:val="a3"/>
        <w:spacing w:before="180" w:beforeAutospacing="0" w:after="0" w:afterAutospacing="0"/>
        <w:jc w:val="both"/>
        <w:rPr>
          <w:sz w:val="20"/>
          <w:szCs w:val="20"/>
        </w:rPr>
      </w:pPr>
      <w:r>
        <w:rPr>
          <w:sz w:val="20"/>
          <w:szCs w:val="20"/>
        </w:rPr>
        <w:t>Although we have limited i</w:t>
      </w:r>
      <w:r>
        <w:rPr>
          <w:sz w:val="20"/>
          <w:szCs w:val="20"/>
        </w:rPr>
        <w:t xml:space="preserve">nternational operations, we may be or may become subject to compliance obligations under anti-corruption laws and regulations imposed by governmental authorities around the world with jurisdiction over our operations. As a U.S. corporation, we are subject </w:t>
      </w:r>
      <w:r>
        <w:rPr>
          <w:sz w:val="20"/>
          <w:szCs w:val="20"/>
        </w:rPr>
        <w:t xml:space="preserve">to the regulations imposed by the FCPA, which generally prohibits U.S. companies and their intermediaries from making improper payments to foreign officials for the purpose of obtaining or maintaining business. As a result, the Company faces the risk that </w:t>
      </w:r>
      <w:r>
        <w:rPr>
          <w:sz w:val="20"/>
          <w:szCs w:val="20"/>
        </w:rPr>
        <w:t>an unauthorized payment or offer of payment could be made by one of its employees or intermediaries, even if such parties are not always subject to the Company’s control or are not themselves subject to the FCPA or other similar laws to which the Company m</w:t>
      </w:r>
      <w:r>
        <w:rPr>
          <w:sz w:val="20"/>
          <w:szCs w:val="20"/>
        </w:rPr>
        <w:t>ay be subject. Any allegation or determination that the Company has violated the FCPA (or any other applicable anti-bribery laws in countries in which the Company does business, including the U.K. Briber</w:t>
      </w:r>
      <w:r>
        <w:rPr>
          <w:sz w:val="20"/>
          <w:szCs w:val="20"/>
        </w:rPr>
        <w:t>y</w:t>
      </w:r>
      <w:r>
        <w:rPr>
          <w:sz w:val="20"/>
          <w:szCs w:val="20"/>
        </w:rPr>
        <w:t xml:space="preserve"> </w:t>
      </w:r>
    </w:p>
    <w:p w14:paraId="39A2FEFF"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2</w:t>
      </w:r>
    </w:p>
    <w:p w14:paraId="3D1D5B1F" w14:textId="77777777" w:rsidR="00000000" w:rsidRDefault="00EF48A2">
      <w:pPr>
        <w:rPr>
          <w:rFonts w:eastAsia="Times New Roman"/>
        </w:rPr>
      </w:pPr>
      <w:r>
        <w:rPr>
          <w:rFonts w:eastAsia="Times New Roman"/>
        </w:rPr>
        <w:pict w14:anchorId="65C62BE4">
          <v:rect id="_x0000_i1059" style="width:0;height:1.5pt" o:hralign="center" o:hrstd="t" o:hr="t" fillcolor="#a0a0a0" stroked="f"/>
        </w:pict>
      </w:r>
    </w:p>
    <w:p w14:paraId="2A3D9B71"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880F61A" w14:textId="77777777" w:rsidR="00000000" w:rsidRDefault="00EF48A2">
      <w:pPr>
        <w:pStyle w:val="a3"/>
        <w:spacing w:before="180" w:beforeAutospacing="0" w:after="0" w:afterAutospacing="0"/>
        <w:jc w:val="both"/>
        <w:rPr>
          <w:sz w:val="20"/>
          <w:szCs w:val="20"/>
        </w:rPr>
      </w:pPr>
      <w:r>
        <w:rPr>
          <w:sz w:val="20"/>
          <w:szCs w:val="20"/>
        </w:rPr>
        <w:t>Act 2010) could have a material adverse effect on the Company’s business, financial position, results of operations, cash flows and prospects</w:t>
      </w:r>
      <w:r>
        <w:rPr>
          <w:sz w:val="20"/>
          <w:szCs w:val="20"/>
        </w:rPr>
        <w:t>.</w:t>
      </w:r>
    </w:p>
    <w:p w14:paraId="266DF1D4" w14:textId="77777777" w:rsidR="00000000" w:rsidRDefault="00EF48A2">
      <w:pPr>
        <w:pStyle w:val="a3"/>
        <w:spacing w:before="240" w:beforeAutospacing="0" w:after="0" w:afterAutospacing="0"/>
        <w:jc w:val="both"/>
        <w:rPr>
          <w:sz w:val="20"/>
          <w:szCs w:val="20"/>
        </w:rPr>
      </w:pPr>
      <w:r>
        <w:rPr>
          <w:b/>
          <w:bCs/>
          <w:sz w:val="20"/>
          <w:szCs w:val="20"/>
        </w:rPr>
        <w:t>RISKS RELATED TO OUR INTELLECTUAL PROPERT</w:t>
      </w:r>
      <w:r>
        <w:rPr>
          <w:b/>
          <w:bCs/>
          <w:sz w:val="20"/>
          <w:szCs w:val="20"/>
        </w:rPr>
        <w:t>Y</w:t>
      </w:r>
    </w:p>
    <w:p w14:paraId="62E31633" w14:textId="77777777" w:rsidR="00000000" w:rsidRDefault="00EF48A2">
      <w:pPr>
        <w:pStyle w:val="a3"/>
        <w:spacing w:before="240" w:beforeAutospacing="0" w:after="0" w:afterAutospacing="0"/>
        <w:jc w:val="both"/>
        <w:rPr>
          <w:sz w:val="20"/>
          <w:szCs w:val="20"/>
        </w:rPr>
      </w:pPr>
      <w:r>
        <w:rPr>
          <w:b/>
          <w:bCs/>
          <w:i/>
          <w:iCs/>
          <w:sz w:val="20"/>
          <w:szCs w:val="20"/>
        </w:rPr>
        <w:t>Any failure to protect, enforce or defend our intellectual property rights could impair our ability to protect our technology and our brand</w:t>
      </w:r>
      <w:r>
        <w:rPr>
          <w:b/>
          <w:bCs/>
          <w:i/>
          <w:iCs/>
          <w:sz w:val="20"/>
          <w:szCs w:val="20"/>
        </w:rPr>
        <w:t>.</w:t>
      </w:r>
      <w:r>
        <w:rPr>
          <w:b/>
          <w:bCs/>
          <w:i/>
          <w:iCs/>
          <w:sz w:val="20"/>
          <w:szCs w:val="20"/>
        </w:rPr>
        <w:t xml:space="preserve"> </w:t>
      </w:r>
    </w:p>
    <w:p w14:paraId="3CD7879B" w14:textId="77777777" w:rsidR="00000000" w:rsidRDefault="00EF48A2">
      <w:pPr>
        <w:pStyle w:val="a3"/>
        <w:spacing w:before="180" w:beforeAutospacing="0" w:after="0" w:afterAutospacing="0"/>
        <w:jc w:val="both"/>
        <w:rPr>
          <w:sz w:val="20"/>
          <w:szCs w:val="20"/>
        </w:rPr>
      </w:pPr>
      <w:r>
        <w:rPr>
          <w:sz w:val="20"/>
          <w:szCs w:val="20"/>
        </w:rPr>
        <w:t>Our success depends in part on our ability to maintain, protect and enforce our intellectual property and other pr</w:t>
      </w:r>
      <w:r>
        <w:rPr>
          <w:sz w:val="20"/>
          <w:szCs w:val="20"/>
        </w:rPr>
        <w:t>oprietary rights. We rely upon a combination of trademark, patent and trade secret laws, as well as license and access agreements and other contractual provisions, to protect our intellectual property rights. These laws, procedures and agreements provide o</w:t>
      </w:r>
      <w:r>
        <w:rPr>
          <w:sz w:val="20"/>
          <w:szCs w:val="20"/>
        </w:rPr>
        <w:t>nly limited protection and any of our intellectual property rights may be challenged, invalidated, circumvented, infringed, diluted or misappropriated</w:t>
      </w:r>
      <w:r>
        <w:rPr>
          <w:sz w:val="20"/>
          <w:szCs w:val="20"/>
        </w:rPr>
        <w:t>.</w:t>
      </w:r>
      <w:r>
        <w:rPr>
          <w:sz w:val="20"/>
          <w:szCs w:val="20"/>
        </w:rPr>
        <w:t xml:space="preserve"> </w:t>
      </w:r>
    </w:p>
    <w:p w14:paraId="337A206C" w14:textId="77777777" w:rsidR="00000000" w:rsidRDefault="00EF48A2">
      <w:pPr>
        <w:pStyle w:val="a3"/>
        <w:spacing w:before="180" w:beforeAutospacing="0" w:after="0" w:afterAutospacing="0"/>
        <w:jc w:val="both"/>
        <w:rPr>
          <w:sz w:val="20"/>
          <w:szCs w:val="20"/>
        </w:rPr>
      </w:pPr>
      <w:r>
        <w:rPr>
          <w:sz w:val="20"/>
          <w:szCs w:val="20"/>
        </w:rPr>
        <w:t>We attempt to protect our intellectual property and proprietary information by requiring our employees,</w:t>
      </w:r>
      <w:r>
        <w:rPr>
          <w:sz w:val="20"/>
          <w:szCs w:val="20"/>
        </w:rPr>
        <w:t xml:space="preserve"> consultants and certain of our contractors to execute confidentiality and assignment of inventions agreements. However, we may not obtain these agreements in all circumstances, and individuals with whom we have these agreements may not comply with their t</w:t>
      </w:r>
      <w:r>
        <w:rPr>
          <w:sz w:val="20"/>
          <w:szCs w:val="20"/>
        </w:rPr>
        <w:t>erms. The assignment of intellectual property rights under these agreements may not be self-executing or the assignment agreements may be breached, and we may be forced to bring claims against third parties, or defend claims that they may bring against us,</w:t>
      </w:r>
      <w:r>
        <w:rPr>
          <w:sz w:val="20"/>
          <w:szCs w:val="20"/>
        </w:rPr>
        <w:t xml:space="preserve"> to determine the ownership of what we regard as our intellectual property. In addition, we may not be able to prevent the unauthorized disclosure or use of our technical know-how or other trade secrets by the parties to these agreements despite the existe</w:t>
      </w:r>
      <w:r>
        <w:rPr>
          <w:sz w:val="20"/>
          <w:szCs w:val="20"/>
        </w:rPr>
        <w:t>nce generally of confidentiality agreements and other contractual restrictions</w:t>
      </w:r>
      <w:r>
        <w:rPr>
          <w:sz w:val="20"/>
          <w:szCs w:val="20"/>
        </w:rPr>
        <w:t>.</w:t>
      </w:r>
      <w:r>
        <w:rPr>
          <w:sz w:val="20"/>
          <w:szCs w:val="20"/>
        </w:rPr>
        <w:t xml:space="preserve"> </w:t>
      </w:r>
    </w:p>
    <w:p w14:paraId="6F3AA447" w14:textId="77777777" w:rsidR="00000000" w:rsidRDefault="00EF48A2">
      <w:pPr>
        <w:pStyle w:val="a3"/>
        <w:spacing w:before="180" w:beforeAutospacing="0" w:after="0" w:afterAutospacing="0"/>
        <w:jc w:val="both"/>
        <w:rPr>
          <w:sz w:val="20"/>
          <w:szCs w:val="20"/>
        </w:rPr>
      </w:pPr>
      <w:r>
        <w:rPr>
          <w:sz w:val="20"/>
          <w:szCs w:val="20"/>
        </w:rPr>
        <w:t>Monitoring unauthorized uses and disclosures is difficult and we do not know whether the steps we have taken to protect our proprietary technologies will be effective. Additio</w:t>
      </w:r>
      <w:r>
        <w:rPr>
          <w:sz w:val="20"/>
          <w:szCs w:val="20"/>
        </w:rPr>
        <w:t>nally, if a competitor lawfully obtains or independently develops the technology we maintain as a trade secret, we would have no right to prevent such competitor from using that technology or information to compete with us, which could harm our competitive</w:t>
      </w:r>
      <w:r>
        <w:rPr>
          <w:sz w:val="20"/>
          <w:szCs w:val="20"/>
        </w:rPr>
        <w:t xml:space="preserve"> position</w:t>
      </w:r>
      <w:r>
        <w:rPr>
          <w:sz w:val="20"/>
          <w:szCs w:val="20"/>
        </w:rPr>
        <w:t>.</w:t>
      </w:r>
      <w:r>
        <w:rPr>
          <w:sz w:val="20"/>
          <w:szCs w:val="20"/>
        </w:rPr>
        <w:t xml:space="preserve"> </w:t>
      </w:r>
    </w:p>
    <w:p w14:paraId="37BD17DA" w14:textId="77777777" w:rsidR="00000000" w:rsidRDefault="00EF48A2">
      <w:pPr>
        <w:pStyle w:val="a3"/>
        <w:spacing w:before="180" w:beforeAutospacing="0" w:after="0" w:afterAutospacing="0"/>
        <w:jc w:val="both"/>
        <w:rPr>
          <w:sz w:val="20"/>
          <w:szCs w:val="20"/>
        </w:rPr>
      </w:pPr>
      <w:r>
        <w:rPr>
          <w:sz w:val="20"/>
          <w:szCs w:val="20"/>
        </w:rPr>
        <w:t>Despite our efforts to protect our trade secrets and proprietary technologies, third parties may gain access to our proprietary information. They may also develop and market solutions similar to ours or use trademarks similar to ours, each of which could m</w:t>
      </w:r>
      <w:r>
        <w:rPr>
          <w:sz w:val="20"/>
          <w:szCs w:val="20"/>
        </w:rPr>
        <w:t>aterially harm our business. Unauthorized parties may also attempt to copy or obtain and use our technology to develop applications with the same functionality as our solutions, and policing unauthorized use of our technology and intellectual property righ</w:t>
      </w:r>
      <w:r>
        <w:rPr>
          <w:sz w:val="20"/>
          <w:szCs w:val="20"/>
        </w:rPr>
        <w:t>ts is difficult and may not be effective. The failure to adequately protect our intellectual property and other proprietary rights could have a material adverse effect on our business, financial condition and results of operations</w:t>
      </w:r>
      <w:r>
        <w:rPr>
          <w:sz w:val="20"/>
          <w:szCs w:val="20"/>
        </w:rPr>
        <w:t>.</w:t>
      </w:r>
      <w:r>
        <w:rPr>
          <w:sz w:val="20"/>
          <w:szCs w:val="20"/>
        </w:rPr>
        <w:t xml:space="preserve"> </w:t>
      </w:r>
    </w:p>
    <w:p w14:paraId="6C48DAF0" w14:textId="77777777" w:rsidR="00000000" w:rsidRDefault="00EF48A2">
      <w:pPr>
        <w:pStyle w:val="a3"/>
        <w:spacing w:before="180" w:beforeAutospacing="0" w:after="0" w:afterAutospacing="0"/>
        <w:jc w:val="both"/>
        <w:rPr>
          <w:sz w:val="20"/>
          <w:szCs w:val="20"/>
        </w:rPr>
      </w:pPr>
      <w:r>
        <w:rPr>
          <w:sz w:val="20"/>
          <w:szCs w:val="20"/>
        </w:rPr>
        <w:t>In addition, we use ope</w:t>
      </w:r>
      <w:r>
        <w:rPr>
          <w:sz w:val="20"/>
          <w:szCs w:val="20"/>
        </w:rPr>
        <w:t>n-source software in connection with our proprietary software and expect to continue to use open-source software in the future. Some open-source licenses require licensors to provide source code to licensees upon request or prohibit licensors from charging</w:t>
      </w:r>
      <w:r>
        <w:rPr>
          <w:sz w:val="20"/>
          <w:szCs w:val="20"/>
        </w:rPr>
        <w:t xml:space="preserve"> a fee to licensees. While we try to insulate our proprietary code from the effects of such open-source license provisions, we cannot guarantee we will be successful. Accordingly, we may face claims from others claiming ownership of, or seeking to enforce </w:t>
      </w:r>
      <w:r>
        <w:rPr>
          <w:sz w:val="20"/>
          <w:szCs w:val="20"/>
        </w:rPr>
        <w:t>the license terms applicable to such open-source software, including by demanding release of the open-source software, derivative works or our proprietary source code that was developed or distributed with such software. These claims could also result in l</w:t>
      </w:r>
      <w:r>
        <w:rPr>
          <w:sz w:val="20"/>
          <w:szCs w:val="20"/>
        </w:rPr>
        <w:t>itigation, require us to purchase a costly license or require us to devote additional research and development resources to change our software, any of which would have a negative effect on our business and results of operations. In addition, if the licens</w:t>
      </w:r>
      <w:r>
        <w:rPr>
          <w:sz w:val="20"/>
          <w:szCs w:val="20"/>
        </w:rPr>
        <w:t>e terms for the open-source code change, we may be forced to re-engineer our software or incur additional costs. We cannot assure you that we have not incorporated open-source software into our proprietary software in a manner that may subject our propriet</w:t>
      </w:r>
      <w:r>
        <w:rPr>
          <w:sz w:val="20"/>
          <w:szCs w:val="20"/>
        </w:rPr>
        <w:t>ary software to an open-source license that requires disclosure, to clients or members or the public, of the source code to such proprietary software. Any such disclosure would have a negative effect on our business and the value of our proprietary softwar</w:t>
      </w:r>
      <w:r>
        <w:rPr>
          <w:sz w:val="20"/>
          <w:szCs w:val="20"/>
        </w:rPr>
        <w:t>e</w:t>
      </w:r>
      <w:r>
        <w:rPr>
          <w:sz w:val="20"/>
          <w:szCs w:val="20"/>
        </w:rPr>
        <w:t>.</w:t>
      </w:r>
      <w:r>
        <w:rPr>
          <w:sz w:val="20"/>
          <w:szCs w:val="20"/>
        </w:rPr>
        <w:t xml:space="preserve"> </w:t>
      </w:r>
    </w:p>
    <w:p w14:paraId="420413BC" w14:textId="77777777" w:rsidR="00000000" w:rsidRDefault="00EF48A2">
      <w:pPr>
        <w:pStyle w:val="a3"/>
        <w:spacing w:before="240" w:beforeAutospacing="0" w:after="0" w:afterAutospacing="0"/>
        <w:jc w:val="both"/>
        <w:rPr>
          <w:sz w:val="20"/>
          <w:szCs w:val="20"/>
        </w:rPr>
      </w:pPr>
      <w:r>
        <w:rPr>
          <w:b/>
          <w:bCs/>
          <w:i/>
          <w:iCs/>
          <w:sz w:val="20"/>
          <w:szCs w:val="20"/>
        </w:rPr>
        <w:t>Third parties may challenge the validity of our trademarks and patents or oppose trademark and patent applications. We may not be able to obtain and enforce additional patents to protect our proprietary rights from use by potential competitors. Compani</w:t>
      </w:r>
      <w:r>
        <w:rPr>
          <w:b/>
          <w:bCs/>
          <w:i/>
          <w:iCs/>
          <w:sz w:val="20"/>
          <w:szCs w:val="20"/>
        </w:rPr>
        <w:t>es with other patents could require us to stop using or pay to use required technology</w:t>
      </w:r>
      <w:r>
        <w:rPr>
          <w:b/>
          <w:bCs/>
          <w:i/>
          <w:iCs/>
          <w:sz w:val="20"/>
          <w:szCs w:val="20"/>
        </w:rPr>
        <w:t>.</w:t>
      </w:r>
      <w:r>
        <w:rPr>
          <w:b/>
          <w:bCs/>
          <w:i/>
          <w:iCs/>
          <w:sz w:val="20"/>
          <w:szCs w:val="20"/>
        </w:rPr>
        <w:t xml:space="preserve"> </w:t>
      </w:r>
    </w:p>
    <w:p w14:paraId="3175F887" w14:textId="77777777" w:rsidR="00000000" w:rsidRDefault="00EF48A2">
      <w:pPr>
        <w:pStyle w:val="a3"/>
        <w:spacing w:before="180" w:beforeAutospacing="0" w:after="0" w:afterAutospacing="0"/>
        <w:jc w:val="both"/>
        <w:rPr>
          <w:sz w:val="20"/>
          <w:szCs w:val="20"/>
        </w:rPr>
      </w:pPr>
      <w:r>
        <w:rPr>
          <w:sz w:val="20"/>
          <w:szCs w:val="20"/>
        </w:rPr>
        <w:t>If we do not adequately protect our intellectual property rights, competitors may be able to erode, negate or preempt any competitive advantage we may have, which coul</w:t>
      </w:r>
      <w:r>
        <w:rPr>
          <w:sz w:val="20"/>
          <w:szCs w:val="20"/>
        </w:rPr>
        <w:t>d harm our business</w:t>
      </w:r>
      <w:r>
        <w:rPr>
          <w:sz w:val="20"/>
          <w:szCs w:val="20"/>
        </w:rPr>
        <w:t>.</w:t>
      </w:r>
      <w:r>
        <w:rPr>
          <w:sz w:val="20"/>
          <w:szCs w:val="20"/>
        </w:rPr>
        <w:t xml:space="preserve"> </w:t>
      </w:r>
    </w:p>
    <w:p w14:paraId="15CC15BB"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3</w:t>
      </w:r>
    </w:p>
    <w:p w14:paraId="516A73BC" w14:textId="77777777" w:rsidR="00000000" w:rsidRDefault="00EF48A2">
      <w:pPr>
        <w:rPr>
          <w:rFonts w:eastAsia="Times New Roman"/>
        </w:rPr>
      </w:pPr>
      <w:r>
        <w:rPr>
          <w:rFonts w:eastAsia="Times New Roman"/>
        </w:rPr>
        <w:pict w14:anchorId="7E8EC9CD">
          <v:rect id="_x0000_i1060" style="width:0;height:1.5pt" o:hralign="center" o:hrstd="t" o:hr="t" fillcolor="#a0a0a0" stroked="f"/>
        </w:pict>
      </w:r>
    </w:p>
    <w:p w14:paraId="7BE6D41A"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163DD5C" w14:textId="77777777" w:rsidR="00000000" w:rsidRDefault="00EF48A2">
      <w:pPr>
        <w:pStyle w:val="a3"/>
        <w:spacing w:before="180" w:beforeAutospacing="0" w:after="0" w:afterAutospacing="0"/>
        <w:jc w:val="both"/>
        <w:rPr>
          <w:sz w:val="20"/>
          <w:szCs w:val="20"/>
        </w:rPr>
      </w:pPr>
      <w:r>
        <w:rPr>
          <w:sz w:val="20"/>
          <w:szCs w:val="20"/>
        </w:rPr>
        <w:t>We rely on our trademarks, trade name and brand names to distinguish our products and services from the products and services of our competitors,</w:t>
      </w:r>
      <w:r>
        <w:rPr>
          <w:sz w:val="20"/>
          <w:szCs w:val="20"/>
        </w:rPr>
        <w:t xml:space="preserve"> and we have registered or applied to register many of these trademarks. We cannot assure you that any future trademark applications will be approved. Third parties may also oppose our future trademark applications, or otherwise challenge our use of our tr</w:t>
      </w:r>
      <w:r>
        <w:rPr>
          <w:sz w:val="20"/>
          <w:szCs w:val="20"/>
        </w:rPr>
        <w:t>ademarks. In the event that our trademarks are successfully challenged, we could be forced to rebrand products or services, which could result in time and expense to re-program our software and websites, loss of brand recognition, and could require us to d</w:t>
      </w:r>
      <w:r>
        <w:rPr>
          <w:sz w:val="20"/>
          <w:szCs w:val="20"/>
        </w:rPr>
        <w:t>evote resources to advertising and marketing new brands</w:t>
      </w:r>
      <w:r>
        <w:rPr>
          <w:sz w:val="20"/>
          <w:szCs w:val="20"/>
        </w:rPr>
        <w:t>.</w:t>
      </w:r>
      <w:r>
        <w:rPr>
          <w:sz w:val="20"/>
          <w:szCs w:val="20"/>
        </w:rPr>
        <w:t xml:space="preserve"> </w:t>
      </w:r>
    </w:p>
    <w:p w14:paraId="4F2FEC43" w14:textId="77777777" w:rsidR="00000000" w:rsidRDefault="00EF48A2">
      <w:pPr>
        <w:pStyle w:val="a3"/>
        <w:spacing w:before="180" w:beforeAutospacing="0" w:after="0" w:afterAutospacing="0"/>
        <w:jc w:val="both"/>
        <w:rPr>
          <w:sz w:val="20"/>
          <w:szCs w:val="20"/>
        </w:rPr>
      </w:pPr>
      <w:r>
        <w:rPr>
          <w:sz w:val="20"/>
          <w:szCs w:val="20"/>
        </w:rPr>
        <w:t>We have applied for, and intend to continue to apply for, patents relating to our software and technology. Such applications may not result in the issuance of any patents, and any patents that may b</w:t>
      </w:r>
      <w:r>
        <w:rPr>
          <w:sz w:val="20"/>
          <w:szCs w:val="20"/>
        </w:rPr>
        <w:t>e issued may not provide adequate protection from competition. Furthermore, because the issuance of a patent is not conclusive as to its inventorship, scope, validity or enforceability, it is possible that patents issued to us may be challenged successfull</w:t>
      </w:r>
      <w:r>
        <w:rPr>
          <w:sz w:val="20"/>
          <w:szCs w:val="20"/>
        </w:rPr>
        <w:t>y and found to be invalid or unenforceable in the future. In that event, any competitive advantage that such patents might provide would be lost. If we are unable to secure or maintain patent coverage, our technology could become subject to competition fro</w:t>
      </w:r>
      <w:r>
        <w:rPr>
          <w:sz w:val="20"/>
          <w:szCs w:val="20"/>
        </w:rPr>
        <w:t>m the sale of similar competing products</w:t>
      </w:r>
      <w:r>
        <w:rPr>
          <w:sz w:val="20"/>
          <w:szCs w:val="20"/>
        </w:rPr>
        <w:t>.</w:t>
      </w:r>
      <w:r>
        <w:rPr>
          <w:sz w:val="20"/>
          <w:szCs w:val="20"/>
        </w:rPr>
        <w:t xml:space="preserve"> </w:t>
      </w:r>
    </w:p>
    <w:p w14:paraId="7C879802" w14:textId="77777777" w:rsidR="00000000" w:rsidRDefault="00EF48A2">
      <w:pPr>
        <w:pStyle w:val="a3"/>
        <w:spacing w:before="180" w:beforeAutospacing="0" w:after="0" w:afterAutospacing="0"/>
        <w:jc w:val="both"/>
        <w:rPr>
          <w:sz w:val="20"/>
          <w:szCs w:val="20"/>
        </w:rPr>
      </w:pPr>
      <w:r>
        <w:rPr>
          <w:sz w:val="20"/>
          <w:szCs w:val="20"/>
        </w:rPr>
        <w:t xml:space="preserve">Competitors may also be able to design around our now held or later issued patents. Changes in either the patent laws or interpretation of the patent laws in the United States and other countries may diminish the </w:t>
      </w:r>
      <w:r>
        <w:rPr>
          <w:sz w:val="20"/>
          <w:szCs w:val="20"/>
        </w:rPr>
        <w:t>value of such patents or narrow the scope of our patent protection. If these developments were to occur, we could face increased competition. In addition, filing, prosecuting, maintaining, defending and enforcing patents on our software and technology in a</w:t>
      </w:r>
      <w:r>
        <w:rPr>
          <w:sz w:val="20"/>
          <w:szCs w:val="20"/>
        </w:rPr>
        <w:t>ll countries throughout the world would be prohibitively expensive, and our intellectual property rights in some countries outside the United States can be less extensive than those in the United States</w:t>
      </w:r>
      <w:r>
        <w:rPr>
          <w:sz w:val="20"/>
          <w:szCs w:val="20"/>
        </w:rPr>
        <w:t>.</w:t>
      </w:r>
      <w:r>
        <w:rPr>
          <w:sz w:val="20"/>
          <w:szCs w:val="20"/>
        </w:rPr>
        <w:t xml:space="preserve"> </w:t>
      </w:r>
    </w:p>
    <w:p w14:paraId="78DF847A" w14:textId="77777777" w:rsidR="00000000" w:rsidRDefault="00EF48A2">
      <w:pPr>
        <w:pStyle w:val="a3"/>
        <w:spacing w:before="180" w:beforeAutospacing="0" w:after="0" w:afterAutospacing="0"/>
        <w:jc w:val="both"/>
        <w:rPr>
          <w:sz w:val="20"/>
          <w:szCs w:val="20"/>
        </w:rPr>
      </w:pPr>
      <w:r>
        <w:rPr>
          <w:sz w:val="20"/>
          <w:szCs w:val="20"/>
        </w:rPr>
        <w:t>From time to time, patents issued to us relating to</w:t>
      </w:r>
      <w:r>
        <w:rPr>
          <w:sz w:val="20"/>
          <w:szCs w:val="20"/>
        </w:rPr>
        <w:t xml:space="preserve"> our software and technology may be infringed by the products or processes of others. The cost of enforcing patent rights against infringers, if such enforcement is required, could be significant and the time demands could interfere with our normal operati</w:t>
      </w:r>
      <w:r>
        <w:rPr>
          <w:sz w:val="20"/>
          <w:szCs w:val="20"/>
        </w:rPr>
        <w:t xml:space="preserve">ons. Efforts to defend our intellectual property rights could incur significant costs and may or may not be resolved in our favor. If we fail to successfully enforce our intellectual property rights, our competitive position could suffer, which could harm </w:t>
      </w:r>
      <w:r>
        <w:rPr>
          <w:sz w:val="20"/>
          <w:szCs w:val="20"/>
        </w:rPr>
        <w:t>our operating results. Regardless of the outcome, the cost and distraction associated with any such enforcement efforts could harm our business</w:t>
      </w:r>
      <w:r>
        <w:rPr>
          <w:sz w:val="20"/>
          <w:szCs w:val="20"/>
        </w:rPr>
        <w:t>.</w:t>
      </w:r>
    </w:p>
    <w:p w14:paraId="31EA30FC" w14:textId="77777777" w:rsidR="00000000" w:rsidRDefault="00EF48A2">
      <w:pPr>
        <w:pStyle w:val="a3"/>
        <w:spacing w:before="240" w:beforeAutospacing="0" w:after="0" w:afterAutospacing="0"/>
        <w:jc w:val="both"/>
        <w:rPr>
          <w:sz w:val="20"/>
          <w:szCs w:val="20"/>
        </w:rPr>
      </w:pPr>
      <w:r>
        <w:rPr>
          <w:b/>
          <w:bCs/>
          <w:i/>
          <w:iCs/>
          <w:sz w:val="20"/>
          <w:szCs w:val="20"/>
        </w:rPr>
        <w:t>We could incur substantial costs as a result of any claim of infringement of another party’s intellectual prope</w:t>
      </w:r>
      <w:r>
        <w:rPr>
          <w:b/>
          <w:bCs/>
          <w:i/>
          <w:iCs/>
          <w:sz w:val="20"/>
          <w:szCs w:val="20"/>
        </w:rPr>
        <w:t>rty rights</w:t>
      </w:r>
      <w:r>
        <w:rPr>
          <w:b/>
          <w:bCs/>
          <w:i/>
          <w:iCs/>
          <w:sz w:val="20"/>
          <w:szCs w:val="20"/>
        </w:rPr>
        <w:t>.</w:t>
      </w:r>
      <w:r>
        <w:rPr>
          <w:b/>
          <w:bCs/>
          <w:i/>
          <w:iCs/>
          <w:sz w:val="20"/>
          <w:szCs w:val="20"/>
        </w:rPr>
        <w:t xml:space="preserve"> </w:t>
      </w:r>
    </w:p>
    <w:p w14:paraId="00660659" w14:textId="77777777" w:rsidR="00000000" w:rsidRDefault="00EF48A2">
      <w:pPr>
        <w:pStyle w:val="a3"/>
        <w:spacing w:before="180" w:beforeAutospacing="0" w:after="0" w:afterAutospacing="0"/>
        <w:jc w:val="both"/>
        <w:rPr>
          <w:sz w:val="20"/>
          <w:szCs w:val="20"/>
        </w:rPr>
      </w:pPr>
      <w:r>
        <w:rPr>
          <w:sz w:val="20"/>
          <w:szCs w:val="20"/>
        </w:rPr>
        <w:t>We could become a party to intellectual property litigation and other infringement proceedings. The cost to us of any intellectual property litigation or other infringement or misappropriation proceeding, even if resolved in our favor, could b</w:t>
      </w:r>
      <w:r>
        <w:rPr>
          <w:sz w:val="20"/>
          <w:szCs w:val="20"/>
        </w:rPr>
        <w:t>e substantial. Some of our would-be competitors may sustain the costs of such litigation more effectively than we can because of their greater financial resources</w:t>
      </w:r>
      <w:r>
        <w:rPr>
          <w:sz w:val="20"/>
          <w:szCs w:val="20"/>
        </w:rPr>
        <w:t>.</w:t>
      </w:r>
    </w:p>
    <w:p w14:paraId="650E2CCB" w14:textId="77777777" w:rsidR="00000000" w:rsidRDefault="00EF48A2">
      <w:pPr>
        <w:pStyle w:val="a3"/>
        <w:spacing w:before="180" w:beforeAutospacing="0" w:after="0" w:afterAutospacing="0"/>
        <w:jc w:val="both"/>
        <w:rPr>
          <w:sz w:val="20"/>
          <w:szCs w:val="20"/>
        </w:rPr>
      </w:pPr>
      <w:r>
        <w:rPr>
          <w:sz w:val="20"/>
          <w:szCs w:val="20"/>
        </w:rPr>
        <w:t>Regardless of the merits of any intellectual property litigation, we may be required to expe</w:t>
      </w:r>
      <w:r>
        <w:rPr>
          <w:sz w:val="20"/>
          <w:szCs w:val="20"/>
        </w:rPr>
        <w:t>nd significant management time and financial resources on the defense of such claims, and any adverse outcome of any such claim or the above referenced review could have a material adverse effect on our business, financial condition or results of operation</w:t>
      </w:r>
      <w:r>
        <w:rPr>
          <w:sz w:val="20"/>
          <w:szCs w:val="20"/>
        </w:rPr>
        <w:t>s. We expect that we may receive in the future notices that claim we or our clients using our solution have misappropriated, misused or otherwise infringed other parties’ intellectual property rights, particularly as the number of competitors in our market</w:t>
      </w:r>
      <w:r>
        <w:rPr>
          <w:sz w:val="20"/>
          <w:szCs w:val="20"/>
        </w:rPr>
        <w:t xml:space="preserve"> grows and the functionality of applications amongst competitors overlaps. Our existing, or any future, litigation, whether or not successful, could be extremely costly to defend, divert our management’s time, attention and resources, damage our reputation</w:t>
      </w:r>
      <w:r>
        <w:rPr>
          <w:sz w:val="20"/>
          <w:szCs w:val="20"/>
        </w:rPr>
        <w:t xml:space="preserve"> and brand and substantially harm our business</w:t>
      </w:r>
      <w:r>
        <w:rPr>
          <w:sz w:val="20"/>
          <w:szCs w:val="20"/>
        </w:rPr>
        <w:t>.</w:t>
      </w:r>
    </w:p>
    <w:p w14:paraId="6BD944E2" w14:textId="77777777" w:rsidR="00000000" w:rsidRDefault="00EF48A2">
      <w:pPr>
        <w:pStyle w:val="a3"/>
        <w:spacing w:before="180" w:beforeAutospacing="0" w:after="0" w:afterAutospacing="0"/>
        <w:jc w:val="both"/>
        <w:rPr>
          <w:sz w:val="20"/>
          <w:szCs w:val="20"/>
        </w:rPr>
      </w:pPr>
      <w:r>
        <w:rPr>
          <w:sz w:val="20"/>
          <w:szCs w:val="20"/>
        </w:rPr>
        <w:t xml:space="preserve">We employ individuals who were previously employed at other companies in our field, including our competitors or potential competitors. Although we try to ensure that our employees and consultants do not use </w:t>
      </w:r>
      <w:r>
        <w:rPr>
          <w:sz w:val="20"/>
          <w:szCs w:val="20"/>
        </w:rPr>
        <w:t>the proprietary information or know-how of others in their work for us, we may be subject to claims that we or our employees, consultants or independent contractors have inadvertently or otherwise used or disclosed intellectual property, including trade se</w:t>
      </w:r>
      <w:r>
        <w:rPr>
          <w:sz w:val="20"/>
          <w:szCs w:val="20"/>
        </w:rPr>
        <w:t>crets or other proprietary information, of a former employer or other third parties. Litigation may be necessary to defend against these claims. If we fail in defending any such claims, in addition to paying monetary damages, we may lose valuable intellect</w:t>
      </w:r>
      <w:r>
        <w:rPr>
          <w:sz w:val="20"/>
          <w:szCs w:val="20"/>
        </w:rPr>
        <w:t>ual property rights or personnel. Additionally, in connection with such litigation, our use of such intellectual property could be temporarily or permanently enjoined forcing us to stop using such intellectual property altogether. Even if we are successful</w:t>
      </w:r>
      <w:r>
        <w:rPr>
          <w:sz w:val="20"/>
          <w:szCs w:val="20"/>
        </w:rPr>
        <w:t xml:space="preserve"> in defending against such claims, litigation could result in substantial costs and be a distraction to management and other employees</w:t>
      </w:r>
      <w:r>
        <w:rPr>
          <w:sz w:val="20"/>
          <w:szCs w:val="20"/>
        </w:rPr>
        <w:t>.</w:t>
      </w:r>
    </w:p>
    <w:p w14:paraId="093471DD" w14:textId="77777777" w:rsidR="00000000" w:rsidRDefault="00EF48A2">
      <w:pPr>
        <w:pStyle w:val="a3"/>
        <w:spacing w:before="180" w:beforeAutospacing="0" w:after="0" w:afterAutospacing="0"/>
        <w:jc w:val="both"/>
        <w:rPr>
          <w:sz w:val="20"/>
          <w:szCs w:val="20"/>
        </w:rPr>
      </w:pPr>
      <w:r>
        <w:rPr>
          <w:sz w:val="20"/>
          <w:szCs w:val="20"/>
        </w:rPr>
        <w:t>In addition, in most instances, we have agreed to indemnify our clients against certain third-party claims, which may in</w:t>
      </w:r>
      <w:r>
        <w:rPr>
          <w:sz w:val="20"/>
          <w:szCs w:val="20"/>
        </w:rPr>
        <w:t>clude claims that our solution infringes the intellectual property rights of such third parties. Our business could be adversely affected by any significant disputes between us and our clients as to the applicability or scope of our indemnification obligat</w:t>
      </w:r>
      <w:r>
        <w:rPr>
          <w:sz w:val="20"/>
          <w:szCs w:val="20"/>
        </w:rPr>
        <w:t>ions to them</w:t>
      </w:r>
      <w:r>
        <w:rPr>
          <w:sz w:val="20"/>
          <w:szCs w:val="20"/>
        </w:rPr>
        <w:t>.</w:t>
      </w:r>
      <w:r>
        <w:rPr>
          <w:sz w:val="20"/>
          <w:szCs w:val="20"/>
        </w:rPr>
        <w:t xml:space="preserve"> </w:t>
      </w:r>
    </w:p>
    <w:p w14:paraId="3C00E428"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4</w:t>
      </w:r>
    </w:p>
    <w:p w14:paraId="093DA734" w14:textId="77777777" w:rsidR="00000000" w:rsidRDefault="00EF48A2">
      <w:pPr>
        <w:rPr>
          <w:rFonts w:eastAsia="Times New Roman"/>
        </w:rPr>
      </w:pPr>
      <w:r>
        <w:rPr>
          <w:rFonts w:eastAsia="Times New Roman"/>
        </w:rPr>
        <w:pict w14:anchorId="46E0C6F7">
          <v:rect id="_x0000_i1061" style="width:0;height:1.5pt" o:hralign="center" o:hrstd="t" o:hr="t" fillcolor="#a0a0a0" stroked="f"/>
        </w:pict>
      </w:r>
    </w:p>
    <w:p w14:paraId="1D44331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C697C02" w14:textId="77777777" w:rsidR="00000000" w:rsidRDefault="00EF48A2">
      <w:pPr>
        <w:pStyle w:val="a3"/>
        <w:spacing w:before="180" w:beforeAutospacing="0" w:after="0" w:afterAutospacing="0"/>
        <w:jc w:val="both"/>
        <w:rPr>
          <w:sz w:val="20"/>
          <w:szCs w:val="20"/>
        </w:rPr>
      </w:pPr>
      <w:r>
        <w:rPr>
          <w:sz w:val="20"/>
          <w:szCs w:val="20"/>
        </w:rPr>
        <w:t xml:space="preserve">The results of any intellectual property litigation to which we may become a party, or for which we are required to provide indemnification, may require </w:t>
      </w:r>
      <w:r>
        <w:rPr>
          <w:sz w:val="20"/>
          <w:szCs w:val="20"/>
        </w:rPr>
        <w:t>us to do one or more of the following</w:t>
      </w:r>
      <w:r>
        <w:rPr>
          <w:sz w:val="20"/>
          <w:szCs w:val="20"/>
        </w:rPr>
        <w:t>:</w:t>
      </w:r>
      <w:r>
        <w:rPr>
          <w:sz w:val="20"/>
          <w:szCs w:val="20"/>
        </w:rPr>
        <w:t xml:space="preserve"> </w:t>
      </w:r>
    </w:p>
    <w:p w14:paraId="55C73377" w14:textId="77777777" w:rsidR="00000000" w:rsidRDefault="00EF48A2">
      <w:pPr>
        <w:spacing w:before="120"/>
        <w:ind w:left="3"/>
        <w:jc w:val="both"/>
        <w:divId w:val="1419252169"/>
        <w:rPr>
          <w:rFonts w:eastAsia="Times New Roman"/>
        </w:rPr>
      </w:pPr>
      <w:r>
        <w:rPr>
          <w:rFonts w:eastAsia="Times New Roman"/>
          <w:sz w:val="20"/>
          <w:szCs w:val="20"/>
        </w:rPr>
        <w:t>●</w:t>
      </w:r>
    </w:p>
    <w:p w14:paraId="560E34CB" w14:textId="77777777" w:rsidR="00000000" w:rsidRDefault="00EF48A2">
      <w:pPr>
        <w:jc w:val="both"/>
        <w:divId w:val="256596714"/>
        <w:rPr>
          <w:rFonts w:eastAsia="Times New Roman"/>
        </w:rPr>
      </w:pPr>
      <w:r>
        <w:rPr>
          <w:rFonts w:eastAsia="Times New Roman"/>
          <w:sz w:val="20"/>
          <w:szCs w:val="20"/>
        </w:rPr>
        <w:t>cease offering or using technologies that incorporate the challenged intellectual property;</w:t>
      </w:r>
      <w:r>
        <w:rPr>
          <w:rFonts w:eastAsia="Times New Roman"/>
          <w:sz w:val="20"/>
          <w:szCs w:val="20"/>
        </w:rPr>
        <w:t xml:space="preserve"> </w:t>
      </w:r>
    </w:p>
    <w:p w14:paraId="7A0C4468" w14:textId="77777777" w:rsidR="00000000" w:rsidRDefault="00EF48A2">
      <w:pPr>
        <w:spacing w:before="120"/>
        <w:ind w:left="3"/>
        <w:jc w:val="both"/>
        <w:divId w:val="1845436965"/>
        <w:rPr>
          <w:rFonts w:eastAsia="Times New Roman"/>
        </w:rPr>
      </w:pPr>
      <w:r>
        <w:rPr>
          <w:rFonts w:eastAsia="Times New Roman"/>
          <w:sz w:val="20"/>
          <w:szCs w:val="20"/>
        </w:rPr>
        <w:t>●</w:t>
      </w:r>
    </w:p>
    <w:p w14:paraId="43A942DE" w14:textId="77777777" w:rsidR="00000000" w:rsidRDefault="00EF48A2">
      <w:pPr>
        <w:jc w:val="both"/>
        <w:divId w:val="1402098710"/>
        <w:rPr>
          <w:rFonts w:eastAsia="Times New Roman"/>
        </w:rPr>
      </w:pPr>
      <w:r>
        <w:rPr>
          <w:rFonts w:eastAsia="Times New Roman"/>
          <w:sz w:val="20"/>
          <w:szCs w:val="20"/>
        </w:rPr>
        <w:t>make substantial payments for legal fees, settlement payments or other costs or damages;</w:t>
      </w:r>
      <w:r>
        <w:rPr>
          <w:rFonts w:eastAsia="Times New Roman"/>
          <w:sz w:val="20"/>
          <w:szCs w:val="20"/>
        </w:rPr>
        <w:t xml:space="preserve"> </w:t>
      </w:r>
    </w:p>
    <w:p w14:paraId="4F770681" w14:textId="77777777" w:rsidR="00000000" w:rsidRDefault="00EF48A2">
      <w:pPr>
        <w:spacing w:before="120"/>
        <w:ind w:left="3"/>
        <w:jc w:val="both"/>
        <w:divId w:val="1394698979"/>
        <w:rPr>
          <w:rFonts w:eastAsia="Times New Roman"/>
        </w:rPr>
      </w:pPr>
      <w:r>
        <w:rPr>
          <w:rFonts w:eastAsia="Times New Roman"/>
          <w:sz w:val="20"/>
          <w:szCs w:val="20"/>
        </w:rPr>
        <w:t>●</w:t>
      </w:r>
    </w:p>
    <w:p w14:paraId="2441641F" w14:textId="77777777" w:rsidR="00000000" w:rsidRDefault="00EF48A2">
      <w:pPr>
        <w:jc w:val="both"/>
        <w:divId w:val="1843814429"/>
        <w:rPr>
          <w:rFonts w:eastAsia="Times New Roman"/>
        </w:rPr>
      </w:pPr>
      <w:r>
        <w:rPr>
          <w:rFonts w:eastAsia="Times New Roman"/>
          <w:sz w:val="20"/>
          <w:szCs w:val="20"/>
        </w:rPr>
        <w:t>obtain a license, which may not be available on reasonable terms, to sell or use the relevant technology; or</w:t>
      </w:r>
      <w:r>
        <w:rPr>
          <w:rFonts w:eastAsia="Times New Roman"/>
          <w:sz w:val="20"/>
          <w:szCs w:val="20"/>
        </w:rPr>
        <w:t xml:space="preserve"> </w:t>
      </w:r>
    </w:p>
    <w:p w14:paraId="7BAACA42" w14:textId="77777777" w:rsidR="00000000" w:rsidRDefault="00EF48A2">
      <w:pPr>
        <w:spacing w:before="120"/>
        <w:ind w:left="3"/>
        <w:jc w:val="both"/>
        <w:divId w:val="457452249"/>
        <w:rPr>
          <w:rFonts w:eastAsia="Times New Roman"/>
        </w:rPr>
      </w:pPr>
      <w:r>
        <w:rPr>
          <w:rFonts w:eastAsia="Times New Roman"/>
          <w:sz w:val="20"/>
          <w:szCs w:val="20"/>
        </w:rPr>
        <w:t>●</w:t>
      </w:r>
    </w:p>
    <w:p w14:paraId="621E2D60" w14:textId="77777777" w:rsidR="00000000" w:rsidRDefault="00EF48A2">
      <w:pPr>
        <w:jc w:val="both"/>
        <w:divId w:val="939799509"/>
        <w:rPr>
          <w:rFonts w:eastAsia="Times New Roman"/>
        </w:rPr>
      </w:pPr>
      <w:r>
        <w:rPr>
          <w:rFonts w:eastAsia="Times New Roman"/>
          <w:sz w:val="20"/>
          <w:szCs w:val="20"/>
        </w:rPr>
        <w:t>redesign technology to avoid infringement.</w:t>
      </w:r>
      <w:r>
        <w:rPr>
          <w:rFonts w:eastAsia="Times New Roman"/>
          <w:sz w:val="20"/>
          <w:szCs w:val="20"/>
        </w:rPr>
        <w:t xml:space="preserve"> </w:t>
      </w:r>
    </w:p>
    <w:p w14:paraId="3ABFAF31" w14:textId="77777777" w:rsidR="00000000" w:rsidRDefault="00EF48A2">
      <w:pPr>
        <w:pStyle w:val="a3"/>
        <w:spacing w:before="180" w:beforeAutospacing="0" w:after="0" w:afterAutospacing="0"/>
        <w:jc w:val="both"/>
        <w:rPr>
          <w:sz w:val="20"/>
          <w:szCs w:val="20"/>
        </w:rPr>
      </w:pPr>
      <w:r>
        <w:rPr>
          <w:sz w:val="20"/>
          <w:szCs w:val="20"/>
        </w:rPr>
        <w:t>If we ar</w:t>
      </w:r>
      <w:r>
        <w:rPr>
          <w:sz w:val="20"/>
          <w:szCs w:val="20"/>
        </w:rPr>
        <w:t xml:space="preserve">e required to make substantial payments or undertake any of the other actions noted above as a result of any intellectual property infringement claims against us or any obligation to indemnify our clients for such claims, such payments or costs could have </w:t>
      </w:r>
      <w:r>
        <w:rPr>
          <w:sz w:val="20"/>
          <w:szCs w:val="20"/>
        </w:rPr>
        <w:t>a material adverse effect on our business, financial condition and results of operations</w:t>
      </w:r>
      <w:r>
        <w:rPr>
          <w:sz w:val="20"/>
          <w:szCs w:val="20"/>
        </w:rPr>
        <w:t>.</w:t>
      </w:r>
      <w:r>
        <w:rPr>
          <w:sz w:val="20"/>
          <w:szCs w:val="20"/>
        </w:rPr>
        <w:t xml:space="preserve"> </w:t>
      </w:r>
    </w:p>
    <w:p w14:paraId="66B0B32E" w14:textId="77777777" w:rsidR="00000000" w:rsidRDefault="00EF48A2">
      <w:pPr>
        <w:pStyle w:val="a3"/>
        <w:spacing w:before="240" w:beforeAutospacing="0" w:after="0" w:afterAutospacing="0"/>
        <w:jc w:val="both"/>
        <w:rPr>
          <w:sz w:val="20"/>
          <w:szCs w:val="20"/>
        </w:rPr>
      </w:pPr>
      <w:r>
        <w:rPr>
          <w:b/>
          <w:bCs/>
          <w:i/>
          <w:iCs/>
          <w:sz w:val="20"/>
          <w:szCs w:val="20"/>
        </w:rPr>
        <w:t>Our proprietary software may not operate properly, which could damage our reputation, give rise to claims against us or divert application of our resources from othe</w:t>
      </w:r>
      <w:r>
        <w:rPr>
          <w:b/>
          <w:bCs/>
          <w:i/>
          <w:iCs/>
          <w:sz w:val="20"/>
          <w:szCs w:val="20"/>
        </w:rPr>
        <w:t>r purposes, any of which could harm our business, financial condition and results of operations</w:t>
      </w:r>
      <w:r>
        <w:rPr>
          <w:b/>
          <w:bCs/>
          <w:i/>
          <w:iCs/>
          <w:sz w:val="20"/>
          <w:szCs w:val="20"/>
        </w:rPr>
        <w:t>.</w:t>
      </w:r>
      <w:r>
        <w:rPr>
          <w:b/>
          <w:bCs/>
          <w:i/>
          <w:iCs/>
          <w:sz w:val="20"/>
          <w:szCs w:val="20"/>
        </w:rPr>
        <w:t xml:space="preserve"> </w:t>
      </w:r>
    </w:p>
    <w:p w14:paraId="23D6D763" w14:textId="77777777" w:rsidR="00000000" w:rsidRDefault="00EF48A2">
      <w:pPr>
        <w:pStyle w:val="a3"/>
        <w:spacing w:before="240" w:beforeAutospacing="0" w:after="0" w:afterAutospacing="0"/>
        <w:jc w:val="both"/>
        <w:rPr>
          <w:sz w:val="20"/>
          <w:szCs w:val="20"/>
        </w:rPr>
      </w:pPr>
      <w:r>
        <w:rPr>
          <w:sz w:val="20"/>
          <w:szCs w:val="20"/>
        </w:rPr>
        <w:t>Proprietary software development is time-consuming, expensive and complex, and may involve unforeseen difficulties. We encounter technical obstacles from time</w:t>
      </w:r>
      <w:r>
        <w:rPr>
          <w:sz w:val="20"/>
          <w:szCs w:val="20"/>
        </w:rPr>
        <w:t xml:space="preserve"> to time, and it is possible that we may discover additional problems that prevent our proprietary applications from operating properly. If our solution does not function reliably or fails to achieve client expectations in terms of performance, clients cou</w:t>
      </w:r>
      <w:r>
        <w:rPr>
          <w:sz w:val="20"/>
          <w:szCs w:val="20"/>
        </w:rPr>
        <w:t>ld assert liability claims against us or attempt to cancel their contracts with us. This could damage our reputation and impair our ability to attract or maintain clients. Moreover, data services are complex and those we offer have in the past contained, a</w:t>
      </w:r>
      <w:r>
        <w:rPr>
          <w:sz w:val="20"/>
          <w:szCs w:val="20"/>
        </w:rPr>
        <w:t>nd may in the future develop or contain, undetected defects or errors. Material performance problems, defects or errors in our existing or new software-based products and services may arise in the future and may result from interface of our solution with s</w:t>
      </w:r>
      <w:r>
        <w:rPr>
          <w:sz w:val="20"/>
          <w:szCs w:val="20"/>
        </w:rPr>
        <w:t>ystems and data that we did not develop and the function of which is outside of our control or undetected in our testing. These defects and errors, and any failure by us to identify and address them, could result in loss of revenue or market share, diversi</w:t>
      </w:r>
      <w:r>
        <w:rPr>
          <w:sz w:val="20"/>
          <w:szCs w:val="20"/>
        </w:rPr>
        <w:t>on of development resources, harm to our reputation and increased service and maintenance costs. Defects or errors may discourage existing or potential clients from purchasing our solution from us. Correction of defects or errors could prove to be impossib</w:t>
      </w:r>
      <w:r>
        <w:rPr>
          <w:sz w:val="20"/>
          <w:szCs w:val="20"/>
        </w:rPr>
        <w:t>le or impracticable. The costs incurred in correcting any defects or errors may be substantial and could have a material adverse effect on our business, financial condition and results of operations</w:t>
      </w:r>
      <w:r>
        <w:rPr>
          <w:sz w:val="20"/>
          <w:szCs w:val="20"/>
        </w:rPr>
        <w:t>.</w:t>
      </w:r>
      <w:r>
        <w:rPr>
          <w:sz w:val="20"/>
          <w:szCs w:val="20"/>
        </w:rPr>
        <w:t xml:space="preserve"> </w:t>
      </w:r>
    </w:p>
    <w:p w14:paraId="0411A51E" w14:textId="77777777" w:rsidR="00000000" w:rsidRDefault="00EF48A2">
      <w:pPr>
        <w:pStyle w:val="a3"/>
        <w:spacing w:before="240" w:beforeAutospacing="0" w:after="0" w:afterAutospacing="0"/>
        <w:jc w:val="both"/>
        <w:rPr>
          <w:sz w:val="20"/>
          <w:szCs w:val="20"/>
        </w:rPr>
      </w:pPr>
      <w:r>
        <w:rPr>
          <w:b/>
          <w:bCs/>
          <w:i/>
          <w:iCs/>
          <w:sz w:val="20"/>
          <w:szCs w:val="20"/>
        </w:rPr>
        <w:t>If we cannot resolve any technical issues in a timely m</w:t>
      </w:r>
      <w:r>
        <w:rPr>
          <w:b/>
          <w:bCs/>
          <w:i/>
          <w:iCs/>
          <w:sz w:val="20"/>
          <w:szCs w:val="20"/>
        </w:rPr>
        <w:t>anner, we may lose clients and our reputation may be harmed</w:t>
      </w:r>
      <w:r>
        <w:rPr>
          <w:b/>
          <w:bCs/>
          <w:i/>
          <w:iCs/>
          <w:sz w:val="20"/>
          <w:szCs w:val="20"/>
        </w:rPr>
        <w:t>.</w:t>
      </w:r>
      <w:r>
        <w:rPr>
          <w:b/>
          <w:bCs/>
          <w:i/>
          <w:iCs/>
          <w:sz w:val="20"/>
          <w:szCs w:val="20"/>
        </w:rPr>
        <w:t xml:space="preserve"> </w:t>
      </w:r>
    </w:p>
    <w:p w14:paraId="33F8338F" w14:textId="77777777" w:rsidR="00000000" w:rsidRDefault="00EF48A2">
      <w:pPr>
        <w:pStyle w:val="a3"/>
        <w:spacing w:before="240" w:beforeAutospacing="0" w:after="0" w:afterAutospacing="0"/>
        <w:jc w:val="both"/>
        <w:rPr>
          <w:sz w:val="20"/>
          <w:szCs w:val="20"/>
        </w:rPr>
      </w:pPr>
      <w:r>
        <w:rPr>
          <w:sz w:val="20"/>
          <w:szCs w:val="20"/>
        </w:rPr>
        <w:t>Our clients depend on our support services to resolve any technical issues relating to our solution and services, and we may be unable to respond quickly enough to accommodate short-term increas</w:t>
      </w:r>
      <w:r>
        <w:rPr>
          <w:sz w:val="20"/>
          <w:szCs w:val="20"/>
        </w:rPr>
        <w:t xml:space="preserve">es in member demand for support services, particularly as we increase the size of our client, member and patient bases. We also may be unable to modify the format of our support services to compete with changes in support services provided by competitors. </w:t>
      </w:r>
      <w:r>
        <w:rPr>
          <w:sz w:val="20"/>
          <w:szCs w:val="20"/>
        </w:rPr>
        <w:t>It is difficult to predict member demand for technical support services, and if member demand increases significantly, we may be unable to provide satisfactory support services to our clients. Further, if we are unable to address clients’ needs in a timely</w:t>
      </w:r>
      <w:r>
        <w:rPr>
          <w:sz w:val="20"/>
          <w:szCs w:val="20"/>
        </w:rPr>
        <w:t xml:space="preserve"> fashion or further develop and enhance our solution, or if a client or member is not satisfied with the quality of work performed by us or with the technical support services rendered, then we could incur additional costs to address the situation or be re</w:t>
      </w:r>
      <w:r>
        <w:rPr>
          <w:sz w:val="20"/>
          <w:szCs w:val="20"/>
        </w:rPr>
        <w:t xml:space="preserve">quired to issue credits or refunds for amounts related to unused services, and our profitability may be impaired and clients’ dissatisfaction with our solution could damage our ability to expand the number of software-based products and services purchased </w:t>
      </w:r>
      <w:r>
        <w:rPr>
          <w:sz w:val="20"/>
          <w:szCs w:val="20"/>
        </w:rPr>
        <w:t>by such clients. These clients may not renew their contracts, seek to terminate their relationship with us or renew on less favorable terms. Moreover, negative publicity related to our client relationships, regardless of its accuracy, may further damage ou</w:t>
      </w:r>
      <w:r>
        <w:rPr>
          <w:sz w:val="20"/>
          <w:szCs w:val="20"/>
        </w:rPr>
        <w:t>r business by affecting our reputation or ability to compete for new business with current and prospective clients. If any of these were to occur, our revenue may decline and our business, financial condition and results of operations could be adversely af</w:t>
      </w:r>
      <w:r>
        <w:rPr>
          <w:sz w:val="20"/>
          <w:szCs w:val="20"/>
        </w:rPr>
        <w:t>fected</w:t>
      </w:r>
      <w:r>
        <w:rPr>
          <w:sz w:val="20"/>
          <w:szCs w:val="20"/>
        </w:rPr>
        <w:t>.</w:t>
      </w:r>
      <w:r>
        <w:rPr>
          <w:sz w:val="20"/>
          <w:szCs w:val="20"/>
        </w:rPr>
        <w:t xml:space="preserve"> </w:t>
      </w:r>
    </w:p>
    <w:p w14:paraId="53DECF9D" w14:textId="77777777" w:rsidR="00000000" w:rsidRDefault="00EF48A2">
      <w:pPr>
        <w:pStyle w:val="a3"/>
        <w:spacing w:before="240" w:beforeAutospacing="0" w:after="0" w:afterAutospacing="0"/>
        <w:jc w:val="both"/>
        <w:rPr>
          <w:sz w:val="20"/>
          <w:szCs w:val="20"/>
        </w:rPr>
      </w:pPr>
      <w:r>
        <w:rPr>
          <w:b/>
          <w:bCs/>
          <w:i/>
          <w:iCs/>
          <w:sz w:val="20"/>
          <w:szCs w:val="20"/>
        </w:rPr>
        <w:t>We may enter into collaborations, in-licensing arrangements, joint ventures, strategic alliances or partnerships with third-parties that may not result in the development of commercially viable solutions or the generation of significant future rev</w:t>
      </w:r>
      <w:r>
        <w:rPr>
          <w:b/>
          <w:bCs/>
          <w:i/>
          <w:iCs/>
          <w:sz w:val="20"/>
          <w:szCs w:val="20"/>
        </w:rPr>
        <w:t>enues</w:t>
      </w:r>
      <w:r>
        <w:rPr>
          <w:b/>
          <w:bCs/>
          <w:i/>
          <w:iCs/>
          <w:sz w:val="20"/>
          <w:szCs w:val="20"/>
        </w:rPr>
        <w:t>.</w:t>
      </w:r>
      <w:r>
        <w:rPr>
          <w:b/>
          <w:bCs/>
          <w:i/>
          <w:iCs/>
          <w:sz w:val="20"/>
          <w:szCs w:val="20"/>
        </w:rPr>
        <w:t xml:space="preserve"> </w:t>
      </w:r>
    </w:p>
    <w:p w14:paraId="25CF8BA2" w14:textId="77777777" w:rsidR="00000000" w:rsidRDefault="00EF48A2">
      <w:pPr>
        <w:pStyle w:val="a3"/>
        <w:spacing w:before="180" w:beforeAutospacing="0" w:after="0" w:afterAutospacing="0"/>
        <w:jc w:val="both"/>
        <w:rPr>
          <w:sz w:val="20"/>
          <w:szCs w:val="20"/>
        </w:rPr>
      </w:pPr>
      <w:r>
        <w:rPr>
          <w:sz w:val="20"/>
          <w:szCs w:val="20"/>
        </w:rPr>
        <w:t>In the ordinary course of our business, we may enter into collaborations, in-licensing arrangements, joint ventures, strategic alliances, partnerships or other arrangements to develop products and to pursue new markets. Proposing, negotiating and i</w:t>
      </w:r>
      <w:r>
        <w:rPr>
          <w:sz w:val="20"/>
          <w:szCs w:val="20"/>
        </w:rPr>
        <w:t>mplementing collaborations, in-licensing arrangements, joint ventures, strategic alliances or partnerships may be a lengthy and complex process. Other companies, including those with substantially greater financial, marketing, sales, technology or othe</w:t>
      </w:r>
      <w:r>
        <w:rPr>
          <w:sz w:val="20"/>
          <w:szCs w:val="20"/>
        </w:rPr>
        <w:t>r</w:t>
      </w:r>
      <w:r>
        <w:rPr>
          <w:sz w:val="20"/>
          <w:szCs w:val="20"/>
        </w:rPr>
        <w:t xml:space="preserve"> </w:t>
      </w:r>
    </w:p>
    <w:p w14:paraId="262C9846"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5</w:t>
      </w:r>
    </w:p>
    <w:p w14:paraId="17DA87C7" w14:textId="77777777" w:rsidR="00000000" w:rsidRDefault="00EF48A2">
      <w:pPr>
        <w:rPr>
          <w:rFonts w:eastAsia="Times New Roman"/>
        </w:rPr>
      </w:pPr>
      <w:r>
        <w:rPr>
          <w:rFonts w:eastAsia="Times New Roman"/>
        </w:rPr>
        <w:pict w14:anchorId="383DD78F">
          <v:rect id="_x0000_i1062" style="width:0;height:1.5pt" o:hralign="center" o:hrstd="t" o:hr="t" fillcolor="#a0a0a0" stroked="f"/>
        </w:pict>
      </w:r>
    </w:p>
    <w:p w14:paraId="3597A8A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62E9DFC" w14:textId="77777777" w:rsidR="00000000" w:rsidRDefault="00EF48A2">
      <w:pPr>
        <w:pStyle w:val="a3"/>
        <w:spacing w:before="180" w:beforeAutospacing="0" w:after="0" w:afterAutospacing="0"/>
        <w:jc w:val="both"/>
        <w:rPr>
          <w:sz w:val="20"/>
          <w:szCs w:val="20"/>
        </w:rPr>
      </w:pPr>
      <w:r>
        <w:rPr>
          <w:sz w:val="20"/>
          <w:szCs w:val="20"/>
        </w:rPr>
        <w:t>business resources, may compete with us for these opportunities or arrangements. We may not identify, secure, or complete any such transactions or arrangements in a time</w:t>
      </w:r>
      <w:r>
        <w:rPr>
          <w:sz w:val="20"/>
          <w:szCs w:val="20"/>
        </w:rPr>
        <w:t xml:space="preserve">ly manner, on a cost-effective basis, on acceptable terms or at all. We have limited institutional knowledge and experience with respect to these business development activities, and we may also not realize the anticipated benefits of any such transaction </w:t>
      </w:r>
      <w:r>
        <w:rPr>
          <w:sz w:val="20"/>
          <w:szCs w:val="20"/>
        </w:rPr>
        <w:t>or arrangement</w:t>
      </w:r>
      <w:r>
        <w:rPr>
          <w:sz w:val="20"/>
          <w:szCs w:val="20"/>
        </w:rPr>
        <w:t>.</w:t>
      </w:r>
    </w:p>
    <w:p w14:paraId="156F9BAD" w14:textId="77777777" w:rsidR="00000000" w:rsidRDefault="00EF48A2">
      <w:pPr>
        <w:pStyle w:val="a3"/>
        <w:spacing w:before="180" w:beforeAutospacing="0" w:after="0" w:afterAutospacing="0"/>
        <w:jc w:val="both"/>
        <w:rPr>
          <w:sz w:val="20"/>
          <w:szCs w:val="20"/>
        </w:rPr>
      </w:pPr>
      <w:r>
        <w:rPr>
          <w:sz w:val="20"/>
          <w:szCs w:val="20"/>
        </w:rPr>
        <w:t>In particular, these collaborations may not result in the development of products that achieve commercial success or result in significant revenues and could be terminated prior to developing any products. Additionally, we may not own, or m</w:t>
      </w:r>
      <w:r>
        <w:rPr>
          <w:sz w:val="20"/>
          <w:szCs w:val="20"/>
        </w:rPr>
        <w:t>ay jointly own with a third party, the intellectual property rights in products and other works developed under our collaborations, joint ventures, strategic alliances or partnerships</w:t>
      </w:r>
      <w:r>
        <w:rPr>
          <w:sz w:val="20"/>
          <w:szCs w:val="20"/>
        </w:rPr>
        <w:t>.</w:t>
      </w:r>
    </w:p>
    <w:p w14:paraId="75B3E821" w14:textId="77777777" w:rsidR="00000000" w:rsidRDefault="00EF48A2">
      <w:pPr>
        <w:pStyle w:val="a3"/>
        <w:spacing w:before="180" w:beforeAutospacing="0" w:after="0" w:afterAutospacing="0"/>
        <w:jc w:val="both"/>
        <w:rPr>
          <w:sz w:val="20"/>
          <w:szCs w:val="20"/>
        </w:rPr>
      </w:pPr>
      <w:r>
        <w:rPr>
          <w:sz w:val="20"/>
          <w:szCs w:val="20"/>
        </w:rPr>
        <w:t>If any conflicts arise with any future collaborators, they may act in t</w:t>
      </w:r>
      <w:r>
        <w:rPr>
          <w:sz w:val="20"/>
          <w:szCs w:val="20"/>
        </w:rPr>
        <w:t>heir self-interest, which may be adverse to our best interest, and they may breach their obligations to us. In addition, we may have limited control over the amount and timing of resources that any future collaborators devote to our or their future product</w:t>
      </w:r>
      <w:r>
        <w:rPr>
          <w:sz w:val="20"/>
          <w:szCs w:val="20"/>
        </w:rPr>
        <w:t>s. Disputes between us and our collaborators may result in litigation or arbitration which would increase our expenses and divert the attention of our management. Further, these transactions and arrangements will be contractual in nature and will generally</w:t>
      </w:r>
      <w:r>
        <w:rPr>
          <w:sz w:val="20"/>
          <w:szCs w:val="20"/>
        </w:rPr>
        <w:t xml:space="preserve"> be terminable under the terms of the applicable agreements and, in such event, we may not continue to have rights to the products relating to such transaction or arrangement or may need to purchase such rights at a premium</w:t>
      </w:r>
      <w:r>
        <w:rPr>
          <w:sz w:val="20"/>
          <w:szCs w:val="20"/>
        </w:rPr>
        <w:t>.</w:t>
      </w:r>
      <w:r>
        <w:rPr>
          <w:sz w:val="20"/>
          <w:szCs w:val="20"/>
        </w:rPr>
        <w:t xml:space="preserve"> </w:t>
      </w:r>
    </w:p>
    <w:p w14:paraId="11DD213E" w14:textId="77777777" w:rsidR="00000000" w:rsidRDefault="00EF48A2">
      <w:pPr>
        <w:pStyle w:val="a3"/>
        <w:spacing w:before="240" w:beforeAutospacing="0" w:after="0" w:afterAutospacing="0"/>
        <w:jc w:val="both"/>
        <w:rPr>
          <w:sz w:val="20"/>
          <w:szCs w:val="20"/>
        </w:rPr>
      </w:pPr>
      <w:r>
        <w:rPr>
          <w:b/>
          <w:bCs/>
          <w:sz w:val="20"/>
          <w:szCs w:val="20"/>
        </w:rPr>
        <w:t xml:space="preserve">RISKS RELATED TO OWNERSHIP OF </w:t>
      </w:r>
      <w:r>
        <w:rPr>
          <w:b/>
          <w:bCs/>
          <w:sz w:val="20"/>
          <w:szCs w:val="20"/>
        </w:rPr>
        <w:t>OUR COMMON STOCK, OUR WARRANTS AND OPERATING AS A PUBLIC COMPAN</w:t>
      </w:r>
      <w:r>
        <w:rPr>
          <w:b/>
          <w:bCs/>
          <w:sz w:val="20"/>
          <w:szCs w:val="20"/>
        </w:rPr>
        <w:t>Y</w:t>
      </w:r>
      <w:r>
        <w:rPr>
          <w:b/>
          <w:bCs/>
          <w:sz w:val="20"/>
          <w:szCs w:val="20"/>
        </w:rPr>
        <w:t xml:space="preserve"> </w:t>
      </w:r>
    </w:p>
    <w:p w14:paraId="6B5106B0" w14:textId="77777777" w:rsidR="00000000" w:rsidRDefault="00EF48A2">
      <w:pPr>
        <w:pStyle w:val="a3"/>
        <w:spacing w:before="240" w:beforeAutospacing="0" w:after="0" w:afterAutospacing="0"/>
        <w:jc w:val="both"/>
        <w:rPr>
          <w:sz w:val="20"/>
          <w:szCs w:val="20"/>
        </w:rPr>
      </w:pPr>
      <w:r>
        <w:rPr>
          <w:b/>
          <w:bCs/>
          <w:i/>
          <w:iCs/>
          <w:sz w:val="20"/>
          <w:szCs w:val="20"/>
        </w:rPr>
        <w:t>We continue to incur significantly increased costs and devote substantial management time as a result of operating as a public company</w:t>
      </w:r>
      <w:r>
        <w:rPr>
          <w:b/>
          <w:bCs/>
          <w:i/>
          <w:iCs/>
          <w:sz w:val="20"/>
          <w:szCs w:val="20"/>
        </w:rPr>
        <w:t>.</w:t>
      </w:r>
      <w:r>
        <w:rPr>
          <w:b/>
          <w:bCs/>
          <w:i/>
          <w:iCs/>
          <w:sz w:val="20"/>
          <w:szCs w:val="20"/>
        </w:rPr>
        <w:t xml:space="preserve"> </w:t>
      </w:r>
    </w:p>
    <w:p w14:paraId="1E7A6C80" w14:textId="77777777" w:rsidR="00000000" w:rsidRDefault="00EF48A2">
      <w:pPr>
        <w:pStyle w:val="a3"/>
        <w:spacing w:before="180" w:beforeAutospacing="0" w:after="0" w:afterAutospacing="0"/>
        <w:jc w:val="both"/>
        <w:rPr>
          <w:sz w:val="20"/>
          <w:szCs w:val="20"/>
        </w:rPr>
      </w:pPr>
      <w:r>
        <w:rPr>
          <w:sz w:val="20"/>
          <w:szCs w:val="20"/>
        </w:rPr>
        <w:t>As a public company, we incur significant legal, acco</w:t>
      </w:r>
      <w:r>
        <w:rPr>
          <w:sz w:val="20"/>
          <w:szCs w:val="20"/>
        </w:rPr>
        <w:t>unting and other expenses that we did not incur as a private company. For example, we are subject to the reporting requirements of the Securities Exchange Act of 1934, as amended (the “Exchange Act”), and are required to comply with the applicable requirem</w:t>
      </w:r>
      <w:r>
        <w:rPr>
          <w:sz w:val="20"/>
          <w:szCs w:val="20"/>
        </w:rPr>
        <w:t>ents of the Sarbanes-Oxley Act and the Dodd-Frank Wall Street Reform and Consumer Protection Act, as well as rules and regulations of the SEC and the Nasdaq Stock Market (“Nasdaq”), including the establishment and maintenance of effective disclosure and fi</w:t>
      </w:r>
      <w:r>
        <w:rPr>
          <w:sz w:val="20"/>
          <w:szCs w:val="20"/>
        </w:rPr>
        <w:t>nancial controls, changes in corporate governance practices and required filing of annual, quarterly and current reports with respect to our business and results of operations. Any failure to develop or maintain effective controls or any difficulties encou</w:t>
      </w:r>
      <w:r>
        <w:rPr>
          <w:sz w:val="20"/>
          <w:szCs w:val="20"/>
        </w:rPr>
        <w:t>ntered in their implementation or improvement could harm our results of operations or cause us to fail to meet our reporting obligations. Compliance with these requirements has increased our legal and financial compliance costs and made some activities mor</w:t>
      </w:r>
      <w:r>
        <w:rPr>
          <w:sz w:val="20"/>
          <w:szCs w:val="20"/>
        </w:rPr>
        <w:t>e time-consuming and costly. In addition, our management and other personnel are required to divert attention from operational and other business matters to devote substantial time to these public company requirements. In particular, we have incurred and e</w:t>
      </w:r>
      <w:r>
        <w:rPr>
          <w:sz w:val="20"/>
          <w:szCs w:val="20"/>
        </w:rPr>
        <w:t>xpect to continue to incur significant expenses and devote substantial management effort toward ensuring compliance with the requirements of Section 404 of the Sarbanes-Oxley Act. We are continuing to hire additional accounting and financial staff with app</w:t>
      </w:r>
      <w:r>
        <w:rPr>
          <w:sz w:val="20"/>
          <w:szCs w:val="20"/>
        </w:rPr>
        <w:t>ropriate public company experience and technical accounting knowledge and may need to establish an internal audit function</w:t>
      </w:r>
      <w:r>
        <w:rPr>
          <w:sz w:val="20"/>
          <w:szCs w:val="20"/>
        </w:rPr>
        <w:t>.</w:t>
      </w:r>
      <w:r>
        <w:rPr>
          <w:sz w:val="20"/>
          <w:szCs w:val="20"/>
        </w:rPr>
        <w:t xml:space="preserve"> </w:t>
      </w:r>
    </w:p>
    <w:p w14:paraId="59A126F7" w14:textId="77777777" w:rsidR="00000000" w:rsidRDefault="00EF48A2">
      <w:pPr>
        <w:pStyle w:val="a3"/>
        <w:spacing w:before="180" w:beforeAutospacing="0" w:after="0" w:afterAutospacing="0"/>
        <w:jc w:val="both"/>
        <w:rPr>
          <w:sz w:val="20"/>
          <w:szCs w:val="20"/>
        </w:rPr>
      </w:pPr>
      <w:r>
        <w:rPr>
          <w:sz w:val="20"/>
          <w:szCs w:val="20"/>
        </w:rPr>
        <w:t xml:space="preserve">Additionally, in June 2022, Talkspace reviewed and revised its director and officer liability insurance coverage. As a result, the </w:t>
      </w:r>
      <w:r>
        <w:rPr>
          <w:sz w:val="20"/>
          <w:szCs w:val="20"/>
        </w:rPr>
        <w:t xml:space="preserve">board approved two additional layers of coverage on its “Side A” insurance which covers the personal assets of the Company’s directors and officers. This would allow coverage for individual liability protection of up to $30.0 million (after a $7.5 million </w:t>
      </w:r>
      <w:r>
        <w:rPr>
          <w:sz w:val="20"/>
          <w:szCs w:val="20"/>
        </w:rPr>
        <w:t>deductible). Talkspace also retains $5.0 million in additional coverage for general securities liability. The Company will revise and renew its directors and officer coverage in June 2023</w:t>
      </w:r>
      <w:r>
        <w:rPr>
          <w:sz w:val="20"/>
          <w:szCs w:val="20"/>
        </w:rPr>
        <w:t>.</w:t>
      </w:r>
    </w:p>
    <w:p w14:paraId="1660C1FA" w14:textId="77777777" w:rsidR="00000000" w:rsidRDefault="00EF48A2">
      <w:pPr>
        <w:pStyle w:val="a3"/>
        <w:spacing w:before="240" w:beforeAutospacing="0" w:after="0" w:afterAutospacing="0"/>
        <w:jc w:val="both"/>
        <w:rPr>
          <w:sz w:val="20"/>
          <w:szCs w:val="20"/>
        </w:rPr>
      </w:pPr>
      <w:r>
        <w:rPr>
          <w:b/>
          <w:bCs/>
          <w:i/>
          <w:iCs/>
          <w:sz w:val="20"/>
          <w:szCs w:val="20"/>
        </w:rPr>
        <w:t xml:space="preserve">We have material weaknesses in our internal control over financial </w:t>
      </w:r>
      <w:r>
        <w:rPr>
          <w:b/>
          <w:bCs/>
          <w:i/>
          <w:iCs/>
          <w:sz w:val="20"/>
          <w:szCs w:val="20"/>
        </w:rPr>
        <w:t xml:space="preserve">reporting. If we fail to establish and maintain effective internal control over financial reporting in the future, our ability to produce accurate and timely financial statements could be impaired, which may adversely affect investor confidence in us and, </w:t>
      </w:r>
      <w:r>
        <w:rPr>
          <w:b/>
          <w:bCs/>
          <w:i/>
          <w:iCs/>
          <w:sz w:val="20"/>
          <w:szCs w:val="20"/>
        </w:rPr>
        <w:t>as a result, the value of our common stock</w:t>
      </w:r>
      <w:r>
        <w:rPr>
          <w:b/>
          <w:bCs/>
          <w:i/>
          <w:iCs/>
          <w:sz w:val="20"/>
          <w:szCs w:val="20"/>
        </w:rPr>
        <w:t>.</w:t>
      </w:r>
    </w:p>
    <w:p w14:paraId="18FE4B0C" w14:textId="77777777" w:rsidR="00000000" w:rsidRDefault="00EF48A2">
      <w:pPr>
        <w:pStyle w:val="a3"/>
        <w:spacing w:before="180" w:beforeAutospacing="0" w:after="0" w:afterAutospacing="0"/>
        <w:jc w:val="both"/>
        <w:rPr>
          <w:sz w:val="20"/>
          <w:szCs w:val="20"/>
        </w:rPr>
      </w:pPr>
      <w:r>
        <w:rPr>
          <w:sz w:val="20"/>
          <w:szCs w:val="20"/>
        </w:rPr>
        <w:t>As a public company, we are required to establish and maintain internal controls over financial reporting and, pursuant to Section 404 of the Sarbanes-Oxley Act, are required provide a report by management on, among other things, the effectiveness of our i</w:t>
      </w:r>
      <w:r>
        <w:rPr>
          <w:sz w:val="20"/>
          <w:szCs w:val="20"/>
        </w:rPr>
        <w:t>nternal control over financial reporting for our annual reports on Form 10-K filed with the SEC. This assessment needs to include disclosure of any material weaknesses identified by our management in our internal control over financial reporting. A materia</w:t>
      </w:r>
      <w:r>
        <w:rPr>
          <w:sz w:val="20"/>
          <w:szCs w:val="20"/>
        </w:rPr>
        <w:t>l weakness is a deficiency, or combination of deficiencies, in internal control that results in more than a reasonable possibility that a material misstatement of annual or interim financial statements will not be prevented or detected on a timely basis. I</w:t>
      </w:r>
      <w:r>
        <w:rPr>
          <w:sz w:val="20"/>
          <w:szCs w:val="20"/>
        </w:rPr>
        <w:t>n addition, Section 404 of the Sarbanes-Oxley Act also generally requires an attestation from our independent registered public accountin</w:t>
      </w:r>
      <w:r>
        <w:rPr>
          <w:sz w:val="20"/>
          <w:szCs w:val="20"/>
        </w:rPr>
        <w:t>g</w:t>
      </w:r>
      <w:r>
        <w:rPr>
          <w:sz w:val="20"/>
          <w:szCs w:val="20"/>
        </w:rPr>
        <w:t xml:space="preserve"> </w:t>
      </w:r>
    </w:p>
    <w:p w14:paraId="6E91B9D0"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6</w:t>
      </w:r>
    </w:p>
    <w:p w14:paraId="67925214" w14:textId="77777777" w:rsidR="00000000" w:rsidRDefault="00EF48A2">
      <w:pPr>
        <w:rPr>
          <w:rFonts w:eastAsia="Times New Roman"/>
        </w:rPr>
      </w:pPr>
      <w:r>
        <w:rPr>
          <w:rFonts w:eastAsia="Times New Roman"/>
        </w:rPr>
        <w:pict w14:anchorId="37835D05">
          <v:rect id="_x0000_i1063" style="width:0;height:1.5pt" o:hralign="center" o:hrstd="t" o:hr="t" fillcolor="#a0a0a0" stroked="f"/>
        </w:pict>
      </w:r>
    </w:p>
    <w:p w14:paraId="7363AA4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1890810" w14:textId="77777777" w:rsidR="00000000" w:rsidRDefault="00EF48A2">
      <w:pPr>
        <w:pStyle w:val="a3"/>
        <w:spacing w:before="180" w:beforeAutospacing="0" w:after="0" w:afterAutospacing="0"/>
        <w:jc w:val="both"/>
        <w:rPr>
          <w:sz w:val="20"/>
          <w:szCs w:val="20"/>
        </w:rPr>
      </w:pPr>
      <w:r>
        <w:rPr>
          <w:sz w:val="20"/>
          <w:szCs w:val="20"/>
        </w:rPr>
        <w:t>firm on the effectiveness o</w:t>
      </w:r>
      <w:r>
        <w:rPr>
          <w:sz w:val="20"/>
          <w:szCs w:val="20"/>
        </w:rPr>
        <w:t>f our internal control over financial reporting, starting with the annual report for the year ended December 31, 2022 (second annual report) on Form 10-K</w:t>
      </w:r>
      <w:r>
        <w:rPr>
          <w:sz w:val="20"/>
          <w:szCs w:val="20"/>
        </w:rPr>
        <w:t>.</w:t>
      </w:r>
    </w:p>
    <w:p w14:paraId="110741BB" w14:textId="77777777" w:rsidR="00000000" w:rsidRDefault="00EF48A2">
      <w:pPr>
        <w:pStyle w:val="a3"/>
        <w:spacing w:before="180" w:beforeAutospacing="0" w:after="0" w:afterAutospacing="0"/>
        <w:jc w:val="both"/>
        <w:rPr>
          <w:sz w:val="20"/>
          <w:szCs w:val="20"/>
        </w:rPr>
      </w:pPr>
      <w:r>
        <w:rPr>
          <w:sz w:val="20"/>
          <w:szCs w:val="20"/>
        </w:rPr>
        <w:t>As noted under Item 9A, our management has determined that the following material weaknesses exist in</w:t>
      </w:r>
      <w:r>
        <w:rPr>
          <w:sz w:val="20"/>
          <w:szCs w:val="20"/>
        </w:rPr>
        <w:t xml:space="preserve"> our internal controls over financial reporting related to (a) Management was able to complete the design and establish effective information technology general controls (ITGCs) for the majority of tested ITGCs; however, some ineffective ITGC controls exis</w:t>
      </w:r>
      <w:r>
        <w:rPr>
          <w:sz w:val="20"/>
          <w:szCs w:val="20"/>
        </w:rPr>
        <w:t>ted at December 31, 2022. As a result, business process controls (automated and IT-dependent manual controls) that are dependent on the ineffective ITGCs, or that use data produced from systems impacted by the ineffective ITGCs were deemed ineffective at D</w:t>
      </w:r>
      <w:r>
        <w:rPr>
          <w:sz w:val="20"/>
          <w:szCs w:val="20"/>
        </w:rPr>
        <w:t>ecember 31 2022; and (b) Management did not have an adequate process in place to monitor and provide oversight over the completion of its testing and assessment of the design and operating effectiveness of internal control over financial reporting in a tim</w:t>
      </w:r>
      <w:r>
        <w:rPr>
          <w:sz w:val="20"/>
          <w:szCs w:val="20"/>
        </w:rPr>
        <w:t>ely manner. As a result of the existence of these material weaknesses, our management concluded that neither our disclosure controls and procedures or our internal control over financial reporting were effective as of December 31, 2022</w:t>
      </w:r>
      <w:r>
        <w:rPr>
          <w:sz w:val="20"/>
          <w:szCs w:val="20"/>
        </w:rPr>
        <w:t>.</w:t>
      </w:r>
    </w:p>
    <w:p w14:paraId="5E715655" w14:textId="77777777" w:rsidR="00000000" w:rsidRDefault="00EF48A2">
      <w:pPr>
        <w:pStyle w:val="a3"/>
        <w:spacing w:before="180" w:beforeAutospacing="0" w:after="0" w:afterAutospacing="0"/>
        <w:jc w:val="both"/>
        <w:rPr>
          <w:sz w:val="20"/>
          <w:szCs w:val="20"/>
        </w:rPr>
      </w:pPr>
      <w:r>
        <w:rPr>
          <w:sz w:val="20"/>
          <w:szCs w:val="20"/>
        </w:rPr>
        <w:t>We are currently in</w:t>
      </w:r>
      <w:r>
        <w:rPr>
          <w:sz w:val="20"/>
          <w:szCs w:val="20"/>
        </w:rPr>
        <w:t xml:space="preserve"> the process of remediating these material weaknesses and have taken numerous steps to address their underlying causes. For example, we have commenced a process to (a) hire additional personnel with appropriate technical skill sets, (b) develop an executio</w:t>
      </w:r>
      <w:r>
        <w:rPr>
          <w:sz w:val="20"/>
          <w:szCs w:val="20"/>
        </w:rPr>
        <w:t>n plan and resourcing to test controls and providing timely feedback of any deficiencies noted to complete remediation (c) establish a training program for the entire organization to support ongoing execution of internal controls and adherence to control a</w:t>
      </w:r>
      <w:r>
        <w:rPr>
          <w:sz w:val="20"/>
          <w:szCs w:val="20"/>
        </w:rPr>
        <w:t>ctivities (d) actively monitor corrective actions and providing status reporting to leadership on the progress</w:t>
      </w:r>
      <w:r>
        <w:rPr>
          <w:sz w:val="20"/>
          <w:szCs w:val="20"/>
        </w:rPr>
        <w:t>.</w:t>
      </w:r>
    </w:p>
    <w:p w14:paraId="3D09EBF2" w14:textId="77777777" w:rsidR="00000000" w:rsidRDefault="00EF48A2">
      <w:pPr>
        <w:pStyle w:val="a3"/>
        <w:spacing w:before="180" w:beforeAutospacing="0" w:after="0" w:afterAutospacing="0"/>
        <w:jc w:val="both"/>
        <w:rPr>
          <w:sz w:val="20"/>
          <w:szCs w:val="20"/>
        </w:rPr>
      </w:pPr>
      <w:r>
        <w:rPr>
          <w:sz w:val="20"/>
          <w:szCs w:val="20"/>
        </w:rPr>
        <w:t xml:space="preserve">We believe that these enhanced resources and processes will effectively remediate the material weaknesses, but the material weaknesses will not </w:t>
      </w:r>
      <w:r>
        <w:rPr>
          <w:sz w:val="20"/>
          <w:szCs w:val="20"/>
        </w:rPr>
        <w:t>be considered remediated until the applicable controls operate for a sufficient period of time and management has concluded, through testing, that controls are operating effectively</w:t>
      </w:r>
      <w:r>
        <w:rPr>
          <w:sz w:val="20"/>
          <w:szCs w:val="20"/>
        </w:rPr>
        <w:t>.</w:t>
      </w:r>
    </w:p>
    <w:p w14:paraId="40AD806D" w14:textId="77777777" w:rsidR="00000000" w:rsidRDefault="00EF48A2">
      <w:pPr>
        <w:pStyle w:val="a3"/>
        <w:spacing w:before="240" w:beforeAutospacing="0" w:after="0" w:afterAutospacing="0"/>
        <w:jc w:val="both"/>
        <w:rPr>
          <w:sz w:val="20"/>
          <w:szCs w:val="20"/>
        </w:rPr>
      </w:pPr>
      <w:r>
        <w:rPr>
          <w:sz w:val="20"/>
          <w:szCs w:val="20"/>
        </w:rPr>
        <w:t>Failure to remediate the material weaknesses described above at all or wi</w:t>
      </w:r>
      <w:r>
        <w:rPr>
          <w:sz w:val="20"/>
          <w:szCs w:val="20"/>
        </w:rPr>
        <w:t>thin our expected timeframe, or the identification of any newly identified material weaknesses, could limit our ability to prevent or detect a misstatement of our financial results, lead to a loss of investor confidence and have a negative impact on the tr</w:t>
      </w:r>
      <w:r>
        <w:rPr>
          <w:sz w:val="20"/>
          <w:szCs w:val="20"/>
        </w:rPr>
        <w:t>ading price of our common stock and could subject us to sanctions or investigations by Nasdaq, the SEC or other regulatory authorities. A failure to implement and maintain effective control systems could also restrict our future access to the capital marke</w:t>
      </w:r>
      <w:r>
        <w:rPr>
          <w:sz w:val="20"/>
          <w:szCs w:val="20"/>
        </w:rPr>
        <w:t>ts</w:t>
      </w:r>
      <w:r>
        <w:rPr>
          <w:sz w:val="20"/>
          <w:szCs w:val="20"/>
        </w:rPr>
        <w:t>.</w:t>
      </w:r>
    </w:p>
    <w:p w14:paraId="5B24A372" w14:textId="77777777" w:rsidR="00000000" w:rsidRDefault="00EF48A2">
      <w:pPr>
        <w:pStyle w:val="a3"/>
        <w:spacing w:before="240" w:beforeAutospacing="0" w:after="0" w:afterAutospacing="0"/>
        <w:jc w:val="both"/>
        <w:rPr>
          <w:sz w:val="20"/>
          <w:szCs w:val="20"/>
        </w:rPr>
      </w:pPr>
      <w:r>
        <w:rPr>
          <w:b/>
          <w:bCs/>
          <w:i/>
          <w:iCs/>
          <w:sz w:val="20"/>
          <w:szCs w:val="20"/>
        </w:rPr>
        <w:t>Delaware law and our organizational documents contain certain provisions, including anti-takeover provisions that limit the ability of stockholders to take certain actions and could delay or discourage takeover attempts that stockholders may consider f</w:t>
      </w:r>
      <w:r>
        <w:rPr>
          <w:b/>
          <w:bCs/>
          <w:i/>
          <w:iCs/>
          <w:sz w:val="20"/>
          <w:szCs w:val="20"/>
        </w:rPr>
        <w:t>avorable</w:t>
      </w:r>
      <w:r>
        <w:rPr>
          <w:b/>
          <w:bCs/>
          <w:i/>
          <w:iCs/>
          <w:sz w:val="20"/>
          <w:szCs w:val="20"/>
        </w:rPr>
        <w:t>.</w:t>
      </w:r>
      <w:r>
        <w:rPr>
          <w:b/>
          <w:bCs/>
          <w:i/>
          <w:iCs/>
          <w:sz w:val="20"/>
          <w:szCs w:val="20"/>
        </w:rPr>
        <w:t xml:space="preserve"> </w:t>
      </w:r>
    </w:p>
    <w:p w14:paraId="279F420E" w14:textId="77777777" w:rsidR="00000000" w:rsidRDefault="00EF48A2">
      <w:pPr>
        <w:pStyle w:val="a3"/>
        <w:spacing w:before="180" w:beforeAutospacing="0" w:after="0" w:afterAutospacing="0"/>
        <w:jc w:val="both"/>
        <w:rPr>
          <w:sz w:val="20"/>
          <w:szCs w:val="20"/>
        </w:rPr>
      </w:pPr>
      <w:r>
        <w:rPr>
          <w:sz w:val="20"/>
          <w:szCs w:val="20"/>
        </w:rPr>
        <w:t xml:space="preserve">Our organizational documents and the Delaware General Corporation Law ("DGCL") contain provisions that could have the effect of rendering more difficult, delaying, or preventing an acquisition that stockholders may consider favorable, including </w:t>
      </w:r>
      <w:r>
        <w:rPr>
          <w:sz w:val="20"/>
          <w:szCs w:val="20"/>
        </w:rPr>
        <w:t xml:space="preserve">transactions in which stockholders might otherwise receive a premium for their shares. These provisions could also limit the price that investors might be willing to pay in the future for shares of our common stock, and therefore depress the trading price </w:t>
      </w:r>
      <w:r>
        <w:rPr>
          <w:sz w:val="20"/>
          <w:szCs w:val="20"/>
        </w:rPr>
        <w:t>of our common stock. These provisions could also make it difficult for stockholders to take certain actions, including electing directors who are not nominated by the current members of our board of directors or taking other corporate actions, including ef</w:t>
      </w:r>
      <w:r>
        <w:rPr>
          <w:sz w:val="20"/>
          <w:szCs w:val="20"/>
        </w:rPr>
        <w:t>fecting changes in our management. Among other things, our organizational documents include the following provisions or features that may make the acquisition of our company more difficult</w:t>
      </w:r>
      <w:r>
        <w:rPr>
          <w:sz w:val="20"/>
          <w:szCs w:val="20"/>
        </w:rPr>
        <w:t>:</w:t>
      </w:r>
      <w:r>
        <w:rPr>
          <w:sz w:val="20"/>
          <w:szCs w:val="20"/>
        </w:rPr>
        <w:t xml:space="preserve"> </w:t>
      </w:r>
    </w:p>
    <w:p w14:paraId="23B5CD4F" w14:textId="77777777" w:rsidR="00000000" w:rsidRDefault="00EF48A2">
      <w:pPr>
        <w:spacing w:before="120"/>
        <w:ind w:left="3"/>
        <w:jc w:val="both"/>
        <w:divId w:val="1588147309"/>
        <w:rPr>
          <w:rFonts w:eastAsia="Times New Roman"/>
        </w:rPr>
      </w:pPr>
      <w:r>
        <w:rPr>
          <w:rFonts w:eastAsia="Times New Roman"/>
          <w:sz w:val="20"/>
          <w:szCs w:val="20"/>
        </w:rPr>
        <w:t>●</w:t>
      </w:r>
    </w:p>
    <w:p w14:paraId="10920859" w14:textId="77777777" w:rsidR="00000000" w:rsidRDefault="00EF48A2">
      <w:pPr>
        <w:jc w:val="both"/>
        <w:divId w:val="1505975738"/>
        <w:rPr>
          <w:rFonts w:eastAsia="Times New Roman"/>
        </w:rPr>
      </w:pPr>
      <w:r>
        <w:rPr>
          <w:rFonts w:eastAsia="Times New Roman"/>
          <w:sz w:val="20"/>
          <w:szCs w:val="20"/>
        </w:rPr>
        <w:t>we have a classified board of directors with staggered, three-year terms;</w:t>
      </w:r>
      <w:r>
        <w:rPr>
          <w:rFonts w:eastAsia="Times New Roman"/>
          <w:sz w:val="20"/>
          <w:szCs w:val="20"/>
        </w:rPr>
        <w:t xml:space="preserve"> </w:t>
      </w:r>
    </w:p>
    <w:p w14:paraId="4D56FE18" w14:textId="77777777" w:rsidR="00000000" w:rsidRDefault="00EF48A2">
      <w:pPr>
        <w:spacing w:before="120"/>
        <w:ind w:left="3"/>
        <w:jc w:val="both"/>
        <w:divId w:val="587542092"/>
        <w:rPr>
          <w:rFonts w:eastAsia="Times New Roman"/>
        </w:rPr>
      </w:pPr>
      <w:r>
        <w:rPr>
          <w:rFonts w:eastAsia="Times New Roman"/>
          <w:sz w:val="20"/>
          <w:szCs w:val="20"/>
        </w:rPr>
        <w:t>●</w:t>
      </w:r>
    </w:p>
    <w:p w14:paraId="1D5ECEAA" w14:textId="77777777" w:rsidR="00000000" w:rsidRDefault="00EF48A2">
      <w:pPr>
        <w:jc w:val="both"/>
        <w:divId w:val="1233126374"/>
        <w:rPr>
          <w:rFonts w:eastAsia="Times New Roman"/>
        </w:rPr>
      </w:pPr>
      <w:r>
        <w:rPr>
          <w:rFonts w:eastAsia="Times New Roman"/>
          <w:sz w:val="20"/>
          <w:szCs w:val="20"/>
        </w:rPr>
        <w:t>our board of directors is permitted to issue shares of preferred stock, including “blank check” preferred stock and to determine the price and other terms of those shares, includi</w:t>
      </w:r>
      <w:r>
        <w:rPr>
          <w:rFonts w:eastAsia="Times New Roman"/>
          <w:sz w:val="20"/>
          <w:szCs w:val="20"/>
        </w:rPr>
        <w:t>ng preferences and voting rights, without stockholder approval, which could be used to significantly dilute the ownership of a hostile acquirer;</w:t>
      </w:r>
      <w:r>
        <w:rPr>
          <w:rFonts w:eastAsia="Times New Roman"/>
          <w:sz w:val="20"/>
          <w:szCs w:val="20"/>
        </w:rPr>
        <w:t xml:space="preserve"> </w:t>
      </w:r>
    </w:p>
    <w:p w14:paraId="592B1178" w14:textId="77777777" w:rsidR="00000000" w:rsidRDefault="00EF48A2">
      <w:pPr>
        <w:spacing w:before="120"/>
        <w:ind w:left="3"/>
        <w:jc w:val="both"/>
        <w:divId w:val="1941060644"/>
        <w:rPr>
          <w:rFonts w:eastAsia="Times New Roman"/>
        </w:rPr>
      </w:pPr>
      <w:r>
        <w:rPr>
          <w:rFonts w:eastAsia="Times New Roman"/>
          <w:sz w:val="20"/>
          <w:szCs w:val="20"/>
        </w:rPr>
        <w:t>●</w:t>
      </w:r>
    </w:p>
    <w:p w14:paraId="644A0DE5" w14:textId="77777777" w:rsidR="00000000" w:rsidRDefault="00EF48A2">
      <w:pPr>
        <w:jc w:val="both"/>
        <w:divId w:val="714159457"/>
        <w:rPr>
          <w:rFonts w:eastAsia="Times New Roman"/>
        </w:rPr>
      </w:pPr>
      <w:r>
        <w:rPr>
          <w:rFonts w:eastAsia="Times New Roman"/>
          <w:sz w:val="20"/>
          <w:szCs w:val="20"/>
        </w:rPr>
        <w:t xml:space="preserve">the Certificate of Incorporation prohibits cumulative voting in the election of directors, which limits the </w:t>
      </w:r>
      <w:r>
        <w:rPr>
          <w:rFonts w:eastAsia="Times New Roman"/>
          <w:sz w:val="20"/>
          <w:szCs w:val="20"/>
        </w:rPr>
        <w:t>ability of minority stockholders to elect director candidates;</w:t>
      </w:r>
      <w:r>
        <w:rPr>
          <w:rFonts w:eastAsia="Times New Roman"/>
          <w:sz w:val="20"/>
          <w:szCs w:val="20"/>
        </w:rPr>
        <w:t xml:space="preserve"> </w:t>
      </w:r>
    </w:p>
    <w:p w14:paraId="0803FA37" w14:textId="77777777" w:rsidR="00000000" w:rsidRDefault="00EF48A2">
      <w:pPr>
        <w:spacing w:before="120"/>
        <w:ind w:left="3"/>
        <w:jc w:val="both"/>
        <w:divId w:val="417754425"/>
        <w:rPr>
          <w:rFonts w:eastAsia="Times New Roman"/>
        </w:rPr>
      </w:pPr>
      <w:r>
        <w:rPr>
          <w:rFonts w:eastAsia="Times New Roman"/>
          <w:sz w:val="20"/>
          <w:szCs w:val="20"/>
        </w:rPr>
        <w:t>●</w:t>
      </w:r>
    </w:p>
    <w:p w14:paraId="1BA2B24D" w14:textId="77777777" w:rsidR="00000000" w:rsidRDefault="00EF48A2">
      <w:pPr>
        <w:jc w:val="both"/>
        <w:divId w:val="1260064386"/>
        <w:rPr>
          <w:rFonts w:eastAsia="Times New Roman"/>
        </w:rPr>
      </w:pPr>
      <w:r>
        <w:rPr>
          <w:rFonts w:eastAsia="Times New Roman"/>
          <w:sz w:val="20"/>
          <w:szCs w:val="20"/>
        </w:rPr>
        <w:t>the limitation of the liability of, and the indemnification of, our directors and officers;</w:t>
      </w:r>
      <w:r>
        <w:rPr>
          <w:rFonts w:eastAsia="Times New Roman"/>
          <w:sz w:val="20"/>
          <w:szCs w:val="20"/>
        </w:rPr>
        <w:t xml:space="preserve"> </w:t>
      </w:r>
    </w:p>
    <w:p w14:paraId="4B9EEECA" w14:textId="77777777" w:rsidR="00000000" w:rsidRDefault="00EF48A2">
      <w:pPr>
        <w:spacing w:before="120"/>
        <w:ind w:left="3"/>
        <w:jc w:val="both"/>
        <w:divId w:val="1766416739"/>
        <w:rPr>
          <w:rFonts w:eastAsia="Times New Roman"/>
        </w:rPr>
      </w:pPr>
      <w:r>
        <w:rPr>
          <w:rFonts w:eastAsia="Times New Roman"/>
          <w:sz w:val="20"/>
          <w:szCs w:val="20"/>
        </w:rPr>
        <w:t>●</w:t>
      </w:r>
    </w:p>
    <w:p w14:paraId="2B3BABC7" w14:textId="77777777" w:rsidR="00000000" w:rsidRDefault="00EF48A2">
      <w:pPr>
        <w:jc w:val="both"/>
        <w:divId w:val="1032415602"/>
        <w:rPr>
          <w:rFonts w:eastAsia="Times New Roman"/>
        </w:rPr>
      </w:pPr>
      <w:r>
        <w:rPr>
          <w:rFonts w:eastAsia="Times New Roman"/>
          <w:sz w:val="20"/>
          <w:szCs w:val="20"/>
        </w:rPr>
        <w:t>certain transactions are not “corporate opportunities” and the Identified Persons (as defined i</w:t>
      </w:r>
      <w:r>
        <w:rPr>
          <w:rFonts w:eastAsia="Times New Roman"/>
          <w:sz w:val="20"/>
          <w:szCs w:val="20"/>
        </w:rPr>
        <w:t>n the Certificate of Incorporation) are not subject to the doctrine of corporate opportunity and such Identified Persons do not have any fiduciary duty to refrain from engaging directly or indirectly in the same or similar business activities or lines of b</w:t>
      </w:r>
      <w:r>
        <w:rPr>
          <w:rFonts w:eastAsia="Times New Roman"/>
          <w:sz w:val="20"/>
          <w:szCs w:val="20"/>
        </w:rPr>
        <w:t>usiness as us;</w:t>
      </w:r>
      <w:r>
        <w:rPr>
          <w:rFonts w:eastAsia="Times New Roman"/>
          <w:sz w:val="20"/>
          <w:szCs w:val="20"/>
        </w:rPr>
        <w:t xml:space="preserve"> </w:t>
      </w:r>
    </w:p>
    <w:p w14:paraId="2B39B674"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7</w:t>
      </w:r>
    </w:p>
    <w:p w14:paraId="60194CB7" w14:textId="77777777" w:rsidR="00000000" w:rsidRDefault="00EF48A2">
      <w:pPr>
        <w:rPr>
          <w:rFonts w:eastAsia="Times New Roman"/>
        </w:rPr>
      </w:pPr>
      <w:r>
        <w:rPr>
          <w:rFonts w:eastAsia="Times New Roman"/>
        </w:rPr>
        <w:pict w14:anchorId="45945B03">
          <v:rect id="_x0000_i1064" style="width:0;height:1.5pt" o:hralign="center" o:hrstd="t" o:hr="t" fillcolor="#a0a0a0" stroked="f"/>
        </w:pict>
      </w:r>
    </w:p>
    <w:p w14:paraId="45A0FABF"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BC04B4D" w14:textId="77777777" w:rsidR="00000000" w:rsidRDefault="00EF48A2">
      <w:pPr>
        <w:spacing w:before="120"/>
        <w:ind w:left="3"/>
        <w:jc w:val="both"/>
        <w:divId w:val="602883783"/>
        <w:rPr>
          <w:rFonts w:eastAsia="Times New Roman"/>
        </w:rPr>
      </w:pPr>
      <w:r>
        <w:rPr>
          <w:rFonts w:eastAsia="Times New Roman"/>
          <w:sz w:val="20"/>
          <w:szCs w:val="20"/>
        </w:rPr>
        <w:t>●</w:t>
      </w:r>
    </w:p>
    <w:p w14:paraId="2B15A19D" w14:textId="77777777" w:rsidR="00000000" w:rsidRDefault="00EF48A2">
      <w:pPr>
        <w:jc w:val="both"/>
        <w:divId w:val="669941459"/>
        <w:rPr>
          <w:rFonts w:eastAsia="Times New Roman"/>
        </w:rPr>
      </w:pPr>
      <w:r>
        <w:rPr>
          <w:rFonts w:eastAsia="Times New Roman"/>
          <w:sz w:val="20"/>
          <w:szCs w:val="20"/>
        </w:rPr>
        <w:t xml:space="preserve">we are not governed by Section 203 of the DGCL and, instead, our Certificate of Incorporation includes a provision that is substantially similar to Section 203 of the DGCL, and acknowledges that certain stockholders cannot be “interested stockholders” (as </w:t>
      </w:r>
      <w:r>
        <w:rPr>
          <w:rFonts w:eastAsia="Times New Roman"/>
          <w:sz w:val="20"/>
          <w:szCs w:val="20"/>
        </w:rPr>
        <w:t>defined in the Certificate of Incorporation);</w:t>
      </w:r>
      <w:r>
        <w:rPr>
          <w:rFonts w:eastAsia="Times New Roman"/>
          <w:sz w:val="20"/>
          <w:szCs w:val="20"/>
        </w:rPr>
        <w:t xml:space="preserve"> </w:t>
      </w:r>
    </w:p>
    <w:p w14:paraId="77E5D94D" w14:textId="77777777" w:rsidR="00000000" w:rsidRDefault="00EF48A2">
      <w:pPr>
        <w:spacing w:before="120"/>
        <w:ind w:left="3"/>
        <w:jc w:val="both"/>
        <w:divId w:val="777484500"/>
        <w:rPr>
          <w:rFonts w:eastAsia="Times New Roman"/>
        </w:rPr>
      </w:pPr>
      <w:r>
        <w:rPr>
          <w:rFonts w:eastAsia="Times New Roman"/>
          <w:sz w:val="20"/>
          <w:szCs w:val="20"/>
        </w:rPr>
        <w:t>●</w:t>
      </w:r>
    </w:p>
    <w:p w14:paraId="47CE53F0" w14:textId="77777777" w:rsidR="00000000" w:rsidRDefault="00EF48A2">
      <w:pPr>
        <w:jc w:val="both"/>
        <w:divId w:val="1543133421"/>
        <w:rPr>
          <w:rFonts w:eastAsia="Times New Roman"/>
        </w:rPr>
      </w:pPr>
      <w:r>
        <w:rPr>
          <w:rFonts w:eastAsia="Times New Roman"/>
          <w:sz w:val="20"/>
          <w:szCs w:val="20"/>
        </w:rPr>
        <w:t>our board of directors has the ability to amend the bylaws, which may allow our board of directors to take additional actions to prevent an unsolicited takeover and inhibit the ability of an acquirer to amen</w:t>
      </w:r>
      <w:r>
        <w:rPr>
          <w:rFonts w:eastAsia="Times New Roman"/>
          <w:sz w:val="20"/>
          <w:szCs w:val="20"/>
        </w:rPr>
        <w:t>d the bylaws to facilitate an unsolicited takeover attempt; and</w:t>
      </w:r>
      <w:r>
        <w:rPr>
          <w:rFonts w:eastAsia="Times New Roman"/>
          <w:sz w:val="20"/>
          <w:szCs w:val="20"/>
        </w:rPr>
        <w:t xml:space="preserve"> </w:t>
      </w:r>
    </w:p>
    <w:p w14:paraId="5176E67E" w14:textId="77777777" w:rsidR="00000000" w:rsidRDefault="00EF48A2">
      <w:pPr>
        <w:spacing w:before="120"/>
        <w:ind w:left="3"/>
        <w:jc w:val="both"/>
        <w:divId w:val="742802624"/>
        <w:rPr>
          <w:rFonts w:eastAsia="Times New Roman"/>
        </w:rPr>
      </w:pPr>
      <w:r>
        <w:rPr>
          <w:rFonts w:eastAsia="Times New Roman"/>
          <w:sz w:val="20"/>
          <w:szCs w:val="20"/>
        </w:rPr>
        <w:t>●</w:t>
      </w:r>
    </w:p>
    <w:p w14:paraId="5975547A" w14:textId="77777777" w:rsidR="00000000" w:rsidRDefault="00EF48A2">
      <w:pPr>
        <w:jc w:val="both"/>
        <w:divId w:val="443616885"/>
        <w:rPr>
          <w:rFonts w:eastAsia="Times New Roman"/>
        </w:rPr>
      </w:pPr>
      <w:r>
        <w:rPr>
          <w:rFonts w:eastAsia="Times New Roman"/>
          <w:sz w:val="20"/>
          <w:szCs w:val="20"/>
        </w:rPr>
        <w:t>our bylaws contain advance notice procedures with which stockholders must comply to nominate candidates to our board of directors or to propose matters to be acted upon at a stockholders’ m</w:t>
      </w:r>
      <w:r>
        <w:rPr>
          <w:rFonts w:eastAsia="Times New Roman"/>
          <w:sz w:val="20"/>
          <w:szCs w:val="20"/>
        </w:rPr>
        <w:t>eeting, which could preclude stockholders from bringing matters before annual or special meetings of stockholders and delay changes in our board of directors and also may discourage or deter a potential acquirer from conducting a solicitation of proxies to</w:t>
      </w:r>
      <w:r>
        <w:rPr>
          <w:rFonts w:eastAsia="Times New Roman"/>
          <w:sz w:val="20"/>
          <w:szCs w:val="20"/>
        </w:rPr>
        <w:t xml:space="preserve"> elect the acquirer’s own slate of directors or otherwise attempting to obtain control of us.</w:t>
      </w:r>
      <w:r>
        <w:rPr>
          <w:rFonts w:eastAsia="Times New Roman"/>
          <w:sz w:val="20"/>
          <w:szCs w:val="20"/>
        </w:rPr>
        <w:t xml:space="preserve"> </w:t>
      </w:r>
    </w:p>
    <w:p w14:paraId="0536AAF5" w14:textId="77777777" w:rsidR="00000000" w:rsidRDefault="00EF48A2">
      <w:pPr>
        <w:pStyle w:val="a3"/>
        <w:spacing w:before="180" w:beforeAutospacing="0" w:after="0" w:afterAutospacing="0"/>
        <w:jc w:val="both"/>
        <w:rPr>
          <w:sz w:val="20"/>
          <w:szCs w:val="20"/>
        </w:rPr>
      </w:pPr>
      <w:r>
        <w:rPr>
          <w:sz w:val="20"/>
          <w:szCs w:val="20"/>
        </w:rPr>
        <w:t>These provisions, alone or together, could delay or prevent hostile takeovers and changes in control or changes in our board of directors or management</w:t>
      </w:r>
      <w:r>
        <w:rPr>
          <w:sz w:val="20"/>
          <w:szCs w:val="20"/>
        </w:rPr>
        <w:t>.</w:t>
      </w:r>
      <w:r>
        <w:rPr>
          <w:sz w:val="20"/>
          <w:szCs w:val="20"/>
        </w:rPr>
        <w:t xml:space="preserve"> </w:t>
      </w:r>
    </w:p>
    <w:p w14:paraId="1D493C4B" w14:textId="77777777" w:rsidR="00000000" w:rsidRDefault="00EF48A2">
      <w:pPr>
        <w:pStyle w:val="a3"/>
        <w:spacing w:before="240" w:beforeAutospacing="0" w:after="0" w:afterAutospacing="0"/>
        <w:jc w:val="both"/>
        <w:rPr>
          <w:sz w:val="20"/>
          <w:szCs w:val="20"/>
        </w:rPr>
      </w:pPr>
      <w:r>
        <w:rPr>
          <w:b/>
          <w:bCs/>
          <w:i/>
          <w:iCs/>
          <w:sz w:val="20"/>
          <w:szCs w:val="20"/>
        </w:rPr>
        <w:t>The pro</w:t>
      </w:r>
      <w:r>
        <w:rPr>
          <w:b/>
          <w:bCs/>
          <w:i/>
          <w:iCs/>
          <w:sz w:val="20"/>
          <w:szCs w:val="20"/>
        </w:rPr>
        <w:t>vision of our certificate of incorporation requiring exclusive forum in certain courts in the State of Delaware or the federal district courts of the United States for certain types of lawsuits may have the effect of discouraging lawsuits against our direc</w:t>
      </w:r>
      <w:r>
        <w:rPr>
          <w:b/>
          <w:bCs/>
          <w:i/>
          <w:iCs/>
          <w:sz w:val="20"/>
          <w:szCs w:val="20"/>
        </w:rPr>
        <w:t>tors and officers</w:t>
      </w:r>
      <w:r>
        <w:rPr>
          <w:b/>
          <w:bCs/>
          <w:i/>
          <w:iCs/>
          <w:sz w:val="20"/>
          <w:szCs w:val="20"/>
        </w:rPr>
        <w:t>.</w:t>
      </w:r>
      <w:r>
        <w:rPr>
          <w:b/>
          <w:bCs/>
          <w:i/>
          <w:iCs/>
          <w:sz w:val="20"/>
          <w:szCs w:val="20"/>
        </w:rPr>
        <w:t xml:space="preserve"> </w:t>
      </w:r>
    </w:p>
    <w:p w14:paraId="1D9AC112" w14:textId="77777777" w:rsidR="00000000" w:rsidRDefault="00EF48A2">
      <w:pPr>
        <w:pStyle w:val="a3"/>
        <w:spacing w:before="180" w:beforeAutospacing="0" w:after="0" w:afterAutospacing="0"/>
        <w:jc w:val="both"/>
        <w:rPr>
          <w:sz w:val="20"/>
          <w:szCs w:val="20"/>
        </w:rPr>
      </w:pPr>
      <w:r>
        <w:rPr>
          <w:sz w:val="20"/>
          <w:szCs w:val="20"/>
        </w:rPr>
        <w:t>The Certificate of Incorporation requires, to the fullest extent permitted by law, that (i) any derivative action or proceeding brought on our behalf, (ii) any action asserting a claim of breach of a fiduciary duty owed by any of our di</w:t>
      </w:r>
      <w:r>
        <w:rPr>
          <w:sz w:val="20"/>
          <w:szCs w:val="20"/>
        </w:rPr>
        <w:t>rectors, officers or stockholders to us or our stockholders, (iii) any action asserting a claim against us arising pursuant to any provision of the DGCL or the Certificate of Incorporation or our bylaws or (iv) any action asserting a claim against us gover</w:t>
      </w:r>
      <w:r>
        <w:rPr>
          <w:sz w:val="20"/>
          <w:szCs w:val="20"/>
        </w:rPr>
        <w:t>ned by the internal affairs doctrine will have to be brought in a state court located within the state of Delaware (or if no state court of the State of Delaware has jurisdiction, the federal district court for the District of Delaware), in all cases subje</w:t>
      </w:r>
      <w:r>
        <w:rPr>
          <w:sz w:val="20"/>
          <w:szCs w:val="20"/>
        </w:rPr>
        <w:t>ct to the court’s having personal jurisdiction over the indispensable parties named as defendants. The foregoing provisions do not apply to claims arising under the Securities Act, the Exchange Act or other federal securities laws for which there is exclus</w:t>
      </w:r>
      <w:r>
        <w:rPr>
          <w:sz w:val="20"/>
          <w:szCs w:val="20"/>
        </w:rPr>
        <w:t>ive federal or concurrent federal and state jurisdiction</w:t>
      </w:r>
      <w:r>
        <w:rPr>
          <w:sz w:val="20"/>
          <w:szCs w:val="20"/>
        </w:rPr>
        <w:t>.</w:t>
      </w:r>
      <w:r>
        <w:rPr>
          <w:sz w:val="20"/>
          <w:szCs w:val="20"/>
        </w:rPr>
        <w:t xml:space="preserve"> </w:t>
      </w:r>
    </w:p>
    <w:p w14:paraId="54ED8F61" w14:textId="77777777" w:rsidR="00000000" w:rsidRDefault="00EF48A2">
      <w:pPr>
        <w:pStyle w:val="a3"/>
        <w:spacing w:before="180" w:beforeAutospacing="0" w:after="0" w:afterAutospacing="0"/>
        <w:jc w:val="both"/>
        <w:rPr>
          <w:sz w:val="20"/>
          <w:szCs w:val="20"/>
        </w:rPr>
      </w:pPr>
      <w:r>
        <w:rPr>
          <w:sz w:val="20"/>
          <w:szCs w:val="20"/>
        </w:rPr>
        <w:t>Additionally, unless we consent in writing to the selection of an alternative forum, the federal district courts of the United States of America shall be the exclusive forum for the resolution of a</w:t>
      </w:r>
      <w:r>
        <w:rPr>
          <w:sz w:val="20"/>
          <w:szCs w:val="20"/>
        </w:rPr>
        <w:t>ny complaint asserting a cause of action arising under the Securities Act; provided, however, that our stockholders will not be deemed to have waived our compliance with the federal securities laws and the rules and regulations thereunder. The enforceabili</w:t>
      </w:r>
      <w:r>
        <w:rPr>
          <w:sz w:val="20"/>
          <w:szCs w:val="20"/>
        </w:rPr>
        <w:t>ty of similar choice of forum provisions in other companies’ organizational documents has been challenged in legal proceedings, and it is possible that, in connection with claims arising under federal securities laws, a court could find the choice of forum</w:t>
      </w:r>
      <w:r>
        <w:rPr>
          <w:sz w:val="20"/>
          <w:szCs w:val="20"/>
        </w:rPr>
        <w:t xml:space="preserve"> provisions contained in the Certificate of Incorporation to be inapplicable or unenforceable</w:t>
      </w:r>
      <w:r>
        <w:rPr>
          <w:sz w:val="20"/>
          <w:szCs w:val="20"/>
        </w:rPr>
        <w:t>.</w:t>
      </w:r>
      <w:r>
        <w:rPr>
          <w:sz w:val="20"/>
          <w:szCs w:val="20"/>
        </w:rPr>
        <w:t xml:space="preserve"> </w:t>
      </w:r>
    </w:p>
    <w:p w14:paraId="38A24CC9" w14:textId="77777777" w:rsidR="00000000" w:rsidRDefault="00EF48A2">
      <w:pPr>
        <w:pStyle w:val="a3"/>
        <w:spacing w:before="180" w:beforeAutospacing="0" w:after="0" w:afterAutospacing="0"/>
        <w:jc w:val="both"/>
        <w:rPr>
          <w:sz w:val="20"/>
          <w:szCs w:val="20"/>
        </w:rPr>
      </w:pPr>
      <w:r>
        <w:rPr>
          <w:sz w:val="20"/>
          <w:szCs w:val="20"/>
        </w:rPr>
        <w:t>Although we believe these exclusive forum provisions benefit us by providing increased consistency in the application of Delaware law and federal securities law</w:t>
      </w:r>
      <w:r>
        <w:rPr>
          <w:sz w:val="20"/>
          <w:szCs w:val="20"/>
        </w:rPr>
        <w:t>s in the types of lawsuits to which each applies, the exclusive forum provisions may limit a stockholder’s ability to bring a claim in a judicial forum that it finds favorable for disputes with us or any of our directors, officers or stockholders, which ma</w:t>
      </w:r>
      <w:r>
        <w:rPr>
          <w:sz w:val="20"/>
          <w:szCs w:val="20"/>
        </w:rPr>
        <w:t>y discourage lawsuits with respect to such claims. Further, in the event a court finds either exclusive forum provision contained in the Certificate of Incorporation to be unenforceable or inapplicable in an action, we may incur additional costs associated</w:t>
      </w:r>
      <w:r>
        <w:rPr>
          <w:sz w:val="20"/>
          <w:szCs w:val="20"/>
        </w:rPr>
        <w:t xml:space="preserve"> with resolving such action in other jurisdictions, which could harm our business, operating results and financial condition</w:t>
      </w:r>
      <w:r>
        <w:rPr>
          <w:sz w:val="20"/>
          <w:szCs w:val="20"/>
        </w:rPr>
        <w:t>.</w:t>
      </w:r>
    </w:p>
    <w:p w14:paraId="45689EF9" w14:textId="77777777" w:rsidR="00000000" w:rsidRDefault="00EF48A2">
      <w:pPr>
        <w:pStyle w:val="a3"/>
        <w:spacing w:before="240" w:beforeAutospacing="0" w:after="0" w:afterAutospacing="0"/>
        <w:jc w:val="both"/>
        <w:rPr>
          <w:sz w:val="20"/>
          <w:szCs w:val="20"/>
        </w:rPr>
      </w:pPr>
      <w:r>
        <w:rPr>
          <w:b/>
          <w:bCs/>
          <w:i/>
          <w:iCs/>
          <w:sz w:val="20"/>
          <w:szCs w:val="20"/>
        </w:rPr>
        <w:t>Future resales of our common stock may cause the market price of our securities to drop significantly, even if our business is doi</w:t>
      </w:r>
      <w:r>
        <w:rPr>
          <w:b/>
          <w:bCs/>
          <w:i/>
          <w:iCs/>
          <w:sz w:val="20"/>
          <w:szCs w:val="20"/>
        </w:rPr>
        <w:t>ng well</w:t>
      </w:r>
      <w:r>
        <w:rPr>
          <w:b/>
          <w:bCs/>
          <w:i/>
          <w:iCs/>
          <w:sz w:val="20"/>
          <w:szCs w:val="20"/>
        </w:rPr>
        <w:t>.</w:t>
      </w:r>
      <w:r>
        <w:rPr>
          <w:b/>
          <w:bCs/>
          <w:i/>
          <w:iCs/>
          <w:sz w:val="20"/>
          <w:szCs w:val="20"/>
        </w:rPr>
        <w:t xml:space="preserve"> </w:t>
      </w:r>
    </w:p>
    <w:p w14:paraId="59A79C22" w14:textId="77777777" w:rsidR="00000000" w:rsidRDefault="00EF48A2">
      <w:pPr>
        <w:pStyle w:val="a3"/>
        <w:spacing w:before="180" w:beforeAutospacing="0" w:after="0" w:afterAutospacing="0"/>
        <w:jc w:val="both"/>
        <w:rPr>
          <w:sz w:val="20"/>
          <w:szCs w:val="20"/>
        </w:rPr>
      </w:pPr>
      <w:r>
        <w:rPr>
          <w:sz w:val="20"/>
          <w:szCs w:val="20"/>
        </w:rPr>
        <w:t>Sales of a substantial number of shares of our common stock in the public market could occur at any time. These sales, or the perception in the market that the holders of a large number of shares intend to sell shares, could reduce the market pri</w:t>
      </w:r>
      <w:r>
        <w:rPr>
          <w:sz w:val="20"/>
          <w:szCs w:val="20"/>
        </w:rPr>
        <w:t>ce of our common stock. As restrictions on resale end and registration statements (to provide for the resale of such shares from time to time) are available for use, the sale or possibility of sale of these shares could have the effect of increasing the vo</w:t>
      </w:r>
      <w:r>
        <w:rPr>
          <w:sz w:val="20"/>
          <w:szCs w:val="20"/>
        </w:rPr>
        <w:t>latility in our share price or the market price of our common stock could decline if the holders of currently restricted shares sell them or are perceived by the market as intending to sell them</w:t>
      </w:r>
      <w:r>
        <w:rPr>
          <w:sz w:val="20"/>
          <w:szCs w:val="20"/>
        </w:rPr>
        <w:t>.</w:t>
      </w:r>
      <w:r>
        <w:rPr>
          <w:sz w:val="20"/>
          <w:szCs w:val="20"/>
        </w:rPr>
        <w:t xml:space="preserve"> </w:t>
      </w:r>
    </w:p>
    <w:p w14:paraId="0E1DB0DA"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8</w:t>
      </w:r>
    </w:p>
    <w:p w14:paraId="24164F46" w14:textId="77777777" w:rsidR="00000000" w:rsidRDefault="00EF48A2">
      <w:pPr>
        <w:rPr>
          <w:rFonts w:eastAsia="Times New Roman"/>
        </w:rPr>
      </w:pPr>
      <w:r>
        <w:rPr>
          <w:rFonts w:eastAsia="Times New Roman"/>
        </w:rPr>
        <w:pict w14:anchorId="677465E4">
          <v:rect id="_x0000_i1065" style="width:0;height:1.5pt" o:hralign="center" o:hrstd="t" o:hr="t" fillcolor="#a0a0a0" stroked="f"/>
        </w:pict>
      </w:r>
    </w:p>
    <w:p w14:paraId="06EBED2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3F49D0C" w14:textId="77777777" w:rsidR="00000000" w:rsidRDefault="00EF48A2">
      <w:pPr>
        <w:pStyle w:val="a3"/>
        <w:spacing w:before="180" w:beforeAutospacing="0" w:after="0" w:afterAutospacing="0"/>
        <w:jc w:val="both"/>
        <w:rPr>
          <w:sz w:val="20"/>
          <w:szCs w:val="20"/>
        </w:rPr>
      </w:pPr>
      <w:r>
        <w:rPr>
          <w:sz w:val="20"/>
          <w:szCs w:val="20"/>
        </w:rPr>
        <w:t>In addition, we may issue additional common stock or other equity securities without the approval of investors, which would dilute investors’ ownership interests and may depress the market price of our common stock</w:t>
      </w:r>
      <w:r>
        <w:rPr>
          <w:sz w:val="20"/>
          <w:szCs w:val="20"/>
        </w:rPr>
        <w:t>.</w:t>
      </w:r>
      <w:r>
        <w:rPr>
          <w:sz w:val="20"/>
          <w:szCs w:val="20"/>
        </w:rPr>
        <w:t xml:space="preserve"> </w:t>
      </w:r>
    </w:p>
    <w:p w14:paraId="7A39A694" w14:textId="77777777" w:rsidR="00000000" w:rsidRDefault="00EF48A2">
      <w:pPr>
        <w:pStyle w:val="a3"/>
        <w:spacing w:before="240" w:beforeAutospacing="0" w:after="0" w:afterAutospacing="0"/>
        <w:jc w:val="both"/>
        <w:rPr>
          <w:sz w:val="20"/>
          <w:szCs w:val="20"/>
        </w:rPr>
      </w:pPr>
      <w:r>
        <w:rPr>
          <w:b/>
          <w:bCs/>
          <w:i/>
          <w:iCs/>
          <w:sz w:val="20"/>
          <w:szCs w:val="20"/>
        </w:rPr>
        <w:t>Our warran</w:t>
      </w:r>
      <w:r>
        <w:rPr>
          <w:b/>
          <w:bCs/>
          <w:i/>
          <w:iCs/>
          <w:sz w:val="20"/>
          <w:szCs w:val="20"/>
        </w:rPr>
        <w:t>ts are exercisable for common stock, which could increase the number of shares eligible for future resale in the public market and result in dilution to our stockholders</w:t>
      </w:r>
      <w:r>
        <w:rPr>
          <w:b/>
          <w:bCs/>
          <w:i/>
          <w:iCs/>
          <w:sz w:val="20"/>
          <w:szCs w:val="20"/>
        </w:rPr>
        <w:t>.</w:t>
      </w:r>
      <w:r>
        <w:rPr>
          <w:b/>
          <w:bCs/>
          <w:i/>
          <w:iCs/>
          <w:sz w:val="20"/>
          <w:szCs w:val="20"/>
        </w:rPr>
        <w:t xml:space="preserve"> </w:t>
      </w:r>
    </w:p>
    <w:p w14:paraId="10B87813" w14:textId="77777777" w:rsidR="00000000" w:rsidRDefault="00EF48A2">
      <w:pPr>
        <w:pStyle w:val="a3"/>
        <w:spacing w:before="180" w:beforeAutospacing="0" w:after="0" w:afterAutospacing="0"/>
        <w:jc w:val="both"/>
        <w:rPr>
          <w:sz w:val="20"/>
          <w:szCs w:val="20"/>
        </w:rPr>
      </w:pPr>
      <w:r>
        <w:rPr>
          <w:sz w:val="20"/>
          <w:szCs w:val="20"/>
        </w:rPr>
        <w:t>Outstanding warrants to purchase shares of common stock are exercisable in accordanc</w:t>
      </w:r>
      <w:r>
        <w:rPr>
          <w:sz w:val="20"/>
          <w:szCs w:val="20"/>
        </w:rPr>
        <w:t>e with the terms of the Warrant Agreement governing those securities. To the extent such warrants are exercised, additional shares of common stock will be issued, which will result in dilution to the holders of our common stock and increase the number of s</w:t>
      </w:r>
      <w:r>
        <w:rPr>
          <w:sz w:val="20"/>
          <w:szCs w:val="20"/>
        </w:rPr>
        <w:t>hares eligible for resale in the public market. Sales of substantial numbers of such shares in the public market or the fact that such warrants may be exercised could adversely affect the market price of our common stock. However, there is no guarantee tha</w:t>
      </w:r>
      <w:r>
        <w:rPr>
          <w:sz w:val="20"/>
          <w:szCs w:val="20"/>
        </w:rPr>
        <w:t>t the public warrants will ever be in the money prior to their expiration, and as such, the warrants may expire worthless</w:t>
      </w:r>
      <w:r>
        <w:rPr>
          <w:sz w:val="20"/>
          <w:szCs w:val="20"/>
        </w:rPr>
        <w:t>.</w:t>
      </w:r>
      <w:r>
        <w:rPr>
          <w:sz w:val="20"/>
          <w:szCs w:val="20"/>
        </w:rPr>
        <w:t xml:space="preserve"> </w:t>
      </w:r>
    </w:p>
    <w:p w14:paraId="0FE33192" w14:textId="77777777" w:rsidR="00000000" w:rsidRDefault="00EF48A2">
      <w:pPr>
        <w:pStyle w:val="a3"/>
        <w:spacing w:before="240" w:beforeAutospacing="0" w:after="0" w:afterAutospacing="0"/>
        <w:jc w:val="both"/>
        <w:rPr>
          <w:sz w:val="20"/>
          <w:szCs w:val="20"/>
        </w:rPr>
      </w:pPr>
      <w:r>
        <w:rPr>
          <w:b/>
          <w:bCs/>
          <w:i/>
          <w:iCs/>
          <w:sz w:val="20"/>
          <w:szCs w:val="20"/>
        </w:rPr>
        <w:t>We do not intend to pay cash dividends for the foreseeable future</w:t>
      </w:r>
      <w:r>
        <w:rPr>
          <w:b/>
          <w:bCs/>
          <w:i/>
          <w:iCs/>
          <w:sz w:val="20"/>
          <w:szCs w:val="20"/>
        </w:rPr>
        <w:t>.</w:t>
      </w:r>
      <w:r>
        <w:rPr>
          <w:b/>
          <w:bCs/>
          <w:i/>
          <w:iCs/>
          <w:sz w:val="20"/>
          <w:szCs w:val="20"/>
        </w:rPr>
        <w:t xml:space="preserve"> </w:t>
      </w:r>
    </w:p>
    <w:p w14:paraId="19F15827" w14:textId="77777777" w:rsidR="00000000" w:rsidRDefault="00EF48A2">
      <w:pPr>
        <w:pStyle w:val="a3"/>
        <w:spacing w:before="180" w:beforeAutospacing="0" w:after="0" w:afterAutospacing="0"/>
        <w:jc w:val="both"/>
        <w:rPr>
          <w:sz w:val="20"/>
          <w:szCs w:val="20"/>
        </w:rPr>
      </w:pPr>
      <w:r>
        <w:rPr>
          <w:sz w:val="20"/>
          <w:szCs w:val="20"/>
        </w:rPr>
        <w:t>We currently intend to retain our future earnings, if any, to fi</w:t>
      </w:r>
      <w:r>
        <w:rPr>
          <w:sz w:val="20"/>
          <w:szCs w:val="20"/>
        </w:rPr>
        <w:t>nance the further development and expansion of our business and do not intend to pay cash dividends in the foreseeable future. Any future determination to pay dividends will be at the discretion of our board of directors and will depend on our financial co</w:t>
      </w:r>
      <w:r>
        <w:rPr>
          <w:sz w:val="20"/>
          <w:szCs w:val="20"/>
        </w:rPr>
        <w:t>ndition, results of operations, capital requirements and future agreements and financing instruments, business prospects and such other factors as our board of directors deems relevant</w:t>
      </w:r>
      <w:r>
        <w:rPr>
          <w:sz w:val="20"/>
          <w:szCs w:val="20"/>
        </w:rPr>
        <w:t>.</w:t>
      </w:r>
      <w:r>
        <w:rPr>
          <w:sz w:val="20"/>
          <w:szCs w:val="20"/>
        </w:rPr>
        <w:t xml:space="preserve"> </w:t>
      </w:r>
    </w:p>
    <w:p w14:paraId="5ACF86CA" w14:textId="77777777" w:rsidR="00000000" w:rsidRDefault="00EF48A2">
      <w:pPr>
        <w:pStyle w:val="a3"/>
        <w:spacing w:before="240" w:beforeAutospacing="0" w:after="0" w:afterAutospacing="0"/>
        <w:jc w:val="both"/>
        <w:rPr>
          <w:sz w:val="20"/>
          <w:szCs w:val="20"/>
        </w:rPr>
      </w:pPr>
      <w:r>
        <w:rPr>
          <w:b/>
          <w:bCs/>
          <w:i/>
          <w:iCs/>
          <w:sz w:val="20"/>
          <w:szCs w:val="20"/>
        </w:rPr>
        <w:t xml:space="preserve">You may only be able to exercise your public warrants on a “cashless </w:t>
      </w:r>
      <w:r>
        <w:rPr>
          <w:b/>
          <w:bCs/>
          <w:i/>
          <w:iCs/>
          <w:sz w:val="20"/>
          <w:szCs w:val="20"/>
        </w:rPr>
        <w:t>basis” under certain circumstances, and if you do so, you will receive fewer shares of common stock from such exercise than if you were to exercise such warrants for cash</w:t>
      </w:r>
      <w:r>
        <w:rPr>
          <w:b/>
          <w:bCs/>
          <w:i/>
          <w:iCs/>
          <w:sz w:val="20"/>
          <w:szCs w:val="20"/>
        </w:rPr>
        <w:t>.</w:t>
      </w:r>
      <w:r>
        <w:rPr>
          <w:b/>
          <w:bCs/>
          <w:i/>
          <w:iCs/>
          <w:sz w:val="20"/>
          <w:szCs w:val="20"/>
        </w:rPr>
        <w:t xml:space="preserve"> </w:t>
      </w:r>
    </w:p>
    <w:p w14:paraId="6672DD2E" w14:textId="77777777" w:rsidR="00000000" w:rsidRDefault="00EF48A2">
      <w:pPr>
        <w:pStyle w:val="a3"/>
        <w:spacing w:before="180" w:beforeAutospacing="0" w:after="0" w:afterAutospacing="0"/>
        <w:jc w:val="both"/>
        <w:rPr>
          <w:sz w:val="20"/>
          <w:szCs w:val="20"/>
        </w:rPr>
      </w:pPr>
      <w:r>
        <w:rPr>
          <w:sz w:val="20"/>
          <w:szCs w:val="20"/>
        </w:rPr>
        <w:t>The Warrant Agreement provides that in the following circumstances holders of warrants who seek to exercise their warrants will not be permitted to do for cash and will, instead, be required to do so on a cashless basis in accordance with Section 3(a)(9) o</w:t>
      </w:r>
      <w:r>
        <w:rPr>
          <w:sz w:val="20"/>
          <w:szCs w:val="20"/>
        </w:rPr>
        <w:t>f the Securities Act: (i) if the common stock issuable upon exercise of the warrants are not registered under the Securities Act in accordance with the terms of the Warrant Agreement; (ii) if we have so elected and the common stock are at the time of any e</w:t>
      </w:r>
      <w:r>
        <w:rPr>
          <w:sz w:val="20"/>
          <w:szCs w:val="20"/>
        </w:rPr>
        <w:t>xercise of a warrant not listed on a national securities exchange such that they satisfy the definition of “covered securities” under Section 18(b)(1) of the Securities Act; and (iii) if we have so elected and we call the public warrants for redemption. If</w:t>
      </w:r>
      <w:r>
        <w:rPr>
          <w:sz w:val="20"/>
          <w:szCs w:val="20"/>
        </w:rPr>
        <w:t xml:space="preserve"> you exercise your public warrants on a cashless basis, you would pay the warrant exercise price by surrendering the warrants for that number of common stock equal to the quotient obtained by dividing (x) the product of the number of common stock underlyin</w:t>
      </w:r>
      <w:r>
        <w:rPr>
          <w:sz w:val="20"/>
          <w:szCs w:val="20"/>
        </w:rPr>
        <w:t>g the warrants, multiplied by the excess of the “fair market value” of our common stock (as defined in the next sentence) over the exercise price of the warrants by (y) the fair market value. The “fair market value” is the average reported closing price of</w:t>
      </w:r>
      <w:r>
        <w:rPr>
          <w:sz w:val="20"/>
          <w:szCs w:val="20"/>
        </w:rPr>
        <w:t xml:space="preserve"> the common stock for the 10 trading days ending on the third trading day prior to the date on which the notice of exercise is received by the warrant agent or on which the notice of redemption is sent to the holders of warrants, as applicable. As a result</w:t>
      </w:r>
      <w:r>
        <w:rPr>
          <w:sz w:val="20"/>
          <w:szCs w:val="20"/>
        </w:rPr>
        <w:t>, you would receive fewer shares of common stock from such exercise than if you were to exercise such warrants for cash</w:t>
      </w:r>
      <w:r>
        <w:rPr>
          <w:sz w:val="20"/>
          <w:szCs w:val="20"/>
        </w:rPr>
        <w:t>.</w:t>
      </w:r>
      <w:r>
        <w:rPr>
          <w:sz w:val="20"/>
          <w:szCs w:val="20"/>
        </w:rPr>
        <w:t xml:space="preserve"> </w:t>
      </w:r>
    </w:p>
    <w:p w14:paraId="5F9C19D5" w14:textId="77777777" w:rsidR="00000000" w:rsidRDefault="00EF48A2">
      <w:pPr>
        <w:pStyle w:val="a3"/>
        <w:spacing w:before="240" w:beforeAutospacing="0" w:after="0" w:afterAutospacing="0"/>
        <w:jc w:val="both"/>
        <w:rPr>
          <w:sz w:val="20"/>
          <w:szCs w:val="20"/>
        </w:rPr>
      </w:pPr>
      <w:r>
        <w:rPr>
          <w:b/>
          <w:bCs/>
          <w:i/>
          <w:iCs/>
          <w:sz w:val="20"/>
          <w:szCs w:val="20"/>
        </w:rPr>
        <w:t xml:space="preserve">We may amend the terms of the warrants in a manner that may be adverse to holders of public warrants with the approval by the holders </w:t>
      </w:r>
      <w:r>
        <w:rPr>
          <w:b/>
          <w:bCs/>
          <w:i/>
          <w:iCs/>
          <w:sz w:val="20"/>
          <w:szCs w:val="20"/>
        </w:rPr>
        <w:t>of at least 50% of the then outstanding public warrants. As a result, the exercise price of your warrants could be increased, the exercise period could be shortened and the number of common stock purchasable upon exercise of a warrant could be decreased, a</w:t>
      </w:r>
      <w:r>
        <w:rPr>
          <w:b/>
          <w:bCs/>
          <w:i/>
          <w:iCs/>
          <w:sz w:val="20"/>
          <w:szCs w:val="20"/>
        </w:rPr>
        <w:t>ll without your approval</w:t>
      </w:r>
      <w:r>
        <w:rPr>
          <w:b/>
          <w:bCs/>
          <w:i/>
          <w:iCs/>
          <w:sz w:val="20"/>
          <w:szCs w:val="20"/>
        </w:rPr>
        <w:t>.</w:t>
      </w:r>
      <w:r>
        <w:rPr>
          <w:b/>
          <w:bCs/>
          <w:i/>
          <w:iCs/>
          <w:sz w:val="20"/>
          <w:szCs w:val="20"/>
        </w:rPr>
        <w:t xml:space="preserve"> </w:t>
      </w:r>
    </w:p>
    <w:p w14:paraId="0297DE58" w14:textId="77777777" w:rsidR="00000000" w:rsidRDefault="00EF48A2">
      <w:pPr>
        <w:pStyle w:val="a3"/>
        <w:spacing w:before="180" w:beforeAutospacing="0" w:after="0" w:afterAutospacing="0"/>
        <w:jc w:val="both"/>
        <w:rPr>
          <w:sz w:val="20"/>
          <w:szCs w:val="20"/>
        </w:rPr>
      </w:pPr>
      <w:r>
        <w:rPr>
          <w:sz w:val="20"/>
          <w:szCs w:val="20"/>
        </w:rPr>
        <w:t>The Warrant Agreement provides that the terms of the warrants may be amended without the consent of any holder for the purpose of (i) curing any ambiguity or to correct any defective provision or mistake, including to conform the</w:t>
      </w:r>
      <w:r>
        <w:rPr>
          <w:sz w:val="20"/>
          <w:szCs w:val="20"/>
        </w:rPr>
        <w:t xml:space="preserve"> provisions of the warrant agreement to the description of the terms of the warrants and the Warrant Agreement, (ii) adjusting the provisions relating to cash dividends on common stock as contemplated by and in accordance with the Warrant Agreement or (iii</w:t>
      </w:r>
      <w:r>
        <w:rPr>
          <w:sz w:val="20"/>
          <w:szCs w:val="20"/>
        </w:rPr>
        <w:t>) adding or changing any provisions with respect to matters or questions arising under the Warrant Agreement as the parties to the Warrant Agreement may deem necessary or desirable and that the parties deem to not adversely affect the rights of the registe</w:t>
      </w:r>
      <w:r>
        <w:rPr>
          <w:sz w:val="20"/>
          <w:szCs w:val="20"/>
        </w:rPr>
        <w:t>red holders of the warrants, provided that the approval by the holders of at least 50% of the then-outstanding public warrants is required to make any change that adversely affects the interests of the registered holders of public warrants. Accordingly, we</w:t>
      </w:r>
      <w:r>
        <w:rPr>
          <w:sz w:val="20"/>
          <w:szCs w:val="20"/>
        </w:rPr>
        <w:t xml:space="preserve"> may amend the terms of the public warrants in a manner adverse to a holder of public warrants if holders of at least 50% of the then outstanding public warrants approve of such amendment. Although our ability to amend the terms of the public warrants with</w:t>
      </w:r>
      <w:r>
        <w:rPr>
          <w:sz w:val="20"/>
          <w:szCs w:val="20"/>
        </w:rPr>
        <w:t xml:space="preserve"> the consent of at least 50% of the then outstanding public warrants is unlimited, examples of such amendments could be amendments to, among other things, increase the exercise price of the warrants, convert the warrants into cash or shares, shorten the ex</w:t>
      </w:r>
      <w:r>
        <w:rPr>
          <w:sz w:val="20"/>
          <w:szCs w:val="20"/>
        </w:rPr>
        <w:t>ercise period or decrease the number of common stock purchasable upon exercise of a warrant</w:t>
      </w:r>
      <w:r>
        <w:rPr>
          <w:sz w:val="20"/>
          <w:szCs w:val="20"/>
        </w:rPr>
        <w:t>.</w:t>
      </w:r>
      <w:r>
        <w:rPr>
          <w:sz w:val="20"/>
          <w:szCs w:val="20"/>
        </w:rPr>
        <w:t xml:space="preserve"> </w:t>
      </w:r>
    </w:p>
    <w:p w14:paraId="173980E8" w14:textId="77777777" w:rsidR="00000000" w:rsidRDefault="00EF48A2">
      <w:pPr>
        <w:pStyle w:val="a3"/>
        <w:spacing w:before="0" w:beforeAutospacing="0" w:after="0" w:afterAutospacing="0"/>
        <w:jc w:val="center"/>
        <w:rPr>
          <w:sz w:val="20"/>
          <w:szCs w:val="20"/>
        </w:rPr>
      </w:pPr>
      <w:r>
        <w:rPr>
          <w:sz w:val="20"/>
          <w:szCs w:val="20"/>
        </w:rPr>
        <w:t>3</w:t>
      </w:r>
      <w:r>
        <w:rPr>
          <w:sz w:val="20"/>
          <w:szCs w:val="20"/>
        </w:rPr>
        <w:t>9</w:t>
      </w:r>
    </w:p>
    <w:p w14:paraId="1412FAD6" w14:textId="77777777" w:rsidR="00000000" w:rsidRDefault="00EF48A2">
      <w:pPr>
        <w:rPr>
          <w:rFonts w:eastAsia="Times New Roman"/>
        </w:rPr>
      </w:pPr>
      <w:r>
        <w:rPr>
          <w:rFonts w:eastAsia="Times New Roman"/>
        </w:rPr>
        <w:pict w14:anchorId="7775D9EE">
          <v:rect id="_x0000_i1066" style="width:0;height:1.5pt" o:hralign="center" o:hrstd="t" o:hr="t" fillcolor="#a0a0a0" stroked="f"/>
        </w:pict>
      </w:r>
    </w:p>
    <w:p w14:paraId="372D90DA"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A1ABC02" w14:textId="77777777" w:rsidR="00000000" w:rsidRDefault="00EF48A2">
      <w:pPr>
        <w:pStyle w:val="a3"/>
        <w:spacing w:before="240" w:beforeAutospacing="0" w:after="0" w:afterAutospacing="0"/>
        <w:jc w:val="both"/>
        <w:rPr>
          <w:sz w:val="20"/>
          <w:szCs w:val="20"/>
        </w:rPr>
      </w:pPr>
      <w:r>
        <w:rPr>
          <w:b/>
          <w:bCs/>
          <w:i/>
          <w:iCs/>
          <w:sz w:val="20"/>
          <w:szCs w:val="20"/>
        </w:rPr>
        <w:t>The Warrant Agreement designates the courts of the State of New York or t</w:t>
      </w:r>
      <w:r>
        <w:rPr>
          <w:b/>
          <w:bCs/>
          <w:i/>
          <w:iCs/>
          <w:sz w:val="20"/>
          <w:szCs w:val="20"/>
        </w:rPr>
        <w:t xml:space="preserve">he United States District Court for the Southern District of New York as the sole and exclusive forum for certain types of actions and proceedings that may be initiated by holders of our warrants, which could limit the ability of warrant holders to obtain </w:t>
      </w:r>
      <w:r>
        <w:rPr>
          <w:b/>
          <w:bCs/>
          <w:i/>
          <w:iCs/>
          <w:sz w:val="20"/>
          <w:szCs w:val="20"/>
        </w:rPr>
        <w:t>a favorable judicial forum for disputes with us</w:t>
      </w:r>
      <w:r>
        <w:rPr>
          <w:b/>
          <w:bCs/>
          <w:i/>
          <w:iCs/>
          <w:sz w:val="20"/>
          <w:szCs w:val="20"/>
        </w:rPr>
        <w:t>.</w:t>
      </w:r>
      <w:r>
        <w:rPr>
          <w:b/>
          <w:bCs/>
          <w:i/>
          <w:iCs/>
          <w:sz w:val="20"/>
          <w:szCs w:val="20"/>
        </w:rPr>
        <w:t xml:space="preserve"> </w:t>
      </w:r>
    </w:p>
    <w:p w14:paraId="1EAB7723" w14:textId="77777777" w:rsidR="00000000" w:rsidRDefault="00EF48A2">
      <w:pPr>
        <w:pStyle w:val="a3"/>
        <w:spacing w:before="180" w:beforeAutospacing="0" w:after="0" w:afterAutospacing="0"/>
        <w:jc w:val="both"/>
        <w:rPr>
          <w:sz w:val="20"/>
          <w:szCs w:val="20"/>
        </w:rPr>
      </w:pPr>
      <w:r>
        <w:rPr>
          <w:sz w:val="20"/>
          <w:szCs w:val="20"/>
        </w:rPr>
        <w:t xml:space="preserve">The Warrant Agreement provides that, subject to applicable law, (i) any action, proceeding or claim against us arising out of or relating in any way to the warrant agreement, including under the Securities </w:t>
      </w:r>
      <w:r>
        <w:rPr>
          <w:sz w:val="20"/>
          <w:szCs w:val="20"/>
        </w:rPr>
        <w:t>Act, will be brought and enforced in the courts of the State of New York or the United States District Court for the Southern District of New York, and (ii) that we irrevocably submit to such jurisdiction, which jurisdiction shall be the exclusive forum fo</w:t>
      </w:r>
      <w:r>
        <w:rPr>
          <w:sz w:val="20"/>
          <w:szCs w:val="20"/>
        </w:rPr>
        <w:t>r any such action, proceeding or claim. We will waive any objection to such exclusive jurisdiction and that such courts represent an inconvenient forum</w:t>
      </w:r>
      <w:r>
        <w:rPr>
          <w:sz w:val="20"/>
          <w:szCs w:val="20"/>
        </w:rPr>
        <w:t>.</w:t>
      </w:r>
      <w:r>
        <w:rPr>
          <w:sz w:val="20"/>
          <w:szCs w:val="20"/>
        </w:rPr>
        <w:t xml:space="preserve"> </w:t>
      </w:r>
    </w:p>
    <w:p w14:paraId="33064E76" w14:textId="77777777" w:rsidR="00000000" w:rsidRDefault="00EF48A2">
      <w:pPr>
        <w:pStyle w:val="a3"/>
        <w:spacing w:before="180" w:beforeAutospacing="0" w:after="0" w:afterAutospacing="0"/>
        <w:jc w:val="both"/>
        <w:rPr>
          <w:sz w:val="20"/>
          <w:szCs w:val="20"/>
        </w:rPr>
      </w:pPr>
      <w:r>
        <w:rPr>
          <w:sz w:val="20"/>
          <w:szCs w:val="20"/>
        </w:rPr>
        <w:t>Notwithstanding the foregoing, these provisions of the Warrant Agreement will not apply to suits broug</w:t>
      </w:r>
      <w:r>
        <w:rPr>
          <w:sz w:val="20"/>
          <w:szCs w:val="20"/>
        </w:rPr>
        <w:t>ht to enforce any liability or duty created by the Exchange Act or any other claim for which the federal district courts of the United States of America are the sole and exclusive forum. Any person or entity purchasing or otherwise acquiring any interest i</w:t>
      </w:r>
      <w:r>
        <w:rPr>
          <w:sz w:val="20"/>
          <w:szCs w:val="20"/>
        </w:rPr>
        <w:t>n any of our warrants shall be deemed to have notice of and to have consented to the forum provisions in our Warrant Agreement. If any action, the subject matter of which is within the scope the forum provisions of the warrant agreement, is filed in a cour</w:t>
      </w:r>
      <w:r>
        <w:rPr>
          <w:sz w:val="20"/>
          <w:szCs w:val="20"/>
        </w:rPr>
        <w:t>t other than a court of the State of New York or the United States District Court for the Southern District of New York (a “foreign action”) in the name of any holder of our warrants, such holder shall be deemed to have consented to: (x) the personal juris</w:t>
      </w:r>
      <w:r>
        <w:rPr>
          <w:sz w:val="20"/>
          <w:szCs w:val="20"/>
        </w:rPr>
        <w:t>diction of the state and federal courts located in the State of New York in connection with any action brought in any such court to enforce the forum provisions (an “enforcement action”), and (y) having service of process made upon such warrant holder in a</w:t>
      </w:r>
      <w:r>
        <w:rPr>
          <w:sz w:val="20"/>
          <w:szCs w:val="20"/>
        </w:rPr>
        <w:t>ny such enforcement action by service upon such warrant holder’s counsel in the foreign action as agent for such warrant holder. This choice-of-forum provision may limit a warrant holder’s ability to bring a claim in a judicial forum that it finds favorabl</w:t>
      </w:r>
      <w:r>
        <w:rPr>
          <w:sz w:val="20"/>
          <w:szCs w:val="20"/>
        </w:rPr>
        <w:t>e for disputes with us, which may discourage such lawsuits. Alternatively, if a court were to find this provision of our Warrant Agreement inapplicable or unenforceable with respect to one or more of the specified types of actions or proceedings, we may in</w:t>
      </w:r>
      <w:r>
        <w:rPr>
          <w:sz w:val="20"/>
          <w:szCs w:val="20"/>
        </w:rPr>
        <w:t>cur additional costs associated with resolving such matters in other jurisdictions, which could materially and adversely affect our business, financial condition and results of operations and result in a diversion of the time and resources of our managemen</w:t>
      </w:r>
      <w:r>
        <w:rPr>
          <w:sz w:val="20"/>
          <w:szCs w:val="20"/>
        </w:rPr>
        <w:t>t and board of directors</w:t>
      </w:r>
      <w:r>
        <w:rPr>
          <w:sz w:val="20"/>
          <w:szCs w:val="20"/>
        </w:rPr>
        <w:t>.</w:t>
      </w:r>
      <w:r>
        <w:rPr>
          <w:sz w:val="20"/>
          <w:szCs w:val="20"/>
        </w:rPr>
        <w:t xml:space="preserve"> </w:t>
      </w:r>
    </w:p>
    <w:p w14:paraId="13FCC90E" w14:textId="77777777" w:rsidR="00000000" w:rsidRDefault="00EF48A2">
      <w:pPr>
        <w:pStyle w:val="a3"/>
        <w:spacing w:before="240" w:beforeAutospacing="0" w:after="0" w:afterAutospacing="0"/>
        <w:jc w:val="both"/>
        <w:rPr>
          <w:sz w:val="20"/>
          <w:szCs w:val="20"/>
        </w:rPr>
      </w:pPr>
      <w:r>
        <w:rPr>
          <w:b/>
          <w:bCs/>
          <w:i/>
          <w:iCs/>
          <w:sz w:val="20"/>
          <w:szCs w:val="20"/>
        </w:rPr>
        <w:t>We may redeem your unexpired warrants prior to their exercise at a time that is disadvantageous to you, thereby making your warrants worthless</w:t>
      </w:r>
      <w:r>
        <w:rPr>
          <w:b/>
          <w:bCs/>
          <w:i/>
          <w:iCs/>
          <w:sz w:val="20"/>
          <w:szCs w:val="20"/>
        </w:rPr>
        <w:t>.</w:t>
      </w:r>
      <w:r>
        <w:rPr>
          <w:b/>
          <w:bCs/>
          <w:i/>
          <w:iCs/>
          <w:sz w:val="20"/>
          <w:szCs w:val="20"/>
        </w:rPr>
        <w:t xml:space="preserve"> </w:t>
      </w:r>
    </w:p>
    <w:p w14:paraId="63B9DCCD" w14:textId="77777777" w:rsidR="00000000" w:rsidRDefault="00EF48A2">
      <w:pPr>
        <w:pStyle w:val="a3"/>
        <w:spacing w:before="180" w:beforeAutospacing="0" w:after="0" w:afterAutospacing="0"/>
        <w:jc w:val="both"/>
        <w:rPr>
          <w:sz w:val="20"/>
          <w:szCs w:val="20"/>
        </w:rPr>
      </w:pPr>
      <w:r>
        <w:rPr>
          <w:sz w:val="20"/>
          <w:szCs w:val="20"/>
        </w:rPr>
        <w:t>We have the ability to redeem outstanding warrants at any time after they become exe</w:t>
      </w:r>
      <w:r>
        <w:rPr>
          <w:sz w:val="20"/>
          <w:szCs w:val="20"/>
        </w:rPr>
        <w:t>rcisable and prior to their expiration, at a price of $0.01 per warrant, provided that the closing price of our common stock equals or exceeds $18.00 per share (as adjusted for stock splits, stock recapitalizations, reorganizations, recapitalizations and t</w:t>
      </w:r>
      <w:r>
        <w:rPr>
          <w:sz w:val="20"/>
          <w:szCs w:val="20"/>
        </w:rPr>
        <w:t>he like) for any 20 trading days within a 30 trading-day period ending on the third trading day prior to the date on which we give proper notice of such redemption to the warrants holders and provided certain other conditions are met. If and when the warra</w:t>
      </w:r>
      <w:r>
        <w:rPr>
          <w:sz w:val="20"/>
          <w:szCs w:val="20"/>
        </w:rPr>
        <w:t>nts become redeemable by us, we may exercise our redemption right even if we are unable to register or qualify the underlying securities for sale under all applicable state securities laws. Redemption of the outstanding warrants could force you to (i) exer</w:t>
      </w:r>
      <w:r>
        <w:rPr>
          <w:sz w:val="20"/>
          <w:szCs w:val="20"/>
        </w:rPr>
        <w:t>cise your warrants and pay the exercise price at a time when it may be disadvantageous for you to do so, (ii) sell your warrants at the then-current market price when you might otherwise wish to hold your warrants or (iii) accept the nominal redemption pri</w:t>
      </w:r>
      <w:r>
        <w:rPr>
          <w:sz w:val="20"/>
          <w:szCs w:val="20"/>
        </w:rPr>
        <w:t xml:space="preserve">ce which, at the time the outstanding warrants are called for redemption, is likely to be substantially less than the market value of your warrants. None of the private placement warrants will be redeemable by us so long as they are held by the Sponsor or </w:t>
      </w:r>
      <w:r>
        <w:rPr>
          <w:sz w:val="20"/>
          <w:szCs w:val="20"/>
        </w:rPr>
        <w:t>its permitted transferees</w:t>
      </w:r>
      <w:r>
        <w:rPr>
          <w:sz w:val="20"/>
          <w:szCs w:val="20"/>
        </w:rPr>
        <w:t>.</w:t>
      </w:r>
      <w:r>
        <w:rPr>
          <w:sz w:val="20"/>
          <w:szCs w:val="20"/>
        </w:rPr>
        <w:t xml:space="preserve"> </w:t>
      </w:r>
    </w:p>
    <w:p w14:paraId="6C587F95" w14:textId="77777777" w:rsidR="00000000" w:rsidRDefault="00EF48A2">
      <w:pPr>
        <w:pStyle w:val="a3"/>
        <w:spacing w:before="240" w:beforeAutospacing="0" w:after="0" w:afterAutospacing="0"/>
        <w:jc w:val="both"/>
        <w:rPr>
          <w:sz w:val="20"/>
          <w:szCs w:val="20"/>
        </w:rPr>
      </w:pPr>
      <w:r>
        <w:rPr>
          <w:b/>
          <w:bCs/>
          <w:i/>
          <w:iCs/>
          <w:sz w:val="20"/>
          <w:szCs w:val="20"/>
        </w:rPr>
        <w:t>If we fail to comply with the continued listing requirements of the Nasdaq Stock Market, it could result in our common stock being delisted, which could adversely affect the market price and liquidity of our securities and could</w:t>
      </w:r>
      <w:r>
        <w:rPr>
          <w:b/>
          <w:bCs/>
          <w:i/>
          <w:iCs/>
          <w:sz w:val="20"/>
          <w:szCs w:val="20"/>
        </w:rPr>
        <w:t xml:space="preserve"> have other adverse effects</w:t>
      </w:r>
      <w:r>
        <w:rPr>
          <w:b/>
          <w:bCs/>
          <w:i/>
          <w:iCs/>
          <w:sz w:val="20"/>
          <w:szCs w:val="20"/>
        </w:rPr>
        <w:t>.</w:t>
      </w:r>
    </w:p>
    <w:p w14:paraId="1A23728A" w14:textId="77777777" w:rsidR="00000000" w:rsidRDefault="00EF48A2">
      <w:pPr>
        <w:pStyle w:val="a3"/>
        <w:spacing w:before="180" w:beforeAutospacing="0" w:after="0" w:afterAutospacing="0"/>
        <w:jc w:val="both"/>
        <w:rPr>
          <w:sz w:val="20"/>
          <w:szCs w:val="20"/>
        </w:rPr>
      </w:pPr>
      <w:r>
        <w:rPr>
          <w:sz w:val="20"/>
          <w:szCs w:val="20"/>
        </w:rPr>
        <w:t>Our common stock is currently listed for trading on The Nasdaq Global Select Market. We must satisfy Nasdaq’s continued listing requirements, including, among others, a minimum stockholders’ equity of</w:t>
      </w:r>
      <w:r>
        <w:rPr>
          <w:sz w:val="20"/>
          <w:szCs w:val="20"/>
        </w:rPr>
        <w:t> </w:t>
      </w:r>
      <w:r>
        <w:rPr>
          <w:sz w:val="20"/>
          <w:szCs w:val="20"/>
        </w:rPr>
        <w:t>$5.0 million and a minimum</w:t>
      </w:r>
      <w:r>
        <w:rPr>
          <w:sz w:val="20"/>
          <w:szCs w:val="20"/>
        </w:rPr>
        <w:t xml:space="preserve"> bid price for our common stock of</w:t>
      </w:r>
      <w:r>
        <w:rPr>
          <w:sz w:val="20"/>
          <w:szCs w:val="20"/>
        </w:rPr>
        <w:t> </w:t>
      </w:r>
      <w:r>
        <w:rPr>
          <w:sz w:val="20"/>
          <w:szCs w:val="20"/>
        </w:rPr>
        <w:t>$1.00 per share, or risk possibly delisting, which would have a material adverse effect on our business. On November 18, 2022, we received a letter from the Listing Qualifications staff of Nasdaq indicating that, based up</w:t>
      </w:r>
      <w:r>
        <w:rPr>
          <w:sz w:val="20"/>
          <w:szCs w:val="20"/>
        </w:rPr>
        <w:t>on the closing bid price of our common stock for the prior 30 consecutive business days, we no longer met the requirement of the Nasdaq Global Select Market to maintain a minimum bid price of $1 per share, as set forth in Nasdaq Listing Rule 5450(a)(1). Up</w:t>
      </w:r>
      <w:r>
        <w:rPr>
          <w:sz w:val="20"/>
          <w:szCs w:val="20"/>
        </w:rPr>
        <w:t>on expiration of the tolling period, if we do not maintain compliance with the Nasdaq continuing listing requirements, our common stock may be delisted from the Nasdaq Global Select Market and it could be more difficult to buy or sell our securities and to</w:t>
      </w:r>
      <w:r>
        <w:rPr>
          <w:sz w:val="20"/>
          <w:szCs w:val="20"/>
        </w:rPr>
        <w:t xml:space="preserve"> obtain accurate quotations, and the price of our common stock could suffer a material decline. In addition, a delisting would impair our ability to raise capital through the public markets, could deter broker-dealers from making a market in or otherwise s</w:t>
      </w:r>
      <w:r>
        <w:rPr>
          <w:sz w:val="20"/>
          <w:szCs w:val="20"/>
        </w:rPr>
        <w:t>eeking or generating interest in our securities and might deter certain institutions and persons from investing in our securities at all</w:t>
      </w:r>
      <w:r>
        <w:rPr>
          <w:sz w:val="20"/>
          <w:szCs w:val="20"/>
        </w:rPr>
        <w:t>.</w:t>
      </w:r>
    </w:p>
    <w:p w14:paraId="5CEDD1E7"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0</w:t>
      </w:r>
    </w:p>
    <w:p w14:paraId="2A9A667B" w14:textId="77777777" w:rsidR="00000000" w:rsidRDefault="00EF48A2">
      <w:pPr>
        <w:rPr>
          <w:rFonts w:eastAsia="Times New Roman"/>
        </w:rPr>
      </w:pPr>
      <w:r>
        <w:rPr>
          <w:rFonts w:eastAsia="Times New Roman"/>
        </w:rPr>
        <w:pict w14:anchorId="7F367432">
          <v:rect id="_x0000_i1067" style="width:0;height:1.5pt" o:hralign="center" o:hrstd="t" o:hr="t" fillcolor="#a0a0a0" stroked="f"/>
        </w:pict>
      </w:r>
    </w:p>
    <w:p w14:paraId="005A552E"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48266AE" w14:textId="77777777" w:rsidR="00000000" w:rsidRDefault="00EF48A2">
      <w:pPr>
        <w:pStyle w:val="a3"/>
        <w:spacing w:before="240" w:beforeAutospacing="0" w:after="0" w:afterAutospacing="0"/>
        <w:jc w:val="both"/>
        <w:rPr>
          <w:sz w:val="20"/>
          <w:szCs w:val="20"/>
        </w:rPr>
      </w:pPr>
      <w:r>
        <w:rPr>
          <w:b/>
          <w:bCs/>
          <w:sz w:val="20"/>
          <w:szCs w:val="20"/>
        </w:rPr>
        <w:t>GENERAL RISK FACTOR</w:t>
      </w:r>
      <w:r>
        <w:rPr>
          <w:b/>
          <w:bCs/>
          <w:sz w:val="20"/>
          <w:szCs w:val="20"/>
        </w:rPr>
        <w:t>S</w:t>
      </w:r>
    </w:p>
    <w:p w14:paraId="39A9F80E" w14:textId="77777777" w:rsidR="00000000" w:rsidRDefault="00EF48A2">
      <w:pPr>
        <w:pStyle w:val="a3"/>
        <w:spacing w:before="240" w:beforeAutospacing="0" w:after="0" w:afterAutospacing="0"/>
        <w:jc w:val="both"/>
        <w:rPr>
          <w:sz w:val="20"/>
          <w:szCs w:val="20"/>
        </w:rPr>
      </w:pPr>
      <w:r>
        <w:rPr>
          <w:b/>
          <w:bCs/>
          <w:i/>
          <w:iCs/>
          <w:sz w:val="20"/>
          <w:szCs w:val="20"/>
        </w:rPr>
        <w:t>The price of our securities may be volatile</w:t>
      </w:r>
      <w:r>
        <w:rPr>
          <w:b/>
          <w:bCs/>
          <w:i/>
          <w:iCs/>
          <w:sz w:val="20"/>
          <w:szCs w:val="20"/>
        </w:rPr>
        <w:t>.</w:t>
      </w:r>
    </w:p>
    <w:p w14:paraId="489E06F4" w14:textId="77777777" w:rsidR="00000000" w:rsidRDefault="00EF48A2">
      <w:pPr>
        <w:pStyle w:val="a3"/>
        <w:spacing w:before="180" w:beforeAutospacing="0" w:after="0" w:afterAutospacing="0"/>
        <w:jc w:val="both"/>
        <w:rPr>
          <w:sz w:val="20"/>
          <w:szCs w:val="20"/>
        </w:rPr>
      </w:pPr>
      <w:r>
        <w:rPr>
          <w:sz w:val="20"/>
          <w:szCs w:val="20"/>
        </w:rPr>
        <w:t>The price of our securities may fluctuate due to a variety of factors, including</w:t>
      </w:r>
      <w:r>
        <w:rPr>
          <w:sz w:val="20"/>
          <w:szCs w:val="20"/>
        </w:rPr>
        <w:t>:</w:t>
      </w:r>
      <w:r>
        <w:rPr>
          <w:sz w:val="20"/>
          <w:szCs w:val="20"/>
        </w:rPr>
        <w:t xml:space="preserve"> </w:t>
      </w:r>
    </w:p>
    <w:p w14:paraId="717D9E9F" w14:textId="77777777" w:rsidR="00000000" w:rsidRDefault="00EF48A2">
      <w:pPr>
        <w:spacing w:before="120"/>
        <w:ind w:left="3"/>
        <w:jc w:val="both"/>
        <w:divId w:val="311563346"/>
        <w:rPr>
          <w:rFonts w:eastAsia="Times New Roman"/>
        </w:rPr>
      </w:pPr>
      <w:r>
        <w:rPr>
          <w:rFonts w:eastAsia="Times New Roman"/>
          <w:sz w:val="20"/>
          <w:szCs w:val="20"/>
        </w:rPr>
        <w:t>●</w:t>
      </w:r>
    </w:p>
    <w:p w14:paraId="7B3B2DBF" w14:textId="77777777" w:rsidR="00000000" w:rsidRDefault="00EF48A2">
      <w:pPr>
        <w:jc w:val="both"/>
        <w:divId w:val="316960643"/>
        <w:rPr>
          <w:rFonts w:eastAsia="Times New Roman"/>
        </w:rPr>
      </w:pPr>
      <w:r>
        <w:rPr>
          <w:rFonts w:eastAsia="Times New Roman"/>
          <w:sz w:val="20"/>
          <w:szCs w:val="20"/>
        </w:rPr>
        <w:t>the success of competitive services or technologies;</w:t>
      </w:r>
      <w:r>
        <w:rPr>
          <w:rFonts w:eastAsia="Times New Roman"/>
          <w:sz w:val="20"/>
          <w:szCs w:val="20"/>
        </w:rPr>
        <w:t xml:space="preserve"> </w:t>
      </w:r>
    </w:p>
    <w:p w14:paraId="2856FF7C" w14:textId="77777777" w:rsidR="00000000" w:rsidRDefault="00EF48A2">
      <w:pPr>
        <w:spacing w:before="120"/>
        <w:ind w:left="3"/>
        <w:jc w:val="both"/>
        <w:divId w:val="1968465525"/>
        <w:rPr>
          <w:rFonts w:eastAsia="Times New Roman"/>
        </w:rPr>
      </w:pPr>
      <w:r>
        <w:rPr>
          <w:rFonts w:eastAsia="Times New Roman"/>
          <w:sz w:val="20"/>
          <w:szCs w:val="20"/>
        </w:rPr>
        <w:t>●</w:t>
      </w:r>
    </w:p>
    <w:p w14:paraId="2C93FEB5" w14:textId="77777777" w:rsidR="00000000" w:rsidRDefault="00EF48A2">
      <w:pPr>
        <w:jc w:val="both"/>
        <w:divId w:val="750589263"/>
        <w:rPr>
          <w:rFonts w:eastAsia="Times New Roman"/>
        </w:rPr>
      </w:pPr>
      <w:r>
        <w:rPr>
          <w:rFonts w:eastAsia="Times New Roman"/>
          <w:sz w:val="20"/>
          <w:szCs w:val="20"/>
        </w:rPr>
        <w:t>developments related to our existing or any futur</w:t>
      </w:r>
      <w:r>
        <w:rPr>
          <w:rFonts w:eastAsia="Times New Roman"/>
          <w:sz w:val="20"/>
          <w:szCs w:val="20"/>
        </w:rPr>
        <w:t>e collaborations;</w:t>
      </w:r>
      <w:r>
        <w:rPr>
          <w:rFonts w:eastAsia="Times New Roman"/>
          <w:sz w:val="20"/>
          <w:szCs w:val="20"/>
        </w:rPr>
        <w:t xml:space="preserve"> </w:t>
      </w:r>
    </w:p>
    <w:p w14:paraId="449F243F" w14:textId="77777777" w:rsidR="00000000" w:rsidRDefault="00EF48A2">
      <w:pPr>
        <w:spacing w:before="120"/>
        <w:ind w:left="3"/>
        <w:jc w:val="both"/>
        <w:divId w:val="1667785870"/>
        <w:rPr>
          <w:rFonts w:eastAsia="Times New Roman"/>
        </w:rPr>
      </w:pPr>
      <w:r>
        <w:rPr>
          <w:rFonts w:eastAsia="Times New Roman"/>
          <w:sz w:val="20"/>
          <w:szCs w:val="20"/>
        </w:rPr>
        <w:t>●</w:t>
      </w:r>
    </w:p>
    <w:p w14:paraId="283E4B19" w14:textId="77777777" w:rsidR="00000000" w:rsidRDefault="00EF48A2">
      <w:pPr>
        <w:jc w:val="both"/>
        <w:divId w:val="1056586218"/>
        <w:rPr>
          <w:rFonts w:eastAsia="Times New Roman"/>
        </w:rPr>
      </w:pPr>
      <w:r>
        <w:rPr>
          <w:rFonts w:eastAsia="Times New Roman"/>
          <w:sz w:val="20"/>
          <w:szCs w:val="20"/>
        </w:rPr>
        <w:t>regulatory or legal developments in the United States and other countries;</w:t>
      </w:r>
      <w:r>
        <w:rPr>
          <w:rFonts w:eastAsia="Times New Roman"/>
          <w:sz w:val="20"/>
          <w:szCs w:val="20"/>
        </w:rPr>
        <w:t xml:space="preserve"> </w:t>
      </w:r>
    </w:p>
    <w:p w14:paraId="78D3B91F" w14:textId="77777777" w:rsidR="00000000" w:rsidRDefault="00EF48A2">
      <w:pPr>
        <w:spacing w:before="120"/>
        <w:ind w:left="3"/>
        <w:jc w:val="both"/>
        <w:divId w:val="1537081735"/>
        <w:rPr>
          <w:rFonts w:eastAsia="Times New Roman"/>
        </w:rPr>
      </w:pPr>
      <w:r>
        <w:rPr>
          <w:rFonts w:eastAsia="Times New Roman"/>
          <w:sz w:val="20"/>
          <w:szCs w:val="20"/>
        </w:rPr>
        <w:t>●</w:t>
      </w:r>
    </w:p>
    <w:p w14:paraId="6D71DF8F" w14:textId="77777777" w:rsidR="00000000" w:rsidRDefault="00EF48A2">
      <w:pPr>
        <w:jc w:val="both"/>
        <w:divId w:val="792871149"/>
        <w:rPr>
          <w:rFonts w:eastAsia="Times New Roman"/>
        </w:rPr>
      </w:pPr>
      <w:r>
        <w:rPr>
          <w:rFonts w:eastAsia="Times New Roman"/>
          <w:sz w:val="20"/>
          <w:szCs w:val="20"/>
        </w:rPr>
        <w:t>developments or disputes concerning our intellectual property or other proprietary rights;</w:t>
      </w:r>
      <w:r>
        <w:rPr>
          <w:rFonts w:eastAsia="Times New Roman"/>
          <w:sz w:val="20"/>
          <w:szCs w:val="20"/>
        </w:rPr>
        <w:t xml:space="preserve"> </w:t>
      </w:r>
    </w:p>
    <w:p w14:paraId="449A502F" w14:textId="77777777" w:rsidR="00000000" w:rsidRDefault="00EF48A2">
      <w:pPr>
        <w:spacing w:before="120"/>
        <w:ind w:left="3"/>
        <w:jc w:val="both"/>
        <w:divId w:val="612250287"/>
        <w:rPr>
          <w:rFonts w:eastAsia="Times New Roman"/>
        </w:rPr>
      </w:pPr>
      <w:r>
        <w:rPr>
          <w:rFonts w:eastAsia="Times New Roman"/>
          <w:sz w:val="20"/>
          <w:szCs w:val="20"/>
        </w:rPr>
        <w:t>●</w:t>
      </w:r>
    </w:p>
    <w:p w14:paraId="6F02EFD1" w14:textId="77777777" w:rsidR="00000000" w:rsidRDefault="00EF48A2">
      <w:pPr>
        <w:jc w:val="both"/>
        <w:divId w:val="708843849"/>
        <w:rPr>
          <w:rFonts w:eastAsia="Times New Roman"/>
        </w:rPr>
      </w:pPr>
      <w:r>
        <w:rPr>
          <w:rFonts w:eastAsia="Times New Roman"/>
          <w:sz w:val="20"/>
          <w:szCs w:val="20"/>
        </w:rPr>
        <w:t>the recruitment or departure of key personnel;</w:t>
      </w:r>
      <w:r>
        <w:rPr>
          <w:rFonts w:eastAsia="Times New Roman"/>
          <w:sz w:val="20"/>
          <w:szCs w:val="20"/>
        </w:rPr>
        <w:t xml:space="preserve"> </w:t>
      </w:r>
    </w:p>
    <w:p w14:paraId="5EB70F79" w14:textId="77777777" w:rsidR="00000000" w:rsidRDefault="00EF48A2">
      <w:pPr>
        <w:spacing w:before="120"/>
        <w:ind w:left="3"/>
        <w:jc w:val="both"/>
        <w:divId w:val="226110566"/>
        <w:rPr>
          <w:rFonts w:eastAsia="Times New Roman"/>
        </w:rPr>
      </w:pPr>
      <w:r>
        <w:rPr>
          <w:rFonts w:eastAsia="Times New Roman"/>
          <w:sz w:val="20"/>
          <w:szCs w:val="20"/>
        </w:rPr>
        <w:t>●</w:t>
      </w:r>
    </w:p>
    <w:p w14:paraId="2FD97A30" w14:textId="77777777" w:rsidR="00000000" w:rsidRDefault="00EF48A2">
      <w:pPr>
        <w:jc w:val="both"/>
        <w:divId w:val="1965228810"/>
        <w:rPr>
          <w:rFonts w:eastAsia="Times New Roman"/>
        </w:rPr>
      </w:pPr>
      <w:r>
        <w:rPr>
          <w:rFonts w:eastAsia="Times New Roman"/>
          <w:sz w:val="20"/>
          <w:szCs w:val="20"/>
        </w:rPr>
        <w:t xml:space="preserve">actual or anticipated changes in estimates as to financial results, development timelines or recommendations by </w:t>
      </w:r>
      <w:r>
        <w:rPr>
          <w:rFonts w:eastAsia="Times New Roman"/>
          <w:sz w:val="20"/>
          <w:szCs w:val="20"/>
        </w:rPr>
        <w:t>securities analysts;</w:t>
      </w:r>
      <w:r>
        <w:rPr>
          <w:rFonts w:eastAsia="Times New Roman"/>
          <w:sz w:val="20"/>
          <w:szCs w:val="20"/>
        </w:rPr>
        <w:t xml:space="preserve"> </w:t>
      </w:r>
    </w:p>
    <w:p w14:paraId="45314620" w14:textId="77777777" w:rsidR="00000000" w:rsidRDefault="00EF48A2">
      <w:pPr>
        <w:spacing w:before="120"/>
        <w:ind w:left="3"/>
        <w:jc w:val="both"/>
        <w:divId w:val="1598245195"/>
        <w:rPr>
          <w:rFonts w:eastAsia="Times New Roman"/>
        </w:rPr>
      </w:pPr>
      <w:r>
        <w:rPr>
          <w:rFonts w:eastAsia="Times New Roman"/>
          <w:sz w:val="20"/>
          <w:szCs w:val="20"/>
        </w:rPr>
        <w:t>●</w:t>
      </w:r>
    </w:p>
    <w:p w14:paraId="0E5C066E" w14:textId="77777777" w:rsidR="00000000" w:rsidRDefault="00EF48A2">
      <w:pPr>
        <w:jc w:val="both"/>
        <w:divId w:val="1382241622"/>
        <w:rPr>
          <w:rFonts w:eastAsia="Times New Roman"/>
        </w:rPr>
      </w:pPr>
      <w:r>
        <w:rPr>
          <w:rFonts w:eastAsia="Times New Roman"/>
          <w:sz w:val="20"/>
          <w:szCs w:val="20"/>
        </w:rPr>
        <w:t>variations in our financial results or those of companies that are perceived to be similar to us;</w:t>
      </w:r>
      <w:r>
        <w:rPr>
          <w:rFonts w:eastAsia="Times New Roman"/>
          <w:sz w:val="20"/>
          <w:szCs w:val="20"/>
        </w:rPr>
        <w:t xml:space="preserve"> </w:t>
      </w:r>
    </w:p>
    <w:p w14:paraId="7B6F6467" w14:textId="77777777" w:rsidR="00000000" w:rsidRDefault="00EF48A2">
      <w:pPr>
        <w:spacing w:before="120"/>
        <w:ind w:left="3"/>
        <w:jc w:val="both"/>
        <w:divId w:val="919602308"/>
        <w:rPr>
          <w:rFonts w:eastAsia="Times New Roman"/>
        </w:rPr>
      </w:pPr>
      <w:r>
        <w:rPr>
          <w:rFonts w:eastAsia="Times New Roman"/>
          <w:sz w:val="20"/>
          <w:szCs w:val="20"/>
        </w:rPr>
        <w:t>●</w:t>
      </w:r>
    </w:p>
    <w:p w14:paraId="7B6BB754" w14:textId="77777777" w:rsidR="00000000" w:rsidRDefault="00EF48A2">
      <w:pPr>
        <w:jc w:val="both"/>
        <w:divId w:val="1929149327"/>
        <w:rPr>
          <w:rFonts w:eastAsia="Times New Roman"/>
        </w:rPr>
      </w:pPr>
      <w:r>
        <w:rPr>
          <w:rFonts w:eastAsia="Times New Roman"/>
          <w:sz w:val="20"/>
          <w:szCs w:val="20"/>
        </w:rPr>
        <w:t>changes in the structure of healthcare payment systems;</w:t>
      </w:r>
      <w:r>
        <w:rPr>
          <w:rFonts w:eastAsia="Times New Roman"/>
          <w:sz w:val="20"/>
          <w:szCs w:val="20"/>
        </w:rPr>
        <w:t xml:space="preserve"> </w:t>
      </w:r>
    </w:p>
    <w:p w14:paraId="6E6511B7" w14:textId="77777777" w:rsidR="00000000" w:rsidRDefault="00EF48A2">
      <w:pPr>
        <w:spacing w:before="120"/>
        <w:ind w:left="3"/>
        <w:jc w:val="both"/>
        <w:divId w:val="2084720963"/>
        <w:rPr>
          <w:rFonts w:eastAsia="Times New Roman"/>
        </w:rPr>
      </w:pPr>
      <w:r>
        <w:rPr>
          <w:rFonts w:eastAsia="Times New Roman"/>
          <w:sz w:val="20"/>
          <w:szCs w:val="20"/>
        </w:rPr>
        <w:t>●</w:t>
      </w:r>
    </w:p>
    <w:p w14:paraId="36659197" w14:textId="77777777" w:rsidR="00000000" w:rsidRDefault="00EF48A2">
      <w:pPr>
        <w:jc w:val="both"/>
        <w:divId w:val="1382707801"/>
        <w:rPr>
          <w:rFonts w:eastAsia="Times New Roman"/>
        </w:rPr>
      </w:pPr>
      <w:r>
        <w:rPr>
          <w:rFonts w:eastAsia="Times New Roman"/>
          <w:sz w:val="20"/>
          <w:szCs w:val="20"/>
        </w:rPr>
        <w:t>changes in the market’s expectations about our operating results;</w:t>
      </w:r>
      <w:r>
        <w:rPr>
          <w:rFonts w:eastAsia="Times New Roman"/>
          <w:sz w:val="20"/>
          <w:szCs w:val="20"/>
        </w:rPr>
        <w:t xml:space="preserve"> </w:t>
      </w:r>
    </w:p>
    <w:p w14:paraId="718F2E49" w14:textId="77777777" w:rsidR="00000000" w:rsidRDefault="00EF48A2">
      <w:pPr>
        <w:spacing w:before="120"/>
        <w:ind w:left="3"/>
        <w:jc w:val="both"/>
        <w:divId w:val="2048985598"/>
        <w:rPr>
          <w:rFonts w:eastAsia="Times New Roman"/>
        </w:rPr>
      </w:pPr>
      <w:r>
        <w:rPr>
          <w:rFonts w:eastAsia="Times New Roman"/>
          <w:sz w:val="20"/>
          <w:szCs w:val="20"/>
        </w:rPr>
        <w:t>●</w:t>
      </w:r>
    </w:p>
    <w:p w14:paraId="1CEF9DF5" w14:textId="77777777" w:rsidR="00000000" w:rsidRDefault="00EF48A2">
      <w:pPr>
        <w:jc w:val="both"/>
        <w:divId w:val="534657571"/>
        <w:rPr>
          <w:rFonts w:eastAsia="Times New Roman"/>
        </w:rPr>
      </w:pPr>
      <w:r>
        <w:rPr>
          <w:rFonts w:eastAsia="Times New Roman"/>
          <w:sz w:val="20"/>
          <w:szCs w:val="20"/>
        </w:rPr>
        <w:t>the</w:t>
      </w:r>
      <w:r>
        <w:rPr>
          <w:rFonts w:eastAsia="Times New Roman"/>
          <w:sz w:val="20"/>
          <w:szCs w:val="20"/>
        </w:rPr>
        <w:t xml:space="preserve"> public’s reaction to our press releases, other public announcements and filings with the SEC;</w:t>
      </w:r>
      <w:r>
        <w:rPr>
          <w:rFonts w:eastAsia="Times New Roman"/>
          <w:sz w:val="20"/>
          <w:szCs w:val="20"/>
        </w:rPr>
        <w:t xml:space="preserve"> </w:t>
      </w:r>
    </w:p>
    <w:p w14:paraId="2F8B8829" w14:textId="77777777" w:rsidR="00000000" w:rsidRDefault="00EF48A2">
      <w:pPr>
        <w:spacing w:before="120"/>
        <w:ind w:left="3"/>
        <w:jc w:val="both"/>
        <w:divId w:val="1092512804"/>
        <w:rPr>
          <w:rFonts w:eastAsia="Times New Roman"/>
        </w:rPr>
      </w:pPr>
      <w:r>
        <w:rPr>
          <w:rFonts w:eastAsia="Times New Roman"/>
          <w:sz w:val="20"/>
          <w:szCs w:val="20"/>
        </w:rPr>
        <w:t>●</w:t>
      </w:r>
    </w:p>
    <w:p w14:paraId="16F363AA" w14:textId="77777777" w:rsidR="00000000" w:rsidRDefault="00EF48A2">
      <w:pPr>
        <w:jc w:val="both"/>
        <w:divId w:val="1527675097"/>
        <w:rPr>
          <w:rFonts w:eastAsia="Times New Roman"/>
        </w:rPr>
      </w:pPr>
      <w:r>
        <w:rPr>
          <w:rFonts w:eastAsia="Times New Roman"/>
          <w:sz w:val="20"/>
          <w:szCs w:val="20"/>
        </w:rPr>
        <w:t>speculation in the press or investment community;</w:t>
      </w:r>
      <w:r>
        <w:rPr>
          <w:rFonts w:eastAsia="Times New Roman"/>
          <w:sz w:val="20"/>
          <w:szCs w:val="20"/>
        </w:rPr>
        <w:t xml:space="preserve"> </w:t>
      </w:r>
    </w:p>
    <w:p w14:paraId="12433146" w14:textId="77777777" w:rsidR="00000000" w:rsidRDefault="00EF48A2">
      <w:pPr>
        <w:spacing w:before="120"/>
        <w:ind w:left="3"/>
        <w:jc w:val="both"/>
        <w:divId w:val="1446387204"/>
        <w:rPr>
          <w:rFonts w:eastAsia="Times New Roman"/>
        </w:rPr>
      </w:pPr>
      <w:r>
        <w:rPr>
          <w:rFonts w:eastAsia="Times New Roman"/>
          <w:sz w:val="20"/>
          <w:szCs w:val="20"/>
        </w:rPr>
        <w:t>●</w:t>
      </w:r>
    </w:p>
    <w:p w14:paraId="36C60CF8" w14:textId="77777777" w:rsidR="00000000" w:rsidRDefault="00EF48A2">
      <w:pPr>
        <w:jc w:val="both"/>
        <w:divId w:val="1470241169"/>
        <w:rPr>
          <w:rFonts w:eastAsia="Times New Roman"/>
        </w:rPr>
      </w:pPr>
      <w:r>
        <w:rPr>
          <w:rFonts w:eastAsia="Times New Roman"/>
          <w:sz w:val="20"/>
          <w:szCs w:val="20"/>
        </w:rPr>
        <w:t>commencement of, or involvement in, litigation involving us;</w:t>
      </w:r>
      <w:r>
        <w:rPr>
          <w:rFonts w:eastAsia="Times New Roman"/>
          <w:sz w:val="20"/>
          <w:szCs w:val="20"/>
        </w:rPr>
        <w:t xml:space="preserve"> </w:t>
      </w:r>
    </w:p>
    <w:p w14:paraId="66EC44F5" w14:textId="77777777" w:rsidR="00000000" w:rsidRDefault="00EF48A2">
      <w:pPr>
        <w:spacing w:before="120"/>
        <w:ind w:left="3"/>
        <w:jc w:val="both"/>
        <w:divId w:val="186530694"/>
        <w:rPr>
          <w:rFonts w:eastAsia="Times New Roman"/>
        </w:rPr>
      </w:pPr>
      <w:r>
        <w:rPr>
          <w:rFonts w:eastAsia="Times New Roman"/>
          <w:sz w:val="20"/>
          <w:szCs w:val="20"/>
        </w:rPr>
        <w:t>●</w:t>
      </w:r>
    </w:p>
    <w:p w14:paraId="111E540E" w14:textId="77777777" w:rsidR="00000000" w:rsidRDefault="00EF48A2">
      <w:pPr>
        <w:jc w:val="both"/>
        <w:divId w:val="525101724"/>
        <w:rPr>
          <w:rFonts w:eastAsia="Times New Roman"/>
        </w:rPr>
      </w:pPr>
      <w:r>
        <w:rPr>
          <w:rFonts w:eastAsia="Times New Roman"/>
          <w:sz w:val="20"/>
          <w:szCs w:val="20"/>
        </w:rPr>
        <w:t>changes in our capital structure, such as</w:t>
      </w:r>
      <w:r>
        <w:rPr>
          <w:rFonts w:eastAsia="Times New Roman"/>
          <w:sz w:val="20"/>
          <w:szCs w:val="20"/>
        </w:rPr>
        <w:t xml:space="preserve"> future issuances of securities or the incurrence of additional debt;</w:t>
      </w:r>
      <w:r>
        <w:rPr>
          <w:rFonts w:eastAsia="Times New Roman"/>
          <w:sz w:val="20"/>
          <w:szCs w:val="20"/>
        </w:rPr>
        <w:t xml:space="preserve"> </w:t>
      </w:r>
    </w:p>
    <w:p w14:paraId="538B69E3" w14:textId="77777777" w:rsidR="00000000" w:rsidRDefault="00EF48A2">
      <w:pPr>
        <w:spacing w:before="120"/>
        <w:ind w:left="3"/>
        <w:jc w:val="both"/>
        <w:divId w:val="684552719"/>
        <w:rPr>
          <w:rFonts w:eastAsia="Times New Roman"/>
        </w:rPr>
      </w:pPr>
      <w:r>
        <w:rPr>
          <w:rFonts w:eastAsia="Times New Roman"/>
          <w:sz w:val="20"/>
          <w:szCs w:val="20"/>
        </w:rPr>
        <w:t>●</w:t>
      </w:r>
    </w:p>
    <w:p w14:paraId="266A0A46" w14:textId="77777777" w:rsidR="00000000" w:rsidRDefault="00EF48A2">
      <w:pPr>
        <w:jc w:val="both"/>
        <w:divId w:val="351106834"/>
        <w:rPr>
          <w:rFonts w:eastAsia="Times New Roman"/>
        </w:rPr>
      </w:pPr>
      <w:r>
        <w:rPr>
          <w:rFonts w:eastAsia="Times New Roman"/>
          <w:sz w:val="20"/>
          <w:szCs w:val="20"/>
        </w:rPr>
        <w:t>the volume of our securities available for public sale;</w:t>
      </w:r>
      <w:r>
        <w:rPr>
          <w:rFonts w:eastAsia="Times New Roman"/>
          <w:sz w:val="20"/>
          <w:szCs w:val="20"/>
        </w:rPr>
        <w:t xml:space="preserve"> </w:t>
      </w:r>
    </w:p>
    <w:p w14:paraId="4D18ECFB" w14:textId="77777777" w:rsidR="00000000" w:rsidRDefault="00EF48A2">
      <w:pPr>
        <w:spacing w:before="120"/>
        <w:ind w:left="3"/>
        <w:jc w:val="both"/>
        <w:divId w:val="1380669294"/>
        <w:rPr>
          <w:rFonts w:eastAsia="Times New Roman"/>
        </w:rPr>
      </w:pPr>
      <w:r>
        <w:rPr>
          <w:rFonts w:eastAsia="Times New Roman"/>
          <w:sz w:val="20"/>
          <w:szCs w:val="20"/>
        </w:rPr>
        <w:t>●</w:t>
      </w:r>
    </w:p>
    <w:p w14:paraId="504832F2" w14:textId="77777777" w:rsidR="00000000" w:rsidRDefault="00EF48A2">
      <w:pPr>
        <w:jc w:val="both"/>
        <w:divId w:val="1578520076"/>
        <w:rPr>
          <w:rFonts w:eastAsia="Times New Roman"/>
        </w:rPr>
      </w:pPr>
      <w:r>
        <w:rPr>
          <w:rFonts w:eastAsia="Times New Roman"/>
          <w:sz w:val="20"/>
          <w:szCs w:val="20"/>
        </w:rPr>
        <w:t>changes in our board of directors or management;</w:t>
      </w:r>
      <w:r>
        <w:rPr>
          <w:rFonts w:eastAsia="Times New Roman"/>
          <w:sz w:val="20"/>
          <w:szCs w:val="20"/>
        </w:rPr>
        <w:t xml:space="preserve"> </w:t>
      </w:r>
    </w:p>
    <w:p w14:paraId="7CD75EFA" w14:textId="77777777" w:rsidR="00000000" w:rsidRDefault="00EF48A2">
      <w:pPr>
        <w:spacing w:before="120"/>
        <w:ind w:left="3"/>
        <w:jc w:val="both"/>
        <w:divId w:val="1816070734"/>
        <w:rPr>
          <w:rFonts w:eastAsia="Times New Roman"/>
        </w:rPr>
      </w:pPr>
      <w:r>
        <w:rPr>
          <w:rFonts w:eastAsia="Times New Roman"/>
          <w:sz w:val="20"/>
          <w:szCs w:val="20"/>
        </w:rPr>
        <w:t>●</w:t>
      </w:r>
    </w:p>
    <w:p w14:paraId="6D63A0B1" w14:textId="77777777" w:rsidR="00000000" w:rsidRDefault="00EF48A2">
      <w:pPr>
        <w:jc w:val="both"/>
        <w:divId w:val="1274288386"/>
        <w:rPr>
          <w:rFonts w:eastAsia="Times New Roman"/>
        </w:rPr>
      </w:pPr>
      <w:r>
        <w:rPr>
          <w:rFonts w:eastAsia="Times New Roman"/>
          <w:sz w:val="20"/>
          <w:szCs w:val="20"/>
        </w:rPr>
        <w:t>general economic, industry and market conditions; and</w:t>
      </w:r>
      <w:r>
        <w:rPr>
          <w:rFonts w:eastAsia="Times New Roman"/>
          <w:sz w:val="20"/>
          <w:szCs w:val="20"/>
        </w:rPr>
        <w:t xml:space="preserve"> </w:t>
      </w:r>
    </w:p>
    <w:p w14:paraId="22189A84" w14:textId="77777777" w:rsidR="00000000" w:rsidRDefault="00EF48A2">
      <w:pPr>
        <w:spacing w:before="120"/>
        <w:ind w:left="3"/>
        <w:jc w:val="both"/>
        <w:divId w:val="1612014090"/>
        <w:rPr>
          <w:rFonts w:eastAsia="Times New Roman"/>
        </w:rPr>
      </w:pPr>
      <w:r>
        <w:rPr>
          <w:rFonts w:eastAsia="Times New Roman"/>
          <w:sz w:val="20"/>
          <w:szCs w:val="20"/>
        </w:rPr>
        <w:t>●</w:t>
      </w:r>
    </w:p>
    <w:p w14:paraId="24EC894E" w14:textId="77777777" w:rsidR="00000000" w:rsidRDefault="00EF48A2">
      <w:pPr>
        <w:jc w:val="both"/>
        <w:divId w:val="1297292532"/>
        <w:rPr>
          <w:rFonts w:eastAsia="Times New Roman"/>
        </w:rPr>
      </w:pPr>
      <w:r>
        <w:rPr>
          <w:rFonts w:eastAsia="Times New Roman"/>
          <w:sz w:val="20"/>
          <w:szCs w:val="20"/>
        </w:rPr>
        <w:t>the other factors described in this “Risk Factors” section.</w:t>
      </w:r>
      <w:r>
        <w:rPr>
          <w:rFonts w:eastAsia="Times New Roman"/>
          <w:sz w:val="20"/>
          <w:szCs w:val="20"/>
        </w:rPr>
        <w:t xml:space="preserve"> </w:t>
      </w:r>
    </w:p>
    <w:p w14:paraId="215C3687" w14:textId="77777777" w:rsidR="00000000" w:rsidRDefault="00EF48A2">
      <w:pPr>
        <w:pStyle w:val="a3"/>
        <w:spacing w:before="180" w:beforeAutospacing="0" w:after="0" w:afterAutospacing="0"/>
        <w:jc w:val="both"/>
        <w:rPr>
          <w:sz w:val="20"/>
          <w:szCs w:val="20"/>
        </w:rPr>
      </w:pPr>
      <w:r>
        <w:rPr>
          <w:sz w:val="20"/>
          <w:szCs w:val="20"/>
        </w:rPr>
        <w:t>These market and industry factors may materially reduce the market price of our common stock and warrants regardless of our operating performance</w:t>
      </w:r>
      <w:r>
        <w:rPr>
          <w:sz w:val="20"/>
          <w:szCs w:val="20"/>
        </w:rPr>
        <w:t>.</w:t>
      </w:r>
      <w:r>
        <w:rPr>
          <w:sz w:val="20"/>
          <w:szCs w:val="20"/>
        </w:rPr>
        <w:t xml:space="preserve"> </w:t>
      </w:r>
    </w:p>
    <w:p w14:paraId="69A48D91" w14:textId="77777777" w:rsidR="00000000" w:rsidRDefault="00EF48A2">
      <w:pPr>
        <w:pStyle w:val="a3"/>
        <w:spacing w:before="240" w:beforeAutospacing="0" w:after="0" w:afterAutospacing="0"/>
        <w:jc w:val="both"/>
        <w:rPr>
          <w:sz w:val="20"/>
          <w:szCs w:val="20"/>
        </w:rPr>
      </w:pPr>
      <w:r>
        <w:rPr>
          <w:b/>
          <w:bCs/>
          <w:i/>
          <w:iCs/>
          <w:sz w:val="20"/>
          <w:szCs w:val="20"/>
        </w:rPr>
        <w:t>Economic uncertainties or downturns in the general economy or the industries in which our clients operate co</w:t>
      </w:r>
      <w:r>
        <w:rPr>
          <w:b/>
          <w:bCs/>
          <w:i/>
          <w:iCs/>
          <w:sz w:val="20"/>
          <w:szCs w:val="20"/>
        </w:rPr>
        <w:t>uld disproportionately affect the demand for our solution and negatively impact our results of operations</w:t>
      </w:r>
      <w:r>
        <w:rPr>
          <w:b/>
          <w:bCs/>
          <w:i/>
          <w:iCs/>
          <w:sz w:val="20"/>
          <w:szCs w:val="20"/>
        </w:rPr>
        <w:t>.</w:t>
      </w:r>
    </w:p>
    <w:p w14:paraId="68D7DA2D" w14:textId="77777777" w:rsidR="00000000" w:rsidRDefault="00EF48A2">
      <w:pPr>
        <w:pStyle w:val="a3"/>
        <w:spacing w:before="180" w:beforeAutospacing="0" w:after="0" w:afterAutospacing="0"/>
        <w:jc w:val="both"/>
        <w:rPr>
          <w:sz w:val="20"/>
          <w:szCs w:val="20"/>
        </w:rPr>
      </w:pPr>
      <w:r>
        <w:rPr>
          <w:sz w:val="20"/>
          <w:szCs w:val="20"/>
        </w:rPr>
        <w:t xml:space="preserve">General worldwide economic conditions have experienced significant downturns during the last ten years, and market volatility and uncertainty remain </w:t>
      </w:r>
      <w:r>
        <w:rPr>
          <w:sz w:val="20"/>
          <w:szCs w:val="20"/>
        </w:rPr>
        <w:t>widespread, making it potentially very difficult for our clients and us to accurately forecast and plan future business activities. During challenging economic times, our clients may have difficulty gaining timely access to sufficient credit or obtaining c</w:t>
      </w:r>
      <w:r>
        <w:rPr>
          <w:sz w:val="20"/>
          <w:szCs w:val="20"/>
        </w:rPr>
        <w:t>redit on reasonable terms, which could impair their ability to make timely payments to us and adversely affect our revenue. If that were to occur, our financial results could be harmed. Further, challenging economic conditions may impair the ability of our</w:t>
      </w:r>
      <w:r>
        <w:rPr>
          <w:sz w:val="20"/>
          <w:szCs w:val="20"/>
        </w:rPr>
        <w:t xml:space="preserve"> clients to pay for the software-based products and services they already have purchased from us and, as a result, our write-offs of accounts receivable could increase. We cannot predict the timing, strength or duration of any economic slowdown or recovery</w:t>
      </w:r>
      <w:r>
        <w:rPr>
          <w:sz w:val="20"/>
          <w:szCs w:val="20"/>
        </w:rPr>
        <w:t>. If the condition of the general economy or markets in which we operate worsens, our business could be harmed</w:t>
      </w:r>
      <w:r>
        <w:rPr>
          <w:sz w:val="20"/>
          <w:szCs w:val="20"/>
        </w:rPr>
        <w:t>.</w:t>
      </w:r>
      <w:r>
        <w:rPr>
          <w:sz w:val="20"/>
          <w:szCs w:val="20"/>
        </w:rPr>
        <w:t xml:space="preserve"> </w:t>
      </w:r>
    </w:p>
    <w:p w14:paraId="3BD9DCC5" w14:textId="77777777" w:rsidR="00000000" w:rsidRDefault="00EF48A2">
      <w:pPr>
        <w:pStyle w:val="a3"/>
        <w:spacing w:before="240" w:beforeAutospacing="0" w:after="0" w:afterAutospacing="0"/>
        <w:jc w:val="both"/>
        <w:rPr>
          <w:sz w:val="20"/>
          <w:szCs w:val="20"/>
        </w:rPr>
      </w:pPr>
      <w:r>
        <w:rPr>
          <w:b/>
          <w:bCs/>
          <w:i/>
          <w:iCs/>
          <w:sz w:val="20"/>
          <w:szCs w:val="20"/>
        </w:rPr>
        <w:t>We may need to raise additional capital in the future in order to execute our business plans, which may not be available on terms acceptable to</w:t>
      </w:r>
      <w:r>
        <w:rPr>
          <w:b/>
          <w:bCs/>
          <w:i/>
          <w:iCs/>
          <w:sz w:val="20"/>
          <w:szCs w:val="20"/>
        </w:rPr>
        <w:t xml:space="preserve"> us, or at all</w:t>
      </w:r>
      <w:r>
        <w:rPr>
          <w:b/>
          <w:bCs/>
          <w:i/>
          <w:iCs/>
          <w:sz w:val="20"/>
          <w:szCs w:val="20"/>
        </w:rPr>
        <w:t>.</w:t>
      </w:r>
      <w:r>
        <w:rPr>
          <w:b/>
          <w:bCs/>
          <w:i/>
          <w:iCs/>
          <w:sz w:val="20"/>
          <w:szCs w:val="20"/>
        </w:rPr>
        <w:t xml:space="preserve"> </w:t>
      </w:r>
    </w:p>
    <w:p w14:paraId="2FF7450A" w14:textId="77777777" w:rsidR="00000000" w:rsidRDefault="00EF48A2">
      <w:pPr>
        <w:pStyle w:val="a3"/>
        <w:spacing w:before="180" w:beforeAutospacing="0" w:after="0" w:afterAutospacing="0"/>
        <w:jc w:val="both"/>
        <w:rPr>
          <w:sz w:val="20"/>
          <w:szCs w:val="20"/>
        </w:rPr>
      </w:pPr>
      <w:r>
        <w:rPr>
          <w:sz w:val="20"/>
          <w:szCs w:val="20"/>
        </w:rPr>
        <w:t>We have experienced recurring losses from operations, and negative cash flows at operations, and we expect our operating expenses will increase in the foreseeable future. We believe our cash and cash equivalents on hand following the Busin</w:t>
      </w:r>
      <w:r>
        <w:rPr>
          <w:sz w:val="20"/>
          <w:szCs w:val="20"/>
        </w:rPr>
        <w:t>ess Combination, together with cash we expect to generate from future operations, will be sufficient to meet our working capital and capital expenditure requirements in the near future. However, in the future we may still require additional capital to resp</w:t>
      </w:r>
      <w:r>
        <w:rPr>
          <w:sz w:val="20"/>
          <w:szCs w:val="20"/>
        </w:rPr>
        <w:t>ond to technological advancements, competitive dynamics or technologies, customer demands, business opportunities, challenges</w:t>
      </w:r>
      <w:r>
        <w:rPr>
          <w:sz w:val="20"/>
          <w:szCs w:val="20"/>
        </w:rPr>
        <w:t>,</w:t>
      </w:r>
      <w:r>
        <w:rPr>
          <w:sz w:val="20"/>
          <w:szCs w:val="20"/>
        </w:rPr>
        <w:t xml:space="preserve"> </w:t>
      </w:r>
    </w:p>
    <w:p w14:paraId="3C205172"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1</w:t>
      </w:r>
    </w:p>
    <w:p w14:paraId="3EE160D3" w14:textId="77777777" w:rsidR="00000000" w:rsidRDefault="00EF48A2">
      <w:pPr>
        <w:rPr>
          <w:rFonts w:eastAsia="Times New Roman"/>
        </w:rPr>
      </w:pPr>
      <w:r>
        <w:rPr>
          <w:rFonts w:eastAsia="Times New Roman"/>
        </w:rPr>
        <w:pict w14:anchorId="6714A25D">
          <v:rect id="_x0000_i1068" style="width:0;height:1.5pt" o:hralign="center" o:hrstd="t" o:hr="t" fillcolor="#a0a0a0" stroked="f"/>
        </w:pict>
      </w:r>
    </w:p>
    <w:p w14:paraId="674C5365"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7628343D" w14:textId="77777777" w:rsidR="00000000" w:rsidRDefault="00EF48A2">
      <w:pPr>
        <w:pStyle w:val="a3"/>
        <w:spacing w:before="180" w:beforeAutospacing="0" w:after="0" w:afterAutospacing="0"/>
        <w:jc w:val="both"/>
        <w:rPr>
          <w:sz w:val="20"/>
          <w:szCs w:val="20"/>
        </w:rPr>
      </w:pPr>
      <w:r>
        <w:rPr>
          <w:sz w:val="20"/>
          <w:szCs w:val="20"/>
        </w:rPr>
        <w:t>acquisitions or unforeseen circumstance</w:t>
      </w:r>
      <w:r>
        <w:rPr>
          <w:sz w:val="20"/>
          <w:szCs w:val="20"/>
        </w:rPr>
        <w:t>s and we may determine to engage in equity or debt financings or enter into credit facilities for other reasons. We may not be able to timely secure additional debt or equity financing on favorable terms, or at all. If we raise additional funds through the</w:t>
      </w:r>
      <w:r>
        <w:rPr>
          <w:sz w:val="20"/>
          <w:szCs w:val="20"/>
        </w:rPr>
        <w:t xml:space="preserve"> issuance of equity or convertible debt or other equity-linked securities, our existing stockholders could experience significant dilution. Any debt financing obtained by us in the future could involve restrictive covenants relating to our capital raising </w:t>
      </w:r>
      <w:r>
        <w:rPr>
          <w:sz w:val="20"/>
          <w:szCs w:val="20"/>
        </w:rPr>
        <w:t xml:space="preserve">activities and other financial and operational matters, which may make it more difficult for us to obtain additional capital and to pursue business opportunities, including potential acquisitions. If we are unable to obtain adequate financing or financing </w:t>
      </w:r>
      <w:r>
        <w:rPr>
          <w:sz w:val="20"/>
          <w:szCs w:val="20"/>
        </w:rPr>
        <w:t>on terms satisfactory to us, when we require it, our ability to continue to grow or support our business and to respond to business challenges could be significantly limited</w:t>
      </w:r>
      <w:r>
        <w:rPr>
          <w:sz w:val="20"/>
          <w:szCs w:val="20"/>
        </w:rPr>
        <w:t>.</w:t>
      </w:r>
    </w:p>
    <w:p w14:paraId="7F68ED3C" w14:textId="77777777" w:rsidR="00000000" w:rsidRDefault="00EF48A2">
      <w:pPr>
        <w:pStyle w:val="a3"/>
        <w:spacing w:before="180" w:beforeAutospacing="0" w:after="0" w:afterAutospacing="0"/>
        <w:jc w:val="both"/>
        <w:rPr>
          <w:sz w:val="20"/>
          <w:szCs w:val="20"/>
        </w:rPr>
      </w:pPr>
      <w:r>
        <w:rPr>
          <w:b/>
          <w:bCs/>
          <w:i/>
          <w:iCs/>
          <w:sz w:val="20"/>
          <w:szCs w:val="20"/>
        </w:rPr>
        <w:t>We may be subject to securities and/or other litigation, which is expensive, time</w:t>
      </w:r>
      <w:r>
        <w:rPr>
          <w:b/>
          <w:bCs/>
          <w:i/>
          <w:iCs/>
          <w:sz w:val="20"/>
          <w:szCs w:val="20"/>
        </w:rPr>
        <w:t>-consuming and could divert management attention</w:t>
      </w:r>
      <w:r>
        <w:rPr>
          <w:b/>
          <w:bCs/>
          <w:i/>
          <w:iCs/>
          <w:sz w:val="20"/>
          <w:szCs w:val="20"/>
        </w:rPr>
        <w:t>.</w:t>
      </w:r>
      <w:r>
        <w:rPr>
          <w:b/>
          <w:bCs/>
          <w:i/>
          <w:iCs/>
          <w:sz w:val="20"/>
          <w:szCs w:val="20"/>
        </w:rPr>
        <w:t xml:space="preserve"> </w:t>
      </w:r>
    </w:p>
    <w:p w14:paraId="77621858" w14:textId="77777777" w:rsidR="00000000" w:rsidRDefault="00EF48A2">
      <w:pPr>
        <w:pStyle w:val="a3"/>
        <w:spacing w:before="180" w:beforeAutospacing="0" w:after="0" w:afterAutospacing="0"/>
        <w:jc w:val="both"/>
        <w:rPr>
          <w:sz w:val="20"/>
          <w:szCs w:val="20"/>
        </w:rPr>
      </w:pPr>
      <w:r>
        <w:rPr>
          <w:sz w:val="20"/>
          <w:szCs w:val="20"/>
        </w:rPr>
        <w:t>The market price of our securities may be volatile and, in the past, companies that have experienced volatility in the market price of their securities have been subject to securities class action litigati</w:t>
      </w:r>
      <w:r>
        <w:rPr>
          <w:sz w:val="20"/>
          <w:szCs w:val="20"/>
        </w:rPr>
        <w:t>on. We may face allegations or litigation related to, among other things, securities issuances or business practices. For example, putative class action lawsuits have been filed by certain of our shareholders against us and certain of our current and forme</w:t>
      </w:r>
      <w:r>
        <w:rPr>
          <w:sz w:val="20"/>
          <w:szCs w:val="20"/>
        </w:rPr>
        <w:t xml:space="preserve">r officers and directors alleging certain violations of the federal securities laws in connection with certain statements we have made regarding our business and financial condition. See Note 7, “Commitments and Contingent Liabilities” in the notes to the </w:t>
      </w:r>
      <w:r>
        <w:rPr>
          <w:sz w:val="20"/>
          <w:szCs w:val="20"/>
        </w:rPr>
        <w:t xml:space="preserve">consolidated financial statements for further details. Additionally, we may become subject, from time to time, to other legal proceedings, payor audits, investigations, and claims that arise in the ordinary course of business such as claims brought by our </w:t>
      </w:r>
      <w:r>
        <w:rPr>
          <w:sz w:val="20"/>
          <w:szCs w:val="20"/>
        </w:rPr>
        <w:t>clients in connection with commercial disputes or employment claims made by our current or former associates. Litigation disputes, including the disputes we are currently facing, could cause us to incur unforeseen expenses, result in content unavailability</w:t>
      </w:r>
      <w:r>
        <w:rPr>
          <w:sz w:val="20"/>
          <w:szCs w:val="20"/>
        </w:rPr>
        <w:t>, and otherwise occupy a significant amount of our management’s time and attention, any of which could negatively affect our business operations and financial position. While the ultimate outcome of investigations, inquiries, information requests and relat</w:t>
      </w:r>
      <w:r>
        <w:rPr>
          <w:sz w:val="20"/>
          <w:szCs w:val="20"/>
        </w:rPr>
        <w:t>ed legal proceedings is difficult to predict, such matters can be expensive, time-consuming and distracting, and adverse resolutions or settlements of those matters may result in, among other things, modification of our business practices, reputational har</w:t>
      </w:r>
      <w:r>
        <w:rPr>
          <w:sz w:val="20"/>
          <w:szCs w:val="20"/>
        </w:rPr>
        <w:t xml:space="preserve">m or costs and significant payments, any of which could negatively affect our business operations and financial position. Insurance may not cover such claims, may not provide sufficient payments to cover all of the costs to resolve one or more such claims </w:t>
      </w:r>
      <w:r>
        <w:rPr>
          <w:sz w:val="20"/>
          <w:szCs w:val="20"/>
        </w:rPr>
        <w:t>and may not continue to be available on terms acceptable to us. A claim brought against us that is uninsured or underinsured could result in unanticipated costs, thereby reducing our earnings and leading analysts or potential investors to reduce their expe</w:t>
      </w:r>
      <w:r>
        <w:rPr>
          <w:sz w:val="20"/>
          <w:szCs w:val="20"/>
        </w:rPr>
        <w:t>ctations of our performance, which could reduce the market price of our stock</w:t>
      </w:r>
      <w:r>
        <w:rPr>
          <w:sz w:val="20"/>
          <w:szCs w:val="20"/>
        </w:rPr>
        <w:t>.</w:t>
      </w:r>
      <w:r>
        <w:rPr>
          <w:sz w:val="20"/>
          <w:szCs w:val="20"/>
        </w:rPr>
        <w:t xml:space="preserve"> </w:t>
      </w:r>
    </w:p>
    <w:p w14:paraId="094CEA6C" w14:textId="77777777" w:rsidR="00000000" w:rsidRDefault="00EF48A2">
      <w:pPr>
        <w:pStyle w:val="a3"/>
        <w:spacing w:before="240" w:beforeAutospacing="0" w:after="0" w:afterAutospacing="0"/>
        <w:jc w:val="both"/>
        <w:rPr>
          <w:sz w:val="20"/>
          <w:szCs w:val="20"/>
        </w:rPr>
      </w:pPr>
      <w:r>
        <w:rPr>
          <w:b/>
          <w:bCs/>
          <w:i/>
          <w:iCs/>
          <w:sz w:val="20"/>
          <w:szCs w:val="20"/>
        </w:rPr>
        <w:t>Reports published by analysts, including projections in those reports that differ from our actual results, could adversely affect the price and trading volume of our common sto</w:t>
      </w:r>
      <w:r>
        <w:rPr>
          <w:b/>
          <w:bCs/>
          <w:i/>
          <w:iCs/>
          <w:sz w:val="20"/>
          <w:szCs w:val="20"/>
        </w:rPr>
        <w:t>ck</w:t>
      </w:r>
      <w:r>
        <w:rPr>
          <w:b/>
          <w:bCs/>
          <w:i/>
          <w:iCs/>
          <w:sz w:val="20"/>
          <w:szCs w:val="20"/>
        </w:rPr>
        <w:t>.</w:t>
      </w:r>
      <w:r>
        <w:rPr>
          <w:b/>
          <w:bCs/>
          <w:i/>
          <w:iCs/>
          <w:sz w:val="20"/>
          <w:szCs w:val="20"/>
        </w:rPr>
        <w:t xml:space="preserve"> </w:t>
      </w:r>
    </w:p>
    <w:p w14:paraId="66C9EDD9" w14:textId="77777777" w:rsidR="00000000" w:rsidRDefault="00EF48A2">
      <w:pPr>
        <w:pStyle w:val="a3"/>
        <w:spacing w:before="180" w:beforeAutospacing="0" w:after="0" w:afterAutospacing="0"/>
        <w:jc w:val="both"/>
        <w:rPr>
          <w:sz w:val="20"/>
          <w:szCs w:val="20"/>
        </w:rPr>
      </w:pPr>
      <w:r>
        <w:rPr>
          <w:sz w:val="20"/>
          <w:szCs w:val="20"/>
        </w:rPr>
        <w:t>Securities research analysts may establish and publish their own periodic projections for our business. These projections may vary widely and may not accurately predict the results we actually achieve. Our share price may decline if our actual results</w:t>
      </w:r>
      <w:r>
        <w:rPr>
          <w:sz w:val="20"/>
          <w:szCs w:val="20"/>
        </w:rPr>
        <w:t xml:space="preserve"> do not match the projections of these securities research analysts. Similarly, if one or more of the analysts who write reports on us downgrades our stock or publishes inaccurate or unfavorable research about our business, our share price could decline. I</w:t>
      </w:r>
      <w:r>
        <w:rPr>
          <w:sz w:val="20"/>
          <w:szCs w:val="20"/>
        </w:rPr>
        <w:t>f one or more of these analysts ceases coverage of us or fails to publish reports on us regularly, our securities price or trading volume could decline. While we expect to receive research analyst coverage, if no analysts commence coverage of us, the marke</w:t>
      </w:r>
      <w:r>
        <w:rPr>
          <w:sz w:val="20"/>
          <w:szCs w:val="20"/>
        </w:rPr>
        <w:t>t price and volume for our securities could be adversely affected</w:t>
      </w:r>
      <w:r>
        <w:rPr>
          <w:sz w:val="20"/>
          <w:szCs w:val="20"/>
        </w:rPr>
        <w:t>.</w:t>
      </w:r>
    </w:p>
    <w:p w14:paraId="6BB69C02" w14:textId="77777777" w:rsidR="00000000" w:rsidRDefault="00EF48A2">
      <w:pPr>
        <w:pStyle w:val="a3"/>
        <w:spacing w:before="240" w:beforeAutospacing="0" w:after="0" w:afterAutospacing="0"/>
        <w:jc w:val="both"/>
        <w:rPr>
          <w:sz w:val="20"/>
          <w:szCs w:val="20"/>
        </w:rPr>
      </w:pPr>
      <w:r>
        <w:rPr>
          <w:b/>
          <w:bCs/>
          <w:i/>
          <w:iCs/>
          <w:sz w:val="20"/>
          <w:szCs w:val="20"/>
        </w:rPr>
        <w:t>We could experience losses or liability not covered by insurance</w:t>
      </w:r>
      <w:r>
        <w:rPr>
          <w:b/>
          <w:bCs/>
          <w:i/>
          <w:iCs/>
          <w:sz w:val="20"/>
          <w:szCs w:val="20"/>
        </w:rPr>
        <w:t>.</w:t>
      </w:r>
      <w:r>
        <w:rPr>
          <w:b/>
          <w:bCs/>
          <w:i/>
          <w:iCs/>
          <w:sz w:val="20"/>
          <w:szCs w:val="20"/>
        </w:rPr>
        <w:t xml:space="preserve"> </w:t>
      </w:r>
    </w:p>
    <w:p w14:paraId="578BF46F" w14:textId="77777777" w:rsidR="00000000" w:rsidRDefault="00EF48A2">
      <w:pPr>
        <w:pStyle w:val="a3"/>
        <w:spacing w:before="180" w:beforeAutospacing="0" w:after="0" w:afterAutospacing="0"/>
        <w:jc w:val="both"/>
        <w:rPr>
          <w:sz w:val="20"/>
          <w:szCs w:val="20"/>
        </w:rPr>
      </w:pPr>
      <w:r>
        <w:rPr>
          <w:sz w:val="20"/>
          <w:szCs w:val="20"/>
        </w:rPr>
        <w:t xml:space="preserve">Our business exposes us to risks that are inherent in the provision of virtual behavioral healthcare. If clients, members </w:t>
      </w:r>
      <w:r>
        <w:rPr>
          <w:sz w:val="20"/>
          <w:szCs w:val="20"/>
        </w:rPr>
        <w:t>or other individuals assert liability claims against us, any ensuing litigation, regardless of outcome, could result in a substantial cost to us, divert management’s attention from operations, and decrease market acceptance of our solution. We attempt to l</w:t>
      </w:r>
      <w:r>
        <w:rPr>
          <w:sz w:val="20"/>
          <w:szCs w:val="20"/>
        </w:rPr>
        <w:t>imit our liability to clients and members by contract; however, the limitations of liability set forth in the contracts may not be enforceable or may not otherwise protect us from liability for damages. Additionally, we may be subject to claims that are no</w:t>
      </w:r>
      <w:r>
        <w:rPr>
          <w:sz w:val="20"/>
          <w:szCs w:val="20"/>
        </w:rPr>
        <w:t>t explicitly covered by contract. We also maintain general liability coverage; however, this coverage may not continue to be available on acceptable terms, may not be available in sufficient amounts to cover one or more large claims against us, and may inc</w:t>
      </w:r>
      <w:r>
        <w:rPr>
          <w:sz w:val="20"/>
          <w:szCs w:val="20"/>
        </w:rPr>
        <w:t>lude larger self-insured retentions or exclusions for certain products. In addition, the insurer might disclaim coverage as to any future claim. A successful claim not fully covered by our insurance could have a material adverse impact on our liquidity, fi</w:t>
      </w:r>
      <w:r>
        <w:rPr>
          <w:sz w:val="20"/>
          <w:szCs w:val="20"/>
        </w:rPr>
        <w:t>nancial condition, and results of operations</w:t>
      </w:r>
      <w:r>
        <w:rPr>
          <w:sz w:val="20"/>
          <w:szCs w:val="20"/>
        </w:rPr>
        <w:t>.</w:t>
      </w:r>
    </w:p>
    <w:p w14:paraId="2F2D1BF8" w14:textId="77777777" w:rsidR="00000000" w:rsidRDefault="00EF48A2">
      <w:pPr>
        <w:pStyle w:val="a3"/>
        <w:spacing w:before="0" w:beforeAutospacing="0" w:after="0" w:afterAutospacing="0"/>
        <w:rPr>
          <w:sz w:val="20"/>
          <w:szCs w:val="20"/>
        </w:rPr>
      </w:pPr>
      <w:r>
        <w:rPr>
          <w:sz w:val="20"/>
          <w:szCs w:val="20"/>
        </w:rPr>
        <w:t> </w:t>
      </w:r>
    </w:p>
    <w:p w14:paraId="7096C42B"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2</w:t>
      </w:r>
    </w:p>
    <w:p w14:paraId="62F0A5F9" w14:textId="77777777" w:rsidR="00000000" w:rsidRDefault="00EF48A2">
      <w:pPr>
        <w:rPr>
          <w:rFonts w:eastAsia="Times New Roman"/>
        </w:rPr>
      </w:pPr>
      <w:r>
        <w:rPr>
          <w:rFonts w:eastAsia="Times New Roman"/>
        </w:rPr>
        <w:pict w14:anchorId="1DA5C1E6">
          <v:rect id="_x0000_i1069" style="width:0;height:1.5pt" o:hralign="center" o:hrstd="t" o:hr="t" fillcolor="#a0a0a0" stroked="f"/>
        </w:pict>
      </w:r>
    </w:p>
    <w:p w14:paraId="451C2124"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3303A31" w14:textId="77777777" w:rsidR="00000000" w:rsidRDefault="00EF48A2">
      <w:pPr>
        <w:pStyle w:val="a3"/>
        <w:spacing w:before="0" w:beforeAutospacing="0" w:after="0" w:afterAutospacing="0"/>
        <w:rPr>
          <w:sz w:val="20"/>
          <w:szCs w:val="20"/>
        </w:rPr>
      </w:pPr>
      <w:r>
        <w:rPr>
          <w:sz w:val="20"/>
          <w:szCs w:val="20"/>
        </w:rPr>
        <w:t> </w:t>
      </w:r>
    </w:p>
    <w:p w14:paraId="4C355B04" w14:textId="77777777" w:rsidR="00000000" w:rsidRDefault="00EF48A2">
      <w:pPr>
        <w:pStyle w:val="a3"/>
        <w:spacing w:before="0" w:beforeAutospacing="0" w:after="0" w:afterAutospacing="0"/>
        <w:rPr>
          <w:sz w:val="20"/>
          <w:szCs w:val="20"/>
        </w:rPr>
      </w:pPr>
      <w:r>
        <w:rPr>
          <w:b/>
          <w:bCs/>
          <w:sz w:val="20"/>
          <w:szCs w:val="20"/>
        </w:rPr>
        <w:t>I</w:t>
      </w:r>
      <w:r>
        <w:rPr>
          <w:b/>
          <w:bCs/>
          <w:sz w:val="20"/>
          <w:szCs w:val="20"/>
        </w:rPr>
        <w:t>t</w:t>
      </w:r>
      <w:r>
        <w:rPr>
          <w:b/>
          <w:bCs/>
          <w:sz w:val="20"/>
          <w:szCs w:val="20"/>
        </w:rPr>
        <w:t>em 1B. UNRESOLVED STAFF COMMENT</w:t>
      </w:r>
      <w:r>
        <w:rPr>
          <w:b/>
          <w:bCs/>
          <w:sz w:val="20"/>
          <w:szCs w:val="20"/>
        </w:rPr>
        <w:t>S</w:t>
      </w:r>
    </w:p>
    <w:p w14:paraId="35F193E7" w14:textId="77777777" w:rsidR="00000000" w:rsidRDefault="00EF48A2">
      <w:pPr>
        <w:pStyle w:val="a3"/>
        <w:spacing w:before="180" w:beforeAutospacing="0" w:after="0" w:afterAutospacing="0"/>
        <w:jc w:val="both"/>
        <w:rPr>
          <w:sz w:val="20"/>
          <w:szCs w:val="20"/>
        </w:rPr>
      </w:pPr>
      <w:r>
        <w:rPr>
          <w:sz w:val="20"/>
          <w:szCs w:val="20"/>
        </w:rPr>
        <w:t>None</w:t>
      </w:r>
      <w:r>
        <w:rPr>
          <w:sz w:val="20"/>
          <w:szCs w:val="20"/>
        </w:rPr>
        <w:t>.</w:t>
      </w:r>
    </w:p>
    <w:p w14:paraId="0FC3CA88"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2. PROPERTIE</w:t>
      </w:r>
      <w:r>
        <w:rPr>
          <w:b/>
          <w:bCs/>
          <w:sz w:val="20"/>
          <w:szCs w:val="20"/>
        </w:rPr>
        <w:t>S</w:t>
      </w:r>
    </w:p>
    <w:p w14:paraId="653D6D10" w14:textId="77777777" w:rsidR="00000000" w:rsidRDefault="00EF48A2">
      <w:pPr>
        <w:pStyle w:val="a3"/>
        <w:spacing w:before="180" w:beforeAutospacing="0" w:after="0" w:afterAutospacing="0"/>
        <w:jc w:val="both"/>
        <w:rPr>
          <w:sz w:val="20"/>
          <w:szCs w:val="20"/>
        </w:rPr>
      </w:pPr>
      <w:r>
        <w:rPr>
          <w:sz w:val="20"/>
          <w:szCs w:val="20"/>
        </w:rPr>
        <w:t>The Company was a remote-only company with no permanent physical office space until recently. In the fourth quarter of 2022, the Company entered into a long-term sublease agreement for new office space in New York, NY. As of December 31, 2022, the majority</w:t>
      </w:r>
      <w:r>
        <w:rPr>
          <w:sz w:val="20"/>
          <w:szCs w:val="20"/>
        </w:rPr>
        <w:t xml:space="preserve"> of the Company’s employees are still working remotely</w:t>
      </w:r>
      <w:r>
        <w:rPr>
          <w:sz w:val="20"/>
          <w:szCs w:val="20"/>
        </w:rPr>
        <w:t>.</w:t>
      </w:r>
    </w:p>
    <w:p w14:paraId="008DFEB8" w14:textId="77777777" w:rsidR="00000000" w:rsidRDefault="00EF48A2">
      <w:pPr>
        <w:pStyle w:val="a3"/>
        <w:spacing w:before="180" w:beforeAutospacing="0" w:after="0" w:afterAutospacing="0"/>
        <w:jc w:val="both"/>
        <w:rPr>
          <w:sz w:val="20"/>
          <w:szCs w:val="20"/>
        </w:rPr>
      </w:pPr>
      <w:r>
        <w:rPr>
          <w:sz w:val="20"/>
          <w:szCs w:val="20"/>
        </w:rPr>
        <w:t>The Company has limited operations outside the United States. The Company has one foreign subsidiary located in Israel which leases its operating facilities under a month-to-month operating lease agre</w:t>
      </w:r>
      <w:r>
        <w:rPr>
          <w:sz w:val="20"/>
          <w:szCs w:val="20"/>
        </w:rPr>
        <w:t>ement</w:t>
      </w:r>
      <w:r>
        <w:rPr>
          <w:sz w:val="20"/>
          <w:szCs w:val="20"/>
        </w:rPr>
        <w:t>.</w:t>
      </w:r>
    </w:p>
    <w:p w14:paraId="62718EA4" w14:textId="77777777" w:rsidR="00000000" w:rsidRDefault="00EF48A2">
      <w:pPr>
        <w:pStyle w:val="a3"/>
        <w:spacing w:before="180" w:beforeAutospacing="0" w:after="0" w:afterAutospacing="0"/>
        <w:jc w:val="both"/>
        <w:rPr>
          <w:sz w:val="20"/>
          <w:szCs w:val="20"/>
        </w:rPr>
      </w:pPr>
      <w:r>
        <w:rPr>
          <w:sz w:val="20"/>
          <w:szCs w:val="20"/>
        </w:rPr>
        <w:t>The Company does not view any of its leased facilities as material to its business</w:t>
      </w:r>
      <w:r>
        <w:rPr>
          <w:sz w:val="20"/>
          <w:szCs w:val="20"/>
        </w:rPr>
        <w:t>.</w:t>
      </w:r>
    </w:p>
    <w:p w14:paraId="397A1374" w14:textId="77777777" w:rsidR="00000000" w:rsidRDefault="00EF48A2">
      <w:pPr>
        <w:pStyle w:val="a3"/>
        <w:spacing w:before="360" w:beforeAutospacing="0" w:after="0" w:afterAutospacing="0"/>
        <w:rPr>
          <w:sz w:val="20"/>
          <w:szCs w:val="20"/>
        </w:rPr>
      </w:pPr>
      <w:r>
        <w:rPr>
          <w:b/>
          <w:bCs/>
          <w:sz w:val="20"/>
          <w:szCs w:val="20"/>
        </w:rPr>
        <w:t>It</w:t>
      </w:r>
      <w:r>
        <w:rPr>
          <w:b/>
          <w:bCs/>
          <w:sz w:val="20"/>
          <w:szCs w:val="20"/>
        </w:rPr>
        <w:t>e</w:t>
      </w:r>
      <w:r>
        <w:rPr>
          <w:b/>
          <w:bCs/>
          <w:sz w:val="20"/>
          <w:szCs w:val="20"/>
        </w:rPr>
        <w:t>m 3. LEGAL PROCEEDING</w:t>
      </w:r>
      <w:r>
        <w:rPr>
          <w:b/>
          <w:bCs/>
          <w:sz w:val="20"/>
          <w:szCs w:val="20"/>
        </w:rPr>
        <w:t>S</w:t>
      </w:r>
    </w:p>
    <w:p w14:paraId="1B492155" w14:textId="77777777" w:rsidR="00000000" w:rsidRDefault="00EF48A2">
      <w:pPr>
        <w:pStyle w:val="a3"/>
        <w:spacing w:before="180" w:beforeAutospacing="0" w:after="0" w:afterAutospacing="0"/>
        <w:jc w:val="both"/>
        <w:rPr>
          <w:sz w:val="20"/>
          <w:szCs w:val="20"/>
        </w:rPr>
      </w:pPr>
      <w:r>
        <w:rPr>
          <w:sz w:val="20"/>
          <w:szCs w:val="20"/>
        </w:rPr>
        <w:t>We are presently a party to certain class action lawsuits for which a settlement was reached in February 2023 ending the ongoing litigation</w:t>
      </w:r>
      <w:r>
        <w:rPr>
          <w:sz w:val="20"/>
          <w:szCs w:val="20"/>
        </w:rPr>
        <w:t>. The settlement for these lawsuits will have to be approved by the court, which the Company expects will occur in the second or third quarter of 2023. See Note 7, “Commitments and Contingent Liabilities” in the notes to the consolidated financial statemen</w:t>
      </w:r>
      <w:r>
        <w:rPr>
          <w:sz w:val="20"/>
          <w:szCs w:val="20"/>
        </w:rPr>
        <w:t>ts for further details</w:t>
      </w:r>
      <w:r>
        <w:rPr>
          <w:sz w:val="20"/>
          <w:szCs w:val="20"/>
        </w:rPr>
        <w:t>.</w:t>
      </w:r>
    </w:p>
    <w:p w14:paraId="5F908BB3" w14:textId="77777777" w:rsidR="00000000" w:rsidRDefault="00EF48A2">
      <w:pPr>
        <w:pStyle w:val="a3"/>
        <w:spacing w:before="180" w:beforeAutospacing="0" w:after="0" w:afterAutospacing="0"/>
        <w:jc w:val="both"/>
        <w:rPr>
          <w:sz w:val="20"/>
          <w:szCs w:val="20"/>
        </w:rPr>
      </w:pPr>
      <w:r>
        <w:rPr>
          <w:sz w:val="20"/>
          <w:szCs w:val="20"/>
        </w:rPr>
        <w:t>In addition to the foregoing, the Company may in the future be involved in various legal proceedings, claims and litigation that arise in the normal course of business. The Company accrues for estimated loss contingencies related to</w:t>
      </w:r>
      <w:r>
        <w:rPr>
          <w:sz w:val="20"/>
          <w:szCs w:val="20"/>
        </w:rPr>
        <w:t xml:space="preserve"> legal matters when available information indicates that it is probable a liability had been incurred and the Company can reasonably estimate the amount of that loss. In many proceedings, however, it is inherently difficult to determine whether any loss is</w:t>
      </w:r>
      <w:r>
        <w:rPr>
          <w:sz w:val="20"/>
          <w:szCs w:val="20"/>
        </w:rPr>
        <w:t xml:space="preserve"> probable or even possible or to estimate the amount of any loss. In addition, even where a loss is possible or an exposure to loss exists in excess of the liability already accrued with respect to a previously recognized loss contingency, it is often not </w:t>
      </w:r>
      <w:r>
        <w:rPr>
          <w:sz w:val="20"/>
          <w:szCs w:val="20"/>
        </w:rPr>
        <w:t>possible to reasonably estimate the size of the possible loss or range of loss or possible additional losses or range of additional losses</w:t>
      </w:r>
      <w:r>
        <w:rPr>
          <w:sz w:val="20"/>
          <w:szCs w:val="20"/>
        </w:rPr>
        <w:t>.</w:t>
      </w:r>
    </w:p>
    <w:p w14:paraId="474C395A"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4. MINE SAFETY DISCLOSURE</w:t>
      </w:r>
      <w:r>
        <w:rPr>
          <w:b/>
          <w:bCs/>
          <w:sz w:val="20"/>
          <w:szCs w:val="20"/>
        </w:rPr>
        <w:t>S</w:t>
      </w:r>
    </w:p>
    <w:p w14:paraId="52411E0A" w14:textId="77777777" w:rsidR="00000000" w:rsidRDefault="00EF48A2">
      <w:pPr>
        <w:pStyle w:val="a3"/>
        <w:spacing w:before="180" w:beforeAutospacing="0" w:after="0" w:afterAutospacing="0"/>
        <w:rPr>
          <w:sz w:val="20"/>
          <w:szCs w:val="20"/>
        </w:rPr>
      </w:pPr>
      <w:r>
        <w:rPr>
          <w:sz w:val="20"/>
          <w:szCs w:val="20"/>
        </w:rPr>
        <w:t>Not applicable</w:t>
      </w:r>
      <w:r>
        <w:rPr>
          <w:sz w:val="20"/>
          <w:szCs w:val="20"/>
        </w:rPr>
        <w:t>.</w:t>
      </w:r>
    </w:p>
    <w:p w14:paraId="272A5880"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3</w:t>
      </w:r>
    </w:p>
    <w:p w14:paraId="1E91EB70" w14:textId="77777777" w:rsidR="00000000" w:rsidRDefault="00EF48A2">
      <w:pPr>
        <w:rPr>
          <w:rFonts w:eastAsia="Times New Roman"/>
        </w:rPr>
      </w:pPr>
      <w:r>
        <w:rPr>
          <w:rFonts w:eastAsia="Times New Roman"/>
        </w:rPr>
        <w:pict w14:anchorId="7B0C4E8C">
          <v:rect id="_x0000_i1070" style="width:0;height:1.5pt" o:hralign="center" o:hrstd="t" o:hr="t" fillcolor="#a0a0a0" stroked="f"/>
        </w:pict>
      </w:r>
    </w:p>
    <w:p w14:paraId="5F01DF5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5E2A4AF" w14:textId="77777777" w:rsidR="00000000" w:rsidRDefault="00EF48A2">
      <w:pPr>
        <w:pStyle w:val="a3"/>
        <w:spacing w:before="0" w:beforeAutospacing="0" w:after="0" w:afterAutospacing="0"/>
        <w:jc w:val="center"/>
        <w:rPr>
          <w:sz w:val="20"/>
          <w:szCs w:val="20"/>
        </w:rPr>
      </w:pPr>
      <w:r>
        <w:rPr>
          <w:b/>
          <w:bCs/>
          <w:sz w:val="20"/>
          <w:szCs w:val="20"/>
        </w:rPr>
        <w:t>PART I</w:t>
      </w:r>
      <w:r>
        <w:rPr>
          <w:b/>
          <w:bCs/>
          <w:sz w:val="20"/>
          <w:szCs w:val="20"/>
        </w:rPr>
        <w:t>I</w:t>
      </w:r>
    </w:p>
    <w:p w14:paraId="42D4CCBA" w14:textId="77777777" w:rsidR="00000000" w:rsidRDefault="00EF48A2">
      <w:pPr>
        <w:pStyle w:val="a3"/>
        <w:spacing w:before="360" w:beforeAutospacing="0" w:after="0" w:afterAutospacing="0"/>
        <w:rPr>
          <w:sz w:val="20"/>
          <w:szCs w:val="20"/>
        </w:rPr>
      </w:pPr>
      <w:r>
        <w:rPr>
          <w:b/>
          <w:bCs/>
          <w:sz w:val="20"/>
          <w:szCs w:val="20"/>
        </w:rPr>
        <w:t xml:space="preserve">Item 5. MARKET FOR THE REGISTRANT'S COMMON EQUITY, RELATED STOCKHOLDER MATTERS AND ISSUER PURCHASES OF EQUITY </w:t>
      </w:r>
      <w:r>
        <w:rPr>
          <w:b/>
          <w:bCs/>
          <w:sz w:val="20"/>
          <w:szCs w:val="20"/>
        </w:rPr>
        <w:t>S</w:t>
      </w:r>
      <w:r>
        <w:rPr>
          <w:b/>
          <w:bCs/>
          <w:sz w:val="20"/>
          <w:szCs w:val="20"/>
        </w:rPr>
        <w:t>ECURITIE</w:t>
      </w:r>
      <w:r>
        <w:rPr>
          <w:b/>
          <w:bCs/>
          <w:sz w:val="20"/>
          <w:szCs w:val="20"/>
        </w:rPr>
        <w:t>S</w:t>
      </w:r>
    </w:p>
    <w:p w14:paraId="78BEDEC6" w14:textId="77777777" w:rsidR="00000000" w:rsidRDefault="00EF48A2">
      <w:pPr>
        <w:pStyle w:val="a3"/>
        <w:spacing w:before="240" w:beforeAutospacing="0" w:after="0" w:afterAutospacing="0"/>
        <w:rPr>
          <w:sz w:val="20"/>
          <w:szCs w:val="20"/>
        </w:rPr>
      </w:pPr>
      <w:r>
        <w:rPr>
          <w:b/>
          <w:bCs/>
          <w:sz w:val="20"/>
          <w:szCs w:val="20"/>
        </w:rPr>
        <w:t>Market Informatio</w:t>
      </w:r>
      <w:r>
        <w:rPr>
          <w:b/>
          <w:bCs/>
          <w:sz w:val="20"/>
          <w:szCs w:val="20"/>
        </w:rPr>
        <w:t>n</w:t>
      </w:r>
    </w:p>
    <w:p w14:paraId="4D753EA6" w14:textId="77777777" w:rsidR="00000000" w:rsidRDefault="00EF48A2">
      <w:pPr>
        <w:pStyle w:val="a3"/>
        <w:spacing w:before="180" w:beforeAutospacing="0" w:after="0" w:afterAutospacing="0"/>
        <w:jc w:val="both"/>
        <w:rPr>
          <w:sz w:val="20"/>
          <w:szCs w:val="20"/>
        </w:rPr>
      </w:pPr>
      <w:r>
        <w:rPr>
          <w:sz w:val="20"/>
          <w:szCs w:val="20"/>
        </w:rPr>
        <w:t>On June 23, 2021, Talkspace, Inc.'s common stock and warrants began trading on the Nasd</w:t>
      </w:r>
      <w:r>
        <w:rPr>
          <w:sz w:val="20"/>
          <w:szCs w:val="20"/>
        </w:rPr>
        <w:t>aq under the symbols “TALK” and “TALKW,” respectively. Prior to that time, there was no public market for our common stock or warrants</w:t>
      </w:r>
      <w:r>
        <w:rPr>
          <w:sz w:val="20"/>
          <w:szCs w:val="20"/>
        </w:rPr>
        <w:t>.</w:t>
      </w:r>
    </w:p>
    <w:p w14:paraId="25F155BA" w14:textId="77777777" w:rsidR="00000000" w:rsidRDefault="00EF48A2">
      <w:pPr>
        <w:pStyle w:val="a3"/>
        <w:spacing w:before="180" w:beforeAutospacing="0" w:after="0" w:afterAutospacing="0"/>
        <w:jc w:val="both"/>
        <w:rPr>
          <w:sz w:val="20"/>
          <w:szCs w:val="20"/>
        </w:rPr>
      </w:pPr>
      <w:r>
        <w:rPr>
          <w:sz w:val="20"/>
          <w:szCs w:val="20"/>
        </w:rPr>
        <w:t>As of December 31, 2022, there were 161,155,030 shares of common stock issued and outstanding and 12,780,000 Private Pla</w:t>
      </w:r>
      <w:r>
        <w:rPr>
          <w:sz w:val="20"/>
          <w:szCs w:val="20"/>
        </w:rPr>
        <w:t>cement Warrants and 21,350,000 Public Warrants to purchase the Company’s common stock at an exercise price of $11.50 per share</w:t>
      </w:r>
      <w:r>
        <w:rPr>
          <w:sz w:val="20"/>
          <w:szCs w:val="20"/>
        </w:rPr>
        <w:t>.</w:t>
      </w:r>
    </w:p>
    <w:p w14:paraId="367277DE" w14:textId="77777777" w:rsidR="00000000" w:rsidRDefault="00EF48A2">
      <w:pPr>
        <w:pStyle w:val="a3"/>
        <w:spacing w:before="180" w:beforeAutospacing="0" w:after="0" w:afterAutospacing="0"/>
        <w:jc w:val="both"/>
        <w:rPr>
          <w:sz w:val="20"/>
          <w:szCs w:val="20"/>
        </w:rPr>
      </w:pPr>
      <w:r>
        <w:rPr>
          <w:sz w:val="20"/>
          <w:szCs w:val="20"/>
        </w:rPr>
        <w:t>As of December 31, 2022, there were 26,653,377 shares underlying outstanding stock options and restricted stock units</w:t>
      </w:r>
      <w:r>
        <w:rPr>
          <w:sz w:val="20"/>
          <w:szCs w:val="20"/>
        </w:rPr>
        <w:t>.</w:t>
      </w:r>
    </w:p>
    <w:p w14:paraId="606D5B6F" w14:textId="77777777" w:rsidR="00000000" w:rsidRDefault="00EF48A2">
      <w:pPr>
        <w:pStyle w:val="a3"/>
        <w:spacing w:before="240" w:beforeAutospacing="0" w:after="0" w:afterAutospacing="0"/>
        <w:rPr>
          <w:sz w:val="20"/>
          <w:szCs w:val="20"/>
        </w:rPr>
      </w:pPr>
      <w:r>
        <w:rPr>
          <w:b/>
          <w:bCs/>
          <w:sz w:val="20"/>
          <w:szCs w:val="20"/>
        </w:rPr>
        <w:t>Holder</w:t>
      </w:r>
      <w:r>
        <w:rPr>
          <w:b/>
          <w:bCs/>
          <w:sz w:val="20"/>
          <w:szCs w:val="20"/>
        </w:rPr>
        <w:t>s</w:t>
      </w:r>
    </w:p>
    <w:p w14:paraId="5E599EB8" w14:textId="77777777" w:rsidR="00000000" w:rsidRDefault="00EF48A2">
      <w:pPr>
        <w:pStyle w:val="a3"/>
        <w:spacing w:before="180" w:beforeAutospacing="0" w:after="0" w:afterAutospacing="0"/>
        <w:jc w:val="both"/>
        <w:rPr>
          <w:sz w:val="20"/>
          <w:szCs w:val="20"/>
        </w:rPr>
      </w:pPr>
      <w:r>
        <w:rPr>
          <w:sz w:val="20"/>
          <w:szCs w:val="20"/>
        </w:rPr>
        <w:t>A</w:t>
      </w:r>
      <w:r>
        <w:rPr>
          <w:sz w:val="20"/>
          <w:szCs w:val="20"/>
        </w:rPr>
        <w:t>s of March 8, 2023, there were 47 holders of record of our common stock and 13 holders of record of our warrants</w:t>
      </w:r>
      <w:r>
        <w:rPr>
          <w:sz w:val="20"/>
          <w:szCs w:val="20"/>
        </w:rPr>
        <w:t>.</w:t>
      </w:r>
    </w:p>
    <w:p w14:paraId="2F2ADA2D" w14:textId="77777777" w:rsidR="00000000" w:rsidRDefault="00EF48A2">
      <w:pPr>
        <w:pStyle w:val="a3"/>
        <w:spacing w:before="240" w:beforeAutospacing="0" w:after="0" w:afterAutospacing="0"/>
        <w:rPr>
          <w:sz w:val="20"/>
          <w:szCs w:val="20"/>
        </w:rPr>
      </w:pPr>
      <w:r>
        <w:rPr>
          <w:b/>
          <w:bCs/>
          <w:sz w:val="20"/>
          <w:szCs w:val="20"/>
        </w:rPr>
        <w:t>Dividend</w:t>
      </w:r>
      <w:r>
        <w:rPr>
          <w:b/>
          <w:bCs/>
          <w:sz w:val="20"/>
          <w:szCs w:val="20"/>
        </w:rPr>
        <w:t>s</w:t>
      </w:r>
    </w:p>
    <w:p w14:paraId="1A00C851" w14:textId="77777777" w:rsidR="00000000" w:rsidRDefault="00EF48A2">
      <w:pPr>
        <w:pStyle w:val="a3"/>
        <w:spacing w:before="180" w:beforeAutospacing="0" w:after="0" w:afterAutospacing="0"/>
        <w:jc w:val="both"/>
        <w:rPr>
          <w:sz w:val="20"/>
          <w:szCs w:val="20"/>
        </w:rPr>
      </w:pPr>
      <w:r>
        <w:rPr>
          <w:sz w:val="20"/>
          <w:szCs w:val="20"/>
        </w:rPr>
        <w:t>We have not paid any cash dividends on our common stock to date and, prior to the Business Combination, HEC had not paid any dividen</w:t>
      </w:r>
      <w:r>
        <w:rPr>
          <w:sz w:val="20"/>
          <w:szCs w:val="20"/>
        </w:rPr>
        <w:t>ds on its common stock. The payment of cash dividends in the future will be dependent upon our revenues and earnings, if any, capital requirements and general financial condition. The payment of any cash dividends will be within the discretion of our board</w:t>
      </w:r>
      <w:r>
        <w:rPr>
          <w:sz w:val="20"/>
          <w:szCs w:val="20"/>
        </w:rPr>
        <w:t xml:space="preserve"> of directors. Our ability to declare dividends may be limited by the terms of financing or other agreements entered into by us or our subsidiaries from time to time</w:t>
      </w:r>
      <w:r>
        <w:rPr>
          <w:sz w:val="20"/>
          <w:szCs w:val="20"/>
        </w:rPr>
        <w:t>.</w:t>
      </w:r>
    </w:p>
    <w:p w14:paraId="2B118858" w14:textId="77777777" w:rsidR="00000000" w:rsidRDefault="00EF48A2">
      <w:pPr>
        <w:pStyle w:val="a3"/>
        <w:spacing w:before="240" w:beforeAutospacing="0" w:after="0" w:afterAutospacing="0"/>
        <w:rPr>
          <w:sz w:val="20"/>
          <w:szCs w:val="20"/>
        </w:rPr>
      </w:pPr>
      <w:r>
        <w:rPr>
          <w:b/>
          <w:bCs/>
          <w:sz w:val="20"/>
          <w:szCs w:val="20"/>
        </w:rPr>
        <w:t>Share-Based Compensation Plan</w:t>
      </w:r>
      <w:r>
        <w:rPr>
          <w:b/>
          <w:bCs/>
          <w:sz w:val="20"/>
          <w:szCs w:val="20"/>
        </w:rPr>
        <w:t>s</w:t>
      </w:r>
    </w:p>
    <w:p w14:paraId="5AA8654B" w14:textId="77777777" w:rsidR="00000000" w:rsidRDefault="00EF48A2">
      <w:pPr>
        <w:pStyle w:val="a3"/>
        <w:spacing w:before="180" w:beforeAutospacing="0" w:after="0" w:afterAutospacing="0"/>
        <w:jc w:val="both"/>
        <w:rPr>
          <w:sz w:val="20"/>
          <w:szCs w:val="20"/>
        </w:rPr>
      </w:pPr>
      <w:r>
        <w:rPr>
          <w:sz w:val="20"/>
          <w:szCs w:val="20"/>
        </w:rPr>
        <w:t xml:space="preserve">The Company maintains a stock-based compensation plan under which the Company may grant cash and equity incentive awards to officers, employees, directors, consultants and service providers and one employee stock purchase plan under which employees of the </w:t>
      </w:r>
      <w:r>
        <w:rPr>
          <w:sz w:val="20"/>
          <w:szCs w:val="20"/>
        </w:rPr>
        <w:t>Company and its participating subsidiaries are provided with the opportunity to purchase Talkspace common stock at a discount through accumulated payroll deductions during successive offering periods. See Note 11, “Share-based Compensation” in the notes to</w:t>
      </w:r>
      <w:r>
        <w:rPr>
          <w:sz w:val="20"/>
          <w:szCs w:val="20"/>
        </w:rPr>
        <w:t xml:space="preserve"> the consolidated financial statements for further details</w:t>
      </w:r>
      <w:r>
        <w:rPr>
          <w:sz w:val="20"/>
          <w:szCs w:val="20"/>
        </w:rPr>
        <w:t>.</w:t>
      </w:r>
    </w:p>
    <w:p w14:paraId="0942D979" w14:textId="77777777" w:rsidR="00000000" w:rsidRDefault="00EF48A2">
      <w:pPr>
        <w:pStyle w:val="a3"/>
        <w:spacing w:before="240" w:beforeAutospacing="0" w:after="0" w:afterAutospacing="0"/>
        <w:rPr>
          <w:sz w:val="20"/>
          <w:szCs w:val="20"/>
        </w:rPr>
      </w:pPr>
      <w:r>
        <w:rPr>
          <w:b/>
          <w:bCs/>
          <w:sz w:val="20"/>
          <w:szCs w:val="20"/>
        </w:rPr>
        <w:t>Issuer Repurchases of Equity Securitie</w:t>
      </w:r>
      <w:r>
        <w:rPr>
          <w:b/>
          <w:bCs/>
          <w:sz w:val="20"/>
          <w:szCs w:val="20"/>
        </w:rPr>
        <w:t>s</w:t>
      </w:r>
    </w:p>
    <w:p w14:paraId="649DA7A9" w14:textId="77777777" w:rsidR="00000000" w:rsidRDefault="00EF48A2">
      <w:pPr>
        <w:pStyle w:val="a3"/>
        <w:spacing w:before="180" w:beforeAutospacing="0" w:after="120" w:afterAutospacing="0"/>
        <w:jc w:val="both"/>
        <w:rPr>
          <w:sz w:val="20"/>
          <w:szCs w:val="20"/>
        </w:rPr>
      </w:pPr>
      <w:r>
        <w:rPr>
          <w:sz w:val="20"/>
          <w:szCs w:val="20"/>
        </w:rPr>
        <w:t>The following table provides information with respect to purchases by the Company of shares of its Common Stock during the fourth quarter of 2022</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7"/>
        <w:gridCol w:w="107"/>
        <w:gridCol w:w="106"/>
        <w:gridCol w:w="934"/>
        <w:gridCol w:w="106"/>
        <w:gridCol w:w="137"/>
        <w:gridCol w:w="131"/>
        <w:gridCol w:w="805"/>
        <w:gridCol w:w="106"/>
        <w:gridCol w:w="107"/>
        <w:gridCol w:w="106"/>
        <w:gridCol w:w="1073"/>
        <w:gridCol w:w="107"/>
        <w:gridCol w:w="108"/>
        <w:gridCol w:w="107"/>
        <w:gridCol w:w="987"/>
        <w:gridCol w:w="122"/>
      </w:tblGrid>
      <w:tr w:rsidR="00000000" w14:paraId="44B5B159" w14:textId="77777777">
        <w:trPr>
          <w:tblCellSpacing w:w="15" w:type="dxa"/>
        </w:trPr>
        <w:tc>
          <w:tcPr>
            <w:tcW w:w="2003" w:type="pct"/>
            <w:vAlign w:val="center"/>
            <w:hideMark/>
          </w:tcPr>
          <w:p w14:paraId="0F35DAC9" w14:textId="77777777" w:rsidR="00000000" w:rsidRDefault="00EF48A2">
            <w:pPr>
              <w:rPr>
                <w:sz w:val="20"/>
                <w:szCs w:val="20"/>
              </w:rPr>
            </w:pPr>
          </w:p>
        </w:tc>
        <w:tc>
          <w:tcPr>
            <w:tcW w:w="51" w:type="pct"/>
            <w:vAlign w:val="center"/>
            <w:hideMark/>
          </w:tcPr>
          <w:p w14:paraId="20170313" w14:textId="77777777" w:rsidR="00000000" w:rsidRDefault="00EF48A2">
            <w:pPr>
              <w:rPr>
                <w:rFonts w:eastAsia="Times New Roman"/>
                <w:sz w:val="20"/>
                <w:szCs w:val="20"/>
              </w:rPr>
            </w:pPr>
          </w:p>
        </w:tc>
        <w:tc>
          <w:tcPr>
            <w:tcW w:w="50" w:type="pct"/>
            <w:vAlign w:val="center"/>
            <w:hideMark/>
          </w:tcPr>
          <w:p w14:paraId="2DDDB044" w14:textId="77777777" w:rsidR="00000000" w:rsidRDefault="00EF48A2">
            <w:pPr>
              <w:rPr>
                <w:rFonts w:eastAsia="Times New Roman"/>
                <w:sz w:val="20"/>
                <w:szCs w:val="20"/>
              </w:rPr>
            </w:pPr>
          </w:p>
        </w:tc>
        <w:tc>
          <w:tcPr>
            <w:tcW w:w="582" w:type="pct"/>
            <w:vAlign w:val="center"/>
            <w:hideMark/>
          </w:tcPr>
          <w:p w14:paraId="2CBFFBAB" w14:textId="77777777" w:rsidR="00000000" w:rsidRDefault="00EF48A2">
            <w:pPr>
              <w:rPr>
                <w:rFonts w:eastAsia="Times New Roman"/>
                <w:sz w:val="20"/>
                <w:szCs w:val="20"/>
              </w:rPr>
            </w:pPr>
          </w:p>
        </w:tc>
        <w:tc>
          <w:tcPr>
            <w:tcW w:w="50" w:type="pct"/>
            <w:vAlign w:val="center"/>
            <w:hideMark/>
          </w:tcPr>
          <w:p w14:paraId="5C26963A" w14:textId="77777777" w:rsidR="00000000" w:rsidRDefault="00EF48A2">
            <w:pPr>
              <w:rPr>
                <w:rFonts w:eastAsia="Times New Roman"/>
                <w:sz w:val="20"/>
                <w:szCs w:val="20"/>
              </w:rPr>
            </w:pPr>
          </w:p>
        </w:tc>
        <w:tc>
          <w:tcPr>
            <w:tcW w:w="70" w:type="pct"/>
            <w:vAlign w:val="center"/>
            <w:hideMark/>
          </w:tcPr>
          <w:p w14:paraId="4F5E175F" w14:textId="77777777" w:rsidR="00000000" w:rsidRDefault="00EF48A2">
            <w:pPr>
              <w:rPr>
                <w:rFonts w:eastAsia="Times New Roman"/>
                <w:sz w:val="20"/>
                <w:szCs w:val="20"/>
              </w:rPr>
            </w:pPr>
          </w:p>
        </w:tc>
        <w:tc>
          <w:tcPr>
            <w:tcW w:w="50" w:type="pct"/>
            <w:vAlign w:val="center"/>
            <w:hideMark/>
          </w:tcPr>
          <w:p w14:paraId="67B36B5B" w14:textId="77777777" w:rsidR="00000000" w:rsidRDefault="00EF48A2">
            <w:pPr>
              <w:rPr>
                <w:rFonts w:eastAsia="Times New Roman"/>
                <w:sz w:val="20"/>
                <w:szCs w:val="20"/>
              </w:rPr>
            </w:pPr>
          </w:p>
        </w:tc>
        <w:tc>
          <w:tcPr>
            <w:tcW w:w="499" w:type="pct"/>
            <w:vAlign w:val="center"/>
            <w:hideMark/>
          </w:tcPr>
          <w:p w14:paraId="692A65B6" w14:textId="77777777" w:rsidR="00000000" w:rsidRDefault="00EF48A2">
            <w:pPr>
              <w:rPr>
                <w:rFonts w:eastAsia="Times New Roman"/>
                <w:sz w:val="20"/>
                <w:szCs w:val="20"/>
              </w:rPr>
            </w:pPr>
          </w:p>
        </w:tc>
        <w:tc>
          <w:tcPr>
            <w:tcW w:w="50" w:type="pct"/>
            <w:vAlign w:val="center"/>
            <w:hideMark/>
          </w:tcPr>
          <w:p w14:paraId="1A8CE74A" w14:textId="77777777" w:rsidR="00000000" w:rsidRDefault="00EF48A2">
            <w:pPr>
              <w:rPr>
                <w:rFonts w:eastAsia="Times New Roman"/>
                <w:sz w:val="20"/>
                <w:szCs w:val="20"/>
              </w:rPr>
            </w:pPr>
          </w:p>
        </w:tc>
        <w:tc>
          <w:tcPr>
            <w:tcW w:w="51" w:type="pct"/>
            <w:vAlign w:val="center"/>
            <w:hideMark/>
          </w:tcPr>
          <w:p w14:paraId="2A91B223" w14:textId="77777777" w:rsidR="00000000" w:rsidRDefault="00EF48A2">
            <w:pPr>
              <w:rPr>
                <w:rFonts w:eastAsia="Times New Roman"/>
                <w:sz w:val="20"/>
                <w:szCs w:val="20"/>
              </w:rPr>
            </w:pPr>
          </w:p>
        </w:tc>
        <w:tc>
          <w:tcPr>
            <w:tcW w:w="50" w:type="pct"/>
            <w:vAlign w:val="center"/>
            <w:hideMark/>
          </w:tcPr>
          <w:p w14:paraId="326BC1A8" w14:textId="77777777" w:rsidR="00000000" w:rsidRDefault="00EF48A2">
            <w:pPr>
              <w:rPr>
                <w:rFonts w:eastAsia="Times New Roman"/>
                <w:sz w:val="20"/>
                <w:szCs w:val="20"/>
              </w:rPr>
            </w:pPr>
          </w:p>
        </w:tc>
        <w:tc>
          <w:tcPr>
            <w:tcW w:w="671" w:type="pct"/>
            <w:vAlign w:val="center"/>
            <w:hideMark/>
          </w:tcPr>
          <w:p w14:paraId="6AF114CF" w14:textId="77777777" w:rsidR="00000000" w:rsidRDefault="00EF48A2">
            <w:pPr>
              <w:rPr>
                <w:rFonts w:eastAsia="Times New Roman"/>
                <w:sz w:val="20"/>
                <w:szCs w:val="20"/>
              </w:rPr>
            </w:pPr>
          </w:p>
        </w:tc>
        <w:tc>
          <w:tcPr>
            <w:tcW w:w="50" w:type="pct"/>
            <w:vAlign w:val="center"/>
            <w:hideMark/>
          </w:tcPr>
          <w:p w14:paraId="3DB82DAE" w14:textId="77777777" w:rsidR="00000000" w:rsidRDefault="00EF48A2">
            <w:pPr>
              <w:rPr>
                <w:rFonts w:eastAsia="Times New Roman"/>
                <w:sz w:val="20"/>
                <w:szCs w:val="20"/>
              </w:rPr>
            </w:pPr>
          </w:p>
        </w:tc>
        <w:tc>
          <w:tcPr>
            <w:tcW w:w="51" w:type="pct"/>
            <w:vAlign w:val="center"/>
            <w:hideMark/>
          </w:tcPr>
          <w:p w14:paraId="5DBD3604" w14:textId="77777777" w:rsidR="00000000" w:rsidRDefault="00EF48A2">
            <w:pPr>
              <w:rPr>
                <w:rFonts w:eastAsia="Times New Roman"/>
                <w:sz w:val="20"/>
                <w:szCs w:val="20"/>
              </w:rPr>
            </w:pPr>
          </w:p>
        </w:tc>
        <w:tc>
          <w:tcPr>
            <w:tcW w:w="50" w:type="pct"/>
            <w:vAlign w:val="center"/>
            <w:hideMark/>
          </w:tcPr>
          <w:p w14:paraId="3ECE0E12" w14:textId="77777777" w:rsidR="00000000" w:rsidRDefault="00EF48A2">
            <w:pPr>
              <w:rPr>
                <w:rFonts w:eastAsia="Times New Roman"/>
                <w:sz w:val="20"/>
                <w:szCs w:val="20"/>
              </w:rPr>
            </w:pPr>
          </w:p>
        </w:tc>
        <w:tc>
          <w:tcPr>
            <w:tcW w:w="616" w:type="pct"/>
            <w:vAlign w:val="center"/>
            <w:hideMark/>
          </w:tcPr>
          <w:p w14:paraId="01FEA17C" w14:textId="77777777" w:rsidR="00000000" w:rsidRDefault="00EF48A2">
            <w:pPr>
              <w:rPr>
                <w:rFonts w:eastAsia="Times New Roman"/>
                <w:sz w:val="20"/>
                <w:szCs w:val="20"/>
              </w:rPr>
            </w:pPr>
          </w:p>
        </w:tc>
        <w:tc>
          <w:tcPr>
            <w:tcW w:w="50" w:type="pct"/>
            <w:vAlign w:val="center"/>
            <w:hideMark/>
          </w:tcPr>
          <w:p w14:paraId="2085B677" w14:textId="77777777" w:rsidR="00000000" w:rsidRDefault="00EF48A2">
            <w:pPr>
              <w:rPr>
                <w:rFonts w:eastAsia="Times New Roman"/>
                <w:sz w:val="20"/>
                <w:szCs w:val="20"/>
              </w:rPr>
            </w:pPr>
          </w:p>
        </w:tc>
      </w:tr>
      <w:tr w:rsidR="00000000" w14:paraId="181C2467" w14:textId="77777777">
        <w:trPr>
          <w:trHeight w:val="140"/>
          <w:tblCellSpacing w:w="15" w:type="dxa"/>
        </w:trPr>
        <w:tc>
          <w:tcPr>
            <w:tcW w:w="0" w:type="auto"/>
            <w:vAlign w:val="bottom"/>
            <w:hideMark/>
          </w:tcPr>
          <w:p w14:paraId="09618411"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D1446C1" w14:textId="77777777" w:rsidR="00000000" w:rsidRDefault="00EF48A2">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0DEB5E5D" w14:textId="77777777" w:rsidR="00000000" w:rsidRDefault="00EF48A2">
            <w:pPr>
              <w:pStyle w:val="a3"/>
              <w:spacing w:before="0" w:beforeAutospacing="0" w:after="0" w:afterAutospacing="0"/>
              <w:jc w:val="center"/>
              <w:rPr>
                <w:sz w:val="14"/>
                <w:szCs w:val="14"/>
              </w:rPr>
            </w:pPr>
            <w:r>
              <w:rPr>
                <w:b/>
                <w:bCs/>
                <w:sz w:val="14"/>
                <w:szCs w:val="14"/>
              </w:rPr>
              <w:t>Total number of shares purchase</w:t>
            </w:r>
            <w:r>
              <w:rPr>
                <w:b/>
                <w:bCs/>
                <w:sz w:val="14"/>
                <w:szCs w:val="14"/>
              </w:rPr>
              <w:t>d</w:t>
            </w:r>
          </w:p>
        </w:tc>
        <w:tc>
          <w:tcPr>
            <w:tcW w:w="0" w:type="auto"/>
            <w:vAlign w:val="bottom"/>
            <w:hideMark/>
          </w:tcPr>
          <w:p w14:paraId="198FE031" w14:textId="77777777" w:rsidR="00000000" w:rsidRDefault="00EF48A2">
            <w:pPr>
              <w:pStyle w:val="a3"/>
              <w:spacing w:before="0" w:beforeAutospacing="0" w:after="0" w:afterAutospacing="0"/>
              <w:jc w:val="center"/>
              <w:rPr>
                <w:sz w:val="14"/>
                <w:szCs w:val="14"/>
              </w:rPr>
            </w:pPr>
            <w:r>
              <w:rPr>
                <w:sz w:val="14"/>
                <w:szCs w:val="14"/>
              </w:rPr>
              <w:t> </w:t>
            </w:r>
          </w:p>
        </w:tc>
        <w:tc>
          <w:tcPr>
            <w:tcW w:w="0" w:type="auto"/>
            <w:vAlign w:val="bottom"/>
            <w:hideMark/>
          </w:tcPr>
          <w:p w14:paraId="3F987970" w14:textId="77777777" w:rsidR="00000000" w:rsidRDefault="00EF48A2">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57779C05" w14:textId="77777777" w:rsidR="00000000" w:rsidRDefault="00EF48A2">
            <w:pPr>
              <w:pStyle w:val="a3"/>
              <w:spacing w:before="0" w:beforeAutospacing="0" w:after="0" w:afterAutospacing="0"/>
              <w:jc w:val="center"/>
              <w:rPr>
                <w:sz w:val="14"/>
                <w:szCs w:val="14"/>
              </w:rPr>
            </w:pPr>
            <w:r>
              <w:rPr>
                <w:b/>
                <w:bCs/>
                <w:sz w:val="14"/>
                <w:szCs w:val="14"/>
              </w:rPr>
              <w:t>Average price per shar</w:t>
            </w:r>
            <w:r>
              <w:rPr>
                <w:b/>
                <w:bCs/>
                <w:sz w:val="14"/>
                <w:szCs w:val="14"/>
              </w:rPr>
              <w:t>e</w:t>
            </w:r>
          </w:p>
        </w:tc>
        <w:tc>
          <w:tcPr>
            <w:tcW w:w="0" w:type="auto"/>
            <w:vAlign w:val="bottom"/>
            <w:hideMark/>
          </w:tcPr>
          <w:p w14:paraId="22A95FF5" w14:textId="77777777" w:rsidR="00000000" w:rsidRDefault="00EF48A2">
            <w:pPr>
              <w:pStyle w:val="a3"/>
              <w:spacing w:before="0" w:beforeAutospacing="0" w:after="0" w:afterAutospacing="0"/>
              <w:jc w:val="center"/>
              <w:rPr>
                <w:sz w:val="14"/>
                <w:szCs w:val="14"/>
              </w:rPr>
            </w:pPr>
            <w:r>
              <w:rPr>
                <w:sz w:val="14"/>
                <w:szCs w:val="14"/>
              </w:rPr>
              <w:t> </w:t>
            </w:r>
          </w:p>
        </w:tc>
        <w:tc>
          <w:tcPr>
            <w:tcW w:w="0" w:type="auto"/>
            <w:vAlign w:val="bottom"/>
            <w:hideMark/>
          </w:tcPr>
          <w:p w14:paraId="56D3024F" w14:textId="77777777" w:rsidR="00000000" w:rsidRDefault="00EF48A2">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780C7566" w14:textId="77777777" w:rsidR="00000000" w:rsidRDefault="00EF48A2">
            <w:pPr>
              <w:pStyle w:val="a3"/>
              <w:spacing w:before="0" w:beforeAutospacing="0" w:after="0" w:afterAutospacing="0"/>
              <w:jc w:val="center"/>
              <w:rPr>
                <w:sz w:val="14"/>
                <w:szCs w:val="14"/>
              </w:rPr>
            </w:pPr>
            <w:r>
              <w:rPr>
                <w:b/>
                <w:bCs/>
                <w:sz w:val="14"/>
                <w:szCs w:val="14"/>
              </w:rPr>
              <w:t>Total number of</w:t>
            </w:r>
            <w:r>
              <w:rPr>
                <w:b/>
                <w:bCs/>
                <w:sz w:val="14"/>
                <w:szCs w:val="14"/>
              </w:rPr>
              <w:br/>
              <w:t>Shares Purchased as</w:t>
            </w:r>
            <w:r>
              <w:rPr>
                <w:b/>
                <w:bCs/>
                <w:sz w:val="14"/>
                <w:szCs w:val="14"/>
              </w:rPr>
              <w:br/>
              <w:t>Part of a Publicly</w:t>
            </w:r>
            <w:r>
              <w:rPr>
                <w:b/>
                <w:bCs/>
                <w:sz w:val="14"/>
                <w:szCs w:val="14"/>
              </w:rPr>
              <w:br/>
              <w:t>Announced Pla</w:t>
            </w:r>
            <w:r>
              <w:rPr>
                <w:b/>
                <w:bCs/>
                <w:sz w:val="14"/>
                <w:szCs w:val="14"/>
              </w:rPr>
              <w:t>n</w:t>
            </w:r>
          </w:p>
        </w:tc>
        <w:tc>
          <w:tcPr>
            <w:tcW w:w="0" w:type="auto"/>
            <w:vAlign w:val="bottom"/>
            <w:hideMark/>
          </w:tcPr>
          <w:p w14:paraId="1100CF0E" w14:textId="77777777" w:rsidR="00000000" w:rsidRDefault="00EF48A2">
            <w:pPr>
              <w:pStyle w:val="a3"/>
              <w:spacing w:before="0" w:beforeAutospacing="0" w:after="0" w:afterAutospacing="0"/>
              <w:jc w:val="center"/>
              <w:rPr>
                <w:sz w:val="14"/>
                <w:szCs w:val="14"/>
              </w:rPr>
            </w:pPr>
            <w:r>
              <w:rPr>
                <w:sz w:val="14"/>
                <w:szCs w:val="14"/>
              </w:rPr>
              <w:t> </w:t>
            </w:r>
          </w:p>
        </w:tc>
        <w:tc>
          <w:tcPr>
            <w:tcW w:w="0" w:type="auto"/>
            <w:vAlign w:val="bottom"/>
            <w:hideMark/>
          </w:tcPr>
          <w:p w14:paraId="67140F72" w14:textId="77777777" w:rsidR="00000000" w:rsidRDefault="00EF48A2">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07A16D92" w14:textId="77777777" w:rsidR="00000000" w:rsidRDefault="00EF48A2">
            <w:pPr>
              <w:pStyle w:val="a3"/>
              <w:spacing w:before="0" w:beforeAutospacing="0" w:after="0" w:afterAutospacing="0"/>
              <w:jc w:val="center"/>
              <w:rPr>
                <w:sz w:val="14"/>
                <w:szCs w:val="14"/>
              </w:rPr>
            </w:pPr>
            <w:r>
              <w:rPr>
                <w:b/>
                <w:bCs/>
                <w:sz w:val="14"/>
                <w:szCs w:val="14"/>
              </w:rPr>
              <w:t>Maximum number of</w:t>
            </w:r>
            <w:r>
              <w:rPr>
                <w:b/>
                <w:bCs/>
                <w:sz w:val="14"/>
                <w:szCs w:val="14"/>
              </w:rPr>
              <w:br/>
              <w:t>Shares that may be</w:t>
            </w:r>
            <w:r>
              <w:rPr>
                <w:b/>
                <w:bCs/>
                <w:sz w:val="14"/>
                <w:szCs w:val="14"/>
              </w:rPr>
              <w:br/>
              <w:t>Purchased Under the</w:t>
            </w:r>
            <w:r>
              <w:rPr>
                <w:b/>
                <w:bCs/>
                <w:sz w:val="14"/>
                <w:szCs w:val="14"/>
              </w:rPr>
              <w:br/>
              <w:t>Pla</w:t>
            </w:r>
            <w:r>
              <w:rPr>
                <w:b/>
                <w:bCs/>
                <w:sz w:val="14"/>
                <w:szCs w:val="14"/>
              </w:rPr>
              <w:t>n</w:t>
            </w:r>
          </w:p>
        </w:tc>
        <w:tc>
          <w:tcPr>
            <w:tcW w:w="0" w:type="auto"/>
            <w:vAlign w:val="bottom"/>
            <w:hideMark/>
          </w:tcPr>
          <w:p w14:paraId="56F535C1" w14:textId="77777777" w:rsidR="00000000" w:rsidRDefault="00EF48A2">
            <w:pPr>
              <w:pStyle w:val="a3"/>
              <w:spacing w:before="0" w:beforeAutospacing="0" w:after="0" w:afterAutospacing="0"/>
              <w:jc w:val="center"/>
              <w:rPr>
                <w:sz w:val="14"/>
                <w:szCs w:val="14"/>
              </w:rPr>
            </w:pPr>
            <w:r>
              <w:rPr>
                <w:sz w:val="14"/>
                <w:szCs w:val="14"/>
              </w:rPr>
              <w:t> </w:t>
            </w:r>
          </w:p>
        </w:tc>
      </w:tr>
      <w:tr w:rsidR="00000000" w14:paraId="735773C2" w14:textId="77777777">
        <w:trPr>
          <w:trHeight w:val="140"/>
          <w:tblCellSpacing w:w="15" w:type="dxa"/>
        </w:trPr>
        <w:tc>
          <w:tcPr>
            <w:tcW w:w="0" w:type="auto"/>
            <w:hideMark/>
          </w:tcPr>
          <w:p w14:paraId="0AAD3D7E" w14:textId="77777777" w:rsidR="00000000" w:rsidRDefault="00EF48A2">
            <w:pPr>
              <w:pStyle w:val="a3"/>
              <w:spacing w:before="0" w:beforeAutospacing="0" w:after="0" w:afterAutospacing="0"/>
              <w:rPr>
                <w:sz w:val="14"/>
                <w:szCs w:val="14"/>
              </w:rPr>
            </w:pPr>
            <w:r>
              <w:rPr>
                <w:b/>
                <w:bCs/>
                <w:sz w:val="14"/>
                <w:szCs w:val="14"/>
                <w:u w:val="single"/>
              </w:rPr>
              <w:t>Perio</w:t>
            </w:r>
            <w:r>
              <w:rPr>
                <w:b/>
                <w:bCs/>
                <w:sz w:val="14"/>
                <w:szCs w:val="14"/>
                <w:u w:val="single"/>
              </w:rPr>
              <w:t>d</w:t>
            </w:r>
          </w:p>
        </w:tc>
        <w:tc>
          <w:tcPr>
            <w:tcW w:w="0" w:type="auto"/>
            <w:vAlign w:val="bottom"/>
            <w:hideMark/>
          </w:tcPr>
          <w:p w14:paraId="331CB57C"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6F6B1E0D"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B6CC7EA"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173E4B21"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4BD4F2DA"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43756212" w14:textId="77777777" w:rsidR="00000000" w:rsidRDefault="00EF48A2">
            <w:pPr>
              <w:pStyle w:val="a3"/>
              <w:spacing w:before="0" w:beforeAutospacing="0" w:after="0" w:afterAutospacing="0"/>
              <w:rPr>
                <w:sz w:val="14"/>
                <w:szCs w:val="14"/>
              </w:rPr>
            </w:pPr>
            <w:r>
              <w:rPr>
                <w:sz w:val="14"/>
                <w:szCs w:val="14"/>
              </w:rPr>
              <w:t>$</w:t>
            </w:r>
          </w:p>
        </w:tc>
        <w:tc>
          <w:tcPr>
            <w:tcW w:w="0" w:type="auto"/>
            <w:vAlign w:val="bottom"/>
            <w:hideMark/>
          </w:tcPr>
          <w:p w14:paraId="09403452"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7F23D0DA"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C103BB3"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35CF0949"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62A40564"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496FBF4B"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5F0A84A6"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318FBD6E"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262F8BA"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59ECFA9E" w14:textId="77777777" w:rsidR="00000000" w:rsidRDefault="00EF48A2">
            <w:pPr>
              <w:pStyle w:val="a3"/>
              <w:spacing w:before="0" w:beforeAutospacing="0" w:after="0" w:afterAutospacing="0"/>
              <w:rPr>
                <w:sz w:val="14"/>
                <w:szCs w:val="14"/>
              </w:rPr>
            </w:pPr>
            <w:r>
              <w:rPr>
                <w:sz w:val="14"/>
                <w:szCs w:val="14"/>
              </w:rPr>
              <w:t> </w:t>
            </w:r>
          </w:p>
        </w:tc>
      </w:tr>
      <w:tr w:rsidR="00000000" w14:paraId="0DF5B99B" w14:textId="77777777">
        <w:trPr>
          <w:trHeight w:val="140"/>
          <w:tblCellSpacing w:w="15" w:type="dxa"/>
        </w:trPr>
        <w:tc>
          <w:tcPr>
            <w:tcW w:w="0" w:type="auto"/>
            <w:hideMark/>
          </w:tcPr>
          <w:p w14:paraId="7D00DD0C" w14:textId="77777777" w:rsidR="00000000" w:rsidRDefault="00EF48A2">
            <w:pPr>
              <w:pStyle w:val="a3"/>
              <w:spacing w:before="0" w:beforeAutospacing="0" w:after="0" w:afterAutospacing="0"/>
              <w:rPr>
                <w:sz w:val="14"/>
                <w:szCs w:val="14"/>
              </w:rPr>
            </w:pPr>
            <w:r>
              <w:rPr>
                <w:sz w:val="14"/>
                <w:szCs w:val="14"/>
              </w:rPr>
              <w:t>October 1, 2022 to October 31, 202</w:t>
            </w:r>
            <w:r>
              <w:rPr>
                <w:sz w:val="14"/>
                <w:szCs w:val="14"/>
              </w:rPr>
              <w:t>2</w:t>
            </w:r>
          </w:p>
        </w:tc>
        <w:tc>
          <w:tcPr>
            <w:tcW w:w="0" w:type="auto"/>
            <w:vAlign w:val="bottom"/>
            <w:hideMark/>
          </w:tcPr>
          <w:p w14:paraId="252D1411"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4D6789A5"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81864FF"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7AE74D3F"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68B5616"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7A72488E"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0D566321"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4625A00F"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2C7A4CB2"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6ADD1C0F"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3F8A4BA8"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37854E90"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023BEAF"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46570748"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3BF287B"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2780A990" w14:textId="77777777" w:rsidR="00000000" w:rsidRDefault="00EF48A2">
            <w:pPr>
              <w:pStyle w:val="a3"/>
              <w:spacing w:before="0" w:beforeAutospacing="0" w:after="0" w:afterAutospacing="0"/>
              <w:rPr>
                <w:sz w:val="14"/>
                <w:szCs w:val="14"/>
              </w:rPr>
            </w:pPr>
            <w:r>
              <w:rPr>
                <w:sz w:val="14"/>
                <w:szCs w:val="14"/>
              </w:rPr>
              <w:t> </w:t>
            </w:r>
          </w:p>
        </w:tc>
      </w:tr>
      <w:tr w:rsidR="00000000" w14:paraId="276802E8" w14:textId="77777777">
        <w:trPr>
          <w:trHeight w:val="140"/>
          <w:tblCellSpacing w:w="15" w:type="dxa"/>
        </w:trPr>
        <w:tc>
          <w:tcPr>
            <w:tcW w:w="0" w:type="auto"/>
            <w:hideMark/>
          </w:tcPr>
          <w:p w14:paraId="26DE1CF1" w14:textId="77777777" w:rsidR="00000000" w:rsidRDefault="00EF48A2">
            <w:pPr>
              <w:pStyle w:val="a3"/>
              <w:spacing w:before="0" w:beforeAutospacing="0" w:after="0" w:afterAutospacing="0"/>
              <w:rPr>
                <w:sz w:val="14"/>
                <w:szCs w:val="14"/>
              </w:rPr>
            </w:pPr>
            <w:r>
              <w:rPr>
                <w:sz w:val="14"/>
                <w:szCs w:val="14"/>
              </w:rPr>
              <w:t>November 1, 2022 to November 30, 202</w:t>
            </w:r>
            <w:r>
              <w:rPr>
                <w:sz w:val="14"/>
                <w:szCs w:val="14"/>
              </w:rPr>
              <w:t>2</w:t>
            </w:r>
          </w:p>
        </w:tc>
        <w:tc>
          <w:tcPr>
            <w:tcW w:w="0" w:type="auto"/>
            <w:vAlign w:val="bottom"/>
            <w:hideMark/>
          </w:tcPr>
          <w:p w14:paraId="320914C8"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216EFE38"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3A1B81B6"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4C4BF503"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9036263"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31E231D4"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4D9E5EE4"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4FAB389A"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6A75BBC"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0D773BCD"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323DEEBB"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0CFC4BD0"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45F50FCD"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656C0FE0"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DA9ED7F"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7B091B44" w14:textId="77777777" w:rsidR="00000000" w:rsidRDefault="00EF48A2">
            <w:pPr>
              <w:pStyle w:val="a3"/>
              <w:spacing w:before="0" w:beforeAutospacing="0" w:after="0" w:afterAutospacing="0"/>
              <w:rPr>
                <w:sz w:val="14"/>
                <w:szCs w:val="14"/>
              </w:rPr>
            </w:pPr>
            <w:r>
              <w:rPr>
                <w:sz w:val="14"/>
                <w:szCs w:val="14"/>
              </w:rPr>
              <w:t> </w:t>
            </w:r>
          </w:p>
        </w:tc>
      </w:tr>
      <w:tr w:rsidR="00000000" w14:paraId="62919CC9" w14:textId="77777777">
        <w:trPr>
          <w:trHeight w:val="140"/>
          <w:tblCellSpacing w:w="15" w:type="dxa"/>
        </w:trPr>
        <w:tc>
          <w:tcPr>
            <w:tcW w:w="0" w:type="auto"/>
            <w:hideMark/>
          </w:tcPr>
          <w:p w14:paraId="5C4433DB" w14:textId="77777777" w:rsidR="00000000" w:rsidRDefault="00EF48A2">
            <w:pPr>
              <w:pStyle w:val="a3"/>
              <w:spacing w:before="0" w:beforeAutospacing="0" w:after="0" w:afterAutospacing="0"/>
              <w:rPr>
                <w:sz w:val="14"/>
                <w:szCs w:val="14"/>
              </w:rPr>
            </w:pPr>
            <w:r>
              <w:rPr>
                <w:sz w:val="14"/>
                <w:szCs w:val="14"/>
              </w:rPr>
              <w:t>December 1, 2022 to December 31, 202</w:t>
            </w:r>
            <w:r>
              <w:rPr>
                <w:sz w:val="14"/>
                <w:szCs w:val="14"/>
              </w:rPr>
              <w:t>2</w:t>
            </w:r>
          </w:p>
        </w:tc>
        <w:tc>
          <w:tcPr>
            <w:tcW w:w="0" w:type="auto"/>
            <w:vAlign w:val="bottom"/>
            <w:hideMark/>
          </w:tcPr>
          <w:p w14:paraId="3F862D87"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198D6D23"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61A08A11"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66DD8A69"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5C13CEFC"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7EF88883"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F9A0A2B"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7384E1C5"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4BD62DB7"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72A495BA"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2F10EF04"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37AE3C67"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32500DFD"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44358331"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53F6D84D"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3FD4D239" w14:textId="77777777" w:rsidR="00000000" w:rsidRDefault="00EF48A2">
            <w:pPr>
              <w:pStyle w:val="a3"/>
              <w:spacing w:before="0" w:beforeAutospacing="0" w:after="0" w:afterAutospacing="0"/>
              <w:rPr>
                <w:sz w:val="14"/>
                <w:szCs w:val="14"/>
              </w:rPr>
            </w:pPr>
            <w:r>
              <w:rPr>
                <w:sz w:val="14"/>
                <w:szCs w:val="14"/>
              </w:rPr>
              <w:t> </w:t>
            </w:r>
          </w:p>
        </w:tc>
      </w:tr>
      <w:tr w:rsidR="00000000" w14:paraId="2F131D9C" w14:textId="77777777">
        <w:trPr>
          <w:trHeight w:val="140"/>
          <w:tblCellSpacing w:w="15" w:type="dxa"/>
        </w:trPr>
        <w:tc>
          <w:tcPr>
            <w:tcW w:w="0" w:type="auto"/>
            <w:hideMark/>
          </w:tcPr>
          <w:p w14:paraId="0738C12F" w14:textId="77777777" w:rsidR="00000000" w:rsidRDefault="00EF48A2">
            <w:pPr>
              <w:pStyle w:val="a3"/>
              <w:spacing w:before="0" w:beforeAutospacing="0" w:after="0" w:afterAutospacing="0"/>
              <w:rPr>
                <w:sz w:val="14"/>
                <w:szCs w:val="14"/>
              </w:rPr>
            </w:pPr>
            <w:r>
              <w:rPr>
                <w:sz w:val="14"/>
                <w:szCs w:val="14"/>
              </w:rPr>
              <w:t>Tota</w:t>
            </w:r>
            <w:r>
              <w:rPr>
                <w:sz w:val="14"/>
                <w:szCs w:val="14"/>
              </w:rPr>
              <w:t>l</w:t>
            </w:r>
          </w:p>
        </w:tc>
        <w:tc>
          <w:tcPr>
            <w:tcW w:w="0" w:type="auto"/>
            <w:vAlign w:val="bottom"/>
            <w:hideMark/>
          </w:tcPr>
          <w:p w14:paraId="2757ECB6"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7320C447"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4B16C08B"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42E56BF0"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66AAF0D"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75CA6FE5" w14:textId="77777777" w:rsidR="00000000" w:rsidRDefault="00EF48A2">
            <w:pPr>
              <w:pStyle w:val="a3"/>
              <w:spacing w:before="0" w:beforeAutospacing="0" w:after="0" w:afterAutospacing="0"/>
              <w:rPr>
                <w:sz w:val="14"/>
                <w:szCs w:val="14"/>
              </w:rPr>
            </w:pPr>
            <w:r>
              <w:rPr>
                <w:sz w:val="14"/>
                <w:szCs w:val="14"/>
              </w:rPr>
              <w:t>$</w:t>
            </w:r>
          </w:p>
        </w:tc>
        <w:tc>
          <w:tcPr>
            <w:tcW w:w="0" w:type="auto"/>
            <w:vAlign w:val="bottom"/>
            <w:hideMark/>
          </w:tcPr>
          <w:p w14:paraId="72338CDD"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3EAFF10C"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7EBF2F73"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078C43AB"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2B0CB863"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220A6976"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047C8FE4" w14:textId="77777777" w:rsidR="00000000" w:rsidRDefault="00EF48A2">
            <w:pPr>
              <w:pStyle w:val="a3"/>
              <w:spacing w:before="0" w:beforeAutospacing="0" w:after="0" w:afterAutospacing="0"/>
              <w:rPr>
                <w:sz w:val="14"/>
                <w:szCs w:val="14"/>
              </w:rPr>
            </w:pPr>
            <w:r>
              <w:rPr>
                <w:sz w:val="14"/>
                <w:szCs w:val="14"/>
              </w:rPr>
              <w:t> </w:t>
            </w:r>
          </w:p>
        </w:tc>
        <w:tc>
          <w:tcPr>
            <w:tcW w:w="0" w:type="auto"/>
            <w:noWrap/>
            <w:vAlign w:val="bottom"/>
            <w:hideMark/>
          </w:tcPr>
          <w:p w14:paraId="39A8BDE6" w14:textId="77777777" w:rsidR="00000000" w:rsidRDefault="00EF48A2">
            <w:pPr>
              <w:pStyle w:val="a3"/>
              <w:spacing w:before="0" w:beforeAutospacing="0" w:after="0" w:afterAutospacing="0"/>
              <w:rPr>
                <w:sz w:val="14"/>
                <w:szCs w:val="14"/>
              </w:rPr>
            </w:pPr>
            <w:r>
              <w:rPr>
                <w:sz w:val="14"/>
                <w:szCs w:val="14"/>
              </w:rPr>
              <w:t> </w:t>
            </w:r>
          </w:p>
        </w:tc>
        <w:tc>
          <w:tcPr>
            <w:tcW w:w="0" w:type="auto"/>
            <w:vAlign w:val="bottom"/>
            <w:hideMark/>
          </w:tcPr>
          <w:p w14:paraId="1989F081" w14:textId="77777777" w:rsidR="00000000" w:rsidRDefault="00EF48A2">
            <w:pPr>
              <w:pStyle w:val="a3"/>
              <w:spacing w:before="0" w:beforeAutospacing="0" w:after="0" w:afterAutospacing="0"/>
              <w:jc w:val="right"/>
              <w:rPr>
                <w:sz w:val="14"/>
                <w:szCs w:val="14"/>
              </w:rPr>
            </w:pPr>
            <w:r>
              <w:rPr>
                <w:sz w:val="14"/>
                <w:szCs w:val="14"/>
              </w:rPr>
              <w:t>—</w:t>
            </w:r>
          </w:p>
        </w:tc>
        <w:tc>
          <w:tcPr>
            <w:tcW w:w="0" w:type="auto"/>
            <w:noWrap/>
            <w:vAlign w:val="bottom"/>
            <w:hideMark/>
          </w:tcPr>
          <w:p w14:paraId="5BDC576F" w14:textId="77777777" w:rsidR="00000000" w:rsidRDefault="00EF48A2">
            <w:pPr>
              <w:pStyle w:val="a3"/>
              <w:spacing w:before="0" w:beforeAutospacing="0" w:after="0" w:afterAutospacing="0"/>
              <w:rPr>
                <w:sz w:val="14"/>
                <w:szCs w:val="14"/>
              </w:rPr>
            </w:pPr>
            <w:r>
              <w:rPr>
                <w:sz w:val="14"/>
                <w:szCs w:val="14"/>
              </w:rPr>
              <w:t> </w:t>
            </w:r>
          </w:p>
        </w:tc>
      </w:tr>
    </w:tbl>
    <w:p w14:paraId="0B63ACD0" w14:textId="77777777" w:rsidR="00000000" w:rsidRDefault="00EF48A2">
      <w:pPr>
        <w:pStyle w:val="a3"/>
        <w:spacing w:before="240" w:beforeAutospacing="0" w:after="0" w:afterAutospacing="0"/>
        <w:rPr>
          <w:sz w:val="20"/>
          <w:szCs w:val="20"/>
        </w:rPr>
      </w:pPr>
      <w:r>
        <w:rPr>
          <w:b/>
          <w:bCs/>
          <w:sz w:val="20"/>
          <w:szCs w:val="20"/>
        </w:rPr>
        <w:t>Equity Compensation Plan Informatio</w:t>
      </w:r>
      <w:r>
        <w:rPr>
          <w:b/>
          <w:bCs/>
          <w:sz w:val="20"/>
          <w:szCs w:val="20"/>
        </w:rPr>
        <w:t>n</w:t>
      </w:r>
    </w:p>
    <w:p w14:paraId="09E95173" w14:textId="77777777" w:rsidR="00000000" w:rsidRDefault="00EF48A2">
      <w:pPr>
        <w:pStyle w:val="a3"/>
        <w:spacing w:before="180" w:beforeAutospacing="0" w:after="0" w:afterAutospacing="0"/>
        <w:jc w:val="both"/>
        <w:rPr>
          <w:sz w:val="20"/>
          <w:szCs w:val="20"/>
        </w:rPr>
      </w:pPr>
      <w:r>
        <w:rPr>
          <w:sz w:val="20"/>
          <w:szCs w:val="20"/>
        </w:rPr>
        <w:t>The information required by this item is incorporated by reference to the definitive Proxy Statement for our 2023 Annual Meeting of Stockholders, which will be filed with the SEC no later than 120 days after December 31, 2022</w:t>
      </w:r>
      <w:r>
        <w:rPr>
          <w:sz w:val="20"/>
          <w:szCs w:val="20"/>
        </w:rPr>
        <w:t>.</w:t>
      </w:r>
    </w:p>
    <w:p w14:paraId="56E670DB"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6. Reserved</w:t>
      </w:r>
      <w:r>
        <w:rPr>
          <w:b/>
          <w:bCs/>
          <w:sz w:val="20"/>
          <w:szCs w:val="20"/>
        </w:rPr>
        <w:t>.</w:t>
      </w:r>
    </w:p>
    <w:p w14:paraId="618477B8"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4</w:t>
      </w:r>
    </w:p>
    <w:p w14:paraId="31F1B8D8" w14:textId="77777777" w:rsidR="00000000" w:rsidRDefault="00EF48A2">
      <w:pPr>
        <w:rPr>
          <w:rFonts w:eastAsia="Times New Roman"/>
        </w:rPr>
      </w:pPr>
      <w:r>
        <w:rPr>
          <w:rFonts w:eastAsia="Times New Roman"/>
        </w:rPr>
        <w:pict w14:anchorId="222E4154">
          <v:rect id="_x0000_i1071" style="width:0;height:1.5pt" o:hralign="center" o:hrstd="t" o:hr="t" fillcolor="#a0a0a0" stroked="f"/>
        </w:pict>
      </w:r>
    </w:p>
    <w:p w14:paraId="214CF8A2"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0EB213E"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7. MANAGEMENT'S DISCUSSION AND ANALYSIS OF FINANCIAL CONDITION AND RESULTS OF OPERATION</w:t>
      </w:r>
      <w:r>
        <w:rPr>
          <w:b/>
          <w:bCs/>
          <w:sz w:val="20"/>
          <w:szCs w:val="20"/>
        </w:rPr>
        <w:t>S</w:t>
      </w:r>
    </w:p>
    <w:p w14:paraId="7766F873" w14:textId="77777777" w:rsidR="00000000" w:rsidRDefault="00EF48A2">
      <w:pPr>
        <w:pStyle w:val="a3"/>
        <w:spacing w:before="180" w:beforeAutospacing="0" w:after="0" w:afterAutospacing="0"/>
        <w:jc w:val="both"/>
        <w:rPr>
          <w:sz w:val="20"/>
          <w:szCs w:val="20"/>
        </w:rPr>
      </w:pPr>
      <w:r>
        <w:rPr>
          <w:i/>
          <w:iCs/>
          <w:sz w:val="20"/>
          <w:szCs w:val="20"/>
        </w:rPr>
        <w:t>Unless the context otherwise requires, all references in this section as to “Talkspac</w:t>
      </w:r>
      <w:r>
        <w:rPr>
          <w:i/>
          <w:iCs/>
          <w:sz w:val="20"/>
          <w:szCs w:val="20"/>
        </w:rPr>
        <w:t>e,” the “Company,” “we,” “us” or “our” refer to the business of Talkspace, Inc. and its consolidated subsidiaries</w:t>
      </w:r>
      <w:r>
        <w:rPr>
          <w:i/>
          <w:iCs/>
          <w:sz w:val="20"/>
          <w:szCs w:val="20"/>
        </w:rPr>
        <w:t>.</w:t>
      </w:r>
    </w:p>
    <w:p w14:paraId="44564512" w14:textId="77777777" w:rsidR="00000000" w:rsidRDefault="00EF48A2">
      <w:pPr>
        <w:pStyle w:val="a3"/>
        <w:spacing w:before="180" w:beforeAutospacing="0" w:after="0" w:afterAutospacing="0"/>
        <w:jc w:val="both"/>
        <w:rPr>
          <w:sz w:val="20"/>
          <w:szCs w:val="20"/>
        </w:rPr>
      </w:pPr>
      <w:r>
        <w:rPr>
          <w:sz w:val="20"/>
          <w:szCs w:val="20"/>
        </w:rPr>
        <w:t>The following discussion and analysis of our financial condition and results of operations should be read together with the financial stateme</w:t>
      </w:r>
      <w:r>
        <w:rPr>
          <w:sz w:val="20"/>
          <w:szCs w:val="20"/>
        </w:rPr>
        <w:t>nts and the related notes contained in this Annual Report. This discussion contains forward-looking statements that reflect our plans, estimates, and beliefs, that involve risks and uncertainties. As a result of many factors, such as those discussed in the</w:t>
      </w:r>
      <w:r>
        <w:rPr>
          <w:sz w:val="20"/>
          <w:szCs w:val="20"/>
        </w:rPr>
        <w:t xml:space="preserve"> “Risk Factors” and “Forward-Looking Statements” sections and elsewhere in this Annual Report, our actual results may differ materially from those anticipated in these forward-looking statements</w:t>
      </w:r>
      <w:r>
        <w:rPr>
          <w:sz w:val="20"/>
          <w:szCs w:val="20"/>
        </w:rPr>
        <w:t>.</w:t>
      </w:r>
    </w:p>
    <w:p w14:paraId="3CA48F98" w14:textId="77777777" w:rsidR="00000000" w:rsidRDefault="00EF48A2">
      <w:pPr>
        <w:pStyle w:val="a3"/>
        <w:spacing w:before="180" w:beforeAutospacing="0" w:after="0" w:afterAutospacing="0"/>
        <w:jc w:val="both"/>
        <w:rPr>
          <w:sz w:val="20"/>
          <w:szCs w:val="20"/>
        </w:rPr>
      </w:pPr>
      <w:r>
        <w:rPr>
          <w:sz w:val="20"/>
          <w:szCs w:val="20"/>
        </w:rPr>
        <w:t>The purpose of this section is to discuss and analyze our co</w:t>
      </w:r>
      <w:r>
        <w:rPr>
          <w:sz w:val="20"/>
          <w:szCs w:val="20"/>
        </w:rPr>
        <w:t>nsolidated financial condition, liquidity and capital resources and results of operations for the years ended December 31, 2022 and 2021. For a discussion of our results of operations, liquidity and capital resources for the year ended December 31, 2020, s</w:t>
      </w:r>
      <w:r>
        <w:rPr>
          <w:sz w:val="20"/>
          <w:szCs w:val="20"/>
        </w:rPr>
        <w:t>ee "Management's Discussion and Analysis of Financial Condition and Results of Operations" in Part II, Item 7 of our Annual Report on Form 10-K for the fiscal year ended December 31, 2021</w:t>
      </w:r>
      <w:r>
        <w:rPr>
          <w:sz w:val="20"/>
          <w:szCs w:val="20"/>
        </w:rPr>
        <w:t>.</w:t>
      </w:r>
    </w:p>
    <w:p w14:paraId="10257BB6" w14:textId="77777777" w:rsidR="00000000" w:rsidRDefault="00EF48A2">
      <w:pPr>
        <w:pStyle w:val="a3"/>
        <w:spacing w:before="240" w:beforeAutospacing="0" w:after="0" w:afterAutospacing="0"/>
        <w:rPr>
          <w:sz w:val="20"/>
          <w:szCs w:val="20"/>
        </w:rPr>
      </w:pPr>
      <w:r>
        <w:rPr>
          <w:b/>
          <w:bCs/>
          <w:sz w:val="20"/>
          <w:szCs w:val="20"/>
        </w:rPr>
        <w:t>Overvie</w:t>
      </w:r>
      <w:r>
        <w:rPr>
          <w:b/>
          <w:bCs/>
          <w:sz w:val="20"/>
          <w:szCs w:val="20"/>
        </w:rPr>
        <w:t>w</w:t>
      </w:r>
      <w:r>
        <w:rPr>
          <w:b/>
          <w:bCs/>
          <w:sz w:val="20"/>
          <w:szCs w:val="20"/>
        </w:rPr>
        <w:t xml:space="preserve"> </w:t>
      </w:r>
    </w:p>
    <w:p w14:paraId="09079F28" w14:textId="77777777" w:rsidR="00000000" w:rsidRDefault="00EF48A2">
      <w:pPr>
        <w:pStyle w:val="a3"/>
        <w:spacing w:before="180" w:beforeAutospacing="0" w:after="0" w:afterAutospacing="0"/>
        <w:jc w:val="both"/>
        <w:rPr>
          <w:sz w:val="20"/>
          <w:szCs w:val="20"/>
        </w:rPr>
      </w:pPr>
      <w:r>
        <w:rPr>
          <w:sz w:val="20"/>
          <w:szCs w:val="20"/>
        </w:rPr>
        <w:t>Talkspace is a healthcare company offering its members co</w:t>
      </w:r>
      <w:r>
        <w:rPr>
          <w:sz w:val="20"/>
          <w:szCs w:val="20"/>
        </w:rPr>
        <w:t>nvenient and affordable access to a fully-credentialed network of highly qualified providers. We are a leading virtual behavioral health company and, since Talkspace’s founding in 2012, we have connected millions of patients with licensed mental health pro</w:t>
      </w:r>
      <w:r>
        <w:rPr>
          <w:sz w:val="20"/>
          <w:szCs w:val="20"/>
        </w:rPr>
        <w:t>viders across a wide and growing spectrum of care through virtual counseling, psychotherapy and psychiatry. We created a purpose-built platform to address the vast, unmet and growing demand for mental health services of our members, serving our business-to</w:t>
      </w:r>
      <w:r>
        <w:rPr>
          <w:sz w:val="20"/>
          <w:szCs w:val="20"/>
        </w:rPr>
        <w:t>-business (“B2B”) channel, comprised of large health plans and employee assistance programs (“health plan clients”) such as Aetna, Cigna, Premera and Optum and large enterprise clients such as Google and Expedia (collectively, our “clients”), who offer the</w:t>
      </w:r>
      <w:r>
        <w:rPr>
          <w:sz w:val="20"/>
          <w:szCs w:val="20"/>
        </w:rPr>
        <w:t>ir employees and insured members access to our platform while their employer is under an active contract with Talkspace, or at in-network reimbursement rates, where applicable, and our business-to-consumer (“B2C”) channel, comprised of individual consumers</w:t>
      </w:r>
      <w:r>
        <w:rPr>
          <w:sz w:val="20"/>
          <w:szCs w:val="20"/>
        </w:rPr>
        <w:t xml:space="preserve"> who subscribe directly to our platform</w:t>
      </w:r>
      <w:r>
        <w:rPr>
          <w:sz w:val="20"/>
          <w:szCs w:val="20"/>
        </w:rPr>
        <w:t>.</w:t>
      </w:r>
    </w:p>
    <w:p w14:paraId="04717131" w14:textId="77777777" w:rsidR="00000000" w:rsidRDefault="00EF48A2">
      <w:pPr>
        <w:pStyle w:val="a3"/>
        <w:spacing w:before="180" w:beforeAutospacing="0" w:after="0" w:afterAutospacing="0"/>
        <w:jc w:val="both"/>
        <w:rPr>
          <w:sz w:val="20"/>
          <w:szCs w:val="20"/>
        </w:rPr>
      </w:pPr>
      <w:r>
        <w:rPr>
          <w:sz w:val="20"/>
          <w:szCs w:val="20"/>
        </w:rPr>
        <w:t>As of December 31, 2022, we had over 62,000 active members receiving care through our B2B and B2C channels, with over 92 million B2B eligible lives and over 15,000 B2C active members. For the year ended December 31,</w:t>
      </w:r>
      <w:r>
        <w:rPr>
          <w:sz w:val="20"/>
          <w:szCs w:val="20"/>
        </w:rPr>
        <w:t xml:space="preserve"> 2022, our clinicians completed 426,400 B2B sessions related to members covered by our health plan clients, as compared to 273,700 completed B2B sessions for the year ended December 31, 2021. Please refer to the “Key Business Metrics” section below for a d</w:t>
      </w:r>
      <w:r>
        <w:rPr>
          <w:sz w:val="20"/>
          <w:szCs w:val="20"/>
        </w:rPr>
        <w:t>escription of active members and B2B eligible lives</w:t>
      </w:r>
      <w:r>
        <w:rPr>
          <w:sz w:val="20"/>
          <w:szCs w:val="20"/>
        </w:rPr>
        <w:t>.</w:t>
      </w:r>
    </w:p>
    <w:p w14:paraId="0F1005FF" w14:textId="77777777" w:rsidR="00000000" w:rsidRDefault="00EF48A2">
      <w:pPr>
        <w:pStyle w:val="a3"/>
        <w:spacing w:before="240" w:beforeAutospacing="0" w:after="0" w:afterAutospacing="0"/>
        <w:rPr>
          <w:sz w:val="20"/>
          <w:szCs w:val="20"/>
        </w:rPr>
      </w:pPr>
      <w:r>
        <w:rPr>
          <w:b/>
          <w:bCs/>
          <w:sz w:val="20"/>
          <w:szCs w:val="20"/>
        </w:rPr>
        <w:t>Operating Segment</w:t>
      </w:r>
      <w:r>
        <w:rPr>
          <w:b/>
          <w:bCs/>
          <w:sz w:val="20"/>
          <w:szCs w:val="20"/>
        </w:rPr>
        <w:t>s</w:t>
      </w:r>
      <w:r>
        <w:rPr>
          <w:b/>
          <w:bCs/>
          <w:sz w:val="20"/>
          <w:szCs w:val="20"/>
        </w:rPr>
        <w:t xml:space="preserve"> </w:t>
      </w:r>
    </w:p>
    <w:p w14:paraId="74C2CD04" w14:textId="77777777" w:rsidR="00000000" w:rsidRDefault="00EF48A2">
      <w:pPr>
        <w:pStyle w:val="a3"/>
        <w:spacing w:before="180" w:beforeAutospacing="0" w:after="0" w:afterAutospacing="0"/>
        <w:jc w:val="both"/>
        <w:rPr>
          <w:sz w:val="20"/>
          <w:szCs w:val="20"/>
        </w:rPr>
      </w:pPr>
      <w:r>
        <w:rPr>
          <w:sz w:val="20"/>
          <w:szCs w:val="20"/>
        </w:rPr>
        <w:t>The Company operates as a single segment and as one reporting unit, which is how the chief operating decision maker (who is the chief executive officer) reviews financial performance and allocates resources</w:t>
      </w:r>
      <w:r>
        <w:rPr>
          <w:sz w:val="20"/>
          <w:szCs w:val="20"/>
        </w:rPr>
        <w:t>.</w:t>
      </w:r>
    </w:p>
    <w:p w14:paraId="70401A4C" w14:textId="77777777" w:rsidR="00000000" w:rsidRDefault="00EF48A2">
      <w:pPr>
        <w:pStyle w:val="a3"/>
        <w:spacing w:before="24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14:paraId="663DBB96" w14:textId="77777777" w:rsidR="00000000" w:rsidRDefault="00EF48A2">
      <w:pPr>
        <w:pStyle w:val="a3"/>
        <w:spacing w:before="180" w:beforeAutospacing="0" w:after="0" w:afterAutospacing="0"/>
        <w:jc w:val="both"/>
        <w:rPr>
          <w:sz w:val="20"/>
          <w:szCs w:val="20"/>
        </w:rPr>
      </w:pPr>
      <w:r>
        <w:rPr>
          <w:sz w:val="20"/>
          <w:szCs w:val="20"/>
        </w:rPr>
        <w:t>We monitor the following k</w:t>
      </w:r>
      <w:r>
        <w:rPr>
          <w:sz w:val="20"/>
          <w:szCs w:val="20"/>
        </w:rPr>
        <w:t>ey metrics to help us evaluate our business, identify trends affecting our business, formulate business plans and make strategic decisions. We believe the following metrics are useful in evaluating our business</w:t>
      </w:r>
      <w:r>
        <w:rPr>
          <w:sz w:val="20"/>
          <w:szCs w:val="20"/>
        </w:rPr>
        <w:t>:</w:t>
      </w:r>
      <w:r>
        <w:rPr>
          <w:sz w:val="20"/>
          <w:szCs w:val="20"/>
        </w:rPr>
        <w:t xml:space="preserve"> </w:t>
      </w:r>
    </w:p>
    <w:p w14:paraId="69524B92" w14:textId="77777777" w:rsidR="00000000" w:rsidRDefault="00EF48A2">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5"/>
        <w:gridCol w:w="127"/>
        <w:gridCol w:w="110"/>
        <w:gridCol w:w="1096"/>
        <w:gridCol w:w="110"/>
        <w:gridCol w:w="126"/>
        <w:gridCol w:w="110"/>
        <w:gridCol w:w="1127"/>
        <w:gridCol w:w="125"/>
      </w:tblGrid>
      <w:tr w:rsidR="00000000" w14:paraId="3AD2D660" w14:textId="77777777">
        <w:trPr>
          <w:tblCellSpacing w:w="15" w:type="dxa"/>
        </w:trPr>
        <w:tc>
          <w:tcPr>
            <w:tcW w:w="3326" w:type="pct"/>
            <w:vAlign w:val="center"/>
            <w:hideMark/>
          </w:tcPr>
          <w:p w14:paraId="152A1754" w14:textId="77777777" w:rsidR="00000000" w:rsidRDefault="00EF48A2">
            <w:pPr>
              <w:rPr>
                <w:sz w:val="20"/>
                <w:szCs w:val="20"/>
              </w:rPr>
            </w:pPr>
          </w:p>
        </w:tc>
        <w:tc>
          <w:tcPr>
            <w:tcW w:w="60" w:type="pct"/>
            <w:vAlign w:val="center"/>
            <w:hideMark/>
          </w:tcPr>
          <w:p w14:paraId="0ACDAB97" w14:textId="77777777" w:rsidR="00000000" w:rsidRDefault="00EF48A2">
            <w:pPr>
              <w:rPr>
                <w:rFonts w:eastAsia="Times New Roman"/>
                <w:sz w:val="20"/>
                <w:szCs w:val="20"/>
              </w:rPr>
            </w:pPr>
          </w:p>
        </w:tc>
        <w:tc>
          <w:tcPr>
            <w:tcW w:w="50" w:type="pct"/>
            <w:vAlign w:val="center"/>
            <w:hideMark/>
          </w:tcPr>
          <w:p w14:paraId="0F3C6A91" w14:textId="77777777" w:rsidR="00000000" w:rsidRDefault="00EF48A2">
            <w:pPr>
              <w:rPr>
                <w:rFonts w:eastAsia="Times New Roman"/>
                <w:sz w:val="20"/>
                <w:szCs w:val="20"/>
              </w:rPr>
            </w:pPr>
          </w:p>
        </w:tc>
        <w:tc>
          <w:tcPr>
            <w:tcW w:w="666" w:type="pct"/>
            <w:vAlign w:val="center"/>
            <w:hideMark/>
          </w:tcPr>
          <w:p w14:paraId="1BD104AF" w14:textId="77777777" w:rsidR="00000000" w:rsidRDefault="00EF48A2">
            <w:pPr>
              <w:rPr>
                <w:rFonts w:eastAsia="Times New Roman"/>
                <w:sz w:val="20"/>
                <w:szCs w:val="20"/>
              </w:rPr>
            </w:pPr>
          </w:p>
        </w:tc>
        <w:tc>
          <w:tcPr>
            <w:tcW w:w="50" w:type="pct"/>
            <w:vAlign w:val="center"/>
            <w:hideMark/>
          </w:tcPr>
          <w:p w14:paraId="3CAD7668" w14:textId="77777777" w:rsidR="00000000" w:rsidRDefault="00EF48A2">
            <w:pPr>
              <w:rPr>
                <w:rFonts w:eastAsia="Times New Roman"/>
                <w:sz w:val="20"/>
                <w:szCs w:val="20"/>
              </w:rPr>
            </w:pPr>
          </w:p>
        </w:tc>
        <w:tc>
          <w:tcPr>
            <w:tcW w:w="60" w:type="pct"/>
            <w:vAlign w:val="center"/>
            <w:hideMark/>
          </w:tcPr>
          <w:p w14:paraId="65A43C89" w14:textId="77777777" w:rsidR="00000000" w:rsidRDefault="00EF48A2">
            <w:pPr>
              <w:rPr>
                <w:rFonts w:eastAsia="Times New Roman"/>
                <w:sz w:val="20"/>
                <w:szCs w:val="20"/>
              </w:rPr>
            </w:pPr>
          </w:p>
        </w:tc>
        <w:tc>
          <w:tcPr>
            <w:tcW w:w="50" w:type="pct"/>
            <w:vAlign w:val="center"/>
            <w:hideMark/>
          </w:tcPr>
          <w:p w14:paraId="68B33BEB" w14:textId="77777777" w:rsidR="00000000" w:rsidRDefault="00EF48A2">
            <w:pPr>
              <w:rPr>
                <w:rFonts w:eastAsia="Times New Roman"/>
                <w:sz w:val="20"/>
                <w:szCs w:val="20"/>
              </w:rPr>
            </w:pPr>
          </w:p>
        </w:tc>
        <w:tc>
          <w:tcPr>
            <w:tcW w:w="685" w:type="pct"/>
            <w:vAlign w:val="center"/>
            <w:hideMark/>
          </w:tcPr>
          <w:p w14:paraId="3F0E92A5" w14:textId="77777777" w:rsidR="00000000" w:rsidRDefault="00EF48A2">
            <w:pPr>
              <w:rPr>
                <w:rFonts w:eastAsia="Times New Roman"/>
                <w:sz w:val="20"/>
                <w:szCs w:val="20"/>
              </w:rPr>
            </w:pPr>
          </w:p>
        </w:tc>
        <w:tc>
          <w:tcPr>
            <w:tcW w:w="50" w:type="pct"/>
            <w:vAlign w:val="center"/>
            <w:hideMark/>
          </w:tcPr>
          <w:p w14:paraId="2D1C897A" w14:textId="77777777" w:rsidR="00000000" w:rsidRDefault="00EF48A2">
            <w:pPr>
              <w:rPr>
                <w:rFonts w:eastAsia="Times New Roman"/>
                <w:sz w:val="20"/>
                <w:szCs w:val="20"/>
              </w:rPr>
            </w:pPr>
          </w:p>
        </w:tc>
      </w:tr>
      <w:tr w:rsidR="00000000" w14:paraId="61C19262" w14:textId="77777777">
        <w:trPr>
          <w:trHeight w:val="160"/>
          <w:tblCellSpacing w:w="15" w:type="dxa"/>
        </w:trPr>
        <w:tc>
          <w:tcPr>
            <w:tcW w:w="0" w:type="auto"/>
            <w:vAlign w:val="bottom"/>
            <w:hideMark/>
          </w:tcPr>
          <w:p w14:paraId="4576FE89"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010FA990"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50E899FB"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w:t>
            </w:r>
            <w:r>
              <w:rPr>
                <w:b/>
                <w:bCs/>
                <w:sz w:val="16"/>
                <w:szCs w:val="16"/>
              </w:rPr>
              <w:t xml:space="preserve"> 31</w:t>
            </w:r>
            <w:r>
              <w:rPr>
                <w:b/>
                <w:bCs/>
                <w:sz w:val="16"/>
                <w:szCs w:val="16"/>
              </w:rPr>
              <w:t>,</w:t>
            </w:r>
          </w:p>
        </w:tc>
        <w:tc>
          <w:tcPr>
            <w:tcW w:w="0" w:type="auto"/>
            <w:vAlign w:val="bottom"/>
            <w:hideMark/>
          </w:tcPr>
          <w:p w14:paraId="06681385"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0632FA38" w14:textId="77777777">
        <w:trPr>
          <w:trHeight w:val="160"/>
          <w:tblCellSpacing w:w="15" w:type="dxa"/>
        </w:trPr>
        <w:tc>
          <w:tcPr>
            <w:tcW w:w="0" w:type="auto"/>
            <w:vAlign w:val="bottom"/>
            <w:hideMark/>
          </w:tcPr>
          <w:p w14:paraId="5A1994DD" w14:textId="77777777" w:rsidR="00000000" w:rsidRDefault="00EF48A2">
            <w:pPr>
              <w:pStyle w:val="a3"/>
              <w:spacing w:before="0" w:beforeAutospacing="0" w:after="0" w:afterAutospacing="0"/>
              <w:rPr>
                <w:sz w:val="16"/>
                <w:szCs w:val="16"/>
              </w:rPr>
            </w:pPr>
            <w:r>
              <w:rPr>
                <w:i/>
                <w:iCs/>
                <w:sz w:val="16"/>
                <w:szCs w:val="16"/>
              </w:rPr>
              <w:t>(in thousands, except number of health plan and enterprise clients or otherwise indicated</w:t>
            </w:r>
            <w:r>
              <w:rPr>
                <w:i/>
                <w:iCs/>
                <w:sz w:val="16"/>
                <w:szCs w:val="16"/>
              </w:rPr>
              <w:t>)</w:t>
            </w:r>
          </w:p>
        </w:tc>
        <w:tc>
          <w:tcPr>
            <w:tcW w:w="0" w:type="auto"/>
            <w:vAlign w:val="bottom"/>
            <w:hideMark/>
          </w:tcPr>
          <w:p w14:paraId="2270C544"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B4C9985"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4AA58A9"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61820F7"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6B567D7"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85D8138"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21DC057" w14:textId="77777777">
        <w:trPr>
          <w:trHeight w:val="200"/>
          <w:tblCellSpacing w:w="15" w:type="dxa"/>
        </w:trPr>
        <w:tc>
          <w:tcPr>
            <w:tcW w:w="0" w:type="auto"/>
            <w:hideMark/>
          </w:tcPr>
          <w:p w14:paraId="6CB5E4A6" w14:textId="77777777" w:rsidR="00000000" w:rsidRDefault="00EF48A2">
            <w:pPr>
              <w:pStyle w:val="a3"/>
              <w:spacing w:before="0" w:beforeAutospacing="0" w:after="0" w:afterAutospacing="0"/>
              <w:rPr>
                <w:sz w:val="20"/>
                <w:szCs w:val="20"/>
              </w:rPr>
            </w:pPr>
            <w:r>
              <w:rPr>
                <w:sz w:val="20"/>
                <w:szCs w:val="20"/>
              </w:rPr>
              <w:t>Number of B2B eligible lives at year end</w:t>
            </w:r>
            <w:r>
              <w:rPr>
                <w:sz w:val="20"/>
                <w:szCs w:val="20"/>
              </w:rPr>
              <w:t xml:space="preserve"> </w:t>
            </w:r>
            <w:r>
              <w:rPr>
                <w:i/>
                <w:iCs/>
                <w:sz w:val="20"/>
                <w:szCs w:val="20"/>
              </w:rPr>
              <w:t>(in millions</w:t>
            </w:r>
            <w:r>
              <w:rPr>
                <w:i/>
                <w:iCs/>
                <w:sz w:val="20"/>
                <w:szCs w:val="20"/>
              </w:rPr>
              <w:t>)</w:t>
            </w:r>
          </w:p>
        </w:tc>
        <w:tc>
          <w:tcPr>
            <w:tcW w:w="0" w:type="auto"/>
            <w:vAlign w:val="bottom"/>
            <w:hideMark/>
          </w:tcPr>
          <w:p w14:paraId="191197E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2FCA26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0EE1E95" w14:textId="77777777" w:rsidR="00000000" w:rsidRDefault="00EF48A2">
            <w:pPr>
              <w:pStyle w:val="a3"/>
              <w:spacing w:before="0" w:beforeAutospacing="0" w:after="0" w:afterAutospacing="0"/>
              <w:jc w:val="right"/>
              <w:rPr>
                <w:sz w:val="20"/>
                <w:szCs w:val="20"/>
              </w:rPr>
            </w:pPr>
            <w:r>
              <w:rPr>
                <w:sz w:val="20"/>
                <w:szCs w:val="20"/>
              </w:rPr>
              <w:t>9</w:t>
            </w:r>
            <w:r>
              <w:rPr>
                <w:sz w:val="20"/>
                <w:szCs w:val="20"/>
              </w:rPr>
              <w:t>2</w:t>
            </w:r>
          </w:p>
        </w:tc>
        <w:tc>
          <w:tcPr>
            <w:tcW w:w="0" w:type="auto"/>
            <w:noWrap/>
            <w:vAlign w:val="bottom"/>
            <w:hideMark/>
          </w:tcPr>
          <w:p w14:paraId="0A180E9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F3EC13"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43B48A7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030D0D9" w14:textId="77777777" w:rsidR="00000000" w:rsidRDefault="00EF48A2">
            <w:pPr>
              <w:pStyle w:val="a3"/>
              <w:spacing w:before="0" w:beforeAutospacing="0" w:after="0" w:afterAutospacing="0"/>
              <w:jc w:val="right"/>
              <w:rPr>
                <w:sz w:val="20"/>
                <w:szCs w:val="20"/>
              </w:rPr>
            </w:pPr>
            <w:r>
              <w:rPr>
                <w:sz w:val="20"/>
                <w:szCs w:val="20"/>
              </w:rPr>
              <w:t>6</w:t>
            </w:r>
            <w:r>
              <w:rPr>
                <w:sz w:val="20"/>
                <w:szCs w:val="20"/>
              </w:rPr>
              <w:t>9</w:t>
            </w:r>
          </w:p>
        </w:tc>
        <w:tc>
          <w:tcPr>
            <w:tcW w:w="0" w:type="auto"/>
            <w:noWrap/>
            <w:vAlign w:val="bottom"/>
            <w:hideMark/>
          </w:tcPr>
          <w:p w14:paraId="6BC8D199" w14:textId="77777777" w:rsidR="00000000" w:rsidRDefault="00EF48A2">
            <w:pPr>
              <w:pStyle w:val="a3"/>
              <w:spacing w:before="0" w:beforeAutospacing="0" w:after="0" w:afterAutospacing="0"/>
              <w:rPr>
                <w:sz w:val="20"/>
                <w:szCs w:val="20"/>
              </w:rPr>
            </w:pPr>
            <w:r>
              <w:rPr>
                <w:sz w:val="20"/>
                <w:szCs w:val="20"/>
              </w:rPr>
              <w:t> </w:t>
            </w:r>
          </w:p>
        </w:tc>
      </w:tr>
      <w:tr w:rsidR="00000000" w14:paraId="2657989C" w14:textId="77777777">
        <w:trPr>
          <w:trHeight w:val="200"/>
          <w:tblCellSpacing w:w="15" w:type="dxa"/>
        </w:trPr>
        <w:tc>
          <w:tcPr>
            <w:tcW w:w="0" w:type="auto"/>
            <w:hideMark/>
          </w:tcPr>
          <w:p w14:paraId="1A687EBB" w14:textId="77777777" w:rsidR="00000000" w:rsidRDefault="00EF48A2">
            <w:pPr>
              <w:pStyle w:val="a3"/>
              <w:spacing w:before="0" w:beforeAutospacing="0" w:after="0" w:afterAutospacing="0"/>
              <w:rPr>
                <w:sz w:val="20"/>
                <w:szCs w:val="20"/>
              </w:rPr>
            </w:pPr>
            <w:r>
              <w:rPr>
                <w:sz w:val="20"/>
                <w:szCs w:val="20"/>
              </w:rPr>
              <w:t>Number of completed B2B session</w:t>
            </w:r>
            <w:r>
              <w:rPr>
                <w:sz w:val="20"/>
                <w:szCs w:val="20"/>
              </w:rPr>
              <w:t>s</w:t>
            </w:r>
          </w:p>
        </w:tc>
        <w:tc>
          <w:tcPr>
            <w:tcW w:w="0" w:type="auto"/>
            <w:vAlign w:val="bottom"/>
            <w:hideMark/>
          </w:tcPr>
          <w:p w14:paraId="35D29D7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EF5CF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CDF978" w14:textId="77777777" w:rsidR="00000000" w:rsidRDefault="00EF48A2">
            <w:pPr>
              <w:pStyle w:val="a3"/>
              <w:spacing w:before="0" w:beforeAutospacing="0" w:after="0" w:afterAutospacing="0"/>
              <w:jc w:val="right"/>
              <w:rPr>
                <w:sz w:val="20"/>
                <w:szCs w:val="20"/>
              </w:rPr>
            </w:pPr>
            <w:r>
              <w:rPr>
                <w:sz w:val="20"/>
                <w:szCs w:val="20"/>
              </w:rPr>
              <w:t>426.</w:t>
            </w:r>
            <w:r>
              <w:rPr>
                <w:sz w:val="20"/>
                <w:szCs w:val="20"/>
              </w:rPr>
              <w:t>4</w:t>
            </w:r>
          </w:p>
        </w:tc>
        <w:tc>
          <w:tcPr>
            <w:tcW w:w="0" w:type="auto"/>
            <w:noWrap/>
            <w:vAlign w:val="bottom"/>
            <w:hideMark/>
          </w:tcPr>
          <w:p w14:paraId="70E8621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E08AD22"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4DE6A6A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4932796" w14:textId="77777777" w:rsidR="00000000" w:rsidRDefault="00EF48A2">
            <w:pPr>
              <w:pStyle w:val="a3"/>
              <w:spacing w:before="0" w:beforeAutospacing="0" w:after="0" w:afterAutospacing="0"/>
              <w:jc w:val="right"/>
              <w:rPr>
                <w:sz w:val="20"/>
                <w:szCs w:val="20"/>
              </w:rPr>
            </w:pPr>
            <w:r>
              <w:rPr>
                <w:sz w:val="20"/>
                <w:szCs w:val="20"/>
              </w:rPr>
              <w:t>273.</w:t>
            </w:r>
            <w:r>
              <w:rPr>
                <w:sz w:val="20"/>
                <w:szCs w:val="20"/>
              </w:rPr>
              <w:t>7</w:t>
            </w:r>
          </w:p>
        </w:tc>
        <w:tc>
          <w:tcPr>
            <w:tcW w:w="0" w:type="auto"/>
            <w:noWrap/>
            <w:vAlign w:val="bottom"/>
            <w:hideMark/>
          </w:tcPr>
          <w:p w14:paraId="3C6268B4" w14:textId="77777777" w:rsidR="00000000" w:rsidRDefault="00EF48A2">
            <w:pPr>
              <w:pStyle w:val="a3"/>
              <w:spacing w:before="0" w:beforeAutospacing="0" w:after="0" w:afterAutospacing="0"/>
              <w:rPr>
                <w:sz w:val="20"/>
                <w:szCs w:val="20"/>
              </w:rPr>
            </w:pPr>
            <w:r>
              <w:rPr>
                <w:sz w:val="20"/>
                <w:szCs w:val="20"/>
              </w:rPr>
              <w:t> </w:t>
            </w:r>
          </w:p>
        </w:tc>
      </w:tr>
      <w:tr w:rsidR="00000000" w14:paraId="0D90081A" w14:textId="77777777">
        <w:trPr>
          <w:trHeight w:val="200"/>
          <w:tblCellSpacing w:w="15" w:type="dxa"/>
        </w:trPr>
        <w:tc>
          <w:tcPr>
            <w:tcW w:w="0" w:type="auto"/>
            <w:hideMark/>
          </w:tcPr>
          <w:p w14:paraId="09865CA3" w14:textId="77777777" w:rsidR="00000000" w:rsidRDefault="00EF48A2">
            <w:pPr>
              <w:pStyle w:val="a3"/>
              <w:spacing w:before="0" w:beforeAutospacing="0" w:after="0" w:afterAutospacing="0"/>
              <w:rPr>
                <w:sz w:val="20"/>
                <w:szCs w:val="20"/>
              </w:rPr>
            </w:pPr>
            <w:r>
              <w:rPr>
                <w:sz w:val="20"/>
                <w:szCs w:val="20"/>
              </w:rPr>
              <w:t>Number of health plan clients at year en</w:t>
            </w:r>
            <w:r>
              <w:rPr>
                <w:sz w:val="20"/>
                <w:szCs w:val="20"/>
              </w:rPr>
              <w:t>d</w:t>
            </w:r>
          </w:p>
        </w:tc>
        <w:tc>
          <w:tcPr>
            <w:tcW w:w="0" w:type="auto"/>
            <w:vAlign w:val="bottom"/>
            <w:hideMark/>
          </w:tcPr>
          <w:p w14:paraId="029C830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95B64A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3154F4" w14:textId="77777777" w:rsidR="00000000" w:rsidRDefault="00EF48A2">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14:paraId="4994EFE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1C453E5"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3D3766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270EFDB" w14:textId="77777777" w:rsidR="00000000" w:rsidRDefault="00EF48A2">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14:paraId="31AE7A21" w14:textId="77777777" w:rsidR="00000000" w:rsidRDefault="00EF48A2">
            <w:pPr>
              <w:pStyle w:val="a3"/>
              <w:spacing w:before="0" w:beforeAutospacing="0" w:after="0" w:afterAutospacing="0"/>
              <w:rPr>
                <w:sz w:val="20"/>
                <w:szCs w:val="20"/>
              </w:rPr>
            </w:pPr>
            <w:r>
              <w:rPr>
                <w:sz w:val="20"/>
                <w:szCs w:val="20"/>
              </w:rPr>
              <w:t> </w:t>
            </w:r>
          </w:p>
        </w:tc>
      </w:tr>
      <w:tr w:rsidR="00000000" w14:paraId="5B2B31EA" w14:textId="77777777">
        <w:trPr>
          <w:trHeight w:val="200"/>
          <w:tblCellSpacing w:w="15" w:type="dxa"/>
        </w:trPr>
        <w:tc>
          <w:tcPr>
            <w:tcW w:w="0" w:type="auto"/>
            <w:hideMark/>
          </w:tcPr>
          <w:p w14:paraId="69938531" w14:textId="77777777" w:rsidR="00000000" w:rsidRDefault="00EF48A2">
            <w:pPr>
              <w:pStyle w:val="a3"/>
              <w:spacing w:before="0" w:beforeAutospacing="0" w:after="0" w:afterAutospacing="0"/>
              <w:rPr>
                <w:sz w:val="20"/>
                <w:szCs w:val="20"/>
              </w:rPr>
            </w:pPr>
            <w:r>
              <w:rPr>
                <w:sz w:val="20"/>
                <w:szCs w:val="20"/>
              </w:rPr>
              <w:t>Number of enterprise clients at year en</w:t>
            </w:r>
            <w:r>
              <w:rPr>
                <w:sz w:val="20"/>
                <w:szCs w:val="20"/>
              </w:rPr>
              <w:t>d</w:t>
            </w:r>
          </w:p>
        </w:tc>
        <w:tc>
          <w:tcPr>
            <w:tcW w:w="0" w:type="auto"/>
            <w:vAlign w:val="bottom"/>
            <w:hideMark/>
          </w:tcPr>
          <w:p w14:paraId="5B69880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A9495E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148FBC5" w14:textId="77777777" w:rsidR="00000000" w:rsidRDefault="00EF48A2">
            <w:pPr>
              <w:pStyle w:val="a3"/>
              <w:spacing w:before="0" w:beforeAutospacing="0" w:after="0" w:afterAutospacing="0"/>
              <w:jc w:val="right"/>
              <w:rPr>
                <w:sz w:val="20"/>
                <w:szCs w:val="20"/>
              </w:rPr>
            </w:pPr>
            <w:r>
              <w:rPr>
                <w:sz w:val="20"/>
                <w:szCs w:val="20"/>
              </w:rPr>
              <w:t>22</w:t>
            </w:r>
            <w:r>
              <w:rPr>
                <w:sz w:val="20"/>
                <w:szCs w:val="20"/>
              </w:rPr>
              <w:t>6</w:t>
            </w:r>
          </w:p>
        </w:tc>
        <w:tc>
          <w:tcPr>
            <w:tcW w:w="0" w:type="auto"/>
            <w:noWrap/>
            <w:vAlign w:val="bottom"/>
            <w:hideMark/>
          </w:tcPr>
          <w:p w14:paraId="57EF777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8C76508"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347B91F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9C6597" w14:textId="77777777" w:rsidR="00000000" w:rsidRDefault="00EF48A2">
            <w:pPr>
              <w:pStyle w:val="a3"/>
              <w:spacing w:before="0" w:beforeAutospacing="0" w:after="0" w:afterAutospacing="0"/>
              <w:jc w:val="right"/>
              <w:rPr>
                <w:sz w:val="20"/>
                <w:szCs w:val="20"/>
              </w:rPr>
            </w:pPr>
            <w:r>
              <w:rPr>
                <w:sz w:val="20"/>
                <w:szCs w:val="20"/>
              </w:rPr>
              <w:t>15</w:t>
            </w:r>
            <w:r>
              <w:rPr>
                <w:sz w:val="20"/>
                <w:szCs w:val="20"/>
              </w:rPr>
              <w:t>8</w:t>
            </w:r>
          </w:p>
        </w:tc>
        <w:tc>
          <w:tcPr>
            <w:tcW w:w="0" w:type="auto"/>
            <w:noWrap/>
            <w:vAlign w:val="bottom"/>
            <w:hideMark/>
          </w:tcPr>
          <w:p w14:paraId="21F1FAB2" w14:textId="77777777" w:rsidR="00000000" w:rsidRDefault="00EF48A2">
            <w:pPr>
              <w:pStyle w:val="a3"/>
              <w:spacing w:before="0" w:beforeAutospacing="0" w:after="0" w:afterAutospacing="0"/>
              <w:rPr>
                <w:sz w:val="20"/>
                <w:szCs w:val="20"/>
              </w:rPr>
            </w:pPr>
            <w:r>
              <w:rPr>
                <w:sz w:val="20"/>
                <w:szCs w:val="20"/>
              </w:rPr>
              <w:t> </w:t>
            </w:r>
          </w:p>
        </w:tc>
      </w:tr>
      <w:tr w:rsidR="00000000" w14:paraId="3BFF667A" w14:textId="77777777">
        <w:trPr>
          <w:trHeight w:val="200"/>
          <w:tblCellSpacing w:w="15" w:type="dxa"/>
        </w:trPr>
        <w:tc>
          <w:tcPr>
            <w:tcW w:w="0" w:type="auto"/>
            <w:hideMark/>
          </w:tcPr>
          <w:p w14:paraId="2326C124" w14:textId="77777777" w:rsidR="00000000" w:rsidRDefault="00EF48A2">
            <w:pPr>
              <w:pStyle w:val="a3"/>
              <w:spacing w:before="0" w:beforeAutospacing="0" w:after="0" w:afterAutospacing="0"/>
              <w:rPr>
                <w:sz w:val="20"/>
                <w:szCs w:val="20"/>
              </w:rPr>
            </w:pPr>
            <w:r>
              <w:rPr>
                <w:sz w:val="20"/>
                <w:szCs w:val="20"/>
              </w:rPr>
              <w:t>Number of B2C active members at year en</w:t>
            </w:r>
            <w:r>
              <w:rPr>
                <w:sz w:val="20"/>
                <w:szCs w:val="20"/>
              </w:rPr>
              <w:t>d</w:t>
            </w:r>
          </w:p>
        </w:tc>
        <w:tc>
          <w:tcPr>
            <w:tcW w:w="0" w:type="auto"/>
            <w:vAlign w:val="bottom"/>
            <w:hideMark/>
          </w:tcPr>
          <w:p w14:paraId="20CC417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6F865B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26233FC" w14:textId="77777777" w:rsidR="00000000" w:rsidRDefault="00EF48A2">
            <w:pPr>
              <w:pStyle w:val="a3"/>
              <w:spacing w:before="0" w:beforeAutospacing="0" w:after="0" w:afterAutospacing="0"/>
              <w:jc w:val="right"/>
              <w:rPr>
                <w:sz w:val="20"/>
                <w:szCs w:val="20"/>
              </w:rPr>
            </w:pPr>
            <w:r>
              <w:rPr>
                <w:sz w:val="20"/>
                <w:szCs w:val="20"/>
              </w:rPr>
              <w:t>15.</w:t>
            </w:r>
            <w:r>
              <w:rPr>
                <w:sz w:val="20"/>
                <w:szCs w:val="20"/>
              </w:rPr>
              <w:t>4</w:t>
            </w:r>
          </w:p>
        </w:tc>
        <w:tc>
          <w:tcPr>
            <w:tcW w:w="0" w:type="auto"/>
            <w:noWrap/>
            <w:vAlign w:val="bottom"/>
            <w:hideMark/>
          </w:tcPr>
          <w:p w14:paraId="5C71079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73DED4B"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DC55F9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7F0FBBF" w14:textId="77777777" w:rsidR="00000000" w:rsidRDefault="00EF48A2">
            <w:pPr>
              <w:pStyle w:val="a3"/>
              <w:spacing w:before="0" w:beforeAutospacing="0" w:after="0" w:afterAutospacing="0"/>
              <w:jc w:val="right"/>
              <w:rPr>
                <w:sz w:val="20"/>
                <w:szCs w:val="20"/>
              </w:rPr>
            </w:pPr>
            <w:r>
              <w:rPr>
                <w:sz w:val="20"/>
                <w:szCs w:val="20"/>
              </w:rPr>
              <w:t>23.</w:t>
            </w:r>
            <w:r>
              <w:rPr>
                <w:sz w:val="20"/>
                <w:szCs w:val="20"/>
              </w:rPr>
              <w:t>8</w:t>
            </w:r>
          </w:p>
        </w:tc>
        <w:tc>
          <w:tcPr>
            <w:tcW w:w="0" w:type="auto"/>
            <w:noWrap/>
            <w:vAlign w:val="bottom"/>
            <w:hideMark/>
          </w:tcPr>
          <w:p w14:paraId="32F6AAB3" w14:textId="77777777" w:rsidR="00000000" w:rsidRDefault="00EF48A2">
            <w:pPr>
              <w:pStyle w:val="a3"/>
              <w:spacing w:before="0" w:beforeAutospacing="0" w:after="0" w:afterAutospacing="0"/>
              <w:rPr>
                <w:sz w:val="20"/>
                <w:szCs w:val="20"/>
              </w:rPr>
            </w:pPr>
            <w:r>
              <w:rPr>
                <w:sz w:val="20"/>
                <w:szCs w:val="20"/>
              </w:rPr>
              <w:t> </w:t>
            </w:r>
          </w:p>
        </w:tc>
      </w:tr>
    </w:tbl>
    <w:p w14:paraId="500B1ACE" w14:textId="77777777" w:rsidR="00000000" w:rsidRDefault="00EF48A2">
      <w:pPr>
        <w:pStyle w:val="a3"/>
        <w:spacing w:before="18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w:t>
      </w:r>
      <w:r>
        <w:rPr>
          <w:sz w:val="20"/>
          <w:szCs w:val="20"/>
        </w:rPr>
        <w:t>if such persons are eligible to receive treatment on the Talkspace platform, in the case of our enterprise clients, while their employer is under an active contract with Talkspace, or, in the case of health plan clients, at an agreed upon reimbursement rat</w:t>
      </w:r>
      <w:r>
        <w:rPr>
          <w:sz w:val="20"/>
          <w:szCs w:val="20"/>
        </w:rPr>
        <w:t>e through insurance under an employee assistance program or other network behavioral health paid benefit program. There may be instances where a person may be covered through multiple solutions</w:t>
      </w:r>
      <w:r>
        <w:rPr>
          <w:sz w:val="20"/>
          <w:szCs w:val="20"/>
        </w:rPr>
        <w:t>,</w:t>
      </w:r>
      <w:r>
        <w:rPr>
          <w:sz w:val="20"/>
          <w:szCs w:val="20"/>
        </w:rPr>
        <w:t xml:space="preserve"> </w:t>
      </w:r>
    </w:p>
    <w:p w14:paraId="55102B6C"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5</w:t>
      </w:r>
    </w:p>
    <w:p w14:paraId="685EBF39" w14:textId="77777777" w:rsidR="00000000" w:rsidRDefault="00EF48A2">
      <w:pPr>
        <w:rPr>
          <w:rFonts w:eastAsia="Times New Roman"/>
        </w:rPr>
      </w:pPr>
      <w:r>
        <w:rPr>
          <w:rFonts w:eastAsia="Times New Roman"/>
        </w:rPr>
        <w:pict w14:anchorId="638CFFB7">
          <v:rect id="_x0000_i1072" style="width:0;height:1.5pt" o:hralign="center" o:hrstd="t" o:hr="t" fillcolor="#a0a0a0" stroked="f"/>
        </w:pict>
      </w:r>
    </w:p>
    <w:p w14:paraId="15DAEA9E"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A675B03" w14:textId="77777777" w:rsidR="00000000" w:rsidRDefault="00EF48A2">
      <w:pPr>
        <w:pStyle w:val="a3"/>
        <w:spacing w:before="180" w:beforeAutospacing="0" w:after="0" w:afterAutospacing="0"/>
        <w:jc w:val="both"/>
        <w:rPr>
          <w:sz w:val="20"/>
          <w:szCs w:val="20"/>
        </w:rPr>
      </w:pPr>
      <w:r>
        <w:rPr>
          <w:sz w:val="20"/>
          <w:szCs w:val="20"/>
        </w:rPr>
        <w:t>typically through behavioral health plans and employee assistance programs. In these instances, the person is counted each time they are covered in the B2B eligible lives calculation, which may cause this amount to reflect a hi</w:t>
      </w:r>
      <w:r>
        <w:rPr>
          <w:sz w:val="20"/>
          <w:szCs w:val="20"/>
        </w:rPr>
        <w:t>gher number of B2B eligible lives than we actually serve</w:t>
      </w:r>
      <w:r>
        <w:rPr>
          <w:sz w:val="20"/>
          <w:szCs w:val="20"/>
        </w:rPr>
        <w:t>.</w:t>
      </w:r>
    </w:p>
    <w:p w14:paraId="3A1B2AA0" w14:textId="77777777" w:rsidR="00000000" w:rsidRDefault="00EF48A2">
      <w:pPr>
        <w:pStyle w:val="a3"/>
        <w:spacing w:before="18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“active” (i) in the case of our B2B members, if such members have engaged on our platform during the preceding 25 days, such as sending a text, video or audio mes</w:t>
      </w:r>
      <w:r>
        <w:rPr>
          <w:sz w:val="20"/>
          <w:szCs w:val="20"/>
        </w:rPr>
        <w:t>sage to, or participating in a video call with, a provider, completing a satisfaction or progress report survey or signing up for our platform, and (ii) in the case of our B2C members, commencing on the date such member initiates contact with a provider on</w:t>
      </w:r>
      <w:r>
        <w:rPr>
          <w:sz w:val="20"/>
          <w:szCs w:val="20"/>
        </w:rPr>
        <w:t xml:space="preserve"> our platform until the term of their monthly, quarterly or bi-annual subscription plan expires, unless terminated early. While a growth in active members typically highlights strong engagement with our members, not all active members are associated with r</w:t>
      </w:r>
      <w:r>
        <w:rPr>
          <w:sz w:val="20"/>
          <w:szCs w:val="20"/>
        </w:rPr>
        <w:t>evenue in that particular period</w:t>
      </w:r>
      <w:r>
        <w:rPr>
          <w:sz w:val="20"/>
          <w:szCs w:val="20"/>
        </w:rPr>
        <w:t>.</w:t>
      </w:r>
    </w:p>
    <w:p w14:paraId="3F3F203B" w14:textId="77777777" w:rsidR="00000000" w:rsidRDefault="00EF48A2">
      <w:pPr>
        <w:pStyle w:val="a3"/>
        <w:spacing w:before="180" w:beforeAutospacing="0" w:after="0" w:afterAutospacing="0"/>
        <w:jc w:val="both"/>
        <w:rPr>
          <w:sz w:val="20"/>
          <w:szCs w:val="20"/>
        </w:rPr>
      </w:pPr>
      <w:r>
        <w:rPr>
          <w:sz w:val="20"/>
          <w:szCs w:val="20"/>
        </w:rPr>
        <w:t>The following table presents a reconciliation of adjusted EBITDA from the most comparable GAAP measure, net loss for the year ended December 31, 2022 and 2021</w:t>
      </w:r>
      <w:r>
        <w:rPr>
          <w:sz w:val="20"/>
          <w:szCs w:val="20"/>
        </w:rPr>
        <w:t>:</w:t>
      </w:r>
    </w:p>
    <w:p w14:paraId="73C444AF" w14:textId="77777777" w:rsidR="00000000" w:rsidRDefault="00EF48A2">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3"/>
        <w:gridCol w:w="173"/>
        <w:gridCol w:w="173"/>
        <w:gridCol w:w="160"/>
        <w:gridCol w:w="1291"/>
        <w:gridCol w:w="127"/>
        <w:gridCol w:w="174"/>
        <w:gridCol w:w="160"/>
        <w:gridCol w:w="1303"/>
        <w:gridCol w:w="142"/>
      </w:tblGrid>
      <w:tr w:rsidR="00000000" w14:paraId="44CAA01E" w14:textId="77777777">
        <w:trPr>
          <w:tblCellSpacing w:w="15" w:type="dxa"/>
        </w:trPr>
        <w:tc>
          <w:tcPr>
            <w:tcW w:w="2870" w:type="pct"/>
            <w:vAlign w:val="center"/>
            <w:hideMark/>
          </w:tcPr>
          <w:p w14:paraId="4B8BD1D4" w14:textId="77777777" w:rsidR="00000000" w:rsidRDefault="00EF48A2">
            <w:pPr>
              <w:rPr>
                <w:sz w:val="20"/>
                <w:szCs w:val="20"/>
              </w:rPr>
            </w:pPr>
          </w:p>
        </w:tc>
        <w:tc>
          <w:tcPr>
            <w:tcW w:w="104" w:type="pct"/>
            <w:vAlign w:val="center"/>
            <w:hideMark/>
          </w:tcPr>
          <w:p w14:paraId="4DFD8D5A" w14:textId="77777777" w:rsidR="00000000" w:rsidRDefault="00EF48A2">
            <w:pPr>
              <w:rPr>
                <w:rFonts w:eastAsia="Times New Roman"/>
                <w:sz w:val="20"/>
                <w:szCs w:val="20"/>
              </w:rPr>
            </w:pPr>
          </w:p>
        </w:tc>
        <w:tc>
          <w:tcPr>
            <w:tcW w:w="104" w:type="pct"/>
            <w:vAlign w:val="center"/>
            <w:hideMark/>
          </w:tcPr>
          <w:p w14:paraId="13249FA6" w14:textId="77777777" w:rsidR="00000000" w:rsidRDefault="00EF48A2">
            <w:pPr>
              <w:rPr>
                <w:rFonts w:eastAsia="Times New Roman"/>
                <w:sz w:val="20"/>
                <w:szCs w:val="20"/>
              </w:rPr>
            </w:pPr>
          </w:p>
        </w:tc>
        <w:tc>
          <w:tcPr>
            <w:tcW w:w="50" w:type="pct"/>
            <w:vAlign w:val="center"/>
            <w:hideMark/>
          </w:tcPr>
          <w:p w14:paraId="7F0D50A2" w14:textId="77777777" w:rsidR="00000000" w:rsidRDefault="00EF48A2">
            <w:pPr>
              <w:rPr>
                <w:rFonts w:eastAsia="Times New Roman"/>
                <w:sz w:val="20"/>
                <w:szCs w:val="20"/>
              </w:rPr>
            </w:pPr>
          </w:p>
        </w:tc>
        <w:tc>
          <w:tcPr>
            <w:tcW w:w="803" w:type="pct"/>
            <w:vAlign w:val="center"/>
            <w:hideMark/>
          </w:tcPr>
          <w:p w14:paraId="3CDB52EF" w14:textId="77777777" w:rsidR="00000000" w:rsidRDefault="00EF48A2">
            <w:pPr>
              <w:rPr>
                <w:rFonts w:eastAsia="Times New Roman"/>
                <w:sz w:val="20"/>
                <w:szCs w:val="20"/>
              </w:rPr>
            </w:pPr>
          </w:p>
        </w:tc>
        <w:tc>
          <w:tcPr>
            <w:tcW w:w="50" w:type="pct"/>
            <w:vAlign w:val="center"/>
            <w:hideMark/>
          </w:tcPr>
          <w:p w14:paraId="45096CDF" w14:textId="77777777" w:rsidR="00000000" w:rsidRDefault="00EF48A2">
            <w:pPr>
              <w:rPr>
                <w:rFonts w:eastAsia="Times New Roman"/>
                <w:sz w:val="20"/>
                <w:szCs w:val="20"/>
              </w:rPr>
            </w:pPr>
          </w:p>
        </w:tc>
        <w:tc>
          <w:tcPr>
            <w:tcW w:w="104" w:type="pct"/>
            <w:vAlign w:val="center"/>
            <w:hideMark/>
          </w:tcPr>
          <w:p w14:paraId="15A27CE2" w14:textId="77777777" w:rsidR="00000000" w:rsidRDefault="00EF48A2">
            <w:pPr>
              <w:rPr>
                <w:rFonts w:eastAsia="Times New Roman"/>
                <w:sz w:val="20"/>
                <w:szCs w:val="20"/>
              </w:rPr>
            </w:pPr>
          </w:p>
        </w:tc>
        <w:tc>
          <w:tcPr>
            <w:tcW w:w="50" w:type="pct"/>
            <w:vAlign w:val="center"/>
            <w:hideMark/>
          </w:tcPr>
          <w:p w14:paraId="159DA3B9" w14:textId="77777777" w:rsidR="00000000" w:rsidRDefault="00EF48A2">
            <w:pPr>
              <w:rPr>
                <w:rFonts w:eastAsia="Times New Roman"/>
                <w:sz w:val="20"/>
                <w:szCs w:val="20"/>
              </w:rPr>
            </w:pPr>
          </w:p>
        </w:tc>
        <w:tc>
          <w:tcPr>
            <w:tcW w:w="811" w:type="pct"/>
            <w:vAlign w:val="center"/>
            <w:hideMark/>
          </w:tcPr>
          <w:p w14:paraId="5B9EBDD5" w14:textId="77777777" w:rsidR="00000000" w:rsidRDefault="00EF48A2">
            <w:pPr>
              <w:rPr>
                <w:rFonts w:eastAsia="Times New Roman"/>
                <w:sz w:val="20"/>
                <w:szCs w:val="20"/>
              </w:rPr>
            </w:pPr>
          </w:p>
        </w:tc>
        <w:tc>
          <w:tcPr>
            <w:tcW w:w="50" w:type="pct"/>
            <w:vAlign w:val="center"/>
            <w:hideMark/>
          </w:tcPr>
          <w:p w14:paraId="73E5751C" w14:textId="77777777" w:rsidR="00000000" w:rsidRDefault="00EF48A2">
            <w:pPr>
              <w:rPr>
                <w:rFonts w:eastAsia="Times New Roman"/>
                <w:sz w:val="20"/>
                <w:szCs w:val="20"/>
              </w:rPr>
            </w:pPr>
          </w:p>
        </w:tc>
      </w:tr>
      <w:tr w:rsidR="00000000" w14:paraId="357D7480" w14:textId="77777777">
        <w:trPr>
          <w:trHeight w:val="160"/>
          <w:tblCellSpacing w:w="15" w:type="dxa"/>
        </w:trPr>
        <w:tc>
          <w:tcPr>
            <w:tcW w:w="0" w:type="auto"/>
            <w:vAlign w:val="bottom"/>
            <w:hideMark/>
          </w:tcPr>
          <w:p w14:paraId="2C6D7CEF"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7F5EB516"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F560C25"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531CCAB8"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 31</w:t>
            </w:r>
            <w:r>
              <w:rPr>
                <w:b/>
                <w:bCs/>
                <w:sz w:val="16"/>
                <w:szCs w:val="16"/>
              </w:rPr>
              <w:t>,</w:t>
            </w:r>
          </w:p>
        </w:tc>
        <w:tc>
          <w:tcPr>
            <w:tcW w:w="0" w:type="auto"/>
            <w:vAlign w:val="bottom"/>
            <w:hideMark/>
          </w:tcPr>
          <w:p w14:paraId="1299E89C"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93779BD" w14:textId="77777777">
        <w:trPr>
          <w:trHeight w:val="160"/>
          <w:tblCellSpacing w:w="15" w:type="dxa"/>
        </w:trPr>
        <w:tc>
          <w:tcPr>
            <w:tcW w:w="0" w:type="auto"/>
            <w:vAlign w:val="bottom"/>
            <w:hideMark/>
          </w:tcPr>
          <w:p w14:paraId="28EB2573"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6008632C"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CD18A3E"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DB13EA5"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3BD1CC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905DA28"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08EFE88"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8C7849D"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62BC5019" w14:textId="77777777">
        <w:trPr>
          <w:trHeight w:val="200"/>
          <w:tblCellSpacing w:w="15" w:type="dxa"/>
        </w:trPr>
        <w:tc>
          <w:tcPr>
            <w:tcW w:w="0" w:type="auto"/>
            <w:hideMark/>
          </w:tcPr>
          <w:p w14:paraId="7046276A" w14:textId="77777777" w:rsidR="00000000" w:rsidRDefault="00EF48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4E6312F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9DB07D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2C782F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AF9083D" w14:textId="77777777" w:rsidR="00000000" w:rsidRDefault="00EF48A2">
            <w:pPr>
              <w:pStyle w:val="a3"/>
              <w:spacing w:before="0" w:beforeAutospacing="0" w:after="0" w:afterAutospacing="0"/>
              <w:jc w:val="right"/>
              <w:rPr>
                <w:sz w:val="20"/>
                <w:szCs w:val="20"/>
              </w:rPr>
            </w:pPr>
            <w:r>
              <w:rPr>
                <w:sz w:val="20"/>
                <w:szCs w:val="20"/>
              </w:rPr>
              <w:t>(79,67</w:t>
            </w:r>
            <w:r>
              <w:rPr>
                <w:sz w:val="20"/>
                <w:szCs w:val="20"/>
              </w:rPr>
              <w:t>2</w:t>
            </w:r>
          </w:p>
        </w:tc>
        <w:tc>
          <w:tcPr>
            <w:tcW w:w="0" w:type="auto"/>
            <w:noWrap/>
            <w:vAlign w:val="bottom"/>
            <w:hideMark/>
          </w:tcPr>
          <w:p w14:paraId="6EBDEE6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76F514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48D569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D3F1A12" w14:textId="77777777" w:rsidR="00000000" w:rsidRDefault="00EF48A2">
            <w:pPr>
              <w:pStyle w:val="a3"/>
              <w:spacing w:before="0" w:beforeAutospacing="0" w:after="0" w:afterAutospacing="0"/>
              <w:jc w:val="right"/>
              <w:rPr>
                <w:sz w:val="20"/>
                <w:szCs w:val="20"/>
              </w:rPr>
            </w:pPr>
            <w:r>
              <w:rPr>
                <w:sz w:val="20"/>
                <w:szCs w:val="20"/>
              </w:rPr>
              <w:t>(62,74</w:t>
            </w:r>
            <w:r>
              <w:rPr>
                <w:sz w:val="20"/>
                <w:szCs w:val="20"/>
              </w:rPr>
              <w:t>2</w:t>
            </w:r>
          </w:p>
        </w:tc>
        <w:tc>
          <w:tcPr>
            <w:tcW w:w="0" w:type="auto"/>
            <w:noWrap/>
            <w:vAlign w:val="bottom"/>
            <w:hideMark/>
          </w:tcPr>
          <w:p w14:paraId="08D8081F" w14:textId="77777777" w:rsidR="00000000" w:rsidRDefault="00EF48A2">
            <w:pPr>
              <w:pStyle w:val="a3"/>
              <w:spacing w:before="0" w:beforeAutospacing="0" w:after="0" w:afterAutospacing="0"/>
              <w:rPr>
                <w:sz w:val="20"/>
                <w:szCs w:val="20"/>
              </w:rPr>
            </w:pPr>
            <w:r>
              <w:rPr>
                <w:sz w:val="20"/>
                <w:szCs w:val="20"/>
              </w:rPr>
              <w:t>)</w:t>
            </w:r>
          </w:p>
        </w:tc>
      </w:tr>
      <w:tr w:rsidR="00000000" w14:paraId="45D1B6EF" w14:textId="77777777">
        <w:trPr>
          <w:trHeight w:val="200"/>
          <w:tblCellSpacing w:w="15" w:type="dxa"/>
        </w:trPr>
        <w:tc>
          <w:tcPr>
            <w:tcW w:w="0" w:type="auto"/>
            <w:hideMark/>
          </w:tcPr>
          <w:p w14:paraId="6D59A9D1" w14:textId="77777777" w:rsidR="00000000" w:rsidRDefault="00EF48A2">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14:paraId="23D4B5D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2516102"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7036A62"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915179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9366AD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7ADD7C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33AE78C" w14:textId="77777777" w:rsidR="00000000" w:rsidRDefault="00EF48A2">
            <w:pPr>
              <w:pStyle w:val="a3"/>
              <w:spacing w:before="0" w:beforeAutospacing="0" w:after="0" w:afterAutospacing="0"/>
              <w:jc w:val="right"/>
              <w:rPr>
                <w:sz w:val="20"/>
                <w:szCs w:val="20"/>
              </w:rPr>
            </w:pPr>
            <w:r>
              <w:rPr>
                <w:sz w:val="20"/>
                <w:szCs w:val="20"/>
              </w:rPr>
              <w:t> </w:t>
            </w:r>
          </w:p>
        </w:tc>
      </w:tr>
      <w:tr w:rsidR="00000000" w14:paraId="2D66B769" w14:textId="77777777">
        <w:trPr>
          <w:trHeight w:val="200"/>
          <w:tblCellSpacing w:w="15" w:type="dxa"/>
        </w:trPr>
        <w:tc>
          <w:tcPr>
            <w:tcW w:w="0" w:type="auto"/>
            <w:hideMark/>
          </w:tcPr>
          <w:p w14:paraId="1963B6D5" w14:textId="77777777" w:rsidR="00000000" w:rsidRDefault="00EF48A2">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14:paraId="2169D23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3B22A5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51066A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13F4DD1" w14:textId="77777777" w:rsidR="00000000" w:rsidRDefault="00EF48A2">
            <w:pPr>
              <w:pStyle w:val="a3"/>
              <w:spacing w:before="0" w:beforeAutospacing="0" w:after="0" w:afterAutospacing="0"/>
              <w:jc w:val="right"/>
              <w:rPr>
                <w:sz w:val="20"/>
                <w:szCs w:val="20"/>
              </w:rPr>
            </w:pPr>
            <w:r>
              <w:rPr>
                <w:sz w:val="20"/>
                <w:szCs w:val="20"/>
              </w:rPr>
              <w:t>1,35</w:t>
            </w:r>
            <w:r>
              <w:rPr>
                <w:sz w:val="20"/>
                <w:szCs w:val="20"/>
              </w:rPr>
              <w:t>7</w:t>
            </w:r>
          </w:p>
        </w:tc>
        <w:tc>
          <w:tcPr>
            <w:tcW w:w="0" w:type="auto"/>
            <w:noWrap/>
            <w:vAlign w:val="bottom"/>
            <w:hideMark/>
          </w:tcPr>
          <w:p w14:paraId="64991E6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12FEFD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711F61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197231" w14:textId="77777777" w:rsidR="00000000" w:rsidRDefault="00EF48A2">
            <w:pPr>
              <w:pStyle w:val="a3"/>
              <w:spacing w:before="0" w:beforeAutospacing="0" w:after="0" w:afterAutospacing="0"/>
              <w:jc w:val="right"/>
              <w:rPr>
                <w:sz w:val="20"/>
                <w:szCs w:val="20"/>
              </w:rPr>
            </w:pPr>
            <w:r>
              <w:rPr>
                <w:sz w:val="20"/>
                <w:szCs w:val="20"/>
              </w:rPr>
              <w:t>1,97</w:t>
            </w:r>
            <w:r>
              <w:rPr>
                <w:sz w:val="20"/>
                <w:szCs w:val="20"/>
              </w:rPr>
              <w:t>3</w:t>
            </w:r>
          </w:p>
        </w:tc>
        <w:tc>
          <w:tcPr>
            <w:tcW w:w="0" w:type="auto"/>
            <w:noWrap/>
            <w:vAlign w:val="bottom"/>
            <w:hideMark/>
          </w:tcPr>
          <w:p w14:paraId="063EAC5A" w14:textId="77777777" w:rsidR="00000000" w:rsidRDefault="00EF48A2">
            <w:pPr>
              <w:pStyle w:val="a3"/>
              <w:spacing w:before="0" w:beforeAutospacing="0" w:after="0" w:afterAutospacing="0"/>
              <w:rPr>
                <w:sz w:val="20"/>
                <w:szCs w:val="20"/>
              </w:rPr>
            </w:pPr>
            <w:r>
              <w:rPr>
                <w:sz w:val="20"/>
                <w:szCs w:val="20"/>
              </w:rPr>
              <w:t> </w:t>
            </w:r>
          </w:p>
        </w:tc>
      </w:tr>
      <w:tr w:rsidR="00000000" w14:paraId="6BC15F4C" w14:textId="77777777">
        <w:trPr>
          <w:trHeight w:val="200"/>
          <w:tblCellSpacing w:w="15" w:type="dxa"/>
        </w:trPr>
        <w:tc>
          <w:tcPr>
            <w:tcW w:w="0" w:type="auto"/>
            <w:hideMark/>
          </w:tcPr>
          <w:p w14:paraId="58971242" w14:textId="77777777" w:rsidR="00000000" w:rsidRDefault="00EF48A2">
            <w:pPr>
              <w:pStyle w:val="a3"/>
              <w:spacing w:before="0" w:beforeAutospacing="0" w:after="0" w:afterAutospacing="0"/>
              <w:rPr>
                <w:sz w:val="20"/>
                <w:szCs w:val="20"/>
              </w:rPr>
            </w:pPr>
            <w:r>
              <w:rPr>
                <w:sz w:val="20"/>
                <w:szCs w:val="20"/>
              </w:rPr>
              <w:t>Financial (income), net</w:t>
            </w:r>
            <w:r>
              <w:rPr>
                <w:sz w:val="20"/>
                <w:szCs w:val="20"/>
              </w:rPr>
              <w:t xml:space="preserve"> </w:t>
            </w:r>
            <w:r>
              <w:rPr>
                <w:sz w:val="13"/>
                <w:szCs w:val="13"/>
              </w:rPr>
              <w:t>(1</w:t>
            </w:r>
            <w:r>
              <w:rPr>
                <w:sz w:val="13"/>
                <w:szCs w:val="13"/>
              </w:rPr>
              <w:t>)</w:t>
            </w:r>
          </w:p>
        </w:tc>
        <w:tc>
          <w:tcPr>
            <w:tcW w:w="0" w:type="auto"/>
            <w:vAlign w:val="bottom"/>
            <w:hideMark/>
          </w:tcPr>
          <w:p w14:paraId="36A4430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6ABF6E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2AC3F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9ACDDB4" w14:textId="77777777" w:rsidR="00000000" w:rsidRDefault="00EF48A2">
            <w:pPr>
              <w:pStyle w:val="a3"/>
              <w:spacing w:before="0" w:beforeAutospacing="0" w:after="0" w:afterAutospacing="0"/>
              <w:jc w:val="right"/>
              <w:rPr>
                <w:sz w:val="20"/>
                <w:szCs w:val="20"/>
              </w:rPr>
            </w:pPr>
            <w:r>
              <w:rPr>
                <w:sz w:val="20"/>
                <w:szCs w:val="20"/>
              </w:rPr>
              <w:t>(3,74</w:t>
            </w:r>
            <w:r>
              <w:rPr>
                <w:sz w:val="20"/>
                <w:szCs w:val="20"/>
              </w:rPr>
              <w:t>0</w:t>
            </w:r>
          </w:p>
        </w:tc>
        <w:tc>
          <w:tcPr>
            <w:tcW w:w="0" w:type="auto"/>
            <w:noWrap/>
            <w:vAlign w:val="bottom"/>
            <w:hideMark/>
          </w:tcPr>
          <w:p w14:paraId="27C22FB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FAD337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29CD1C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5285579" w14:textId="77777777" w:rsidR="00000000" w:rsidRDefault="00EF48A2">
            <w:pPr>
              <w:pStyle w:val="a3"/>
              <w:spacing w:before="0" w:beforeAutospacing="0" w:after="0" w:afterAutospacing="0"/>
              <w:jc w:val="right"/>
              <w:rPr>
                <w:sz w:val="20"/>
                <w:szCs w:val="20"/>
              </w:rPr>
            </w:pPr>
            <w:r>
              <w:rPr>
                <w:sz w:val="20"/>
                <w:szCs w:val="20"/>
              </w:rPr>
              <w:t>(31,22</w:t>
            </w:r>
            <w:r>
              <w:rPr>
                <w:sz w:val="20"/>
                <w:szCs w:val="20"/>
              </w:rPr>
              <w:t>8</w:t>
            </w:r>
          </w:p>
        </w:tc>
        <w:tc>
          <w:tcPr>
            <w:tcW w:w="0" w:type="auto"/>
            <w:noWrap/>
            <w:vAlign w:val="bottom"/>
            <w:hideMark/>
          </w:tcPr>
          <w:p w14:paraId="1763D3CF" w14:textId="77777777" w:rsidR="00000000" w:rsidRDefault="00EF48A2">
            <w:pPr>
              <w:pStyle w:val="a3"/>
              <w:spacing w:before="0" w:beforeAutospacing="0" w:after="0" w:afterAutospacing="0"/>
              <w:rPr>
                <w:sz w:val="20"/>
                <w:szCs w:val="20"/>
              </w:rPr>
            </w:pPr>
            <w:r>
              <w:rPr>
                <w:sz w:val="20"/>
                <w:szCs w:val="20"/>
              </w:rPr>
              <w:t>)</w:t>
            </w:r>
          </w:p>
        </w:tc>
      </w:tr>
      <w:tr w:rsidR="00000000" w14:paraId="752C8679" w14:textId="77777777">
        <w:trPr>
          <w:trHeight w:val="200"/>
          <w:tblCellSpacing w:w="15" w:type="dxa"/>
        </w:trPr>
        <w:tc>
          <w:tcPr>
            <w:tcW w:w="0" w:type="auto"/>
            <w:hideMark/>
          </w:tcPr>
          <w:p w14:paraId="7471E22A" w14:textId="77777777" w:rsidR="00000000" w:rsidRDefault="00EF48A2">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14:paraId="4FFE535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CF90E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7F71AD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CDFFBA" w14:textId="77777777" w:rsidR="00000000" w:rsidRDefault="00EF48A2">
            <w:pPr>
              <w:pStyle w:val="a3"/>
              <w:spacing w:before="0" w:beforeAutospacing="0" w:after="0" w:afterAutospacing="0"/>
              <w:jc w:val="right"/>
              <w:rPr>
                <w:sz w:val="20"/>
                <w:szCs w:val="20"/>
              </w:rPr>
            </w:pPr>
            <w:r>
              <w:rPr>
                <w:sz w:val="20"/>
                <w:szCs w:val="20"/>
              </w:rPr>
              <w:t>25</w:t>
            </w:r>
            <w:r>
              <w:rPr>
                <w:sz w:val="20"/>
                <w:szCs w:val="20"/>
              </w:rPr>
              <w:t>4</w:t>
            </w:r>
          </w:p>
        </w:tc>
        <w:tc>
          <w:tcPr>
            <w:tcW w:w="0" w:type="auto"/>
            <w:noWrap/>
            <w:vAlign w:val="bottom"/>
            <w:hideMark/>
          </w:tcPr>
          <w:p w14:paraId="02D856F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08C234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B316E4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26149DB" w14:textId="77777777" w:rsidR="00000000" w:rsidRDefault="00EF48A2">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14:paraId="395B0DC8" w14:textId="77777777" w:rsidR="00000000" w:rsidRDefault="00EF48A2">
            <w:pPr>
              <w:pStyle w:val="a3"/>
              <w:spacing w:before="0" w:beforeAutospacing="0" w:after="0" w:afterAutospacing="0"/>
              <w:rPr>
                <w:sz w:val="20"/>
                <w:szCs w:val="20"/>
              </w:rPr>
            </w:pPr>
            <w:r>
              <w:rPr>
                <w:sz w:val="20"/>
                <w:szCs w:val="20"/>
              </w:rPr>
              <w:t> </w:t>
            </w:r>
          </w:p>
        </w:tc>
      </w:tr>
      <w:tr w:rsidR="00000000" w14:paraId="3C549AD5" w14:textId="77777777">
        <w:trPr>
          <w:trHeight w:val="200"/>
          <w:tblCellSpacing w:w="15" w:type="dxa"/>
        </w:trPr>
        <w:tc>
          <w:tcPr>
            <w:tcW w:w="0" w:type="auto"/>
            <w:hideMark/>
          </w:tcPr>
          <w:p w14:paraId="482FC179" w14:textId="77777777" w:rsidR="00000000" w:rsidRDefault="00EF48A2">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14:paraId="6B1E1FF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BE0F5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F6056B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DEAEADE" w14:textId="77777777" w:rsidR="00000000" w:rsidRDefault="00EF48A2">
            <w:pPr>
              <w:pStyle w:val="a3"/>
              <w:spacing w:before="0" w:beforeAutospacing="0" w:after="0" w:afterAutospacing="0"/>
              <w:jc w:val="right"/>
              <w:rPr>
                <w:sz w:val="20"/>
                <w:szCs w:val="20"/>
              </w:rPr>
            </w:pPr>
            <w:r>
              <w:rPr>
                <w:sz w:val="20"/>
                <w:szCs w:val="20"/>
              </w:rPr>
              <w:t>12,11</w:t>
            </w:r>
            <w:r>
              <w:rPr>
                <w:sz w:val="20"/>
                <w:szCs w:val="20"/>
              </w:rPr>
              <w:t>6</w:t>
            </w:r>
          </w:p>
        </w:tc>
        <w:tc>
          <w:tcPr>
            <w:tcW w:w="0" w:type="auto"/>
            <w:noWrap/>
            <w:vAlign w:val="bottom"/>
            <w:hideMark/>
          </w:tcPr>
          <w:p w14:paraId="2841186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451BB0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E81ABD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FA9B025" w14:textId="77777777" w:rsidR="00000000" w:rsidRDefault="00EF48A2">
            <w:pPr>
              <w:pStyle w:val="a3"/>
              <w:spacing w:before="0" w:beforeAutospacing="0" w:after="0" w:afterAutospacing="0"/>
              <w:jc w:val="right"/>
              <w:rPr>
                <w:sz w:val="20"/>
                <w:szCs w:val="20"/>
              </w:rPr>
            </w:pPr>
            <w:r>
              <w:rPr>
                <w:sz w:val="20"/>
                <w:szCs w:val="20"/>
              </w:rPr>
              <w:t>27,40</w:t>
            </w:r>
            <w:r>
              <w:rPr>
                <w:sz w:val="20"/>
                <w:szCs w:val="20"/>
              </w:rPr>
              <w:t>5</w:t>
            </w:r>
          </w:p>
        </w:tc>
        <w:tc>
          <w:tcPr>
            <w:tcW w:w="0" w:type="auto"/>
            <w:noWrap/>
            <w:vAlign w:val="bottom"/>
            <w:hideMark/>
          </w:tcPr>
          <w:p w14:paraId="6BD743E5" w14:textId="77777777" w:rsidR="00000000" w:rsidRDefault="00EF48A2">
            <w:pPr>
              <w:pStyle w:val="a3"/>
              <w:spacing w:before="0" w:beforeAutospacing="0" w:after="0" w:afterAutospacing="0"/>
              <w:rPr>
                <w:sz w:val="20"/>
                <w:szCs w:val="20"/>
              </w:rPr>
            </w:pPr>
            <w:r>
              <w:rPr>
                <w:sz w:val="20"/>
                <w:szCs w:val="20"/>
              </w:rPr>
              <w:t> </w:t>
            </w:r>
          </w:p>
        </w:tc>
      </w:tr>
      <w:tr w:rsidR="00000000" w14:paraId="780F8F70" w14:textId="77777777">
        <w:trPr>
          <w:trHeight w:val="200"/>
          <w:tblCellSpacing w:w="15" w:type="dxa"/>
        </w:trPr>
        <w:tc>
          <w:tcPr>
            <w:tcW w:w="0" w:type="auto"/>
            <w:hideMark/>
          </w:tcPr>
          <w:p w14:paraId="14C4B3ED" w14:textId="77777777" w:rsidR="00000000" w:rsidRDefault="00EF48A2">
            <w:pPr>
              <w:pStyle w:val="a3"/>
              <w:spacing w:before="0" w:beforeAutospacing="0" w:after="0" w:afterAutospacing="0"/>
              <w:rPr>
                <w:sz w:val="20"/>
                <w:szCs w:val="20"/>
              </w:rPr>
            </w:pPr>
            <w:r>
              <w:rPr>
                <w:sz w:val="20"/>
                <w:szCs w:val="20"/>
              </w:rPr>
              <w:t>Impairment of goodwil</w:t>
            </w:r>
            <w:r>
              <w:rPr>
                <w:sz w:val="20"/>
                <w:szCs w:val="20"/>
              </w:rPr>
              <w:t>l</w:t>
            </w:r>
          </w:p>
        </w:tc>
        <w:tc>
          <w:tcPr>
            <w:tcW w:w="0" w:type="auto"/>
            <w:vAlign w:val="bottom"/>
            <w:hideMark/>
          </w:tcPr>
          <w:p w14:paraId="593736B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63A8CA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F32C6C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00672E" w14:textId="77777777" w:rsidR="00000000" w:rsidRDefault="00EF48A2">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5C83340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07045C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E322E4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260FBE"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3D36BD79" w14:textId="77777777" w:rsidR="00000000" w:rsidRDefault="00EF48A2">
            <w:pPr>
              <w:pStyle w:val="a3"/>
              <w:spacing w:before="0" w:beforeAutospacing="0" w:after="0" w:afterAutospacing="0"/>
              <w:rPr>
                <w:sz w:val="20"/>
                <w:szCs w:val="20"/>
              </w:rPr>
            </w:pPr>
            <w:r>
              <w:rPr>
                <w:sz w:val="20"/>
                <w:szCs w:val="20"/>
              </w:rPr>
              <w:t> </w:t>
            </w:r>
          </w:p>
        </w:tc>
      </w:tr>
      <w:tr w:rsidR="00000000" w14:paraId="27BACDA2" w14:textId="77777777">
        <w:trPr>
          <w:trHeight w:val="200"/>
          <w:tblCellSpacing w:w="15" w:type="dxa"/>
        </w:trPr>
        <w:tc>
          <w:tcPr>
            <w:tcW w:w="0" w:type="auto"/>
            <w:hideMark/>
          </w:tcPr>
          <w:p w14:paraId="07FEBCA5" w14:textId="77777777" w:rsidR="00000000" w:rsidRDefault="00EF48A2">
            <w:pPr>
              <w:pStyle w:val="a3"/>
              <w:spacing w:before="0" w:beforeAutospacing="0" w:after="0" w:afterAutospacing="0"/>
              <w:rPr>
                <w:sz w:val="20"/>
                <w:szCs w:val="20"/>
              </w:rPr>
            </w:pPr>
            <w:r>
              <w:rPr>
                <w:sz w:val="20"/>
                <w:szCs w:val="20"/>
              </w:rPr>
              <w:t>Non-recurring expenses</w:t>
            </w:r>
            <w:r>
              <w:rPr>
                <w:sz w:val="20"/>
                <w:szCs w:val="20"/>
              </w:rPr>
              <w:t xml:space="preserve"> </w:t>
            </w:r>
            <w:r>
              <w:rPr>
                <w:sz w:val="13"/>
                <w:szCs w:val="13"/>
              </w:rPr>
              <w:t>(2</w:t>
            </w:r>
            <w:r>
              <w:rPr>
                <w:sz w:val="13"/>
                <w:szCs w:val="13"/>
              </w:rPr>
              <w:t>)</w:t>
            </w:r>
          </w:p>
        </w:tc>
        <w:tc>
          <w:tcPr>
            <w:tcW w:w="0" w:type="auto"/>
            <w:vAlign w:val="bottom"/>
            <w:hideMark/>
          </w:tcPr>
          <w:p w14:paraId="5297AA4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6C69A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D1E92F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8F929BB" w14:textId="77777777" w:rsidR="00000000" w:rsidRDefault="00EF48A2">
            <w:pPr>
              <w:pStyle w:val="a3"/>
              <w:spacing w:before="0" w:beforeAutospacing="0" w:after="0" w:afterAutospacing="0"/>
              <w:jc w:val="right"/>
              <w:rPr>
                <w:sz w:val="20"/>
                <w:szCs w:val="20"/>
              </w:rPr>
            </w:pPr>
            <w:r>
              <w:rPr>
                <w:sz w:val="20"/>
                <w:szCs w:val="20"/>
              </w:rPr>
              <w:t>4,88</w:t>
            </w:r>
            <w:r>
              <w:rPr>
                <w:sz w:val="20"/>
                <w:szCs w:val="20"/>
              </w:rPr>
              <w:t>0</w:t>
            </w:r>
          </w:p>
        </w:tc>
        <w:tc>
          <w:tcPr>
            <w:tcW w:w="0" w:type="auto"/>
            <w:noWrap/>
            <w:vAlign w:val="bottom"/>
            <w:hideMark/>
          </w:tcPr>
          <w:p w14:paraId="49C2CB8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0665F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D82747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0BBF5B8" w14:textId="77777777" w:rsidR="00000000" w:rsidRDefault="00EF48A2">
            <w:pPr>
              <w:pStyle w:val="a3"/>
              <w:spacing w:before="0" w:beforeAutospacing="0" w:after="0" w:afterAutospacing="0"/>
              <w:jc w:val="right"/>
              <w:rPr>
                <w:sz w:val="20"/>
                <w:szCs w:val="20"/>
              </w:rPr>
            </w:pPr>
            <w:r>
              <w:rPr>
                <w:sz w:val="20"/>
                <w:szCs w:val="20"/>
              </w:rPr>
              <w:t>3,67</w:t>
            </w:r>
            <w:r>
              <w:rPr>
                <w:sz w:val="20"/>
                <w:szCs w:val="20"/>
              </w:rPr>
              <w:t>7</w:t>
            </w:r>
          </w:p>
        </w:tc>
        <w:tc>
          <w:tcPr>
            <w:tcW w:w="0" w:type="auto"/>
            <w:noWrap/>
            <w:vAlign w:val="bottom"/>
            <w:hideMark/>
          </w:tcPr>
          <w:p w14:paraId="15CE55B5" w14:textId="77777777" w:rsidR="00000000" w:rsidRDefault="00EF48A2">
            <w:pPr>
              <w:pStyle w:val="a3"/>
              <w:spacing w:before="0" w:beforeAutospacing="0" w:after="0" w:afterAutospacing="0"/>
              <w:rPr>
                <w:sz w:val="20"/>
                <w:szCs w:val="20"/>
              </w:rPr>
            </w:pPr>
            <w:r>
              <w:rPr>
                <w:sz w:val="20"/>
                <w:szCs w:val="20"/>
              </w:rPr>
              <w:t> </w:t>
            </w:r>
          </w:p>
        </w:tc>
      </w:tr>
      <w:tr w:rsidR="00000000" w14:paraId="3A011683" w14:textId="77777777">
        <w:trPr>
          <w:trHeight w:val="200"/>
          <w:tblCellSpacing w:w="15" w:type="dxa"/>
        </w:trPr>
        <w:tc>
          <w:tcPr>
            <w:tcW w:w="0" w:type="auto"/>
            <w:hideMark/>
          </w:tcPr>
          <w:p w14:paraId="446F8144" w14:textId="77777777" w:rsidR="00000000" w:rsidRDefault="00EF48A2">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14:paraId="04BED72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8500D7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22261F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C14BCE9" w14:textId="77777777" w:rsidR="00000000" w:rsidRDefault="00EF48A2">
            <w:pPr>
              <w:pStyle w:val="a3"/>
              <w:spacing w:before="0" w:beforeAutospacing="0" w:after="0" w:afterAutospacing="0"/>
              <w:jc w:val="right"/>
              <w:rPr>
                <w:sz w:val="20"/>
                <w:szCs w:val="20"/>
              </w:rPr>
            </w:pPr>
            <w:r>
              <w:rPr>
                <w:sz w:val="20"/>
                <w:szCs w:val="20"/>
              </w:rPr>
              <w:t>(58,67</w:t>
            </w:r>
            <w:r>
              <w:rPr>
                <w:sz w:val="20"/>
                <w:szCs w:val="20"/>
              </w:rPr>
              <w:t>1</w:t>
            </w:r>
          </w:p>
        </w:tc>
        <w:tc>
          <w:tcPr>
            <w:tcW w:w="0" w:type="auto"/>
            <w:noWrap/>
            <w:vAlign w:val="bottom"/>
            <w:hideMark/>
          </w:tcPr>
          <w:p w14:paraId="62A0065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021282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30F32F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92422A5" w14:textId="77777777" w:rsidR="00000000" w:rsidRDefault="00EF48A2">
            <w:pPr>
              <w:pStyle w:val="a3"/>
              <w:spacing w:before="0" w:beforeAutospacing="0" w:after="0" w:afterAutospacing="0"/>
              <w:jc w:val="right"/>
              <w:rPr>
                <w:sz w:val="20"/>
                <w:szCs w:val="20"/>
              </w:rPr>
            </w:pPr>
            <w:r>
              <w:rPr>
                <w:sz w:val="20"/>
                <w:szCs w:val="20"/>
              </w:rPr>
              <w:t>(60,86</w:t>
            </w:r>
            <w:r>
              <w:rPr>
                <w:sz w:val="20"/>
                <w:szCs w:val="20"/>
              </w:rPr>
              <w:t>8</w:t>
            </w:r>
          </w:p>
        </w:tc>
        <w:tc>
          <w:tcPr>
            <w:tcW w:w="0" w:type="auto"/>
            <w:noWrap/>
            <w:vAlign w:val="bottom"/>
            <w:hideMark/>
          </w:tcPr>
          <w:p w14:paraId="7A52151E" w14:textId="77777777" w:rsidR="00000000" w:rsidRDefault="00EF48A2">
            <w:pPr>
              <w:pStyle w:val="a3"/>
              <w:spacing w:before="0" w:beforeAutospacing="0" w:after="0" w:afterAutospacing="0"/>
              <w:rPr>
                <w:sz w:val="20"/>
                <w:szCs w:val="20"/>
              </w:rPr>
            </w:pPr>
            <w:r>
              <w:rPr>
                <w:sz w:val="20"/>
                <w:szCs w:val="20"/>
              </w:rPr>
              <w:t>)</w:t>
            </w:r>
          </w:p>
        </w:tc>
      </w:tr>
    </w:tbl>
    <w:p w14:paraId="56C967BF" w14:textId="77777777" w:rsidR="00000000" w:rsidRDefault="00EF48A2">
      <w:pPr>
        <w:pStyle w:val="a3"/>
        <w:spacing w:before="0" w:beforeAutospacing="0" w:after="0" w:afterAutospacing="0"/>
        <w:jc w:val="both"/>
        <w:rPr>
          <w:sz w:val="20"/>
          <w:szCs w:val="20"/>
        </w:rPr>
      </w:pPr>
      <w:r>
        <w:rPr>
          <w:sz w:val="17"/>
          <w:szCs w:val="17"/>
        </w:rPr>
        <w:t> </w:t>
      </w:r>
    </w:p>
    <w:p w14:paraId="079DE128" w14:textId="77777777" w:rsidR="00000000" w:rsidRDefault="00EF48A2">
      <w:pPr>
        <w:jc w:val="both"/>
        <w:rPr>
          <w:rFonts w:eastAsia="Times New Roman"/>
        </w:rPr>
      </w:pPr>
      <w:r>
        <w:rPr>
          <w:rFonts w:eastAsia="Times New Roman"/>
          <w:sz w:val="17"/>
          <w:szCs w:val="17"/>
        </w:rPr>
        <w:t>(1</w:t>
      </w:r>
      <w:r>
        <w:rPr>
          <w:rFonts w:eastAsia="Times New Roman"/>
          <w:sz w:val="17"/>
          <w:szCs w:val="17"/>
        </w:rPr>
        <w:t>)</w:t>
      </w:r>
    </w:p>
    <w:p w14:paraId="4ED37C0B" w14:textId="77777777" w:rsidR="00000000" w:rsidRDefault="00EF48A2">
      <w:pPr>
        <w:jc w:val="both"/>
        <w:divId w:val="1863274543"/>
        <w:rPr>
          <w:rFonts w:eastAsia="Times New Roman"/>
        </w:rPr>
      </w:pPr>
      <w:r>
        <w:rPr>
          <w:rFonts w:eastAsia="Times New Roman"/>
          <w:sz w:val="17"/>
          <w:szCs w:val="17"/>
        </w:rPr>
        <w:t>For the year ended December 31, 2022, financial income, net, primarily consisted of $3.1 million in gains resulting from the remeasurement of the warrant liabilities. For the year ended December 31, 2021, financial income, net, primarily consisted of $36.0</w:t>
      </w:r>
      <w:r>
        <w:rPr>
          <w:rFonts w:eastAsia="Times New Roman"/>
          <w:sz w:val="17"/>
          <w:szCs w:val="17"/>
        </w:rPr>
        <w:t xml:space="preserve"> million in gains resulting from the remeasurement of the warrant liabilities, partially offset by $4.2 million in warrant issuance costs in connection with the closing of the Business Combination</w:t>
      </w:r>
      <w:r>
        <w:rPr>
          <w:rFonts w:eastAsia="Times New Roman"/>
          <w:sz w:val="17"/>
          <w:szCs w:val="17"/>
        </w:rPr>
        <w:t>.</w:t>
      </w:r>
    </w:p>
    <w:p w14:paraId="224A9AE6" w14:textId="77777777" w:rsidR="00000000" w:rsidRDefault="00EF48A2">
      <w:pPr>
        <w:jc w:val="both"/>
        <w:divId w:val="57749235"/>
        <w:rPr>
          <w:rFonts w:eastAsia="Times New Roman"/>
        </w:rPr>
      </w:pPr>
      <w:r>
        <w:rPr>
          <w:rFonts w:eastAsia="Times New Roman"/>
          <w:sz w:val="17"/>
          <w:szCs w:val="17"/>
        </w:rPr>
        <w:t>(2</w:t>
      </w:r>
      <w:r>
        <w:rPr>
          <w:rFonts w:eastAsia="Times New Roman"/>
          <w:sz w:val="17"/>
          <w:szCs w:val="17"/>
        </w:rPr>
        <w:t>)</w:t>
      </w:r>
    </w:p>
    <w:p w14:paraId="2325286C" w14:textId="77777777" w:rsidR="00000000" w:rsidRDefault="00EF48A2">
      <w:pPr>
        <w:jc w:val="both"/>
        <w:divId w:val="734743254"/>
        <w:rPr>
          <w:rFonts w:eastAsia="Times New Roman"/>
        </w:rPr>
      </w:pPr>
      <w:r>
        <w:rPr>
          <w:rFonts w:eastAsia="Times New Roman"/>
          <w:sz w:val="17"/>
          <w:szCs w:val="17"/>
        </w:rPr>
        <w:t>For the year ended December 31, 2022, non-recurring ex</w:t>
      </w:r>
      <w:r>
        <w:rPr>
          <w:rFonts w:eastAsia="Times New Roman"/>
          <w:sz w:val="17"/>
          <w:szCs w:val="17"/>
        </w:rPr>
        <w:t>penses primarily consisted of a $5.5 million accrual for estimated litigation expenses; such accrual represents our best estimate of the total cost the Company may incur for settling the outstanding shareholder litigation claims, including federal, state a</w:t>
      </w:r>
      <w:r>
        <w:rPr>
          <w:rFonts w:eastAsia="Times New Roman"/>
          <w:sz w:val="17"/>
          <w:szCs w:val="17"/>
        </w:rPr>
        <w:t xml:space="preserve">nd derivative actions, pursuant to binding agreements reached with the relevant parties, net of insurance proceeds. For the year ended December 31, 2021, non-recurring expenses primarily consisted of severance costs related to the separation of Oren Frank </w:t>
      </w:r>
      <w:r>
        <w:rPr>
          <w:rFonts w:eastAsia="Times New Roman"/>
          <w:sz w:val="17"/>
          <w:szCs w:val="17"/>
        </w:rPr>
        <w:t>and Roni Frank, co-founders and former executives of the Company, in November 2021</w:t>
      </w:r>
      <w:r>
        <w:rPr>
          <w:rFonts w:eastAsia="Times New Roman"/>
          <w:sz w:val="17"/>
          <w:szCs w:val="17"/>
        </w:rPr>
        <w:t>.</w:t>
      </w:r>
    </w:p>
    <w:p w14:paraId="638C79EB" w14:textId="77777777" w:rsidR="00000000" w:rsidRDefault="00EF48A2">
      <w:pPr>
        <w:pStyle w:val="a3"/>
        <w:spacing w:before="24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14:paraId="1F2E1F8A" w14:textId="77777777" w:rsidR="00000000" w:rsidRDefault="00EF48A2">
      <w:pPr>
        <w:pStyle w:val="a3"/>
        <w:spacing w:before="240" w:beforeAutospacing="0" w:after="0" w:afterAutospacing="0"/>
        <w:rPr>
          <w:sz w:val="20"/>
          <w:szCs w:val="20"/>
        </w:rPr>
      </w:pPr>
      <w:r>
        <w:rPr>
          <w:b/>
          <w:bCs/>
          <w:i/>
          <w:iCs/>
          <w:sz w:val="20"/>
          <w:szCs w:val="20"/>
        </w:rPr>
        <w:t>Revenue</w:t>
      </w:r>
      <w:r>
        <w:rPr>
          <w:b/>
          <w:bCs/>
          <w:i/>
          <w:iCs/>
          <w:sz w:val="20"/>
          <w:szCs w:val="20"/>
        </w:rPr>
        <w:t>s</w:t>
      </w:r>
    </w:p>
    <w:p w14:paraId="477CAB94" w14:textId="77777777" w:rsidR="00000000" w:rsidRDefault="00EF48A2">
      <w:pPr>
        <w:pStyle w:val="a3"/>
        <w:spacing w:before="180" w:beforeAutospacing="0" w:after="0" w:afterAutospacing="0"/>
        <w:jc w:val="both"/>
        <w:rPr>
          <w:sz w:val="20"/>
          <w:szCs w:val="20"/>
        </w:rPr>
      </w:pPr>
      <w:r>
        <w:rPr>
          <w:sz w:val="20"/>
          <w:szCs w:val="20"/>
        </w:rPr>
        <w:t xml:space="preserve">We contract with enterprises, health insurance plans and employee assistance organizations to provide services to individuals </w:t>
      </w:r>
      <w:r>
        <w:rPr>
          <w:sz w:val="20"/>
          <w:szCs w:val="20"/>
        </w:rPr>
        <w:t>who are qualified to receive access to the Company’s services through the Company’s commercial arrangements. We generate revenues from contracted platform access fees paid to us by our enterprise clients for the delivery of therapy services to their member</w:t>
      </w:r>
      <w:r>
        <w:rPr>
          <w:sz w:val="20"/>
          <w:szCs w:val="20"/>
        </w:rPr>
        <w:t>s or employees and from payments from insured members and claims paid by their respective insurance companies. We recognize revenue from our enterprise clients ratably over the contractual term based primarily on a per-member-per month access fee model. We</w:t>
      </w:r>
      <w:r>
        <w:rPr>
          <w:sz w:val="20"/>
          <w:szCs w:val="20"/>
        </w:rPr>
        <w:t xml:space="preserve"> recognize revenues from services provided to insured members at a point in time, as virtual therapy or psychiatry session is rendered</w:t>
      </w:r>
      <w:r>
        <w:rPr>
          <w:sz w:val="20"/>
          <w:szCs w:val="20"/>
        </w:rPr>
        <w:t>.</w:t>
      </w:r>
    </w:p>
    <w:p w14:paraId="14CF1A52" w14:textId="77777777" w:rsidR="00000000" w:rsidRDefault="00EF48A2">
      <w:pPr>
        <w:pStyle w:val="a3"/>
        <w:spacing w:before="180" w:beforeAutospacing="0" w:after="0" w:afterAutospacing="0"/>
        <w:jc w:val="both"/>
        <w:rPr>
          <w:sz w:val="20"/>
          <w:szCs w:val="20"/>
        </w:rPr>
      </w:pPr>
      <w:r>
        <w:rPr>
          <w:sz w:val="20"/>
          <w:szCs w:val="20"/>
        </w:rPr>
        <w:t>We also generate revenues from the sale of monthly, quarterly, bi-annual and annual membership subscriptions to the Comp</w:t>
      </w:r>
      <w:r>
        <w:rPr>
          <w:sz w:val="20"/>
          <w:szCs w:val="20"/>
        </w:rPr>
        <w:t xml:space="preserve">any's therapy platform as well as supplementary a la carte offerings directly to individual consumers through a subscription plan. We recognize member subscription revenues ratably over the subscription period, beginning when therapy services commence. We </w:t>
      </w:r>
      <w:r>
        <w:rPr>
          <w:sz w:val="20"/>
          <w:szCs w:val="20"/>
        </w:rPr>
        <w:t>recognize revenues from supplementary a la carte offerings at a point in time, as virtual therapy session is rendered. Members may cancel their subscription at any time and will receive a pro-rata refund for the subscription price</w:t>
      </w:r>
      <w:r>
        <w:rPr>
          <w:sz w:val="20"/>
          <w:szCs w:val="20"/>
        </w:rPr>
        <w:t>.</w:t>
      </w:r>
    </w:p>
    <w:p w14:paraId="68316F30" w14:textId="77777777" w:rsidR="00000000" w:rsidRDefault="00EF48A2">
      <w:pPr>
        <w:pStyle w:val="a3"/>
        <w:spacing w:before="180" w:beforeAutospacing="0" w:after="0" w:afterAutospacing="0"/>
        <w:jc w:val="both"/>
        <w:rPr>
          <w:sz w:val="20"/>
          <w:szCs w:val="20"/>
        </w:rPr>
      </w:pPr>
      <w:r>
        <w:rPr>
          <w:sz w:val="20"/>
          <w:szCs w:val="20"/>
        </w:rPr>
        <w:t>Revenue growth is genera</w:t>
      </w:r>
      <w:r>
        <w:rPr>
          <w:sz w:val="20"/>
          <w:szCs w:val="20"/>
        </w:rPr>
        <w:t>ted from increasing our eligible covered lives through contracting with health plans, increasing utilization within eligible covered lives, expanding enterprise clients, and increasing membership subscriptions</w:t>
      </w:r>
      <w:r>
        <w:rPr>
          <w:sz w:val="20"/>
          <w:szCs w:val="20"/>
        </w:rPr>
        <w:t>.</w:t>
      </w:r>
      <w:r>
        <w:rPr>
          <w:sz w:val="20"/>
          <w:szCs w:val="20"/>
        </w:rPr>
        <w:t xml:space="preserve"> </w:t>
      </w:r>
    </w:p>
    <w:p w14:paraId="4B837581"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6</w:t>
      </w:r>
    </w:p>
    <w:p w14:paraId="0D3FB361" w14:textId="77777777" w:rsidR="00000000" w:rsidRDefault="00EF48A2">
      <w:pPr>
        <w:rPr>
          <w:rFonts w:eastAsia="Times New Roman"/>
        </w:rPr>
      </w:pPr>
      <w:r>
        <w:rPr>
          <w:rFonts w:eastAsia="Times New Roman"/>
        </w:rPr>
        <w:pict w14:anchorId="333B0545">
          <v:rect id="_x0000_i1073" style="width:0;height:1.5pt" o:hralign="center" o:hrstd="t" o:hr="t" fillcolor="#a0a0a0" stroked="f"/>
        </w:pict>
      </w:r>
    </w:p>
    <w:p w14:paraId="5FD137B9"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7853A9D7" w14:textId="77777777" w:rsidR="00000000" w:rsidRDefault="00EF48A2">
      <w:pPr>
        <w:pStyle w:val="a3"/>
        <w:spacing w:before="240" w:beforeAutospacing="0" w:after="0" w:afterAutospacing="0"/>
        <w:rPr>
          <w:sz w:val="20"/>
          <w:szCs w:val="20"/>
        </w:rPr>
      </w:pPr>
      <w:r>
        <w:rPr>
          <w:b/>
          <w:bCs/>
          <w:i/>
          <w:iCs/>
          <w:sz w:val="20"/>
          <w:szCs w:val="20"/>
        </w:rPr>
        <w:t>Cost of Revenue</w:t>
      </w:r>
      <w:r>
        <w:rPr>
          <w:b/>
          <w:bCs/>
          <w:i/>
          <w:iCs/>
          <w:sz w:val="20"/>
          <w:szCs w:val="20"/>
        </w:rPr>
        <w:t>s</w:t>
      </w:r>
      <w:r>
        <w:rPr>
          <w:b/>
          <w:bCs/>
          <w:i/>
          <w:iCs/>
          <w:sz w:val="20"/>
          <w:szCs w:val="20"/>
        </w:rPr>
        <w:t xml:space="preserve"> </w:t>
      </w:r>
    </w:p>
    <w:p w14:paraId="3CA7A40D" w14:textId="77777777" w:rsidR="00000000" w:rsidRDefault="00EF48A2">
      <w:pPr>
        <w:pStyle w:val="a3"/>
        <w:spacing w:before="180" w:beforeAutospacing="0" w:after="0" w:afterAutospacing="0"/>
        <w:jc w:val="both"/>
        <w:rPr>
          <w:sz w:val="20"/>
          <w:szCs w:val="20"/>
        </w:rPr>
      </w:pPr>
      <w:r>
        <w:rPr>
          <w:sz w:val="20"/>
          <w:szCs w:val="20"/>
        </w:rPr>
        <w:t>Cost of revenues is comprised of therapist payments and hosting costs. Cost of revenues is largely driven by the size of our provider network that is required to service the growth of our healt</w:t>
      </w:r>
      <w:r>
        <w:rPr>
          <w:sz w:val="20"/>
          <w:szCs w:val="20"/>
        </w:rPr>
        <w:t>h plan and enterprise clients, in addition to the growth of our customer base</w:t>
      </w:r>
      <w:r>
        <w:rPr>
          <w:sz w:val="20"/>
          <w:szCs w:val="20"/>
        </w:rPr>
        <w:t>.</w:t>
      </w:r>
    </w:p>
    <w:p w14:paraId="064D65CF" w14:textId="77777777" w:rsidR="00000000" w:rsidRDefault="00EF48A2">
      <w:pPr>
        <w:pStyle w:val="a3"/>
        <w:spacing w:before="180" w:beforeAutospacing="0" w:after="0" w:afterAutospacing="0"/>
        <w:jc w:val="both"/>
        <w:rPr>
          <w:sz w:val="20"/>
          <w:szCs w:val="20"/>
        </w:rPr>
      </w:pPr>
      <w:r>
        <w:rPr>
          <w:sz w:val="20"/>
          <w:szCs w:val="20"/>
        </w:rPr>
        <w:t>We designed our business model and our provider network to be scalable and to leverage a hybrid model of both employee providers and independently contracted providers to suppor</w:t>
      </w:r>
      <w:r>
        <w:rPr>
          <w:sz w:val="20"/>
          <w:szCs w:val="20"/>
        </w:rPr>
        <w:t>t multiple growth scenarios. The compensation paid to our independently contracted providers is variable, and the amount paid to a provider is generally based on the amount of time committed by such provider to our members. In addition, our network supervi</w:t>
      </w:r>
      <w:r>
        <w:rPr>
          <w:sz w:val="20"/>
          <w:szCs w:val="20"/>
        </w:rPr>
        <w:t>sors have authority to approve the payment of incentive bonuses to providers with certain licenses during periods of higher demand for providers with such licenses. For our employee providers, they receive a fixed-salary and discretionary bonuses, where ap</w:t>
      </w:r>
      <w:r>
        <w:rPr>
          <w:sz w:val="20"/>
          <w:szCs w:val="20"/>
        </w:rPr>
        <w:t>plicable, all of which is included in cost of revenues</w:t>
      </w:r>
      <w:r>
        <w:rPr>
          <w:sz w:val="20"/>
          <w:szCs w:val="20"/>
        </w:rPr>
        <w:t>.</w:t>
      </w:r>
    </w:p>
    <w:p w14:paraId="62477CEE" w14:textId="77777777" w:rsidR="00000000" w:rsidRDefault="00EF48A2">
      <w:pPr>
        <w:pStyle w:val="a3"/>
        <w:spacing w:before="180" w:beforeAutospacing="0" w:after="0" w:afterAutospacing="0"/>
        <w:jc w:val="both"/>
        <w:rPr>
          <w:sz w:val="20"/>
          <w:szCs w:val="20"/>
        </w:rPr>
      </w:pPr>
      <w:r>
        <w:rPr>
          <w:sz w:val="20"/>
          <w:szCs w:val="20"/>
        </w:rPr>
        <w:t>While we expect to make increased investments to support accelerated growth and the required investment to scale our provider network, we also expect increased efficiencies and economies of scale. Our</w:t>
      </w:r>
      <w:r>
        <w:rPr>
          <w:sz w:val="20"/>
          <w:szCs w:val="20"/>
        </w:rPr>
        <w:t xml:space="preserve"> cost of revenues as a percentage of revenues is expected to fluctuate from period to period depending on the interplay of these factors</w:t>
      </w:r>
      <w:r>
        <w:rPr>
          <w:sz w:val="20"/>
          <w:szCs w:val="20"/>
        </w:rPr>
        <w:t>.</w:t>
      </w:r>
      <w:r>
        <w:rPr>
          <w:sz w:val="20"/>
          <w:szCs w:val="20"/>
        </w:rPr>
        <w:t xml:space="preserve"> </w:t>
      </w:r>
    </w:p>
    <w:p w14:paraId="6B90A248" w14:textId="77777777" w:rsidR="00000000" w:rsidRDefault="00EF48A2">
      <w:pPr>
        <w:pStyle w:val="a3"/>
        <w:spacing w:before="240" w:beforeAutospacing="0" w:after="0" w:afterAutospacing="0"/>
        <w:jc w:val="both"/>
        <w:rPr>
          <w:sz w:val="20"/>
          <w:szCs w:val="20"/>
        </w:rPr>
      </w:pPr>
      <w:r>
        <w:rPr>
          <w:b/>
          <w:bCs/>
          <w:i/>
          <w:iCs/>
          <w:sz w:val="20"/>
          <w:szCs w:val="20"/>
        </w:rPr>
        <w:t>Operating Expense</w:t>
      </w:r>
      <w:r>
        <w:rPr>
          <w:b/>
          <w:bCs/>
          <w:i/>
          <w:iCs/>
          <w:sz w:val="20"/>
          <w:szCs w:val="20"/>
        </w:rPr>
        <w:t>s</w:t>
      </w:r>
      <w:r>
        <w:rPr>
          <w:b/>
          <w:bCs/>
          <w:i/>
          <w:iCs/>
          <w:sz w:val="20"/>
          <w:szCs w:val="20"/>
        </w:rPr>
        <w:t xml:space="preserve"> </w:t>
      </w:r>
    </w:p>
    <w:p w14:paraId="26AE8C9C" w14:textId="77777777" w:rsidR="00000000" w:rsidRDefault="00EF48A2">
      <w:pPr>
        <w:pStyle w:val="a3"/>
        <w:spacing w:before="180" w:beforeAutospacing="0" w:after="0" w:afterAutospacing="0"/>
        <w:jc w:val="both"/>
        <w:rPr>
          <w:sz w:val="20"/>
          <w:szCs w:val="20"/>
        </w:rPr>
      </w:pPr>
      <w:r>
        <w:rPr>
          <w:sz w:val="20"/>
          <w:szCs w:val="20"/>
        </w:rPr>
        <w:t>Operating expenses consist of research and development, clinical operations, sales and marketing,</w:t>
      </w:r>
      <w:r>
        <w:rPr>
          <w:sz w:val="20"/>
          <w:szCs w:val="20"/>
        </w:rPr>
        <w:t xml:space="preserve"> general and administrative expenses, and impairment of goodwill</w:t>
      </w:r>
      <w:r>
        <w:rPr>
          <w:sz w:val="20"/>
          <w:szCs w:val="20"/>
        </w:rPr>
        <w:t>.</w:t>
      </w:r>
      <w:r>
        <w:rPr>
          <w:sz w:val="20"/>
          <w:szCs w:val="20"/>
        </w:rPr>
        <w:t xml:space="preserve"> </w:t>
      </w:r>
    </w:p>
    <w:p w14:paraId="1154F83E" w14:textId="77777777" w:rsidR="00000000" w:rsidRDefault="00EF48A2">
      <w:pPr>
        <w:pStyle w:val="a3"/>
        <w:spacing w:before="240" w:beforeAutospacing="0" w:after="0" w:afterAutospacing="0"/>
        <w:jc w:val="both"/>
        <w:rPr>
          <w:sz w:val="20"/>
          <w:szCs w:val="20"/>
        </w:rPr>
      </w:pPr>
      <w:r>
        <w:rPr>
          <w:i/>
          <w:iCs/>
          <w:sz w:val="20"/>
          <w:szCs w:val="20"/>
        </w:rPr>
        <w:t>Research and Development Expense</w:t>
      </w:r>
      <w:r>
        <w:rPr>
          <w:i/>
          <w:iCs/>
          <w:sz w:val="20"/>
          <w:szCs w:val="20"/>
        </w:rPr>
        <w:t>s</w:t>
      </w:r>
      <w:r>
        <w:rPr>
          <w:i/>
          <w:iCs/>
          <w:sz w:val="20"/>
          <w:szCs w:val="20"/>
        </w:rPr>
        <w:t xml:space="preserve"> </w:t>
      </w:r>
    </w:p>
    <w:p w14:paraId="03C42583" w14:textId="77777777" w:rsidR="00000000" w:rsidRDefault="00EF48A2">
      <w:pPr>
        <w:pStyle w:val="a3"/>
        <w:spacing w:before="180" w:beforeAutospacing="0" w:after="0" w:afterAutospacing="0"/>
        <w:jc w:val="both"/>
        <w:rPr>
          <w:sz w:val="20"/>
          <w:szCs w:val="20"/>
        </w:rPr>
      </w:pPr>
      <w:r>
        <w:rPr>
          <w:sz w:val="20"/>
          <w:szCs w:val="20"/>
        </w:rPr>
        <w:t xml:space="preserve">Research and development expenses include personnel and related expenses for software development and engineering, information technology infrastructure, </w:t>
      </w:r>
      <w:r>
        <w:rPr>
          <w:sz w:val="20"/>
          <w:szCs w:val="20"/>
        </w:rPr>
        <w:t>security and privacy compliance and product development (inclusive of stock-based compensation for our research and development employees), third-party services and contractors related to research and development, information technology and software-relate</w:t>
      </w:r>
      <w:r>
        <w:rPr>
          <w:sz w:val="20"/>
          <w:szCs w:val="20"/>
        </w:rPr>
        <w:t>d costs</w:t>
      </w:r>
      <w:r>
        <w:rPr>
          <w:sz w:val="20"/>
          <w:szCs w:val="20"/>
        </w:rPr>
        <w:t>.</w:t>
      </w:r>
    </w:p>
    <w:p w14:paraId="16DFD4E7" w14:textId="77777777" w:rsidR="00000000" w:rsidRDefault="00EF48A2">
      <w:pPr>
        <w:pStyle w:val="a3"/>
        <w:spacing w:before="240" w:beforeAutospacing="0" w:after="0" w:afterAutospacing="0"/>
        <w:jc w:val="both"/>
        <w:rPr>
          <w:sz w:val="20"/>
          <w:szCs w:val="20"/>
        </w:rPr>
      </w:pPr>
      <w:r>
        <w:rPr>
          <w:i/>
          <w:iCs/>
          <w:sz w:val="20"/>
          <w:szCs w:val="20"/>
        </w:rPr>
        <w:t>Clinical Operations Expense</w:t>
      </w:r>
      <w:r>
        <w:rPr>
          <w:i/>
          <w:iCs/>
          <w:sz w:val="20"/>
          <w:szCs w:val="20"/>
        </w:rPr>
        <w:t>s</w:t>
      </w:r>
      <w:r>
        <w:rPr>
          <w:i/>
          <w:iCs/>
          <w:sz w:val="20"/>
          <w:szCs w:val="20"/>
        </w:rPr>
        <w:t xml:space="preserve"> </w:t>
      </w:r>
    </w:p>
    <w:p w14:paraId="23F7723E" w14:textId="77777777" w:rsidR="00000000" w:rsidRDefault="00EF48A2">
      <w:pPr>
        <w:pStyle w:val="a3"/>
        <w:spacing w:before="180" w:beforeAutospacing="0" w:after="0" w:afterAutospacing="0"/>
        <w:jc w:val="both"/>
        <w:rPr>
          <w:sz w:val="20"/>
          <w:szCs w:val="20"/>
        </w:rPr>
      </w:pPr>
      <w:r>
        <w:rPr>
          <w:sz w:val="20"/>
          <w:szCs w:val="20"/>
        </w:rPr>
        <w:t>Clinical operations expenses are associated with the management of our provider network of therapists. Such costs are comprised of costs related to recruiting, onboarding, credentialing, training and ongoing quality a</w:t>
      </w:r>
      <w:r>
        <w:rPr>
          <w:sz w:val="20"/>
          <w:szCs w:val="20"/>
        </w:rPr>
        <w:t>ssurance activities (inclusive of stock-based compensation for our clinical operations employees), costs of third-party services and contractors related to recruiting and training and software-related costs</w:t>
      </w:r>
      <w:r>
        <w:rPr>
          <w:sz w:val="20"/>
          <w:szCs w:val="20"/>
        </w:rPr>
        <w:t>.</w:t>
      </w:r>
      <w:r>
        <w:rPr>
          <w:sz w:val="20"/>
          <w:szCs w:val="20"/>
        </w:rPr>
        <w:t xml:space="preserve"> </w:t>
      </w:r>
    </w:p>
    <w:p w14:paraId="66E68392" w14:textId="77777777" w:rsidR="00000000" w:rsidRDefault="00EF48A2">
      <w:pPr>
        <w:pStyle w:val="a3"/>
        <w:spacing w:before="240" w:beforeAutospacing="0" w:after="0" w:afterAutospacing="0"/>
        <w:jc w:val="both"/>
        <w:rPr>
          <w:sz w:val="20"/>
          <w:szCs w:val="20"/>
        </w:rPr>
      </w:pPr>
      <w:r>
        <w:rPr>
          <w:i/>
          <w:iCs/>
          <w:sz w:val="20"/>
          <w:szCs w:val="20"/>
        </w:rPr>
        <w:t>Sales and Marketing Expense</w:t>
      </w:r>
      <w:r>
        <w:rPr>
          <w:i/>
          <w:iCs/>
          <w:sz w:val="20"/>
          <w:szCs w:val="20"/>
        </w:rPr>
        <w:t>s</w:t>
      </w:r>
      <w:r>
        <w:rPr>
          <w:i/>
          <w:iCs/>
          <w:sz w:val="20"/>
          <w:szCs w:val="20"/>
        </w:rPr>
        <w:t xml:space="preserve"> </w:t>
      </w:r>
    </w:p>
    <w:p w14:paraId="34526A15" w14:textId="77777777" w:rsidR="00000000" w:rsidRDefault="00EF48A2">
      <w:pPr>
        <w:pStyle w:val="a3"/>
        <w:spacing w:before="180" w:beforeAutospacing="0" w:after="0" w:afterAutospacing="0"/>
        <w:jc w:val="both"/>
        <w:rPr>
          <w:sz w:val="20"/>
          <w:szCs w:val="20"/>
        </w:rPr>
      </w:pPr>
      <w:r>
        <w:rPr>
          <w:sz w:val="20"/>
          <w:szCs w:val="20"/>
        </w:rPr>
        <w:t>Sales expenses consist primarily of employee-related expenses, including salaries, benefits, commissions, travel and stock-based compensation costs for our employees engaged in sales and account management</w:t>
      </w:r>
      <w:r>
        <w:rPr>
          <w:sz w:val="20"/>
          <w:szCs w:val="20"/>
        </w:rPr>
        <w:t>.</w:t>
      </w:r>
      <w:r>
        <w:rPr>
          <w:i/>
          <w:iCs/>
          <w:sz w:val="20"/>
          <w:szCs w:val="20"/>
        </w:rPr>
        <w:t xml:space="preserve"> </w:t>
      </w:r>
      <w:r>
        <w:rPr>
          <w:sz w:val="20"/>
          <w:szCs w:val="20"/>
        </w:rPr>
        <w:t>We expect our sales expenses to increase as we co</w:t>
      </w:r>
      <w:r>
        <w:rPr>
          <w:sz w:val="20"/>
          <w:szCs w:val="20"/>
        </w:rPr>
        <w:t>ntinue to invest in the expansion of our health plan and enterprise business</w:t>
      </w:r>
      <w:r>
        <w:rPr>
          <w:sz w:val="20"/>
          <w:szCs w:val="20"/>
        </w:rPr>
        <w:t>.</w:t>
      </w:r>
    </w:p>
    <w:p w14:paraId="58BC6CA3" w14:textId="77777777" w:rsidR="00000000" w:rsidRDefault="00EF48A2">
      <w:pPr>
        <w:pStyle w:val="a3"/>
        <w:spacing w:before="180" w:beforeAutospacing="0" w:after="0" w:afterAutospacing="0"/>
        <w:jc w:val="both"/>
        <w:rPr>
          <w:sz w:val="20"/>
          <w:szCs w:val="20"/>
        </w:rPr>
      </w:pPr>
      <w:r>
        <w:rPr>
          <w:sz w:val="20"/>
          <w:szCs w:val="20"/>
        </w:rPr>
        <w:t>Marketing expenses consist primarily of advertising and marketing expenses for member acquisition and engagement, as well as personnel costs, including salaries, benefits, bonuse</w:t>
      </w:r>
      <w:r>
        <w:rPr>
          <w:sz w:val="20"/>
          <w:szCs w:val="20"/>
        </w:rPr>
        <w:t>s, stock-based compensation expense for marketing employees, third-party services and contractors. Marketing expenses also include third-party software subscription services, third-party independent research, participation in trade shows, brand messaging a</w:t>
      </w:r>
      <w:r>
        <w:rPr>
          <w:sz w:val="20"/>
          <w:szCs w:val="20"/>
        </w:rPr>
        <w:t>nd costs of communications materials that are produced for our clients to generate greater awareness and utilization of our platform among our health plan and enterprise clients</w:t>
      </w:r>
      <w:r>
        <w:rPr>
          <w:sz w:val="20"/>
          <w:szCs w:val="20"/>
        </w:rPr>
        <w:t>.</w:t>
      </w:r>
    </w:p>
    <w:p w14:paraId="4FA08E38" w14:textId="77777777" w:rsidR="00000000" w:rsidRDefault="00EF48A2">
      <w:pPr>
        <w:pStyle w:val="a3"/>
        <w:spacing w:before="240" w:beforeAutospacing="0" w:after="0" w:afterAutospacing="0"/>
        <w:jc w:val="both"/>
        <w:rPr>
          <w:sz w:val="20"/>
          <w:szCs w:val="20"/>
        </w:rPr>
      </w:pPr>
      <w:r>
        <w:rPr>
          <w:i/>
          <w:iCs/>
          <w:sz w:val="20"/>
          <w:szCs w:val="20"/>
        </w:rPr>
        <w:t>General and Administrative Expense</w:t>
      </w:r>
      <w:r>
        <w:rPr>
          <w:i/>
          <w:iCs/>
          <w:sz w:val="20"/>
          <w:szCs w:val="20"/>
        </w:rPr>
        <w:t>s</w:t>
      </w:r>
      <w:r>
        <w:rPr>
          <w:i/>
          <w:iCs/>
          <w:sz w:val="20"/>
          <w:szCs w:val="20"/>
        </w:rPr>
        <w:t xml:space="preserve"> </w:t>
      </w:r>
    </w:p>
    <w:p w14:paraId="5D7CCE7D" w14:textId="77777777" w:rsidR="00000000" w:rsidRDefault="00EF48A2">
      <w:pPr>
        <w:pStyle w:val="a3"/>
        <w:spacing w:before="180" w:beforeAutospacing="0" w:after="0" w:afterAutospacing="0"/>
        <w:jc w:val="both"/>
        <w:rPr>
          <w:sz w:val="20"/>
          <w:szCs w:val="20"/>
        </w:rPr>
      </w:pPr>
      <w:r>
        <w:rPr>
          <w:sz w:val="20"/>
          <w:szCs w:val="20"/>
        </w:rPr>
        <w:t>General and administrative expenses cons</w:t>
      </w:r>
      <w:r>
        <w:rPr>
          <w:sz w:val="20"/>
          <w:szCs w:val="20"/>
        </w:rPr>
        <w:t xml:space="preserve">ist primarily of personnel costs, including salaries, benefits, bonuses and stock-based compensation expense for certain executives, finance, accounting, legal and human resources functions, as well as professional fees, occupancy costs, and other general </w:t>
      </w:r>
      <w:r>
        <w:rPr>
          <w:sz w:val="20"/>
          <w:szCs w:val="20"/>
        </w:rPr>
        <w:t>overhead costs. We expect to incur additional general and administrative expenses in compliance, legal, investor relations, director’s and officer’s insurance, and professional services related to our compliance and reporting obligations as a public compan</w:t>
      </w:r>
      <w:r>
        <w:rPr>
          <w:sz w:val="20"/>
          <w:szCs w:val="20"/>
        </w:rPr>
        <w:t>y, however we expect further incremental increases to be minimal</w:t>
      </w:r>
      <w:r>
        <w:rPr>
          <w:sz w:val="20"/>
          <w:szCs w:val="20"/>
        </w:rPr>
        <w:t>.</w:t>
      </w:r>
    </w:p>
    <w:p w14:paraId="180A6A94"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7</w:t>
      </w:r>
    </w:p>
    <w:p w14:paraId="62A76915" w14:textId="77777777" w:rsidR="00000000" w:rsidRDefault="00EF48A2">
      <w:pPr>
        <w:rPr>
          <w:rFonts w:eastAsia="Times New Roman"/>
        </w:rPr>
      </w:pPr>
      <w:r>
        <w:rPr>
          <w:rFonts w:eastAsia="Times New Roman"/>
        </w:rPr>
        <w:pict w14:anchorId="7A45F038">
          <v:rect id="_x0000_i1074" style="width:0;height:1.5pt" o:hralign="center" o:hrstd="t" o:hr="t" fillcolor="#a0a0a0" stroked="f"/>
        </w:pict>
      </w:r>
    </w:p>
    <w:p w14:paraId="4B77491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A3C8207" w14:textId="77777777" w:rsidR="00000000" w:rsidRDefault="00EF48A2">
      <w:pPr>
        <w:pStyle w:val="a3"/>
        <w:spacing w:before="240" w:beforeAutospacing="0" w:after="0" w:afterAutospacing="0"/>
        <w:jc w:val="both"/>
        <w:rPr>
          <w:sz w:val="20"/>
          <w:szCs w:val="20"/>
        </w:rPr>
      </w:pPr>
      <w:r>
        <w:rPr>
          <w:i/>
          <w:iCs/>
          <w:sz w:val="20"/>
          <w:szCs w:val="20"/>
        </w:rPr>
        <w:t>Impairment of goodwil</w:t>
      </w:r>
      <w:r>
        <w:rPr>
          <w:i/>
          <w:iCs/>
          <w:sz w:val="20"/>
          <w:szCs w:val="20"/>
        </w:rPr>
        <w:t>l</w:t>
      </w:r>
    </w:p>
    <w:p w14:paraId="3E550BA1" w14:textId="77777777" w:rsidR="00000000" w:rsidRDefault="00EF48A2">
      <w:pPr>
        <w:pStyle w:val="a3"/>
        <w:spacing w:before="180" w:beforeAutospacing="0" w:after="0" w:afterAutospacing="0"/>
        <w:jc w:val="both"/>
        <w:rPr>
          <w:sz w:val="20"/>
          <w:szCs w:val="20"/>
        </w:rPr>
      </w:pPr>
      <w:r>
        <w:rPr>
          <w:sz w:val="20"/>
          <w:szCs w:val="20"/>
        </w:rPr>
        <w:t>Impairment of goodwill represents an impairment charge for goodwill as a resul</w:t>
      </w:r>
      <w:r>
        <w:rPr>
          <w:sz w:val="20"/>
          <w:szCs w:val="20"/>
        </w:rPr>
        <w:t>t of the annual impairment test performed for the year ended December 31, 2022</w:t>
      </w:r>
      <w:r>
        <w:rPr>
          <w:sz w:val="20"/>
          <w:szCs w:val="20"/>
        </w:rPr>
        <w:t>.</w:t>
      </w:r>
    </w:p>
    <w:p w14:paraId="5FABE518" w14:textId="77777777" w:rsidR="00000000" w:rsidRDefault="00EF48A2">
      <w:pPr>
        <w:pStyle w:val="a3"/>
        <w:spacing w:before="240" w:beforeAutospacing="0" w:after="0" w:afterAutospacing="0"/>
        <w:jc w:val="both"/>
        <w:rPr>
          <w:sz w:val="20"/>
          <w:szCs w:val="20"/>
        </w:rPr>
      </w:pPr>
      <w:r>
        <w:rPr>
          <w:b/>
          <w:bCs/>
          <w:i/>
          <w:iCs/>
          <w:sz w:val="20"/>
          <w:szCs w:val="20"/>
        </w:rPr>
        <w:t>Financial (income), ne</w:t>
      </w:r>
      <w:r>
        <w:rPr>
          <w:b/>
          <w:bCs/>
          <w:i/>
          <w:iCs/>
          <w:sz w:val="20"/>
          <w:szCs w:val="20"/>
        </w:rPr>
        <w:t>t</w:t>
      </w:r>
      <w:r>
        <w:rPr>
          <w:b/>
          <w:bCs/>
          <w:i/>
          <w:iCs/>
          <w:sz w:val="20"/>
          <w:szCs w:val="20"/>
        </w:rPr>
        <w:t xml:space="preserve"> </w:t>
      </w:r>
    </w:p>
    <w:p w14:paraId="6080C01B" w14:textId="77777777" w:rsidR="00000000" w:rsidRDefault="00EF48A2">
      <w:pPr>
        <w:pStyle w:val="a3"/>
        <w:spacing w:before="180" w:beforeAutospacing="0" w:after="0" w:afterAutospacing="0"/>
        <w:jc w:val="both"/>
        <w:rPr>
          <w:sz w:val="20"/>
          <w:szCs w:val="20"/>
        </w:rPr>
      </w:pPr>
      <w:r>
        <w:rPr>
          <w:sz w:val="20"/>
          <w:szCs w:val="20"/>
        </w:rPr>
        <w:t xml:space="preserve">Financial (income), net includes the impact from (i) non-cash changes in the fair value of our warrant liabilities, (ii) issuance costs related to our </w:t>
      </w:r>
      <w:r>
        <w:rPr>
          <w:sz w:val="20"/>
          <w:szCs w:val="20"/>
        </w:rPr>
        <w:t>warrants, (iii) interest earned on cash equivalents deposited in our bank accounts and (iv) other financial expenses in connection with bank charges</w:t>
      </w:r>
      <w:r>
        <w:rPr>
          <w:sz w:val="20"/>
          <w:szCs w:val="20"/>
        </w:rPr>
        <w:t>.</w:t>
      </w:r>
    </w:p>
    <w:p w14:paraId="4656A559" w14:textId="77777777" w:rsidR="00000000" w:rsidRDefault="00EF48A2">
      <w:pPr>
        <w:pStyle w:val="a3"/>
        <w:spacing w:before="240" w:beforeAutospacing="0" w:after="0" w:afterAutospacing="0"/>
        <w:jc w:val="both"/>
        <w:rPr>
          <w:sz w:val="20"/>
          <w:szCs w:val="20"/>
        </w:rPr>
      </w:pPr>
      <w:r>
        <w:rPr>
          <w:b/>
          <w:bCs/>
          <w:i/>
          <w:iCs/>
          <w:sz w:val="20"/>
          <w:szCs w:val="20"/>
        </w:rPr>
        <w:t>Taxes on incom</w:t>
      </w:r>
      <w:r>
        <w:rPr>
          <w:b/>
          <w:bCs/>
          <w:i/>
          <w:iCs/>
          <w:sz w:val="20"/>
          <w:szCs w:val="20"/>
        </w:rPr>
        <w:t>e</w:t>
      </w:r>
      <w:r>
        <w:rPr>
          <w:b/>
          <w:bCs/>
          <w:i/>
          <w:iCs/>
          <w:sz w:val="20"/>
          <w:szCs w:val="20"/>
        </w:rPr>
        <w:t xml:space="preserve"> </w:t>
      </w:r>
    </w:p>
    <w:p w14:paraId="0512237F" w14:textId="77777777" w:rsidR="00000000" w:rsidRDefault="00EF48A2">
      <w:pPr>
        <w:pStyle w:val="a3"/>
        <w:spacing w:before="180" w:beforeAutospacing="0" w:after="0" w:afterAutospacing="0"/>
        <w:jc w:val="both"/>
        <w:rPr>
          <w:sz w:val="20"/>
          <w:szCs w:val="20"/>
        </w:rPr>
      </w:pPr>
      <w:r>
        <w:rPr>
          <w:sz w:val="20"/>
          <w:szCs w:val="20"/>
        </w:rPr>
        <w:t>Our taxes on income consists primarily of foreign income taxes related to income generate</w:t>
      </w:r>
      <w:r>
        <w:rPr>
          <w:sz w:val="20"/>
          <w:szCs w:val="20"/>
        </w:rPr>
        <w:t>d by our subsidiary organized under the laws of Israel</w:t>
      </w:r>
      <w:r>
        <w:rPr>
          <w:sz w:val="20"/>
          <w:szCs w:val="20"/>
        </w:rPr>
        <w:t>.</w:t>
      </w:r>
      <w:r>
        <w:rPr>
          <w:sz w:val="20"/>
          <w:szCs w:val="20"/>
        </w:rPr>
        <w:t xml:space="preserve"> </w:t>
      </w:r>
    </w:p>
    <w:p w14:paraId="23E882A6" w14:textId="77777777" w:rsidR="00000000" w:rsidRDefault="00EF48A2">
      <w:pPr>
        <w:pStyle w:val="a3"/>
        <w:spacing w:before="180" w:beforeAutospacing="0" w:after="0" w:afterAutospacing="0"/>
        <w:jc w:val="both"/>
        <w:rPr>
          <w:sz w:val="20"/>
          <w:szCs w:val="20"/>
        </w:rPr>
      </w:pPr>
      <w:r>
        <w:rPr>
          <w:sz w:val="20"/>
          <w:szCs w:val="20"/>
        </w:rPr>
        <w:t>We have a full valuation allowance for our U.S. deferred tax assets, including federal and state NOLs. We expect to maintain this valuation allowance until it becomes more likely than not that the be</w:t>
      </w:r>
      <w:r>
        <w:rPr>
          <w:sz w:val="20"/>
          <w:szCs w:val="20"/>
        </w:rPr>
        <w:t>nefit of our federal and state deferred tax assets will be realized through expected future taxable income in the United States</w:t>
      </w:r>
      <w:r>
        <w:rPr>
          <w:sz w:val="20"/>
          <w:szCs w:val="20"/>
        </w:rPr>
        <w:t>.</w:t>
      </w:r>
    </w:p>
    <w:p w14:paraId="29E8E708" w14:textId="77777777" w:rsidR="00000000" w:rsidRDefault="00EF48A2">
      <w:pPr>
        <w:pStyle w:val="a3"/>
        <w:spacing w:before="240" w:beforeAutospacing="0" w:after="0" w:afterAutospacing="0"/>
        <w:jc w:val="both"/>
        <w:rPr>
          <w:sz w:val="20"/>
          <w:szCs w:val="20"/>
        </w:rPr>
      </w:pPr>
      <w:r>
        <w:rPr>
          <w:b/>
          <w:bCs/>
          <w:sz w:val="20"/>
          <w:szCs w:val="20"/>
        </w:rPr>
        <w:t>Results of Operation</w:t>
      </w:r>
      <w:r>
        <w:rPr>
          <w:b/>
          <w:bCs/>
          <w:sz w:val="20"/>
          <w:szCs w:val="20"/>
        </w:rPr>
        <w:t>s</w:t>
      </w:r>
      <w:r>
        <w:rPr>
          <w:b/>
          <w:bCs/>
          <w:sz w:val="20"/>
          <w:szCs w:val="20"/>
        </w:rPr>
        <w:t xml:space="preserve"> </w:t>
      </w:r>
    </w:p>
    <w:p w14:paraId="66F3F7BE" w14:textId="77777777" w:rsidR="00000000" w:rsidRDefault="00EF48A2">
      <w:pPr>
        <w:pStyle w:val="a3"/>
        <w:spacing w:before="180" w:beforeAutospacing="0" w:after="0" w:afterAutospacing="0"/>
        <w:jc w:val="both"/>
        <w:rPr>
          <w:sz w:val="20"/>
          <w:szCs w:val="20"/>
        </w:rPr>
      </w:pPr>
      <w:r>
        <w:rPr>
          <w:sz w:val="20"/>
          <w:szCs w:val="20"/>
        </w:rPr>
        <w:t>The following table presents the results of operations for the years ended December 31, 2022 and 2021 an</w:t>
      </w:r>
      <w:r>
        <w:rPr>
          <w:sz w:val="20"/>
          <w:szCs w:val="20"/>
        </w:rPr>
        <w:t>d the dollar and percentage change between the respective periods</w:t>
      </w:r>
      <w:r>
        <w:rPr>
          <w:sz w:val="20"/>
          <w:szCs w:val="20"/>
        </w:rPr>
        <w:t>:</w:t>
      </w:r>
    </w:p>
    <w:p w14:paraId="38742C0F" w14:textId="77777777" w:rsidR="00000000" w:rsidRDefault="00EF48A2">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7"/>
        <w:gridCol w:w="130"/>
        <w:gridCol w:w="110"/>
        <w:gridCol w:w="160"/>
        <w:gridCol w:w="890"/>
        <w:gridCol w:w="127"/>
        <w:gridCol w:w="110"/>
        <w:gridCol w:w="160"/>
        <w:gridCol w:w="888"/>
        <w:gridCol w:w="127"/>
        <w:gridCol w:w="110"/>
        <w:gridCol w:w="160"/>
        <w:gridCol w:w="888"/>
        <w:gridCol w:w="127"/>
        <w:gridCol w:w="110"/>
        <w:gridCol w:w="110"/>
        <w:gridCol w:w="880"/>
        <w:gridCol w:w="142"/>
      </w:tblGrid>
      <w:tr w:rsidR="00000000" w14:paraId="7E5361B7" w14:textId="77777777">
        <w:trPr>
          <w:tblCellSpacing w:w="15" w:type="dxa"/>
        </w:trPr>
        <w:tc>
          <w:tcPr>
            <w:tcW w:w="1975" w:type="pct"/>
            <w:vAlign w:val="center"/>
            <w:hideMark/>
          </w:tcPr>
          <w:p w14:paraId="5BCB14D6" w14:textId="77777777" w:rsidR="00000000" w:rsidRDefault="00EF48A2">
            <w:pPr>
              <w:rPr>
                <w:sz w:val="20"/>
                <w:szCs w:val="20"/>
              </w:rPr>
            </w:pPr>
          </w:p>
        </w:tc>
        <w:tc>
          <w:tcPr>
            <w:tcW w:w="82" w:type="pct"/>
            <w:vAlign w:val="center"/>
            <w:hideMark/>
          </w:tcPr>
          <w:p w14:paraId="18EB4A55" w14:textId="77777777" w:rsidR="00000000" w:rsidRDefault="00EF48A2">
            <w:pPr>
              <w:rPr>
                <w:rFonts w:eastAsia="Times New Roman"/>
                <w:sz w:val="20"/>
                <w:szCs w:val="20"/>
              </w:rPr>
            </w:pPr>
          </w:p>
        </w:tc>
        <w:tc>
          <w:tcPr>
            <w:tcW w:w="69" w:type="pct"/>
            <w:vAlign w:val="center"/>
            <w:hideMark/>
          </w:tcPr>
          <w:p w14:paraId="158F6AA2" w14:textId="77777777" w:rsidR="00000000" w:rsidRDefault="00EF48A2">
            <w:pPr>
              <w:rPr>
                <w:rFonts w:eastAsia="Times New Roman"/>
                <w:sz w:val="20"/>
                <w:szCs w:val="20"/>
              </w:rPr>
            </w:pPr>
          </w:p>
        </w:tc>
        <w:tc>
          <w:tcPr>
            <w:tcW w:w="50" w:type="pct"/>
            <w:vAlign w:val="center"/>
            <w:hideMark/>
          </w:tcPr>
          <w:p w14:paraId="39FA94D4" w14:textId="77777777" w:rsidR="00000000" w:rsidRDefault="00EF48A2">
            <w:pPr>
              <w:rPr>
                <w:rFonts w:eastAsia="Times New Roman"/>
                <w:sz w:val="20"/>
                <w:szCs w:val="20"/>
              </w:rPr>
            </w:pPr>
          </w:p>
        </w:tc>
        <w:tc>
          <w:tcPr>
            <w:tcW w:w="572" w:type="pct"/>
            <w:vAlign w:val="center"/>
            <w:hideMark/>
          </w:tcPr>
          <w:p w14:paraId="5D2C69E5" w14:textId="77777777" w:rsidR="00000000" w:rsidRDefault="00EF48A2">
            <w:pPr>
              <w:rPr>
                <w:rFonts w:eastAsia="Times New Roman"/>
                <w:sz w:val="20"/>
                <w:szCs w:val="20"/>
              </w:rPr>
            </w:pPr>
          </w:p>
        </w:tc>
        <w:tc>
          <w:tcPr>
            <w:tcW w:w="50" w:type="pct"/>
            <w:vAlign w:val="center"/>
            <w:hideMark/>
          </w:tcPr>
          <w:p w14:paraId="0BE77114" w14:textId="77777777" w:rsidR="00000000" w:rsidRDefault="00EF48A2">
            <w:pPr>
              <w:rPr>
                <w:rFonts w:eastAsia="Times New Roman"/>
                <w:sz w:val="20"/>
                <w:szCs w:val="20"/>
              </w:rPr>
            </w:pPr>
          </w:p>
        </w:tc>
        <w:tc>
          <w:tcPr>
            <w:tcW w:w="68" w:type="pct"/>
            <w:vAlign w:val="center"/>
            <w:hideMark/>
          </w:tcPr>
          <w:p w14:paraId="48E9BB8C" w14:textId="77777777" w:rsidR="00000000" w:rsidRDefault="00EF48A2">
            <w:pPr>
              <w:rPr>
                <w:rFonts w:eastAsia="Times New Roman"/>
                <w:sz w:val="20"/>
                <w:szCs w:val="20"/>
              </w:rPr>
            </w:pPr>
          </w:p>
        </w:tc>
        <w:tc>
          <w:tcPr>
            <w:tcW w:w="50" w:type="pct"/>
            <w:vAlign w:val="center"/>
            <w:hideMark/>
          </w:tcPr>
          <w:p w14:paraId="49CCB4F0" w14:textId="77777777" w:rsidR="00000000" w:rsidRDefault="00EF48A2">
            <w:pPr>
              <w:rPr>
                <w:rFonts w:eastAsia="Times New Roman"/>
                <w:sz w:val="20"/>
                <w:szCs w:val="20"/>
              </w:rPr>
            </w:pPr>
          </w:p>
        </w:tc>
        <w:tc>
          <w:tcPr>
            <w:tcW w:w="572" w:type="pct"/>
            <w:vAlign w:val="center"/>
            <w:hideMark/>
          </w:tcPr>
          <w:p w14:paraId="4D46352D" w14:textId="77777777" w:rsidR="00000000" w:rsidRDefault="00EF48A2">
            <w:pPr>
              <w:rPr>
                <w:rFonts w:eastAsia="Times New Roman"/>
                <w:sz w:val="20"/>
                <w:szCs w:val="20"/>
              </w:rPr>
            </w:pPr>
          </w:p>
        </w:tc>
        <w:tc>
          <w:tcPr>
            <w:tcW w:w="50" w:type="pct"/>
            <w:vAlign w:val="center"/>
            <w:hideMark/>
          </w:tcPr>
          <w:p w14:paraId="1972DEF5" w14:textId="77777777" w:rsidR="00000000" w:rsidRDefault="00EF48A2">
            <w:pPr>
              <w:rPr>
                <w:rFonts w:eastAsia="Times New Roman"/>
                <w:sz w:val="20"/>
                <w:szCs w:val="20"/>
              </w:rPr>
            </w:pPr>
          </w:p>
        </w:tc>
        <w:tc>
          <w:tcPr>
            <w:tcW w:w="68" w:type="pct"/>
            <w:vAlign w:val="center"/>
            <w:hideMark/>
          </w:tcPr>
          <w:p w14:paraId="66E02E26" w14:textId="77777777" w:rsidR="00000000" w:rsidRDefault="00EF48A2">
            <w:pPr>
              <w:rPr>
                <w:rFonts w:eastAsia="Times New Roman"/>
                <w:sz w:val="20"/>
                <w:szCs w:val="20"/>
              </w:rPr>
            </w:pPr>
          </w:p>
        </w:tc>
        <w:tc>
          <w:tcPr>
            <w:tcW w:w="50" w:type="pct"/>
            <w:vAlign w:val="center"/>
            <w:hideMark/>
          </w:tcPr>
          <w:p w14:paraId="41575D25" w14:textId="77777777" w:rsidR="00000000" w:rsidRDefault="00EF48A2">
            <w:pPr>
              <w:rPr>
                <w:rFonts w:eastAsia="Times New Roman"/>
                <w:sz w:val="20"/>
                <w:szCs w:val="20"/>
              </w:rPr>
            </w:pPr>
          </w:p>
        </w:tc>
        <w:tc>
          <w:tcPr>
            <w:tcW w:w="572" w:type="pct"/>
            <w:vAlign w:val="center"/>
            <w:hideMark/>
          </w:tcPr>
          <w:p w14:paraId="4F9D1926" w14:textId="77777777" w:rsidR="00000000" w:rsidRDefault="00EF48A2">
            <w:pPr>
              <w:rPr>
                <w:rFonts w:eastAsia="Times New Roman"/>
                <w:sz w:val="20"/>
                <w:szCs w:val="20"/>
              </w:rPr>
            </w:pPr>
          </w:p>
        </w:tc>
        <w:tc>
          <w:tcPr>
            <w:tcW w:w="50" w:type="pct"/>
            <w:vAlign w:val="center"/>
            <w:hideMark/>
          </w:tcPr>
          <w:p w14:paraId="58DAB64C" w14:textId="77777777" w:rsidR="00000000" w:rsidRDefault="00EF48A2">
            <w:pPr>
              <w:rPr>
                <w:rFonts w:eastAsia="Times New Roman"/>
                <w:sz w:val="20"/>
                <w:szCs w:val="20"/>
              </w:rPr>
            </w:pPr>
          </w:p>
        </w:tc>
        <w:tc>
          <w:tcPr>
            <w:tcW w:w="49" w:type="pct"/>
            <w:vAlign w:val="center"/>
            <w:hideMark/>
          </w:tcPr>
          <w:p w14:paraId="5990663D" w14:textId="77777777" w:rsidR="00000000" w:rsidRDefault="00EF48A2">
            <w:pPr>
              <w:rPr>
                <w:rFonts w:eastAsia="Times New Roman"/>
                <w:sz w:val="20"/>
                <w:szCs w:val="20"/>
              </w:rPr>
            </w:pPr>
          </w:p>
        </w:tc>
        <w:tc>
          <w:tcPr>
            <w:tcW w:w="50" w:type="pct"/>
            <w:vAlign w:val="center"/>
            <w:hideMark/>
          </w:tcPr>
          <w:p w14:paraId="13AF09D4" w14:textId="77777777" w:rsidR="00000000" w:rsidRDefault="00EF48A2">
            <w:pPr>
              <w:rPr>
                <w:rFonts w:eastAsia="Times New Roman"/>
                <w:sz w:val="20"/>
                <w:szCs w:val="20"/>
              </w:rPr>
            </w:pPr>
          </w:p>
        </w:tc>
        <w:tc>
          <w:tcPr>
            <w:tcW w:w="566" w:type="pct"/>
            <w:vAlign w:val="center"/>
            <w:hideMark/>
          </w:tcPr>
          <w:p w14:paraId="3D18D16C" w14:textId="77777777" w:rsidR="00000000" w:rsidRDefault="00EF48A2">
            <w:pPr>
              <w:rPr>
                <w:rFonts w:eastAsia="Times New Roman"/>
                <w:sz w:val="20"/>
                <w:szCs w:val="20"/>
              </w:rPr>
            </w:pPr>
          </w:p>
        </w:tc>
        <w:tc>
          <w:tcPr>
            <w:tcW w:w="50" w:type="pct"/>
            <w:vAlign w:val="center"/>
            <w:hideMark/>
          </w:tcPr>
          <w:p w14:paraId="7C26FA0B" w14:textId="77777777" w:rsidR="00000000" w:rsidRDefault="00EF48A2">
            <w:pPr>
              <w:rPr>
                <w:rFonts w:eastAsia="Times New Roman"/>
                <w:sz w:val="20"/>
                <w:szCs w:val="20"/>
              </w:rPr>
            </w:pPr>
          </w:p>
        </w:tc>
      </w:tr>
      <w:tr w:rsidR="00000000" w14:paraId="7CD82129" w14:textId="77777777">
        <w:trPr>
          <w:trHeight w:val="160"/>
          <w:tblCellSpacing w:w="15" w:type="dxa"/>
        </w:trPr>
        <w:tc>
          <w:tcPr>
            <w:tcW w:w="0" w:type="auto"/>
            <w:vAlign w:val="bottom"/>
            <w:hideMark/>
          </w:tcPr>
          <w:p w14:paraId="5FD8B512"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17A75CAB"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A9AB988"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14:paraId="6CCC4CBA" w14:textId="77777777" w:rsidR="00000000" w:rsidRDefault="00EF48A2">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14:paraId="74A86FDB"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E78F501" w14:textId="77777777">
        <w:trPr>
          <w:trHeight w:val="160"/>
          <w:tblCellSpacing w:w="15" w:type="dxa"/>
        </w:trPr>
        <w:tc>
          <w:tcPr>
            <w:tcW w:w="0" w:type="auto"/>
            <w:vAlign w:val="bottom"/>
            <w:hideMark/>
          </w:tcPr>
          <w:p w14:paraId="0A7D24CC"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7DF9662B"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3D18B6F"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8DF1F6D"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2C58D57"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FCBF616"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EAC554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451445C"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4CB87203"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AFAA8D7" w14:textId="77777777" w:rsidR="00000000" w:rsidRDefault="00EF48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5D2C3272"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398204D"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E1BD820" w14:textId="77777777" w:rsidR="00000000" w:rsidRDefault="00EF48A2">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0D3F3FA2"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63B61641" w14:textId="77777777">
        <w:trPr>
          <w:trHeight w:val="160"/>
          <w:tblCellSpacing w:w="15" w:type="dxa"/>
        </w:trPr>
        <w:tc>
          <w:tcPr>
            <w:tcW w:w="0" w:type="auto"/>
            <w:vAlign w:val="bottom"/>
            <w:hideMark/>
          </w:tcPr>
          <w:p w14:paraId="115C0853" w14:textId="77777777" w:rsidR="00000000" w:rsidRDefault="00EF48A2">
            <w:pPr>
              <w:pStyle w:val="a3"/>
              <w:spacing w:before="0" w:beforeAutospacing="0" w:after="0" w:afterAutospacing="0"/>
              <w:rPr>
                <w:sz w:val="16"/>
                <w:szCs w:val="16"/>
              </w:rPr>
            </w:pPr>
            <w:r>
              <w:rPr>
                <w:i/>
                <w:iCs/>
                <w:sz w:val="16"/>
                <w:szCs w:val="16"/>
              </w:rPr>
              <w:t>(in thousands, except percentages, share and per share data</w:t>
            </w:r>
            <w:r>
              <w:rPr>
                <w:i/>
                <w:iCs/>
                <w:sz w:val="16"/>
                <w:szCs w:val="16"/>
              </w:rPr>
              <w:t>)</w:t>
            </w:r>
          </w:p>
        </w:tc>
        <w:tc>
          <w:tcPr>
            <w:tcW w:w="0" w:type="auto"/>
            <w:vAlign w:val="bottom"/>
            <w:hideMark/>
          </w:tcPr>
          <w:p w14:paraId="12B80D4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9E22E51"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14:paraId="3517A4E1"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71D2234"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9041C93" w14:textId="77777777">
        <w:trPr>
          <w:trHeight w:val="200"/>
          <w:tblCellSpacing w:w="15" w:type="dxa"/>
        </w:trPr>
        <w:tc>
          <w:tcPr>
            <w:tcW w:w="0" w:type="auto"/>
            <w:hideMark/>
          </w:tcPr>
          <w:p w14:paraId="5B80B4FF" w14:textId="77777777" w:rsidR="00000000" w:rsidRDefault="00EF48A2">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14:paraId="73AC7E5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78ACE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F8EAC6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F77EC7D" w14:textId="77777777" w:rsidR="00000000" w:rsidRDefault="00EF48A2">
            <w:pPr>
              <w:pStyle w:val="a3"/>
              <w:spacing w:before="0" w:beforeAutospacing="0" w:after="0" w:afterAutospacing="0"/>
              <w:jc w:val="right"/>
              <w:rPr>
                <w:sz w:val="20"/>
                <w:szCs w:val="20"/>
              </w:rPr>
            </w:pPr>
            <w:r>
              <w:rPr>
                <w:sz w:val="20"/>
                <w:szCs w:val="20"/>
              </w:rPr>
              <w:t>119,56</w:t>
            </w:r>
            <w:r>
              <w:rPr>
                <w:sz w:val="20"/>
                <w:szCs w:val="20"/>
              </w:rPr>
              <w:t>7</w:t>
            </w:r>
          </w:p>
        </w:tc>
        <w:tc>
          <w:tcPr>
            <w:tcW w:w="0" w:type="auto"/>
            <w:noWrap/>
            <w:vAlign w:val="bottom"/>
            <w:hideMark/>
          </w:tcPr>
          <w:p w14:paraId="76B85CC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9CC820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5A44B4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AE91114" w14:textId="77777777" w:rsidR="00000000" w:rsidRDefault="00EF48A2">
            <w:pPr>
              <w:pStyle w:val="a3"/>
              <w:spacing w:before="0" w:beforeAutospacing="0" w:after="0" w:afterAutospacing="0"/>
              <w:jc w:val="right"/>
              <w:rPr>
                <w:sz w:val="20"/>
                <w:szCs w:val="20"/>
              </w:rPr>
            </w:pPr>
            <w:r>
              <w:rPr>
                <w:sz w:val="20"/>
                <w:szCs w:val="20"/>
              </w:rPr>
              <w:t>113,67</w:t>
            </w:r>
            <w:r>
              <w:rPr>
                <w:sz w:val="20"/>
                <w:szCs w:val="20"/>
              </w:rPr>
              <w:t>1</w:t>
            </w:r>
          </w:p>
        </w:tc>
        <w:tc>
          <w:tcPr>
            <w:tcW w:w="0" w:type="auto"/>
            <w:noWrap/>
            <w:vAlign w:val="bottom"/>
            <w:hideMark/>
          </w:tcPr>
          <w:p w14:paraId="7A40F2C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8AE6CD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6928F4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F8F9DCF" w14:textId="77777777" w:rsidR="00000000" w:rsidRDefault="00EF48A2">
            <w:pPr>
              <w:pStyle w:val="a3"/>
              <w:spacing w:before="0" w:beforeAutospacing="0" w:after="0" w:afterAutospacing="0"/>
              <w:jc w:val="right"/>
              <w:rPr>
                <w:sz w:val="20"/>
                <w:szCs w:val="20"/>
              </w:rPr>
            </w:pPr>
            <w:r>
              <w:rPr>
                <w:sz w:val="20"/>
                <w:szCs w:val="20"/>
              </w:rPr>
              <w:t>5,89</w:t>
            </w:r>
            <w:r>
              <w:rPr>
                <w:sz w:val="20"/>
                <w:szCs w:val="20"/>
              </w:rPr>
              <w:t>6</w:t>
            </w:r>
          </w:p>
        </w:tc>
        <w:tc>
          <w:tcPr>
            <w:tcW w:w="0" w:type="auto"/>
            <w:noWrap/>
            <w:vAlign w:val="bottom"/>
            <w:hideMark/>
          </w:tcPr>
          <w:p w14:paraId="43A61A8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655023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642C8E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22265A" w14:textId="77777777" w:rsidR="00000000" w:rsidRDefault="00EF48A2">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bottom"/>
            <w:hideMark/>
          </w:tcPr>
          <w:p w14:paraId="08261BC5" w14:textId="77777777" w:rsidR="00000000" w:rsidRDefault="00EF48A2">
            <w:pPr>
              <w:pStyle w:val="a3"/>
              <w:spacing w:before="0" w:beforeAutospacing="0" w:after="0" w:afterAutospacing="0"/>
              <w:rPr>
                <w:sz w:val="20"/>
                <w:szCs w:val="20"/>
              </w:rPr>
            </w:pPr>
            <w:r>
              <w:rPr>
                <w:sz w:val="20"/>
                <w:szCs w:val="20"/>
              </w:rPr>
              <w:t> </w:t>
            </w:r>
          </w:p>
        </w:tc>
      </w:tr>
      <w:tr w:rsidR="00000000" w14:paraId="3E3447A1" w14:textId="77777777">
        <w:trPr>
          <w:trHeight w:val="200"/>
          <w:tblCellSpacing w:w="15" w:type="dxa"/>
        </w:trPr>
        <w:tc>
          <w:tcPr>
            <w:tcW w:w="0" w:type="auto"/>
            <w:hideMark/>
          </w:tcPr>
          <w:p w14:paraId="6DC8FC3B" w14:textId="77777777" w:rsidR="00000000" w:rsidRDefault="00EF48A2">
            <w:pPr>
              <w:pStyle w:val="a3"/>
              <w:spacing w:before="0" w:beforeAutospacing="0" w:after="0" w:afterAutospacing="0"/>
              <w:rPr>
                <w:sz w:val="20"/>
                <w:szCs w:val="20"/>
              </w:rPr>
            </w:pPr>
            <w:r>
              <w:rPr>
                <w:sz w:val="20"/>
                <w:szCs w:val="20"/>
              </w:rPr>
              <w:t>Cost of revenue</w:t>
            </w:r>
            <w:r>
              <w:rPr>
                <w:sz w:val="20"/>
                <w:szCs w:val="20"/>
              </w:rPr>
              <w:t>s</w:t>
            </w:r>
          </w:p>
        </w:tc>
        <w:tc>
          <w:tcPr>
            <w:tcW w:w="0" w:type="auto"/>
            <w:vAlign w:val="bottom"/>
            <w:hideMark/>
          </w:tcPr>
          <w:p w14:paraId="5281528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48D37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2E4AFA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338172" w14:textId="77777777" w:rsidR="00000000" w:rsidRDefault="00EF48A2">
            <w:pPr>
              <w:pStyle w:val="a3"/>
              <w:spacing w:before="0" w:beforeAutospacing="0" w:after="0" w:afterAutospacing="0"/>
              <w:jc w:val="right"/>
              <w:rPr>
                <w:sz w:val="20"/>
                <w:szCs w:val="20"/>
              </w:rPr>
            </w:pPr>
            <w:r>
              <w:rPr>
                <w:sz w:val="20"/>
                <w:szCs w:val="20"/>
              </w:rPr>
              <w:t>59,22</w:t>
            </w:r>
            <w:r>
              <w:rPr>
                <w:sz w:val="20"/>
                <w:szCs w:val="20"/>
              </w:rPr>
              <w:t>9</w:t>
            </w:r>
          </w:p>
        </w:tc>
        <w:tc>
          <w:tcPr>
            <w:tcW w:w="0" w:type="auto"/>
            <w:noWrap/>
            <w:vAlign w:val="bottom"/>
            <w:hideMark/>
          </w:tcPr>
          <w:p w14:paraId="34F9BBE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BAB077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B4ABCB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37B4BE" w14:textId="77777777" w:rsidR="00000000" w:rsidRDefault="00EF48A2">
            <w:pPr>
              <w:pStyle w:val="a3"/>
              <w:spacing w:before="0" w:beforeAutospacing="0" w:after="0" w:afterAutospacing="0"/>
              <w:jc w:val="right"/>
              <w:rPr>
                <w:sz w:val="20"/>
                <w:szCs w:val="20"/>
              </w:rPr>
            </w:pPr>
            <w:r>
              <w:rPr>
                <w:sz w:val="20"/>
                <w:szCs w:val="20"/>
              </w:rPr>
              <w:t>46,89</w:t>
            </w:r>
            <w:r>
              <w:rPr>
                <w:sz w:val="20"/>
                <w:szCs w:val="20"/>
              </w:rPr>
              <w:t>9</w:t>
            </w:r>
          </w:p>
        </w:tc>
        <w:tc>
          <w:tcPr>
            <w:tcW w:w="0" w:type="auto"/>
            <w:noWrap/>
            <w:vAlign w:val="bottom"/>
            <w:hideMark/>
          </w:tcPr>
          <w:p w14:paraId="7D1DB03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6FD397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92793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D4073D0" w14:textId="77777777" w:rsidR="00000000" w:rsidRDefault="00EF48A2">
            <w:pPr>
              <w:pStyle w:val="a3"/>
              <w:spacing w:before="0" w:beforeAutospacing="0" w:after="0" w:afterAutospacing="0"/>
              <w:jc w:val="right"/>
              <w:rPr>
                <w:sz w:val="20"/>
                <w:szCs w:val="20"/>
              </w:rPr>
            </w:pPr>
            <w:r>
              <w:rPr>
                <w:sz w:val="20"/>
                <w:szCs w:val="20"/>
              </w:rPr>
              <w:t>12,33</w:t>
            </w:r>
            <w:r>
              <w:rPr>
                <w:sz w:val="20"/>
                <w:szCs w:val="20"/>
              </w:rPr>
              <w:t>0</w:t>
            </w:r>
          </w:p>
        </w:tc>
        <w:tc>
          <w:tcPr>
            <w:tcW w:w="0" w:type="auto"/>
            <w:noWrap/>
            <w:vAlign w:val="bottom"/>
            <w:hideMark/>
          </w:tcPr>
          <w:p w14:paraId="5CA7EE1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166E2F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31E176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7516BF" w14:textId="77777777" w:rsidR="00000000" w:rsidRDefault="00EF48A2">
            <w:pPr>
              <w:pStyle w:val="a3"/>
              <w:spacing w:before="0" w:beforeAutospacing="0" w:after="0" w:afterAutospacing="0"/>
              <w:jc w:val="right"/>
              <w:rPr>
                <w:sz w:val="20"/>
                <w:szCs w:val="20"/>
              </w:rPr>
            </w:pPr>
            <w:r>
              <w:rPr>
                <w:sz w:val="20"/>
                <w:szCs w:val="20"/>
              </w:rPr>
              <w:t>26.</w:t>
            </w:r>
            <w:r>
              <w:rPr>
                <w:sz w:val="20"/>
                <w:szCs w:val="20"/>
              </w:rPr>
              <w:t>3</w:t>
            </w:r>
          </w:p>
        </w:tc>
        <w:tc>
          <w:tcPr>
            <w:tcW w:w="0" w:type="auto"/>
            <w:noWrap/>
            <w:vAlign w:val="bottom"/>
            <w:hideMark/>
          </w:tcPr>
          <w:p w14:paraId="5AF6840A" w14:textId="77777777" w:rsidR="00000000" w:rsidRDefault="00EF48A2">
            <w:pPr>
              <w:pStyle w:val="a3"/>
              <w:spacing w:before="0" w:beforeAutospacing="0" w:after="0" w:afterAutospacing="0"/>
              <w:rPr>
                <w:sz w:val="20"/>
                <w:szCs w:val="20"/>
              </w:rPr>
            </w:pPr>
            <w:r>
              <w:rPr>
                <w:sz w:val="20"/>
                <w:szCs w:val="20"/>
              </w:rPr>
              <w:t> </w:t>
            </w:r>
          </w:p>
        </w:tc>
      </w:tr>
      <w:tr w:rsidR="00000000" w14:paraId="1B37A412" w14:textId="77777777">
        <w:trPr>
          <w:trHeight w:val="200"/>
          <w:tblCellSpacing w:w="15" w:type="dxa"/>
        </w:trPr>
        <w:tc>
          <w:tcPr>
            <w:tcW w:w="0" w:type="auto"/>
            <w:hideMark/>
          </w:tcPr>
          <w:p w14:paraId="76ACB6B7" w14:textId="77777777" w:rsidR="00000000" w:rsidRDefault="00EF48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14:paraId="5AEA726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F33D73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2D47E9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08915D" w14:textId="77777777" w:rsidR="00000000" w:rsidRDefault="00EF48A2">
            <w:pPr>
              <w:pStyle w:val="a3"/>
              <w:spacing w:before="0" w:beforeAutospacing="0" w:after="0" w:afterAutospacing="0"/>
              <w:jc w:val="right"/>
              <w:rPr>
                <w:sz w:val="20"/>
                <w:szCs w:val="20"/>
              </w:rPr>
            </w:pPr>
            <w:r>
              <w:rPr>
                <w:sz w:val="20"/>
                <w:szCs w:val="20"/>
              </w:rPr>
              <w:t>60,33</w:t>
            </w:r>
            <w:r>
              <w:rPr>
                <w:sz w:val="20"/>
                <w:szCs w:val="20"/>
              </w:rPr>
              <w:t>8</w:t>
            </w:r>
          </w:p>
        </w:tc>
        <w:tc>
          <w:tcPr>
            <w:tcW w:w="0" w:type="auto"/>
            <w:noWrap/>
            <w:vAlign w:val="bottom"/>
            <w:hideMark/>
          </w:tcPr>
          <w:p w14:paraId="6CBD6CF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09DA7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70F74A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6FC0271" w14:textId="77777777" w:rsidR="00000000" w:rsidRDefault="00EF48A2">
            <w:pPr>
              <w:pStyle w:val="a3"/>
              <w:spacing w:before="0" w:beforeAutospacing="0" w:after="0" w:afterAutospacing="0"/>
              <w:jc w:val="right"/>
              <w:rPr>
                <w:sz w:val="20"/>
                <w:szCs w:val="20"/>
              </w:rPr>
            </w:pPr>
            <w:r>
              <w:rPr>
                <w:sz w:val="20"/>
                <w:szCs w:val="20"/>
              </w:rPr>
              <w:t>66,77</w:t>
            </w:r>
            <w:r>
              <w:rPr>
                <w:sz w:val="20"/>
                <w:szCs w:val="20"/>
              </w:rPr>
              <w:t>2</w:t>
            </w:r>
          </w:p>
        </w:tc>
        <w:tc>
          <w:tcPr>
            <w:tcW w:w="0" w:type="auto"/>
            <w:noWrap/>
            <w:vAlign w:val="bottom"/>
            <w:hideMark/>
          </w:tcPr>
          <w:p w14:paraId="5CF66A9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464E06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D01A15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96686F" w14:textId="77777777" w:rsidR="00000000" w:rsidRDefault="00EF48A2">
            <w:pPr>
              <w:pStyle w:val="a3"/>
              <w:spacing w:before="0" w:beforeAutospacing="0" w:after="0" w:afterAutospacing="0"/>
              <w:jc w:val="right"/>
              <w:rPr>
                <w:sz w:val="20"/>
                <w:szCs w:val="20"/>
              </w:rPr>
            </w:pPr>
            <w:r>
              <w:rPr>
                <w:sz w:val="20"/>
                <w:szCs w:val="20"/>
              </w:rPr>
              <w:t>(6,43</w:t>
            </w:r>
            <w:r>
              <w:rPr>
                <w:sz w:val="20"/>
                <w:szCs w:val="20"/>
              </w:rPr>
              <w:t>4</w:t>
            </w:r>
          </w:p>
        </w:tc>
        <w:tc>
          <w:tcPr>
            <w:tcW w:w="0" w:type="auto"/>
            <w:noWrap/>
            <w:vAlign w:val="bottom"/>
            <w:hideMark/>
          </w:tcPr>
          <w:p w14:paraId="7F31332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D844E4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7BC2EB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95A2244" w14:textId="77777777" w:rsidR="00000000" w:rsidRDefault="00EF48A2">
            <w:pPr>
              <w:pStyle w:val="a3"/>
              <w:spacing w:before="0" w:beforeAutospacing="0" w:after="0" w:afterAutospacing="0"/>
              <w:jc w:val="right"/>
              <w:rPr>
                <w:sz w:val="20"/>
                <w:szCs w:val="20"/>
              </w:rPr>
            </w:pPr>
            <w:r>
              <w:rPr>
                <w:sz w:val="20"/>
                <w:szCs w:val="20"/>
              </w:rPr>
              <w:t>(9.</w:t>
            </w:r>
            <w:r>
              <w:rPr>
                <w:sz w:val="20"/>
                <w:szCs w:val="20"/>
              </w:rPr>
              <w:t>6</w:t>
            </w:r>
          </w:p>
        </w:tc>
        <w:tc>
          <w:tcPr>
            <w:tcW w:w="0" w:type="auto"/>
            <w:noWrap/>
            <w:vAlign w:val="bottom"/>
            <w:hideMark/>
          </w:tcPr>
          <w:p w14:paraId="61E14C43" w14:textId="77777777" w:rsidR="00000000" w:rsidRDefault="00EF48A2">
            <w:pPr>
              <w:pStyle w:val="a3"/>
              <w:spacing w:before="0" w:beforeAutospacing="0" w:after="0" w:afterAutospacing="0"/>
              <w:rPr>
                <w:sz w:val="20"/>
                <w:szCs w:val="20"/>
              </w:rPr>
            </w:pPr>
            <w:r>
              <w:rPr>
                <w:sz w:val="20"/>
                <w:szCs w:val="20"/>
              </w:rPr>
              <w:t>)</w:t>
            </w:r>
          </w:p>
        </w:tc>
      </w:tr>
      <w:tr w:rsidR="00000000" w14:paraId="35FEE184" w14:textId="77777777">
        <w:trPr>
          <w:trHeight w:val="200"/>
          <w:tblCellSpacing w:w="15" w:type="dxa"/>
        </w:trPr>
        <w:tc>
          <w:tcPr>
            <w:tcW w:w="0" w:type="auto"/>
            <w:hideMark/>
          </w:tcPr>
          <w:p w14:paraId="409E1870" w14:textId="77777777" w:rsidR="00000000" w:rsidRDefault="00EF48A2">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0C1C489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41ABDA0"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0E9700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67A97C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81D76B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D607CD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9A266C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64DA0E3"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B21C79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9F3666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9ACD9E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7316F1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E802B03" w14:textId="77777777" w:rsidR="00000000" w:rsidRDefault="00EF48A2">
            <w:pPr>
              <w:pStyle w:val="a3"/>
              <w:spacing w:before="0" w:beforeAutospacing="0" w:after="0" w:afterAutospacing="0"/>
              <w:jc w:val="right"/>
              <w:rPr>
                <w:sz w:val="20"/>
                <w:szCs w:val="20"/>
              </w:rPr>
            </w:pPr>
            <w:r>
              <w:rPr>
                <w:sz w:val="20"/>
                <w:szCs w:val="20"/>
              </w:rPr>
              <w:t> </w:t>
            </w:r>
          </w:p>
        </w:tc>
      </w:tr>
      <w:tr w:rsidR="00000000" w14:paraId="4BDD692F" w14:textId="77777777">
        <w:trPr>
          <w:trHeight w:val="200"/>
          <w:tblCellSpacing w:w="15" w:type="dxa"/>
        </w:trPr>
        <w:tc>
          <w:tcPr>
            <w:tcW w:w="0" w:type="auto"/>
            <w:hideMark/>
          </w:tcPr>
          <w:p w14:paraId="0E1E4D1D" w14:textId="77777777" w:rsidR="00000000" w:rsidRDefault="00EF48A2">
            <w:pPr>
              <w:pStyle w:val="a3"/>
              <w:spacing w:before="0" w:beforeAutospacing="0" w:after="0" w:afterAutospacing="0"/>
              <w:ind w:left="200"/>
              <w:rPr>
                <w:sz w:val="20"/>
                <w:szCs w:val="20"/>
              </w:rPr>
            </w:pPr>
            <w:r>
              <w:rPr>
                <w:sz w:val="20"/>
                <w:szCs w:val="20"/>
              </w:rPr>
              <w:t>Research and development, ne</w:t>
            </w:r>
            <w:r>
              <w:rPr>
                <w:sz w:val="20"/>
                <w:szCs w:val="20"/>
              </w:rPr>
              <w:t>t</w:t>
            </w:r>
          </w:p>
        </w:tc>
        <w:tc>
          <w:tcPr>
            <w:tcW w:w="0" w:type="auto"/>
            <w:vAlign w:val="bottom"/>
            <w:hideMark/>
          </w:tcPr>
          <w:p w14:paraId="3B8101F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F343B1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1CABDB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9DCD459" w14:textId="77777777" w:rsidR="00000000" w:rsidRDefault="00EF48A2">
            <w:pPr>
              <w:pStyle w:val="a3"/>
              <w:spacing w:before="0" w:beforeAutospacing="0" w:after="0" w:afterAutospacing="0"/>
              <w:jc w:val="right"/>
              <w:rPr>
                <w:sz w:val="20"/>
                <w:szCs w:val="20"/>
              </w:rPr>
            </w:pPr>
            <w:r>
              <w:rPr>
                <w:sz w:val="20"/>
                <w:szCs w:val="20"/>
              </w:rPr>
              <w:t>21,65</w:t>
            </w:r>
            <w:r>
              <w:rPr>
                <w:sz w:val="20"/>
                <w:szCs w:val="20"/>
              </w:rPr>
              <w:t>9</w:t>
            </w:r>
          </w:p>
        </w:tc>
        <w:tc>
          <w:tcPr>
            <w:tcW w:w="0" w:type="auto"/>
            <w:noWrap/>
            <w:vAlign w:val="bottom"/>
            <w:hideMark/>
          </w:tcPr>
          <w:p w14:paraId="77CB1D1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27F57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601994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660E1C1" w14:textId="77777777" w:rsidR="00000000" w:rsidRDefault="00EF48A2">
            <w:pPr>
              <w:pStyle w:val="a3"/>
              <w:spacing w:before="0" w:beforeAutospacing="0" w:after="0" w:afterAutospacing="0"/>
              <w:jc w:val="right"/>
              <w:rPr>
                <w:sz w:val="20"/>
                <w:szCs w:val="20"/>
              </w:rPr>
            </w:pPr>
            <w:r>
              <w:rPr>
                <w:sz w:val="20"/>
                <w:szCs w:val="20"/>
              </w:rPr>
              <w:t>15,91</w:t>
            </w:r>
            <w:r>
              <w:rPr>
                <w:sz w:val="20"/>
                <w:szCs w:val="20"/>
              </w:rPr>
              <w:t>9</w:t>
            </w:r>
          </w:p>
        </w:tc>
        <w:tc>
          <w:tcPr>
            <w:tcW w:w="0" w:type="auto"/>
            <w:noWrap/>
            <w:vAlign w:val="bottom"/>
            <w:hideMark/>
          </w:tcPr>
          <w:p w14:paraId="4DC150C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C43B2F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C355FB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A58283" w14:textId="77777777" w:rsidR="00000000" w:rsidRDefault="00EF48A2">
            <w:pPr>
              <w:pStyle w:val="a3"/>
              <w:spacing w:before="0" w:beforeAutospacing="0" w:after="0" w:afterAutospacing="0"/>
              <w:jc w:val="right"/>
              <w:rPr>
                <w:sz w:val="20"/>
                <w:szCs w:val="20"/>
              </w:rPr>
            </w:pPr>
            <w:r>
              <w:rPr>
                <w:sz w:val="20"/>
                <w:szCs w:val="20"/>
              </w:rPr>
              <w:t>5,74</w:t>
            </w:r>
            <w:r>
              <w:rPr>
                <w:sz w:val="20"/>
                <w:szCs w:val="20"/>
              </w:rPr>
              <w:t>0</w:t>
            </w:r>
          </w:p>
        </w:tc>
        <w:tc>
          <w:tcPr>
            <w:tcW w:w="0" w:type="auto"/>
            <w:noWrap/>
            <w:vAlign w:val="bottom"/>
            <w:hideMark/>
          </w:tcPr>
          <w:p w14:paraId="568CBAA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FE2459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6942A9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D32A505" w14:textId="77777777" w:rsidR="00000000" w:rsidRDefault="00EF48A2">
            <w:pPr>
              <w:pStyle w:val="a3"/>
              <w:spacing w:before="0" w:beforeAutospacing="0" w:after="0" w:afterAutospacing="0"/>
              <w:jc w:val="right"/>
              <w:rPr>
                <w:sz w:val="20"/>
                <w:szCs w:val="20"/>
              </w:rPr>
            </w:pPr>
            <w:r>
              <w:rPr>
                <w:sz w:val="20"/>
                <w:szCs w:val="20"/>
              </w:rPr>
              <w:t>36.</w:t>
            </w:r>
            <w:r>
              <w:rPr>
                <w:sz w:val="20"/>
                <w:szCs w:val="20"/>
              </w:rPr>
              <w:t>1</w:t>
            </w:r>
          </w:p>
        </w:tc>
        <w:tc>
          <w:tcPr>
            <w:tcW w:w="0" w:type="auto"/>
            <w:noWrap/>
            <w:vAlign w:val="bottom"/>
            <w:hideMark/>
          </w:tcPr>
          <w:p w14:paraId="6AF17333" w14:textId="77777777" w:rsidR="00000000" w:rsidRDefault="00EF48A2">
            <w:pPr>
              <w:pStyle w:val="a3"/>
              <w:spacing w:before="0" w:beforeAutospacing="0" w:after="0" w:afterAutospacing="0"/>
              <w:rPr>
                <w:sz w:val="20"/>
                <w:szCs w:val="20"/>
              </w:rPr>
            </w:pPr>
            <w:r>
              <w:rPr>
                <w:sz w:val="20"/>
                <w:szCs w:val="20"/>
              </w:rPr>
              <w:t> </w:t>
            </w:r>
          </w:p>
        </w:tc>
      </w:tr>
      <w:tr w:rsidR="00000000" w14:paraId="0C54087F" w14:textId="77777777">
        <w:trPr>
          <w:trHeight w:val="200"/>
          <w:tblCellSpacing w:w="15" w:type="dxa"/>
        </w:trPr>
        <w:tc>
          <w:tcPr>
            <w:tcW w:w="0" w:type="auto"/>
            <w:hideMark/>
          </w:tcPr>
          <w:p w14:paraId="0818FB15" w14:textId="77777777" w:rsidR="00000000" w:rsidRDefault="00EF48A2">
            <w:pPr>
              <w:pStyle w:val="a3"/>
              <w:spacing w:before="0" w:beforeAutospacing="0" w:after="0" w:afterAutospacing="0"/>
              <w:ind w:left="200"/>
              <w:rPr>
                <w:sz w:val="20"/>
                <w:szCs w:val="20"/>
              </w:rPr>
            </w:pPr>
            <w:r>
              <w:rPr>
                <w:sz w:val="20"/>
                <w:szCs w:val="20"/>
              </w:rPr>
              <w:t>Clinical operation</w:t>
            </w:r>
            <w:r>
              <w:rPr>
                <w:sz w:val="20"/>
                <w:szCs w:val="20"/>
              </w:rPr>
              <w:t>s</w:t>
            </w:r>
          </w:p>
        </w:tc>
        <w:tc>
          <w:tcPr>
            <w:tcW w:w="0" w:type="auto"/>
            <w:vAlign w:val="bottom"/>
            <w:hideMark/>
          </w:tcPr>
          <w:p w14:paraId="4165014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EF313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41350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9BF9AD" w14:textId="77777777" w:rsidR="00000000" w:rsidRDefault="00EF48A2">
            <w:pPr>
              <w:pStyle w:val="a3"/>
              <w:spacing w:before="0" w:beforeAutospacing="0" w:after="0" w:afterAutospacing="0"/>
              <w:jc w:val="right"/>
              <w:rPr>
                <w:sz w:val="20"/>
                <w:szCs w:val="20"/>
              </w:rPr>
            </w:pPr>
            <w:r>
              <w:rPr>
                <w:sz w:val="20"/>
                <w:szCs w:val="20"/>
              </w:rPr>
              <w:t>6,59</w:t>
            </w:r>
            <w:r>
              <w:rPr>
                <w:sz w:val="20"/>
                <w:szCs w:val="20"/>
              </w:rPr>
              <w:t>1</w:t>
            </w:r>
          </w:p>
        </w:tc>
        <w:tc>
          <w:tcPr>
            <w:tcW w:w="0" w:type="auto"/>
            <w:noWrap/>
            <w:vAlign w:val="bottom"/>
            <w:hideMark/>
          </w:tcPr>
          <w:p w14:paraId="67C63B2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D8818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ED74D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6A7B49F" w14:textId="77777777" w:rsidR="00000000" w:rsidRDefault="00EF48A2">
            <w:pPr>
              <w:pStyle w:val="a3"/>
              <w:spacing w:before="0" w:beforeAutospacing="0" w:after="0" w:afterAutospacing="0"/>
              <w:jc w:val="right"/>
              <w:rPr>
                <w:sz w:val="20"/>
                <w:szCs w:val="20"/>
              </w:rPr>
            </w:pPr>
            <w:r>
              <w:rPr>
                <w:sz w:val="20"/>
                <w:szCs w:val="20"/>
              </w:rPr>
              <w:t>9,36</w:t>
            </w:r>
            <w:r>
              <w:rPr>
                <w:sz w:val="20"/>
                <w:szCs w:val="20"/>
              </w:rPr>
              <w:t>5</w:t>
            </w:r>
          </w:p>
        </w:tc>
        <w:tc>
          <w:tcPr>
            <w:tcW w:w="0" w:type="auto"/>
            <w:noWrap/>
            <w:vAlign w:val="bottom"/>
            <w:hideMark/>
          </w:tcPr>
          <w:p w14:paraId="3AC8F5C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8AA29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38C9B5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430A863" w14:textId="77777777" w:rsidR="00000000" w:rsidRDefault="00EF48A2">
            <w:pPr>
              <w:pStyle w:val="a3"/>
              <w:spacing w:before="0" w:beforeAutospacing="0" w:after="0" w:afterAutospacing="0"/>
              <w:jc w:val="right"/>
              <w:rPr>
                <w:sz w:val="20"/>
                <w:szCs w:val="20"/>
              </w:rPr>
            </w:pPr>
            <w:r>
              <w:rPr>
                <w:sz w:val="20"/>
                <w:szCs w:val="20"/>
              </w:rPr>
              <w:t>(2,77</w:t>
            </w:r>
            <w:r>
              <w:rPr>
                <w:sz w:val="20"/>
                <w:szCs w:val="20"/>
              </w:rPr>
              <w:t>4</w:t>
            </w:r>
          </w:p>
        </w:tc>
        <w:tc>
          <w:tcPr>
            <w:tcW w:w="0" w:type="auto"/>
            <w:noWrap/>
            <w:vAlign w:val="bottom"/>
            <w:hideMark/>
          </w:tcPr>
          <w:p w14:paraId="59B8858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6E7624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B266F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8258A91" w14:textId="77777777" w:rsidR="00000000" w:rsidRDefault="00EF48A2">
            <w:pPr>
              <w:pStyle w:val="a3"/>
              <w:spacing w:before="0" w:beforeAutospacing="0" w:after="0" w:afterAutospacing="0"/>
              <w:jc w:val="right"/>
              <w:rPr>
                <w:sz w:val="20"/>
                <w:szCs w:val="20"/>
              </w:rPr>
            </w:pPr>
            <w:r>
              <w:rPr>
                <w:sz w:val="20"/>
                <w:szCs w:val="20"/>
              </w:rPr>
              <w:t>(29.</w:t>
            </w:r>
            <w:r>
              <w:rPr>
                <w:sz w:val="20"/>
                <w:szCs w:val="20"/>
              </w:rPr>
              <w:t>6</w:t>
            </w:r>
          </w:p>
        </w:tc>
        <w:tc>
          <w:tcPr>
            <w:tcW w:w="0" w:type="auto"/>
            <w:noWrap/>
            <w:vAlign w:val="bottom"/>
            <w:hideMark/>
          </w:tcPr>
          <w:p w14:paraId="0341BF49" w14:textId="77777777" w:rsidR="00000000" w:rsidRDefault="00EF48A2">
            <w:pPr>
              <w:pStyle w:val="a3"/>
              <w:spacing w:before="0" w:beforeAutospacing="0" w:after="0" w:afterAutospacing="0"/>
              <w:rPr>
                <w:sz w:val="20"/>
                <w:szCs w:val="20"/>
              </w:rPr>
            </w:pPr>
            <w:r>
              <w:rPr>
                <w:sz w:val="20"/>
                <w:szCs w:val="20"/>
              </w:rPr>
              <w:t>)</w:t>
            </w:r>
          </w:p>
        </w:tc>
      </w:tr>
      <w:tr w:rsidR="00000000" w14:paraId="0FFD7F8E" w14:textId="77777777">
        <w:trPr>
          <w:trHeight w:val="200"/>
          <w:tblCellSpacing w:w="15" w:type="dxa"/>
        </w:trPr>
        <w:tc>
          <w:tcPr>
            <w:tcW w:w="0" w:type="auto"/>
            <w:hideMark/>
          </w:tcPr>
          <w:p w14:paraId="0ED6B3BA" w14:textId="77777777" w:rsidR="00000000" w:rsidRDefault="00EF48A2">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14:paraId="5DB9AAE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6DDF6F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C57FC6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67AEEBB" w14:textId="77777777" w:rsidR="00000000" w:rsidRDefault="00EF48A2">
            <w:pPr>
              <w:pStyle w:val="a3"/>
              <w:spacing w:before="0" w:beforeAutospacing="0" w:after="0" w:afterAutospacing="0"/>
              <w:jc w:val="right"/>
              <w:rPr>
                <w:sz w:val="20"/>
                <w:szCs w:val="20"/>
              </w:rPr>
            </w:pPr>
            <w:r>
              <w:rPr>
                <w:sz w:val="20"/>
                <w:szCs w:val="20"/>
              </w:rPr>
              <w:t>72,84</w:t>
            </w:r>
            <w:r>
              <w:rPr>
                <w:sz w:val="20"/>
                <w:szCs w:val="20"/>
              </w:rPr>
              <w:t>2</w:t>
            </w:r>
          </w:p>
        </w:tc>
        <w:tc>
          <w:tcPr>
            <w:tcW w:w="0" w:type="auto"/>
            <w:noWrap/>
            <w:vAlign w:val="bottom"/>
            <w:hideMark/>
          </w:tcPr>
          <w:p w14:paraId="45256AC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7D3A6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A35E4B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094513D" w14:textId="77777777" w:rsidR="00000000" w:rsidRDefault="00EF48A2">
            <w:pPr>
              <w:pStyle w:val="a3"/>
              <w:spacing w:before="0" w:beforeAutospacing="0" w:after="0" w:afterAutospacing="0"/>
              <w:jc w:val="right"/>
              <w:rPr>
                <w:sz w:val="20"/>
                <w:szCs w:val="20"/>
              </w:rPr>
            </w:pPr>
            <w:r>
              <w:rPr>
                <w:sz w:val="20"/>
                <w:szCs w:val="20"/>
              </w:rPr>
              <w:t>100,64</w:t>
            </w:r>
            <w:r>
              <w:rPr>
                <w:sz w:val="20"/>
                <w:szCs w:val="20"/>
              </w:rPr>
              <w:t>1</w:t>
            </w:r>
          </w:p>
        </w:tc>
        <w:tc>
          <w:tcPr>
            <w:tcW w:w="0" w:type="auto"/>
            <w:noWrap/>
            <w:vAlign w:val="bottom"/>
            <w:hideMark/>
          </w:tcPr>
          <w:p w14:paraId="04FD8EA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56F33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8BC53B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BE3DD02" w14:textId="77777777" w:rsidR="00000000" w:rsidRDefault="00EF48A2">
            <w:pPr>
              <w:pStyle w:val="a3"/>
              <w:spacing w:before="0" w:beforeAutospacing="0" w:after="0" w:afterAutospacing="0"/>
              <w:jc w:val="right"/>
              <w:rPr>
                <w:sz w:val="20"/>
                <w:szCs w:val="20"/>
              </w:rPr>
            </w:pPr>
            <w:r>
              <w:rPr>
                <w:sz w:val="20"/>
                <w:szCs w:val="20"/>
              </w:rPr>
              <w:t>(27,79</w:t>
            </w:r>
            <w:r>
              <w:rPr>
                <w:sz w:val="20"/>
                <w:szCs w:val="20"/>
              </w:rPr>
              <w:t>9</w:t>
            </w:r>
          </w:p>
        </w:tc>
        <w:tc>
          <w:tcPr>
            <w:tcW w:w="0" w:type="auto"/>
            <w:noWrap/>
            <w:vAlign w:val="bottom"/>
            <w:hideMark/>
          </w:tcPr>
          <w:p w14:paraId="5FA26D8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55142D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97E07A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2F93C1D" w14:textId="77777777" w:rsidR="00000000" w:rsidRDefault="00EF48A2">
            <w:pPr>
              <w:pStyle w:val="a3"/>
              <w:spacing w:before="0" w:beforeAutospacing="0" w:after="0" w:afterAutospacing="0"/>
              <w:jc w:val="right"/>
              <w:rPr>
                <w:sz w:val="20"/>
                <w:szCs w:val="20"/>
              </w:rPr>
            </w:pPr>
            <w:r>
              <w:rPr>
                <w:sz w:val="20"/>
                <w:szCs w:val="20"/>
              </w:rPr>
              <w:t>(27.</w:t>
            </w:r>
            <w:r>
              <w:rPr>
                <w:sz w:val="20"/>
                <w:szCs w:val="20"/>
              </w:rPr>
              <w:t>6</w:t>
            </w:r>
          </w:p>
        </w:tc>
        <w:tc>
          <w:tcPr>
            <w:tcW w:w="0" w:type="auto"/>
            <w:noWrap/>
            <w:vAlign w:val="bottom"/>
            <w:hideMark/>
          </w:tcPr>
          <w:p w14:paraId="2E83C3DB" w14:textId="77777777" w:rsidR="00000000" w:rsidRDefault="00EF48A2">
            <w:pPr>
              <w:pStyle w:val="a3"/>
              <w:spacing w:before="0" w:beforeAutospacing="0" w:after="0" w:afterAutospacing="0"/>
              <w:rPr>
                <w:sz w:val="20"/>
                <w:szCs w:val="20"/>
              </w:rPr>
            </w:pPr>
            <w:r>
              <w:rPr>
                <w:sz w:val="20"/>
                <w:szCs w:val="20"/>
              </w:rPr>
              <w:t>)</w:t>
            </w:r>
          </w:p>
        </w:tc>
      </w:tr>
      <w:tr w:rsidR="00000000" w14:paraId="78596110" w14:textId="77777777">
        <w:trPr>
          <w:trHeight w:val="200"/>
          <w:tblCellSpacing w:w="15" w:type="dxa"/>
        </w:trPr>
        <w:tc>
          <w:tcPr>
            <w:tcW w:w="0" w:type="auto"/>
            <w:hideMark/>
          </w:tcPr>
          <w:p w14:paraId="0B1330A6" w14:textId="77777777" w:rsidR="00000000" w:rsidRDefault="00EF48A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14:paraId="7A3DFD6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72F8C5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627044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1DBCD25" w14:textId="77777777" w:rsidR="00000000" w:rsidRDefault="00EF48A2">
            <w:pPr>
              <w:pStyle w:val="a3"/>
              <w:spacing w:before="0" w:beforeAutospacing="0" w:after="0" w:afterAutospacing="0"/>
              <w:jc w:val="right"/>
              <w:rPr>
                <w:sz w:val="20"/>
                <w:szCs w:val="20"/>
              </w:rPr>
            </w:pPr>
            <w:r>
              <w:rPr>
                <w:sz w:val="20"/>
                <w:szCs w:val="20"/>
              </w:rPr>
              <w:t>36,27</w:t>
            </w:r>
            <w:r>
              <w:rPr>
                <w:sz w:val="20"/>
                <w:szCs w:val="20"/>
              </w:rPr>
              <w:t>0</w:t>
            </w:r>
          </w:p>
        </w:tc>
        <w:tc>
          <w:tcPr>
            <w:tcW w:w="0" w:type="auto"/>
            <w:noWrap/>
            <w:vAlign w:val="bottom"/>
            <w:hideMark/>
          </w:tcPr>
          <w:p w14:paraId="3859C48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D46E5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E98F10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C630D41" w14:textId="77777777" w:rsidR="00000000" w:rsidRDefault="00EF48A2">
            <w:pPr>
              <w:pStyle w:val="a3"/>
              <w:spacing w:before="0" w:beforeAutospacing="0" w:after="0" w:afterAutospacing="0"/>
              <w:jc w:val="right"/>
              <w:rPr>
                <w:sz w:val="20"/>
                <w:szCs w:val="20"/>
              </w:rPr>
            </w:pPr>
            <w:r>
              <w:rPr>
                <w:sz w:val="20"/>
                <w:szCs w:val="20"/>
              </w:rPr>
              <w:t>34,77</w:t>
            </w:r>
            <w:r>
              <w:rPr>
                <w:sz w:val="20"/>
                <w:szCs w:val="20"/>
              </w:rPr>
              <w:t>0</w:t>
            </w:r>
          </w:p>
        </w:tc>
        <w:tc>
          <w:tcPr>
            <w:tcW w:w="0" w:type="auto"/>
            <w:noWrap/>
            <w:vAlign w:val="bottom"/>
            <w:hideMark/>
          </w:tcPr>
          <w:p w14:paraId="0F00588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51B5D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8BA082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D743C5" w14:textId="77777777" w:rsidR="00000000" w:rsidRDefault="00EF48A2">
            <w:pPr>
              <w:pStyle w:val="a3"/>
              <w:spacing w:before="0" w:beforeAutospacing="0" w:after="0" w:afterAutospacing="0"/>
              <w:jc w:val="right"/>
              <w:rPr>
                <w:sz w:val="20"/>
                <w:szCs w:val="20"/>
              </w:rPr>
            </w:pPr>
            <w:r>
              <w:rPr>
                <w:sz w:val="20"/>
                <w:szCs w:val="20"/>
              </w:rPr>
              <w:t>1,50</w:t>
            </w:r>
            <w:r>
              <w:rPr>
                <w:sz w:val="20"/>
                <w:szCs w:val="20"/>
              </w:rPr>
              <w:t>0</w:t>
            </w:r>
          </w:p>
        </w:tc>
        <w:tc>
          <w:tcPr>
            <w:tcW w:w="0" w:type="auto"/>
            <w:noWrap/>
            <w:vAlign w:val="bottom"/>
            <w:hideMark/>
          </w:tcPr>
          <w:p w14:paraId="744F854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B7DA4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D3E346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66D465C" w14:textId="77777777" w:rsidR="00000000" w:rsidRDefault="00EF48A2">
            <w:pPr>
              <w:pStyle w:val="a3"/>
              <w:spacing w:before="0" w:beforeAutospacing="0" w:after="0" w:afterAutospacing="0"/>
              <w:jc w:val="right"/>
              <w:rPr>
                <w:sz w:val="20"/>
                <w:szCs w:val="20"/>
              </w:rPr>
            </w:pPr>
            <w:r>
              <w:rPr>
                <w:sz w:val="20"/>
                <w:szCs w:val="20"/>
              </w:rPr>
              <w:t>4.</w:t>
            </w:r>
            <w:r>
              <w:rPr>
                <w:sz w:val="20"/>
                <w:szCs w:val="20"/>
              </w:rPr>
              <w:t>3</w:t>
            </w:r>
          </w:p>
        </w:tc>
        <w:tc>
          <w:tcPr>
            <w:tcW w:w="0" w:type="auto"/>
            <w:noWrap/>
            <w:vAlign w:val="bottom"/>
            <w:hideMark/>
          </w:tcPr>
          <w:p w14:paraId="49310353" w14:textId="77777777" w:rsidR="00000000" w:rsidRDefault="00EF48A2">
            <w:pPr>
              <w:pStyle w:val="a3"/>
              <w:spacing w:before="0" w:beforeAutospacing="0" w:after="0" w:afterAutospacing="0"/>
              <w:rPr>
                <w:sz w:val="20"/>
                <w:szCs w:val="20"/>
              </w:rPr>
            </w:pPr>
            <w:r>
              <w:rPr>
                <w:sz w:val="20"/>
                <w:szCs w:val="20"/>
              </w:rPr>
              <w:t> </w:t>
            </w:r>
          </w:p>
        </w:tc>
      </w:tr>
      <w:tr w:rsidR="00000000" w14:paraId="33A89976" w14:textId="77777777">
        <w:trPr>
          <w:trHeight w:val="200"/>
          <w:tblCellSpacing w:w="15" w:type="dxa"/>
        </w:trPr>
        <w:tc>
          <w:tcPr>
            <w:tcW w:w="0" w:type="auto"/>
            <w:hideMark/>
          </w:tcPr>
          <w:p w14:paraId="17EDA1D2" w14:textId="77777777" w:rsidR="00000000" w:rsidRDefault="00EF48A2">
            <w:pPr>
              <w:pStyle w:val="a3"/>
              <w:spacing w:before="0" w:beforeAutospacing="0" w:after="0" w:afterAutospacing="0"/>
              <w:ind w:left="200"/>
              <w:rPr>
                <w:sz w:val="20"/>
                <w:szCs w:val="20"/>
              </w:rPr>
            </w:pPr>
            <w:r>
              <w:rPr>
                <w:sz w:val="20"/>
                <w:szCs w:val="20"/>
              </w:rPr>
              <w:t>Impairment of goodwil</w:t>
            </w:r>
            <w:r>
              <w:rPr>
                <w:sz w:val="20"/>
                <w:szCs w:val="20"/>
              </w:rPr>
              <w:t>l</w:t>
            </w:r>
          </w:p>
        </w:tc>
        <w:tc>
          <w:tcPr>
            <w:tcW w:w="0" w:type="auto"/>
            <w:vAlign w:val="bottom"/>
            <w:hideMark/>
          </w:tcPr>
          <w:p w14:paraId="1265A44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05BC0A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AF9F15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1ABDB44" w14:textId="77777777" w:rsidR="00000000" w:rsidRDefault="00EF48A2">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5907789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A9741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5D6BA1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9AEFA18"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78BD6BD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5DE2FD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7DEB30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863463" w14:textId="77777777" w:rsidR="00000000" w:rsidRDefault="00EF48A2">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0894799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0904C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C08E9E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D0167A9" w14:textId="77777777" w:rsidR="00000000" w:rsidRDefault="00EF48A2">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14:paraId="09F268BC" w14:textId="77777777" w:rsidR="00000000" w:rsidRDefault="00EF48A2">
            <w:pPr>
              <w:pStyle w:val="a3"/>
              <w:spacing w:before="0" w:beforeAutospacing="0" w:after="0" w:afterAutospacing="0"/>
              <w:rPr>
                <w:sz w:val="20"/>
                <w:szCs w:val="20"/>
              </w:rPr>
            </w:pPr>
            <w:r>
              <w:rPr>
                <w:sz w:val="20"/>
                <w:szCs w:val="20"/>
              </w:rPr>
              <w:t> </w:t>
            </w:r>
          </w:p>
        </w:tc>
      </w:tr>
      <w:tr w:rsidR="00000000" w14:paraId="2E5363E1" w14:textId="77777777">
        <w:trPr>
          <w:trHeight w:val="200"/>
          <w:tblCellSpacing w:w="15" w:type="dxa"/>
        </w:trPr>
        <w:tc>
          <w:tcPr>
            <w:tcW w:w="0" w:type="auto"/>
            <w:hideMark/>
          </w:tcPr>
          <w:p w14:paraId="6614214D" w14:textId="77777777" w:rsidR="00000000" w:rsidRDefault="00EF48A2">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14:paraId="2D4E743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5CD5BB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24541D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5FCC42E" w14:textId="77777777" w:rsidR="00000000" w:rsidRDefault="00EF48A2">
            <w:pPr>
              <w:pStyle w:val="a3"/>
              <w:spacing w:before="0" w:beforeAutospacing="0" w:after="0" w:afterAutospacing="0"/>
              <w:jc w:val="right"/>
              <w:rPr>
                <w:sz w:val="20"/>
                <w:szCs w:val="20"/>
              </w:rPr>
            </w:pPr>
            <w:r>
              <w:rPr>
                <w:sz w:val="20"/>
                <w:szCs w:val="20"/>
              </w:rPr>
              <w:t>143,49</w:t>
            </w:r>
            <w:r>
              <w:rPr>
                <w:sz w:val="20"/>
                <w:szCs w:val="20"/>
              </w:rPr>
              <w:t>6</w:t>
            </w:r>
          </w:p>
        </w:tc>
        <w:tc>
          <w:tcPr>
            <w:tcW w:w="0" w:type="auto"/>
            <w:noWrap/>
            <w:vAlign w:val="bottom"/>
            <w:hideMark/>
          </w:tcPr>
          <w:p w14:paraId="5CFEED1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DA065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931E49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1A418D" w14:textId="77777777" w:rsidR="00000000" w:rsidRDefault="00EF48A2">
            <w:pPr>
              <w:pStyle w:val="a3"/>
              <w:spacing w:before="0" w:beforeAutospacing="0" w:after="0" w:afterAutospacing="0"/>
              <w:jc w:val="right"/>
              <w:rPr>
                <w:sz w:val="20"/>
                <w:szCs w:val="20"/>
              </w:rPr>
            </w:pPr>
            <w:r>
              <w:rPr>
                <w:sz w:val="20"/>
                <w:szCs w:val="20"/>
              </w:rPr>
              <w:t>160,69</w:t>
            </w:r>
            <w:r>
              <w:rPr>
                <w:sz w:val="20"/>
                <w:szCs w:val="20"/>
              </w:rPr>
              <w:t>5</w:t>
            </w:r>
          </w:p>
        </w:tc>
        <w:tc>
          <w:tcPr>
            <w:tcW w:w="0" w:type="auto"/>
            <w:noWrap/>
            <w:vAlign w:val="bottom"/>
            <w:hideMark/>
          </w:tcPr>
          <w:p w14:paraId="0C51A4E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32EF95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C217CB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BB4697" w14:textId="77777777" w:rsidR="00000000" w:rsidRDefault="00EF48A2">
            <w:pPr>
              <w:pStyle w:val="a3"/>
              <w:spacing w:before="0" w:beforeAutospacing="0" w:after="0" w:afterAutospacing="0"/>
              <w:jc w:val="right"/>
              <w:rPr>
                <w:sz w:val="20"/>
                <w:szCs w:val="20"/>
              </w:rPr>
            </w:pPr>
            <w:r>
              <w:rPr>
                <w:sz w:val="20"/>
                <w:szCs w:val="20"/>
              </w:rPr>
              <w:t>(17,19</w:t>
            </w:r>
            <w:r>
              <w:rPr>
                <w:sz w:val="20"/>
                <w:szCs w:val="20"/>
              </w:rPr>
              <w:t>9</w:t>
            </w:r>
          </w:p>
        </w:tc>
        <w:tc>
          <w:tcPr>
            <w:tcW w:w="0" w:type="auto"/>
            <w:noWrap/>
            <w:vAlign w:val="bottom"/>
            <w:hideMark/>
          </w:tcPr>
          <w:p w14:paraId="7A8FBFD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7C02CD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2843C4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09F884" w14:textId="77777777" w:rsidR="00000000" w:rsidRDefault="00EF48A2">
            <w:pPr>
              <w:pStyle w:val="a3"/>
              <w:spacing w:before="0" w:beforeAutospacing="0" w:after="0" w:afterAutospacing="0"/>
              <w:jc w:val="right"/>
              <w:rPr>
                <w:sz w:val="20"/>
                <w:szCs w:val="20"/>
              </w:rPr>
            </w:pPr>
            <w:r>
              <w:rPr>
                <w:sz w:val="20"/>
                <w:szCs w:val="20"/>
              </w:rPr>
              <w:t>(10.</w:t>
            </w:r>
            <w:r>
              <w:rPr>
                <w:sz w:val="20"/>
                <w:szCs w:val="20"/>
              </w:rPr>
              <w:t>7</w:t>
            </w:r>
          </w:p>
        </w:tc>
        <w:tc>
          <w:tcPr>
            <w:tcW w:w="0" w:type="auto"/>
            <w:noWrap/>
            <w:vAlign w:val="bottom"/>
            <w:hideMark/>
          </w:tcPr>
          <w:p w14:paraId="078FAFAE" w14:textId="77777777" w:rsidR="00000000" w:rsidRDefault="00EF48A2">
            <w:pPr>
              <w:pStyle w:val="a3"/>
              <w:spacing w:before="0" w:beforeAutospacing="0" w:after="0" w:afterAutospacing="0"/>
              <w:rPr>
                <w:sz w:val="20"/>
                <w:szCs w:val="20"/>
              </w:rPr>
            </w:pPr>
            <w:r>
              <w:rPr>
                <w:sz w:val="20"/>
                <w:szCs w:val="20"/>
              </w:rPr>
              <w:t>)</w:t>
            </w:r>
          </w:p>
        </w:tc>
      </w:tr>
      <w:tr w:rsidR="00000000" w14:paraId="6DDAD470" w14:textId="77777777">
        <w:trPr>
          <w:trHeight w:val="200"/>
          <w:tblCellSpacing w:w="15" w:type="dxa"/>
        </w:trPr>
        <w:tc>
          <w:tcPr>
            <w:tcW w:w="0" w:type="auto"/>
            <w:hideMark/>
          </w:tcPr>
          <w:p w14:paraId="502B7505" w14:textId="77777777" w:rsidR="00000000" w:rsidRDefault="00EF48A2">
            <w:pPr>
              <w:pStyle w:val="a3"/>
              <w:spacing w:before="0" w:beforeAutospacing="0" w:after="0" w:afterAutospacing="0"/>
              <w:rPr>
                <w:sz w:val="20"/>
                <w:szCs w:val="20"/>
              </w:rPr>
            </w:pPr>
            <w:r>
              <w:rPr>
                <w:sz w:val="20"/>
                <w:szCs w:val="20"/>
              </w:rPr>
              <w:t>Operating los</w:t>
            </w:r>
            <w:r>
              <w:rPr>
                <w:sz w:val="20"/>
                <w:szCs w:val="20"/>
              </w:rPr>
              <w:t>s</w:t>
            </w:r>
          </w:p>
        </w:tc>
        <w:tc>
          <w:tcPr>
            <w:tcW w:w="0" w:type="auto"/>
            <w:vAlign w:val="bottom"/>
            <w:hideMark/>
          </w:tcPr>
          <w:p w14:paraId="2E35293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87A179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EE8C19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256C839" w14:textId="77777777" w:rsidR="00000000" w:rsidRDefault="00EF48A2">
            <w:pPr>
              <w:pStyle w:val="a3"/>
              <w:spacing w:before="0" w:beforeAutospacing="0" w:after="0" w:afterAutospacing="0"/>
              <w:jc w:val="right"/>
              <w:rPr>
                <w:sz w:val="20"/>
                <w:szCs w:val="20"/>
              </w:rPr>
            </w:pPr>
            <w:r>
              <w:rPr>
                <w:sz w:val="20"/>
                <w:szCs w:val="20"/>
              </w:rPr>
              <w:t>(83,15</w:t>
            </w:r>
            <w:r>
              <w:rPr>
                <w:sz w:val="20"/>
                <w:szCs w:val="20"/>
              </w:rPr>
              <w:t>8</w:t>
            </w:r>
          </w:p>
        </w:tc>
        <w:tc>
          <w:tcPr>
            <w:tcW w:w="0" w:type="auto"/>
            <w:noWrap/>
            <w:vAlign w:val="bottom"/>
            <w:hideMark/>
          </w:tcPr>
          <w:p w14:paraId="264BDF7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7C7B66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3ACC09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5664045" w14:textId="77777777" w:rsidR="00000000" w:rsidRDefault="00EF48A2">
            <w:pPr>
              <w:pStyle w:val="a3"/>
              <w:spacing w:before="0" w:beforeAutospacing="0" w:after="0" w:afterAutospacing="0"/>
              <w:jc w:val="right"/>
              <w:rPr>
                <w:sz w:val="20"/>
                <w:szCs w:val="20"/>
              </w:rPr>
            </w:pPr>
            <w:r>
              <w:rPr>
                <w:sz w:val="20"/>
                <w:szCs w:val="20"/>
              </w:rPr>
              <w:t>(93,92</w:t>
            </w:r>
            <w:r>
              <w:rPr>
                <w:sz w:val="20"/>
                <w:szCs w:val="20"/>
              </w:rPr>
              <w:t>3</w:t>
            </w:r>
          </w:p>
        </w:tc>
        <w:tc>
          <w:tcPr>
            <w:tcW w:w="0" w:type="auto"/>
            <w:noWrap/>
            <w:vAlign w:val="bottom"/>
            <w:hideMark/>
          </w:tcPr>
          <w:p w14:paraId="5EBC6CD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DA90CE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96224E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52FC542" w14:textId="77777777" w:rsidR="00000000" w:rsidRDefault="00EF48A2">
            <w:pPr>
              <w:pStyle w:val="a3"/>
              <w:spacing w:before="0" w:beforeAutospacing="0" w:after="0" w:afterAutospacing="0"/>
              <w:jc w:val="right"/>
              <w:rPr>
                <w:sz w:val="20"/>
                <w:szCs w:val="20"/>
              </w:rPr>
            </w:pPr>
            <w:r>
              <w:rPr>
                <w:sz w:val="20"/>
                <w:szCs w:val="20"/>
              </w:rPr>
              <w:t>10,76</w:t>
            </w:r>
            <w:r>
              <w:rPr>
                <w:sz w:val="20"/>
                <w:szCs w:val="20"/>
              </w:rPr>
              <w:t>5</w:t>
            </w:r>
          </w:p>
        </w:tc>
        <w:tc>
          <w:tcPr>
            <w:tcW w:w="0" w:type="auto"/>
            <w:noWrap/>
            <w:vAlign w:val="bottom"/>
            <w:hideMark/>
          </w:tcPr>
          <w:p w14:paraId="34AF460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1F28B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D6A56C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38F65F6" w14:textId="77777777" w:rsidR="00000000" w:rsidRDefault="00EF48A2">
            <w:pPr>
              <w:pStyle w:val="a3"/>
              <w:spacing w:before="0" w:beforeAutospacing="0" w:after="0" w:afterAutospacing="0"/>
              <w:jc w:val="right"/>
              <w:rPr>
                <w:sz w:val="20"/>
                <w:szCs w:val="20"/>
              </w:rPr>
            </w:pPr>
            <w:r>
              <w:rPr>
                <w:sz w:val="20"/>
                <w:szCs w:val="20"/>
              </w:rPr>
              <w:t>11.</w:t>
            </w:r>
            <w:r>
              <w:rPr>
                <w:sz w:val="20"/>
                <w:szCs w:val="20"/>
              </w:rPr>
              <w:t>5</w:t>
            </w:r>
          </w:p>
        </w:tc>
        <w:tc>
          <w:tcPr>
            <w:tcW w:w="0" w:type="auto"/>
            <w:noWrap/>
            <w:vAlign w:val="bottom"/>
            <w:hideMark/>
          </w:tcPr>
          <w:p w14:paraId="7F475027" w14:textId="77777777" w:rsidR="00000000" w:rsidRDefault="00EF48A2">
            <w:pPr>
              <w:pStyle w:val="a3"/>
              <w:spacing w:before="0" w:beforeAutospacing="0" w:after="0" w:afterAutospacing="0"/>
              <w:rPr>
                <w:sz w:val="20"/>
                <w:szCs w:val="20"/>
              </w:rPr>
            </w:pPr>
            <w:r>
              <w:rPr>
                <w:sz w:val="20"/>
                <w:szCs w:val="20"/>
              </w:rPr>
              <w:t> </w:t>
            </w:r>
          </w:p>
        </w:tc>
      </w:tr>
      <w:tr w:rsidR="00000000" w14:paraId="73798C3C" w14:textId="77777777">
        <w:trPr>
          <w:trHeight w:val="200"/>
          <w:tblCellSpacing w:w="15" w:type="dxa"/>
        </w:trPr>
        <w:tc>
          <w:tcPr>
            <w:tcW w:w="0" w:type="auto"/>
            <w:hideMark/>
          </w:tcPr>
          <w:p w14:paraId="7F14B8A8" w14:textId="77777777" w:rsidR="00000000" w:rsidRDefault="00EF48A2">
            <w:pPr>
              <w:pStyle w:val="a3"/>
              <w:spacing w:before="0" w:beforeAutospacing="0" w:after="0" w:afterAutospacing="0"/>
              <w:rPr>
                <w:sz w:val="20"/>
                <w:szCs w:val="20"/>
              </w:rPr>
            </w:pPr>
            <w:r>
              <w:rPr>
                <w:sz w:val="20"/>
                <w:szCs w:val="20"/>
              </w:rPr>
              <w:t>Financial (income), ne</w:t>
            </w:r>
            <w:r>
              <w:rPr>
                <w:sz w:val="20"/>
                <w:szCs w:val="20"/>
              </w:rPr>
              <w:t>t</w:t>
            </w:r>
          </w:p>
        </w:tc>
        <w:tc>
          <w:tcPr>
            <w:tcW w:w="0" w:type="auto"/>
            <w:vAlign w:val="bottom"/>
            <w:hideMark/>
          </w:tcPr>
          <w:p w14:paraId="58FCFB7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C48F15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5600F1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12EE54E" w14:textId="77777777" w:rsidR="00000000" w:rsidRDefault="00EF48A2">
            <w:pPr>
              <w:pStyle w:val="a3"/>
              <w:spacing w:before="0" w:beforeAutospacing="0" w:after="0" w:afterAutospacing="0"/>
              <w:jc w:val="right"/>
              <w:rPr>
                <w:sz w:val="20"/>
                <w:szCs w:val="20"/>
              </w:rPr>
            </w:pPr>
            <w:r>
              <w:rPr>
                <w:sz w:val="20"/>
                <w:szCs w:val="20"/>
              </w:rPr>
              <w:t>(3,74</w:t>
            </w:r>
            <w:r>
              <w:rPr>
                <w:sz w:val="20"/>
                <w:szCs w:val="20"/>
              </w:rPr>
              <w:t>0</w:t>
            </w:r>
          </w:p>
        </w:tc>
        <w:tc>
          <w:tcPr>
            <w:tcW w:w="0" w:type="auto"/>
            <w:noWrap/>
            <w:vAlign w:val="bottom"/>
            <w:hideMark/>
          </w:tcPr>
          <w:p w14:paraId="1F1FAAE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CECBB1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0D1F9E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6E0F7A" w14:textId="77777777" w:rsidR="00000000" w:rsidRDefault="00EF48A2">
            <w:pPr>
              <w:pStyle w:val="a3"/>
              <w:spacing w:before="0" w:beforeAutospacing="0" w:after="0" w:afterAutospacing="0"/>
              <w:jc w:val="right"/>
              <w:rPr>
                <w:sz w:val="20"/>
                <w:szCs w:val="20"/>
              </w:rPr>
            </w:pPr>
            <w:r>
              <w:rPr>
                <w:sz w:val="20"/>
                <w:szCs w:val="20"/>
              </w:rPr>
              <w:t>(31,22</w:t>
            </w:r>
            <w:r>
              <w:rPr>
                <w:sz w:val="20"/>
                <w:szCs w:val="20"/>
              </w:rPr>
              <w:t>8</w:t>
            </w:r>
          </w:p>
        </w:tc>
        <w:tc>
          <w:tcPr>
            <w:tcW w:w="0" w:type="auto"/>
            <w:noWrap/>
            <w:vAlign w:val="bottom"/>
            <w:hideMark/>
          </w:tcPr>
          <w:p w14:paraId="6354AA5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21892F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3CAFE1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D83D6C8" w14:textId="77777777" w:rsidR="00000000" w:rsidRDefault="00EF48A2">
            <w:pPr>
              <w:pStyle w:val="a3"/>
              <w:spacing w:before="0" w:beforeAutospacing="0" w:after="0" w:afterAutospacing="0"/>
              <w:jc w:val="right"/>
              <w:rPr>
                <w:sz w:val="20"/>
                <w:szCs w:val="20"/>
              </w:rPr>
            </w:pPr>
            <w:r>
              <w:rPr>
                <w:sz w:val="20"/>
                <w:szCs w:val="20"/>
              </w:rPr>
              <w:t>27,48</w:t>
            </w:r>
            <w:r>
              <w:rPr>
                <w:sz w:val="20"/>
                <w:szCs w:val="20"/>
              </w:rPr>
              <w:t>8</w:t>
            </w:r>
          </w:p>
        </w:tc>
        <w:tc>
          <w:tcPr>
            <w:tcW w:w="0" w:type="auto"/>
            <w:noWrap/>
            <w:vAlign w:val="bottom"/>
            <w:hideMark/>
          </w:tcPr>
          <w:p w14:paraId="25D3A99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1E1E7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28454F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9BC3A02" w14:textId="77777777" w:rsidR="00000000" w:rsidRDefault="00EF48A2">
            <w:pPr>
              <w:pStyle w:val="a3"/>
              <w:spacing w:before="0" w:beforeAutospacing="0" w:after="0" w:afterAutospacing="0"/>
              <w:jc w:val="right"/>
              <w:rPr>
                <w:sz w:val="20"/>
                <w:szCs w:val="20"/>
              </w:rPr>
            </w:pPr>
            <w:r>
              <w:rPr>
                <w:sz w:val="20"/>
                <w:szCs w:val="20"/>
              </w:rPr>
              <w:t>(88.</w:t>
            </w:r>
            <w:r>
              <w:rPr>
                <w:sz w:val="20"/>
                <w:szCs w:val="20"/>
              </w:rPr>
              <w:t>0</w:t>
            </w:r>
          </w:p>
        </w:tc>
        <w:tc>
          <w:tcPr>
            <w:tcW w:w="0" w:type="auto"/>
            <w:noWrap/>
            <w:vAlign w:val="bottom"/>
            <w:hideMark/>
          </w:tcPr>
          <w:p w14:paraId="050A3400" w14:textId="77777777" w:rsidR="00000000" w:rsidRDefault="00EF48A2">
            <w:pPr>
              <w:pStyle w:val="a3"/>
              <w:spacing w:before="0" w:beforeAutospacing="0" w:after="0" w:afterAutospacing="0"/>
              <w:rPr>
                <w:sz w:val="20"/>
                <w:szCs w:val="20"/>
              </w:rPr>
            </w:pPr>
            <w:r>
              <w:rPr>
                <w:sz w:val="20"/>
                <w:szCs w:val="20"/>
              </w:rPr>
              <w:t>)</w:t>
            </w:r>
          </w:p>
        </w:tc>
      </w:tr>
      <w:tr w:rsidR="00000000" w14:paraId="6F59BEDF" w14:textId="77777777">
        <w:trPr>
          <w:trHeight w:val="200"/>
          <w:tblCellSpacing w:w="15" w:type="dxa"/>
        </w:trPr>
        <w:tc>
          <w:tcPr>
            <w:tcW w:w="0" w:type="auto"/>
            <w:hideMark/>
          </w:tcPr>
          <w:p w14:paraId="1905C865" w14:textId="77777777" w:rsidR="00000000" w:rsidRDefault="00EF48A2">
            <w:pPr>
              <w:pStyle w:val="a3"/>
              <w:spacing w:before="0" w:beforeAutospacing="0" w:after="0" w:afterAutospacing="0"/>
              <w:rPr>
                <w:sz w:val="20"/>
                <w:szCs w:val="20"/>
              </w:rPr>
            </w:pPr>
            <w:r>
              <w:rPr>
                <w:sz w:val="20"/>
                <w:szCs w:val="20"/>
              </w:rPr>
              <w:t>Loss before taxes on incom</w:t>
            </w:r>
            <w:r>
              <w:rPr>
                <w:sz w:val="20"/>
                <w:szCs w:val="20"/>
              </w:rPr>
              <w:t>e</w:t>
            </w:r>
          </w:p>
        </w:tc>
        <w:tc>
          <w:tcPr>
            <w:tcW w:w="0" w:type="auto"/>
            <w:vAlign w:val="bottom"/>
            <w:hideMark/>
          </w:tcPr>
          <w:p w14:paraId="0DE5821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8BB829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C8CDDF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32B94FD" w14:textId="77777777" w:rsidR="00000000" w:rsidRDefault="00EF48A2">
            <w:pPr>
              <w:pStyle w:val="a3"/>
              <w:spacing w:before="0" w:beforeAutospacing="0" w:after="0" w:afterAutospacing="0"/>
              <w:jc w:val="right"/>
              <w:rPr>
                <w:sz w:val="20"/>
                <w:szCs w:val="20"/>
              </w:rPr>
            </w:pPr>
            <w:r>
              <w:rPr>
                <w:sz w:val="20"/>
                <w:szCs w:val="20"/>
              </w:rPr>
              <w:t>(79,41</w:t>
            </w:r>
            <w:r>
              <w:rPr>
                <w:sz w:val="20"/>
                <w:szCs w:val="20"/>
              </w:rPr>
              <w:t>8</w:t>
            </w:r>
          </w:p>
        </w:tc>
        <w:tc>
          <w:tcPr>
            <w:tcW w:w="0" w:type="auto"/>
            <w:noWrap/>
            <w:vAlign w:val="bottom"/>
            <w:hideMark/>
          </w:tcPr>
          <w:p w14:paraId="09FF5BF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478EDF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E4D527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61EBF0" w14:textId="77777777" w:rsidR="00000000" w:rsidRDefault="00EF48A2">
            <w:pPr>
              <w:pStyle w:val="a3"/>
              <w:spacing w:before="0" w:beforeAutospacing="0" w:after="0" w:afterAutospacing="0"/>
              <w:jc w:val="right"/>
              <w:rPr>
                <w:sz w:val="20"/>
                <w:szCs w:val="20"/>
              </w:rPr>
            </w:pPr>
            <w:r>
              <w:rPr>
                <w:sz w:val="20"/>
                <w:szCs w:val="20"/>
              </w:rPr>
              <w:t>(62,69</w:t>
            </w:r>
            <w:r>
              <w:rPr>
                <w:sz w:val="20"/>
                <w:szCs w:val="20"/>
              </w:rPr>
              <w:t>5</w:t>
            </w:r>
          </w:p>
        </w:tc>
        <w:tc>
          <w:tcPr>
            <w:tcW w:w="0" w:type="auto"/>
            <w:noWrap/>
            <w:vAlign w:val="bottom"/>
            <w:hideMark/>
          </w:tcPr>
          <w:p w14:paraId="52A512F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1D5006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37CEFC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B081510" w14:textId="77777777" w:rsidR="00000000" w:rsidRDefault="00EF48A2">
            <w:pPr>
              <w:pStyle w:val="a3"/>
              <w:spacing w:before="0" w:beforeAutospacing="0" w:after="0" w:afterAutospacing="0"/>
              <w:jc w:val="right"/>
              <w:rPr>
                <w:sz w:val="20"/>
                <w:szCs w:val="20"/>
              </w:rPr>
            </w:pPr>
            <w:r>
              <w:rPr>
                <w:sz w:val="20"/>
                <w:szCs w:val="20"/>
              </w:rPr>
              <w:t>(16,72</w:t>
            </w:r>
            <w:r>
              <w:rPr>
                <w:sz w:val="20"/>
                <w:szCs w:val="20"/>
              </w:rPr>
              <w:t>3</w:t>
            </w:r>
          </w:p>
        </w:tc>
        <w:tc>
          <w:tcPr>
            <w:tcW w:w="0" w:type="auto"/>
            <w:noWrap/>
            <w:vAlign w:val="bottom"/>
            <w:hideMark/>
          </w:tcPr>
          <w:p w14:paraId="301CEA3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05327D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12D0CD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8539AB4" w14:textId="77777777" w:rsidR="00000000" w:rsidRDefault="00EF48A2">
            <w:pPr>
              <w:pStyle w:val="a3"/>
              <w:spacing w:before="0" w:beforeAutospacing="0" w:after="0" w:afterAutospacing="0"/>
              <w:jc w:val="right"/>
              <w:rPr>
                <w:sz w:val="20"/>
                <w:szCs w:val="20"/>
              </w:rPr>
            </w:pPr>
            <w:r>
              <w:rPr>
                <w:sz w:val="20"/>
                <w:szCs w:val="20"/>
              </w:rPr>
              <w:t>(26.</w:t>
            </w:r>
            <w:r>
              <w:rPr>
                <w:sz w:val="20"/>
                <w:szCs w:val="20"/>
              </w:rPr>
              <w:t>7</w:t>
            </w:r>
          </w:p>
        </w:tc>
        <w:tc>
          <w:tcPr>
            <w:tcW w:w="0" w:type="auto"/>
            <w:noWrap/>
            <w:vAlign w:val="bottom"/>
            <w:hideMark/>
          </w:tcPr>
          <w:p w14:paraId="6A62E78B" w14:textId="77777777" w:rsidR="00000000" w:rsidRDefault="00EF48A2">
            <w:pPr>
              <w:pStyle w:val="a3"/>
              <w:spacing w:before="0" w:beforeAutospacing="0" w:after="0" w:afterAutospacing="0"/>
              <w:rPr>
                <w:sz w:val="20"/>
                <w:szCs w:val="20"/>
              </w:rPr>
            </w:pPr>
            <w:r>
              <w:rPr>
                <w:sz w:val="20"/>
                <w:szCs w:val="20"/>
              </w:rPr>
              <w:t>)</w:t>
            </w:r>
          </w:p>
        </w:tc>
      </w:tr>
      <w:tr w:rsidR="00000000" w14:paraId="117D18E5" w14:textId="77777777">
        <w:trPr>
          <w:trHeight w:val="200"/>
          <w:tblCellSpacing w:w="15" w:type="dxa"/>
        </w:trPr>
        <w:tc>
          <w:tcPr>
            <w:tcW w:w="0" w:type="auto"/>
            <w:hideMark/>
          </w:tcPr>
          <w:p w14:paraId="60FC691F" w14:textId="77777777" w:rsidR="00000000" w:rsidRDefault="00EF48A2">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14:paraId="4E59AAB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0F63FB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1F7FDA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CB51F5" w14:textId="77777777" w:rsidR="00000000" w:rsidRDefault="00EF48A2">
            <w:pPr>
              <w:pStyle w:val="a3"/>
              <w:spacing w:before="0" w:beforeAutospacing="0" w:after="0" w:afterAutospacing="0"/>
              <w:jc w:val="right"/>
              <w:rPr>
                <w:sz w:val="20"/>
                <w:szCs w:val="20"/>
              </w:rPr>
            </w:pPr>
            <w:r>
              <w:rPr>
                <w:sz w:val="20"/>
                <w:szCs w:val="20"/>
              </w:rPr>
              <w:t>25</w:t>
            </w:r>
            <w:r>
              <w:rPr>
                <w:sz w:val="20"/>
                <w:szCs w:val="20"/>
              </w:rPr>
              <w:t>4</w:t>
            </w:r>
          </w:p>
        </w:tc>
        <w:tc>
          <w:tcPr>
            <w:tcW w:w="0" w:type="auto"/>
            <w:noWrap/>
            <w:vAlign w:val="bottom"/>
            <w:hideMark/>
          </w:tcPr>
          <w:p w14:paraId="7013C66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1AEF8D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08D537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C772F0" w14:textId="77777777" w:rsidR="00000000" w:rsidRDefault="00EF48A2">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14:paraId="16914D5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F4FADB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EC8DD9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E8B61A" w14:textId="77777777" w:rsidR="00000000" w:rsidRDefault="00EF48A2">
            <w:pPr>
              <w:pStyle w:val="a3"/>
              <w:spacing w:before="0" w:beforeAutospacing="0" w:after="0" w:afterAutospacing="0"/>
              <w:jc w:val="right"/>
              <w:rPr>
                <w:sz w:val="20"/>
                <w:szCs w:val="20"/>
              </w:rPr>
            </w:pPr>
            <w:r>
              <w:rPr>
                <w:sz w:val="20"/>
                <w:szCs w:val="20"/>
              </w:rPr>
              <w:t>20</w:t>
            </w:r>
            <w:r>
              <w:rPr>
                <w:sz w:val="20"/>
                <w:szCs w:val="20"/>
              </w:rPr>
              <w:t>7</w:t>
            </w:r>
          </w:p>
        </w:tc>
        <w:tc>
          <w:tcPr>
            <w:tcW w:w="0" w:type="auto"/>
            <w:noWrap/>
            <w:vAlign w:val="bottom"/>
            <w:hideMark/>
          </w:tcPr>
          <w:p w14:paraId="5C9EE6A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035B0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6C7E48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D96BF60" w14:textId="77777777" w:rsidR="00000000" w:rsidRDefault="00EF48A2">
            <w:pPr>
              <w:pStyle w:val="a3"/>
              <w:spacing w:before="0" w:beforeAutospacing="0" w:after="0" w:afterAutospacing="0"/>
              <w:jc w:val="right"/>
              <w:rPr>
                <w:sz w:val="20"/>
                <w:szCs w:val="20"/>
              </w:rPr>
            </w:pPr>
            <w:r>
              <w:rPr>
                <w:sz w:val="20"/>
                <w:szCs w:val="20"/>
              </w:rPr>
              <w:t>440.</w:t>
            </w:r>
            <w:r>
              <w:rPr>
                <w:sz w:val="20"/>
                <w:szCs w:val="20"/>
              </w:rPr>
              <w:t>4</w:t>
            </w:r>
          </w:p>
        </w:tc>
        <w:tc>
          <w:tcPr>
            <w:tcW w:w="0" w:type="auto"/>
            <w:noWrap/>
            <w:vAlign w:val="bottom"/>
            <w:hideMark/>
          </w:tcPr>
          <w:p w14:paraId="0B387F6C" w14:textId="77777777" w:rsidR="00000000" w:rsidRDefault="00EF48A2">
            <w:pPr>
              <w:pStyle w:val="a3"/>
              <w:spacing w:before="0" w:beforeAutospacing="0" w:after="0" w:afterAutospacing="0"/>
              <w:rPr>
                <w:sz w:val="20"/>
                <w:szCs w:val="20"/>
              </w:rPr>
            </w:pPr>
            <w:r>
              <w:rPr>
                <w:sz w:val="20"/>
                <w:szCs w:val="20"/>
              </w:rPr>
              <w:t> </w:t>
            </w:r>
          </w:p>
        </w:tc>
      </w:tr>
      <w:tr w:rsidR="00000000" w14:paraId="0BD4B00D" w14:textId="77777777">
        <w:trPr>
          <w:trHeight w:val="200"/>
          <w:tblCellSpacing w:w="15" w:type="dxa"/>
        </w:trPr>
        <w:tc>
          <w:tcPr>
            <w:tcW w:w="0" w:type="auto"/>
            <w:hideMark/>
          </w:tcPr>
          <w:p w14:paraId="0730C7AF" w14:textId="77777777" w:rsidR="00000000" w:rsidRDefault="00EF48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75694AC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366BC1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74990B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C42CE8B" w14:textId="77777777" w:rsidR="00000000" w:rsidRDefault="00EF48A2">
            <w:pPr>
              <w:pStyle w:val="a3"/>
              <w:spacing w:before="0" w:beforeAutospacing="0" w:after="0" w:afterAutospacing="0"/>
              <w:jc w:val="right"/>
              <w:rPr>
                <w:sz w:val="20"/>
                <w:szCs w:val="20"/>
              </w:rPr>
            </w:pPr>
            <w:r>
              <w:rPr>
                <w:sz w:val="20"/>
                <w:szCs w:val="20"/>
              </w:rPr>
              <w:t>(79,67</w:t>
            </w:r>
            <w:r>
              <w:rPr>
                <w:sz w:val="20"/>
                <w:szCs w:val="20"/>
              </w:rPr>
              <w:t>2</w:t>
            </w:r>
          </w:p>
        </w:tc>
        <w:tc>
          <w:tcPr>
            <w:tcW w:w="0" w:type="auto"/>
            <w:noWrap/>
            <w:vAlign w:val="bottom"/>
            <w:hideMark/>
          </w:tcPr>
          <w:p w14:paraId="09FA9EB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EA77B6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A358BE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34548BA" w14:textId="77777777" w:rsidR="00000000" w:rsidRDefault="00EF48A2">
            <w:pPr>
              <w:pStyle w:val="a3"/>
              <w:spacing w:before="0" w:beforeAutospacing="0" w:after="0" w:afterAutospacing="0"/>
              <w:jc w:val="right"/>
              <w:rPr>
                <w:sz w:val="20"/>
                <w:szCs w:val="20"/>
              </w:rPr>
            </w:pPr>
            <w:r>
              <w:rPr>
                <w:sz w:val="20"/>
                <w:szCs w:val="20"/>
              </w:rPr>
              <w:t>(62,74</w:t>
            </w:r>
            <w:r>
              <w:rPr>
                <w:sz w:val="20"/>
                <w:szCs w:val="20"/>
              </w:rPr>
              <w:t>2</w:t>
            </w:r>
          </w:p>
        </w:tc>
        <w:tc>
          <w:tcPr>
            <w:tcW w:w="0" w:type="auto"/>
            <w:noWrap/>
            <w:vAlign w:val="bottom"/>
            <w:hideMark/>
          </w:tcPr>
          <w:p w14:paraId="7403F4A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6CE099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9525B4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7850EA2" w14:textId="77777777" w:rsidR="00000000" w:rsidRDefault="00EF48A2">
            <w:pPr>
              <w:pStyle w:val="a3"/>
              <w:spacing w:before="0" w:beforeAutospacing="0" w:after="0" w:afterAutospacing="0"/>
              <w:jc w:val="right"/>
              <w:rPr>
                <w:sz w:val="20"/>
                <w:szCs w:val="20"/>
              </w:rPr>
            </w:pPr>
            <w:r>
              <w:rPr>
                <w:sz w:val="20"/>
                <w:szCs w:val="20"/>
              </w:rPr>
              <w:t>(16,93</w:t>
            </w:r>
            <w:r>
              <w:rPr>
                <w:sz w:val="20"/>
                <w:szCs w:val="20"/>
              </w:rPr>
              <w:t>0</w:t>
            </w:r>
          </w:p>
        </w:tc>
        <w:tc>
          <w:tcPr>
            <w:tcW w:w="0" w:type="auto"/>
            <w:noWrap/>
            <w:vAlign w:val="bottom"/>
            <w:hideMark/>
          </w:tcPr>
          <w:p w14:paraId="368F342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ED03A5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55C1A9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973EE2A" w14:textId="77777777" w:rsidR="00000000" w:rsidRDefault="00EF48A2">
            <w:pPr>
              <w:pStyle w:val="a3"/>
              <w:spacing w:before="0" w:beforeAutospacing="0" w:after="0" w:afterAutospacing="0"/>
              <w:jc w:val="right"/>
              <w:rPr>
                <w:sz w:val="20"/>
                <w:szCs w:val="20"/>
              </w:rPr>
            </w:pPr>
            <w:r>
              <w:rPr>
                <w:sz w:val="20"/>
                <w:szCs w:val="20"/>
              </w:rPr>
              <w:t>(27.</w:t>
            </w:r>
            <w:r>
              <w:rPr>
                <w:sz w:val="20"/>
                <w:szCs w:val="20"/>
              </w:rPr>
              <w:t>0</w:t>
            </w:r>
          </w:p>
        </w:tc>
        <w:tc>
          <w:tcPr>
            <w:tcW w:w="0" w:type="auto"/>
            <w:noWrap/>
            <w:vAlign w:val="bottom"/>
            <w:hideMark/>
          </w:tcPr>
          <w:p w14:paraId="2F8491A8" w14:textId="77777777" w:rsidR="00000000" w:rsidRDefault="00EF48A2">
            <w:pPr>
              <w:pStyle w:val="a3"/>
              <w:spacing w:before="0" w:beforeAutospacing="0" w:after="0" w:afterAutospacing="0"/>
              <w:rPr>
                <w:sz w:val="20"/>
                <w:szCs w:val="20"/>
              </w:rPr>
            </w:pPr>
            <w:r>
              <w:rPr>
                <w:sz w:val="20"/>
                <w:szCs w:val="20"/>
              </w:rPr>
              <w:t>)</w:t>
            </w:r>
          </w:p>
        </w:tc>
      </w:tr>
      <w:tr w:rsidR="00000000" w14:paraId="56C1C597" w14:textId="77777777">
        <w:trPr>
          <w:tblCellSpacing w:w="15" w:type="dxa"/>
        </w:trPr>
        <w:tc>
          <w:tcPr>
            <w:tcW w:w="0" w:type="auto"/>
            <w:hideMark/>
          </w:tcPr>
          <w:p w14:paraId="7972AA4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EFB518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73FCC4"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EB4B8A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61DBE0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E0F218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586FB5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665C9C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9FB54A0"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9EA5CD6"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EF847FF"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5EEDBB4"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76F489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3412F55" w14:textId="77777777" w:rsidR="00000000" w:rsidRDefault="00EF48A2">
            <w:pPr>
              <w:pStyle w:val="a3"/>
              <w:spacing w:before="0" w:beforeAutospacing="0" w:after="0" w:afterAutospacing="0"/>
              <w:jc w:val="right"/>
              <w:rPr>
                <w:sz w:val="20"/>
                <w:szCs w:val="20"/>
              </w:rPr>
            </w:pPr>
            <w:r>
              <w:rPr>
                <w:sz w:val="20"/>
                <w:szCs w:val="20"/>
              </w:rPr>
              <w:t> </w:t>
            </w:r>
          </w:p>
        </w:tc>
      </w:tr>
    </w:tbl>
    <w:p w14:paraId="62C61968" w14:textId="77777777" w:rsidR="00000000" w:rsidRDefault="00EF48A2">
      <w:pPr>
        <w:pStyle w:val="a3"/>
        <w:spacing w:before="240" w:beforeAutospacing="0" w:after="0" w:afterAutospacing="0"/>
        <w:rPr>
          <w:sz w:val="20"/>
          <w:szCs w:val="20"/>
        </w:rPr>
      </w:pPr>
      <w:r>
        <w:rPr>
          <w:b/>
          <w:bCs/>
          <w:sz w:val="20"/>
          <w:szCs w:val="20"/>
          <w:u w:val="single"/>
        </w:rPr>
        <w:t>Year Ended December 31, 2022 compared to December 31, 202</w:t>
      </w:r>
      <w:r>
        <w:rPr>
          <w:b/>
          <w:bCs/>
          <w:sz w:val="20"/>
          <w:szCs w:val="20"/>
          <w:u w:val="single"/>
        </w:rPr>
        <w:t>1</w:t>
      </w:r>
    </w:p>
    <w:p w14:paraId="64C985AB" w14:textId="77777777" w:rsidR="00000000" w:rsidRDefault="00EF48A2">
      <w:pPr>
        <w:pStyle w:val="a3"/>
        <w:spacing w:before="240" w:beforeAutospacing="0" w:after="0" w:afterAutospacing="0"/>
        <w:rPr>
          <w:sz w:val="20"/>
          <w:szCs w:val="20"/>
        </w:rPr>
      </w:pPr>
      <w:r>
        <w:rPr>
          <w:b/>
          <w:bCs/>
          <w:sz w:val="20"/>
          <w:szCs w:val="20"/>
        </w:rPr>
        <w:t>Revenue</w:t>
      </w:r>
      <w:r>
        <w:rPr>
          <w:b/>
          <w:bCs/>
          <w:sz w:val="20"/>
          <w:szCs w:val="20"/>
        </w:rPr>
        <w:t>s</w:t>
      </w:r>
    </w:p>
    <w:p w14:paraId="2219D7A0" w14:textId="77777777" w:rsidR="00000000" w:rsidRDefault="00EF48A2">
      <w:pPr>
        <w:pStyle w:val="a3"/>
        <w:spacing w:before="180" w:beforeAutospacing="0" w:after="0" w:afterAutospacing="0"/>
        <w:jc w:val="both"/>
        <w:rPr>
          <w:sz w:val="20"/>
          <w:szCs w:val="20"/>
        </w:rPr>
      </w:pPr>
      <w:r>
        <w:rPr>
          <w:sz w:val="20"/>
          <w:szCs w:val="20"/>
        </w:rPr>
        <w:t>Revenues increased by $5.9 million, or 5.2%, to $119.6 million for the year ended December 31, 2022 from $113.7 million for the year ended December 31, 2021. The increase was principally d</w:t>
      </w:r>
      <w:r>
        <w:rPr>
          <w:sz w:val="20"/>
          <w:szCs w:val="20"/>
        </w:rPr>
        <w:t>ue to a 65.5% growth in B2B revenue driven by an increase in covered lives from health plan clients and new enterprise clients, and a higher number of completed B2B sessions, offset by a 26.2% decline in B2C revenue. Revenue from our health plan clients, i</w:t>
      </w:r>
      <w:r>
        <w:rPr>
          <w:sz w:val="20"/>
          <w:szCs w:val="20"/>
        </w:rPr>
        <w:t>ncreased by $13.9 million, or 62.4%, to $36.2 million for the year ended December 31, 2022 from $22.3 million for the year ended December 31, 2021. Enterprise client contracts increased by 68 clients, or 43.0%, to 226 clients as of December 31, 2022 from 1</w:t>
      </w:r>
      <w:r>
        <w:rPr>
          <w:sz w:val="20"/>
          <w:szCs w:val="20"/>
        </w:rPr>
        <w:t>58 clients as of December 31, 2021. The increase in the number of enterprise clients increased revenue by $11.6 million, or 69.7%, to $28.2 million for the year ended December 31, 2022 from $16.6 million for the year ended December 31, 2021</w:t>
      </w:r>
      <w:r>
        <w:rPr>
          <w:sz w:val="20"/>
          <w:szCs w:val="20"/>
        </w:rPr>
        <w:t>.</w:t>
      </w:r>
      <w:r>
        <w:rPr>
          <w:sz w:val="20"/>
          <w:szCs w:val="20"/>
        </w:rPr>
        <w:t xml:space="preserve"> </w:t>
      </w:r>
    </w:p>
    <w:p w14:paraId="5471DB2F"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8</w:t>
      </w:r>
    </w:p>
    <w:p w14:paraId="2EF26D8C" w14:textId="77777777" w:rsidR="00000000" w:rsidRDefault="00EF48A2">
      <w:pPr>
        <w:rPr>
          <w:rFonts w:eastAsia="Times New Roman"/>
        </w:rPr>
      </w:pPr>
      <w:r>
        <w:rPr>
          <w:rFonts w:eastAsia="Times New Roman"/>
        </w:rPr>
        <w:pict w14:anchorId="681D9179">
          <v:rect id="_x0000_i1075" style="width:0;height:1.5pt" o:hralign="center" o:hrstd="t" o:hr="t" fillcolor="#a0a0a0" stroked="f"/>
        </w:pict>
      </w:r>
    </w:p>
    <w:p w14:paraId="256154AD"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1FA28E5" w14:textId="77777777" w:rsidR="00000000" w:rsidRDefault="00EF48A2">
      <w:pPr>
        <w:pStyle w:val="a3"/>
        <w:spacing w:before="180" w:beforeAutospacing="0" w:after="0" w:afterAutospacing="0"/>
        <w:jc w:val="both"/>
        <w:rPr>
          <w:sz w:val="20"/>
          <w:szCs w:val="20"/>
        </w:rPr>
      </w:pPr>
      <w:r>
        <w:rPr>
          <w:sz w:val="20"/>
          <w:szCs w:val="20"/>
        </w:rPr>
        <w:t>B2C member subscriptions revenue decreased by $19.6 million, or 26.2%, to $55.2 million for the year ended December 31, 2022 from $74.8 million for the year ended December 31, 2021 due to the Company's intentional and strategic decision to reduce marketing</w:t>
      </w:r>
      <w:r>
        <w:rPr>
          <w:sz w:val="20"/>
          <w:szCs w:val="20"/>
        </w:rPr>
        <w:t xml:space="preserve"> spend related to this service</w:t>
      </w:r>
      <w:r>
        <w:rPr>
          <w:sz w:val="20"/>
          <w:szCs w:val="20"/>
        </w:rPr>
        <w:t>.</w:t>
      </w:r>
    </w:p>
    <w:p w14:paraId="14FFADF0" w14:textId="77777777" w:rsidR="00000000" w:rsidRDefault="00EF48A2">
      <w:pPr>
        <w:pStyle w:val="a3"/>
        <w:spacing w:before="240" w:beforeAutospacing="0" w:after="0" w:afterAutospacing="0"/>
        <w:rPr>
          <w:sz w:val="20"/>
          <w:szCs w:val="20"/>
        </w:rPr>
      </w:pPr>
      <w:r>
        <w:rPr>
          <w:b/>
          <w:bCs/>
          <w:sz w:val="20"/>
          <w:szCs w:val="20"/>
        </w:rPr>
        <w:t>Costs of revenue</w:t>
      </w:r>
      <w:r>
        <w:rPr>
          <w:b/>
          <w:bCs/>
          <w:sz w:val="20"/>
          <w:szCs w:val="20"/>
        </w:rPr>
        <w:t>s</w:t>
      </w:r>
      <w:r>
        <w:rPr>
          <w:sz w:val="20"/>
          <w:szCs w:val="20"/>
        </w:rPr>
        <w:t xml:space="preserve"> </w:t>
      </w:r>
    </w:p>
    <w:p w14:paraId="2FC09460" w14:textId="77777777" w:rsidR="00000000" w:rsidRDefault="00EF48A2">
      <w:pPr>
        <w:pStyle w:val="a3"/>
        <w:spacing w:before="180" w:beforeAutospacing="0" w:after="0" w:afterAutospacing="0"/>
        <w:jc w:val="both"/>
        <w:rPr>
          <w:sz w:val="20"/>
          <w:szCs w:val="20"/>
        </w:rPr>
      </w:pPr>
      <w:r>
        <w:rPr>
          <w:sz w:val="20"/>
          <w:szCs w:val="20"/>
        </w:rPr>
        <w:t>Cost of revenues increased by $12.3 million or 26.3%, to $59.2 million for the year ended December 31, 2022 from $46.9 million for the year ended December 31, 2021 due to higher therapist compensation expe</w:t>
      </w:r>
      <w:r>
        <w:rPr>
          <w:sz w:val="20"/>
          <w:szCs w:val="20"/>
        </w:rPr>
        <w:t>nse, primarily due to an increase in compensation rates</w:t>
      </w:r>
      <w:r>
        <w:rPr>
          <w:sz w:val="20"/>
          <w:szCs w:val="20"/>
        </w:rPr>
        <w:t>.</w:t>
      </w:r>
    </w:p>
    <w:p w14:paraId="0A08E598" w14:textId="77777777" w:rsidR="00000000" w:rsidRDefault="00EF48A2">
      <w:pPr>
        <w:pStyle w:val="a3"/>
        <w:spacing w:before="240" w:beforeAutospacing="0" w:after="0" w:afterAutospacing="0"/>
        <w:jc w:val="both"/>
        <w:rPr>
          <w:sz w:val="20"/>
          <w:szCs w:val="20"/>
        </w:rPr>
      </w:pPr>
      <w:r>
        <w:rPr>
          <w:b/>
          <w:bCs/>
          <w:sz w:val="20"/>
          <w:szCs w:val="20"/>
        </w:rPr>
        <w:t>Gross profi</w:t>
      </w:r>
      <w:r>
        <w:rPr>
          <w:b/>
          <w:bCs/>
          <w:sz w:val="20"/>
          <w:szCs w:val="20"/>
        </w:rPr>
        <w:t>t</w:t>
      </w:r>
      <w:r>
        <w:rPr>
          <w:sz w:val="20"/>
          <w:szCs w:val="20"/>
        </w:rPr>
        <w:t xml:space="preserve"> </w:t>
      </w:r>
    </w:p>
    <w:p w14:paraId="125CACF9" w14:textId="77777777" w:rsidR="00000000" w:rsidRDefault="00EF48A2">
      <w:pPr>
        <w:pStyle w:val="a3"/>
        <w:spacing w:before="180" w:beforeAutospacing="0" w:after="0" w:afterAutospacing="0"/>
        <w:jc w:val="both"/>
        <w:rPr>
          <w:sz w:val="20"/>
          <w:szCs w:val="20"/>
        </w:rPr>
      </w:pPr>
      <w:r>
        <w:rPr>
          <w:sz w:val="20"/>
          <w:szCs w:val="20"/>
        </w:rPr>
        <w:t>Gross profit decreased by $6.4 million, or 9.6%, to $60.3 million for the year ended December 31, 2022 from $66.8 million for the year ended December 31, 2021. Gross margin was 50.5% fo</w:t>
      </w:r>
      <w:r>
        <w:rPr>
          <w:sz w:val="20"/>
          <w:szCs w:val="20"/>
        </w:rPr>
        <w:t xml:space="preserve">r the year ended December 31, 2022, compared to 58.7% during the year ended December 31, 2021. The decrease in gross margin was due primarily to a shift to our B2B business, which has a lower margin than our B2C business, and higher therapist compensation </w:t>
      </w:r>
      <w:r>
        <w:rPr>
          <w:sz w:val="20"/>
          <w:szCs w:val="20"/>
        </w:rPr>
        <w:t>expense during the year ended December 31, 2022</w:t>
      </w:r>
      <w:r>
        <w:rPr>
          <w:sz w:val="20"/>
          <w:szCs w:val="20"/>
        </w:rPr>
        <w:t>.</w:t>
      </w:r>
    </w:p>
    <w:p w14:paraId="08647B24" w14:textId="77777777" w:rsidR="00000000" w:rsidRDefault="00EF48A2">
      <w:pPr>
        <w:pStyle w:val="a3"/>
        <w:spacing w:before="240" w:beforeAutospacing="0" w:after="0" w:afterAutospacing="0"/>
        <w:rPr>
          <w:sz w:val="20"/>
          <w:szCs w:val="20"/>
        </w:rPr>
      </w:pPr>
      <w:r>
        <w:rPr>
          <w:b/>
          <w:bCs/>
          <w:sz w:val="20"/>
          <w:szCs w:val="20"/>
        </w:rPr>
        <w:t>Research and development expense</w:t>
      </w:r>
      <w:r>
        <w:rPr>
          <w:b/>
          <w:bCs/>
          <w:sz w:val="20"/>
          <w:szCs w:val="20"/>
        </w:rPr>
        <w:t>s</w:t>
      </w:r>
      <w:r>
        <w:rPr>
          <w:sz w:val="20"/>
          <w:szCs w:val="20"/>
        </w:rPr>
        <w:t xml:space="preserve"> </w:t>
      </w:r>
    </w:p>
    <w:p w14:paraId="11D4CDC7" w14:textId="77777777" w:rsidR="00000000" w:rsidRDefault="00EF48A2">
      <w:pPr>
        <w:pStyle w:val="a3"/>
        <w:spacing w:before="180" w:beforeAutospacing="0" w:after="0" w:afterAutospacing="0"/>
        <w:jc w:val="both"/>
        <w:rPr>
          <w:sz w:val="20"/>
          <w:szCs w:val="20"/>
        </w:rPr>
      </w:pPr>
      <w:r>
        <w:rPr>
          <w:sz w:val="20"/>
          <w:szCs w:val="20"/>
        </w:rPr>
        <w:t xml:space="preserve">Research and development expenses increased by $5.7 million, or 36.1%, to $21.7 million for the year ended December 31, 2022 from $15.9 million for the year ended December </w:t>
      </w:r>
      <w:r>
        <w:rPr>
          <w:sz w:val="20"/>
          <w:szCs w:val="20"/>
        </w:rPr>
        <w:t>31, 2021. This was primarily due to higher investments in our technology platform</w:t>
      </w:r>
      <w:r>
        <w:rPr>
          <w:sz w:val="20"/>
          <w:szCs w:val="20"/>
        </w:rPr>
        <w:t>.</w:t>
      </w:r>
    </w:p>
    <w:p w14:paraId="2BE6F986" w14:textId="77777777" w:rsidR="00000000" w:rsidRDefault="00EF48A2">
      <w:pPr>
        <w:pStyle w:val="a3"/>
        <w:spacing w:before="240" w:beforeAutospacing="0" w:after="0" w:afterAutospacing="0"/>
        <w:rPr>
          <w:sz w:val="20"/>
          <w:szCs w:val="20"/>
        </w:rPr>
      </w:pPr>
      <w:r>
        <w:rPr>
          <w:b/>
          <w:bCs/>
          <w:sz w:val="20"/>
          <w:szCs w:val="20"/>
        </w:rPr>
        <w:t>Clinical operations expense</w:t>
      </w:r>
      <w:r>
        <w:rPr>
          <w:b/>
          <w:bCs/>
          <w:sz w:val="20"/>
          <w:szCs w:val="20"/>
        </w:rPr>
        <w:t>s</w:t>
      </w:r>
      <w:r>
        <w:rPr>
          <w:sz w:val="20"/>
          <w:szCs w:val="20"/>
        </w:rPr>
        <w:t xml:space="preserve"> </w:t>
      </w:r>
    </w:p>
    <w:p w14:paraId="56FF664A" w14:textId="77777777" w:rsidR="00000000" w:rsidRDefault="00EF48A2">
      <w:pPr>
        <w:pStyle w:val="a3"/>
        <w:spacing w:before="180" w:beforeAutospacing="0" w:after="0" w:afterAutospacing="0"/>
        <w:jc w:val="both"/>
        <w:rPr>
          <w:sz w:val="20"/>
          <w:szCs w:val="20"/>
        </w:rPr>
      </w:pPr>
      <w:r>
        <w:rPr>
          <w:sz w:val="20"/>
          <w:szCs w:val="20"/>
        </w:rPr>
        <w:t>Clinical operations expenses decreased by $2.8 million, or 29.6%, to $6.6 million for the year ended December 31, 2022 from $9.4 million for the year ended December 31, 2021. This was primarily due to a decrease in provider recruitment costs and employee-r</w:t>
      </w:r>
      <w:r>
        <w:rPr>
          <w:sz w:val="20"/>
          <w:szCs w:val="20"/>
        </w:rPr>
        <w:t>elated costs, inclusive of non-cash stock compensation expense</w:t>
      </w:r>
      <w:r>
        <w:rPr>
          <w:sz w:val="20"/>
          <w:szCs w:val="20"/>
        </w:rPr>
        <w:t>.</w:t>
      </w:r>
    </w:p>
    <w:p w14:paraId="1F041235" w14:textId="77777777" w:rsidR="00000000" w:rsidRDefault="00EF48A2">
      <w:pPr>
        <w:pStyle w:val="a3"/>
        <w:spacing w:before="240" w:beforeAutospacing="0" w:after="0" w:afterAutospacing="0"/>
        <w:rPr>
          <w:sz w:val="20"/>
          <w:szCs w:val="20"/>
        </w:rPr>
      </w:pPr>
      <w:r>
        <w:rPr>
          <w:b/>
          <w:bCs/>
          <w:sz w:val="20"/>
          <w:szCs w:val="20"/>
        </w:rPr>
        <w:t>Sales and marketing expense</w:t>
      </w:r>
      <w:r>
        <w:rPr>
          <w:b/>
          <w:bCs/>
          <w:sz w:val="20"/>
          <w:szCs w:val="20"/>
        </w:rPr>
        <w:t>s</w:t>
      </w:r>
      <w:r>
        <w:rPr>
          <w:sz w:val="20"/>
          <w:szCs w:val="20"/>
        </w:rPr>
        <w:t xml:space="preserve"> </w:t>
      </w:r>
    </w:p>
    <w:p w14:paraId="7A3B2F40" w14:textId="77777777" w:rsidR="00000000" w:rsidRDefault="00EF48A2">
      <w:pPr>
        <w:pStyle w:val="a3"/>
        <w:spacing w:before="180" w:beforeAutospacing="0" w:after="0" w:afterAutospacing="0"/>
        <w:jc w:val="both"/>
        <w:rPr>
          <w:sz w:val="20"/>
          <w:szCs w:val="20"/>
        </w:rPr>
      </w:pPr>
      <w:r>
        <w:rPr>
          <w:sz w:val="20"/>
          <w:szCs w:val="20"/>
        </w:rPr>
        <w:t>Sales and marketing expenses decreased by $27.8 million, or 27.6%, to $72.8 million for the year ended December 31, 2022 from $100.6 million for the year ended De</w:t>
      </w:r>
      <w:r>
        <w:rPr>
          <w:sz w:val="20"/>
          <w:szCs w:val="20"/>
        </w:rPr>
        <w:t xml:space="preserve">cember 31, 2021. The decrease in sales and marketing expenses primarily consists of a decrease in direct marketing and promotional costs for our B2C business due to the Company's intentional and strategic decision to reduce marketing spend related to this </w:t>
      </w:r>
      <w:r>
        <w:rPr>
          <w:sz w:val="20"/>
          <w:szCs w:val="20"/>
        </w:rPr>
        <w:t>service</w:t>
      </w:r>
      <w:r>
        <w:rPr>
          <w:sz w:val="20"/>
          <w:szCs w:val="20"/>
        </w:rPr>
        <w:t>.</w:t>
      </w:r>
    </w:p>
    <w:p w14:paraId="4B90ACB3" w14:textId="77777777" w:rsidR="00000000" w:rsidRDefault="00EF48A2">
      <w:pPr>
        <w:pStyle w:val="a3"/>
        <w:spacing w:before="240" w:beforeAutospacing="0" w:after="0" w:afterAutospacing="0"/>
        <w:rPr>
          <w:sz w:val="20"/>
          <w:szCs w:val="20"/>
        </w:rPr>
      </w:pPr>
      <w:r>
        <w:rPr>
          <w:b/>
          <w:bCs/>
          <w:sz w:val="20"/>
          <w:szCs w:val="20"/>
        </w:rPr>
        <w:t>General and administrative expense</w:t>
      </w:r>
      <w:r>
        <w:rPr>
          <w:b/>
          <w:bCs/>
          <w:sz w:val="20"/>
          <w:szCs w:val="20"/>
        </w:rPr>
        <w:t>s</w:t>
      </w:r>
    </w:p>
    <w:p w14:paraId="083E3203" w14:textId="77777777" w:rsidR="00000000" w:rsidRDefault="00EF48A2">
      <w:pPr>
        <w:pStyle w:val="a3"/>
        <w:spacing w:before="180" w:beforeAutospacing="0" w:after="0" w:afterAutospacing="0"/>
        <w:jc w:val="both"/>
        <w:rPr>
          <w:sz w:val="20"/>
          <w:szCs w:val="20"/>
        </w:rPr>
      </w:pPr>
      <w:r>
        <w:rPr>
          <w:sz w:val="20"/>
          <w:szCs w:val="20"/>
        </w:rPr>
        <w:t xml:space="preserve">General and administrative expenses increased by $1.5 million, or 4.3%, to $36.3 million for the year ended December 31, 2022 from $34.8 million for the year ended December 31, 2021. The increase in general and </w:t>
      </w:r>
      <w:r>
        <w:rPr>
          <w:sz w:val="20"/>
          <w:szCs w:val="20"/>
        </w:rPr>
        <w:t>administrative expenses primarily consists of an increase in estimated litigation expenses and third-party contractor and professional fees, partially offset by a decrease in employee-related costs, inclusive of non-cash stock compensation expense</w:t>
      </w:r>
      <w:r>
        <w:rPr>
          <w:sz w:val="20"/>
          <w:szCs w:val="20"/>
        </w:rPr>
        <w:t>.</w:t>
      </w:r>
    </w:p>
    <w:p w14:paraId="55114E8B" w14:textId="77777777" w:rsidR="00000000" w:rsidRDefault="00EF48A2">
      <w:pPr>
        <w:pStyle w:val="a3"/>
        <w:spacing w:before="240" w:beforeAutospacing="0" w:after="0" w:afterAutospacing="0"/>
        <w:rPr>
          <w:sz w:val="20"/>
          <w:szCs w:val="20"/>
        </w:rPr>
      </w:pPr>
      <w:r>
        <w:rPr>
          <w:b/>
          <w:bCs/>
          <w:sz w:val="20"/>
          <w:szCs w:val="20"/>
        </w:rPr>
        <w:t>Impairm</w:t>
      </w:r>
      <w:r>
        <w:rPr>
          <w:b/>
          <w:bCs/>
          <w:sz w:val="20"/>
          <w:szCs w:val="20"/>
        </w:rPr>
        <w:t>ent of goodwil</w:t>
      </w:r>
      <w:r>
        <w:rPr>
          <w:b/>
          <w:bCs/>
          <w:sz w:val="20"/>
          <w:szCs w:val="20"/>
        </w:rPr>
        <w:t>l</w:t>
      </w:r>
    </w:p>
    <w:p w14:paraId="13FEFFD8" w14:textId="77777777" w:rsidR="00000000" w:rsidRDefault="00EF48A2">
      <w:pPr>
        <w:pStyle w:val="a3"/>
        <w:spacing w:before="180" w:beforeAutospacing="0" w:after="0" w:afterAutospacing="0"/>
        <w:jc w:val="both"/>
        <w:rPr>
          <w:sz w:val="20"/>
          <w:szCs w:val="20"/>
        </w:rPr>
      </w:pPr>
      <w:r>
        <w:rPr>
          <w:sz w:val="20"/>
          <w:szCs w:val="20"/>
        </w:rPr>
        <w:t>Impairment of goodwill consists of a $6.1 million impairment charge related to goodwill acquired in connection with the business acquisition of the relationship counseling App "Lasting" in November 2020</w:t>
      </w:r>
      <w:r>
        <w:rPr>
          <w:sz w:val="20"/>
          <w:szCs w:val="20"/>
        </w:rPr>
        <w:t>.</w:t>
      </w:r>
    </w:p>
    <w:p w14:paraId="38A9B0AD" w14:textId="77777777" w:rsidR="00000000" w:rsidRDefault="00EF48A2">
      <w:pPr>
        <w:pStyle w:val="a3"/>
        <w:spacing w:before="240" w:beforeAutospacing="0" w:after="0" w:afterAutospacing="0"/>
        <w:rPr>
          <w:sz w:val="20"/>
          <w:szCs w:val="20"/>
        </w:rPr>
      </w:pPr>
      <w:r>
        <w:rPr>
          <w:b/>
          <w:bCs/>
          <w:sz w:val="20"/>
          <w:szCs w:val="20"/>
        </w:rPr>
        <w:t>Financial (income), ne</w:t>
      </w:r>
      <w:r>
        <w:rPr>
          <w:b/>
          <w:bCs/>
          <w:sz w:val="20"/>
          <w:szCs w:val="20"/>
        </w:rPr>
        <w:t>t</w:t>
      </w:r>
    </w:p>
    <w:p w14:paraId="60EBA0F5" w14:textId="77777777" w:rsidR="00000000" w:rsidRDefault="00EF48A2">
      <w:pPr>
        <w:pStyle w:val="a3"/>
        <w:spacing w:before="180" w:beforeAutospacing="0" w:after="0" w:afterAutospacing="0"/>
        <w:jc w:val="both"/>
        <w:rPr>
          <w:sz w:val="20"/>
          <w:szCs w:val="20"/>
        </w:rPr>
      </w:pPr>
      <w:r>
        <w:rPr>
          <w:sz w:val="20"/>
          <w:szCs w:val="20"/>
        </w:rPr>
        <w:t>Financial (i</w:t>
      </w:r>
      <w:r>
        <w:rPr>
          <w:sz w:val="20"/>
          <w:szCs w:val="20"/>
        </w:rPr>
        <w:t>ncome), net was $3.7 million for the year ended December 31, 2022, compared to financial (income), net of $31.2 million for the year ended December 31, 2021. For the year ended December 31, 2022, financial (income), net, primarily consisted of $3.1 million</w:t>
      </w:r>
      <w:r>
        <w:rPr>
          <w:sz w:val="20"/>
          <w:szCs w:val="20"/>
        </w:rPr>
        <w:t xml:space="preserve"> in non-cash gains resulting from the revaluation of warrant liabilities. For the year ended December 31, 2021, financial (income), net primarily consisted of $36.0 million in non-cash gains resulting from the revaluation of warrant liabilities, partially </w:t>
      </w:r>
      <w:r>
        <w:rPr>
          <w:sz w:val="20"/>
          <w:szCs w:val="20"/>
        </w:rPr>
        <w:t>offset by $4.2 million in warrant issuance costs in connection with the closing of the Business Combination</w:t>
      </w:r>
      <w:r>
        <w:rPr>
          <w:sz w:val="20"/>
          <w:szCs w:val="20"/>
        </w:rPr>
        <w:t>.</w:t>
      </w:r>
    </w:p>
    <w:p w14:paraId="4A8AB51D" w14:textId="77777777" w:rsidR="00000000" w:rsidRDefault="00EF48A2">
      <w:pPr>
        <w:pStyle w:val="a3"/>
        <w:spacing w:before="0" w:beforeAutospacing="0" w:after="0" w:afterAutospacing="0"/>
        <w:jc w:val="center"/>
        <w:rPr>
          <w:sz w:val="20"/>
          <w:szCs w:val="20"/>
        </w:rPr>
      </w:pPr>
      <w:r>
        <w:rPr>
          <w:sz w:val="20"/>
          <w:szCs w:val="20"/>
        </w:rPr>
        <w:t>4</w:t>
      </w:r>
      <w:r>
        <w:rPr>
          <w:sz w:val="20"/>
          <w:szCs w:val="20"/>
        </w:rPr>
        <w:t>9</w:t>
      </w:r>
    </w:p>
    <w:p w14:paraId="4652F8C5" w14:textId="77777777" w:rsidR="00000000" w:rsidRDefault="00EF48A2">
      <w:pPr>
        <w:rPr>
          <w:rFonts w:eastAsia="Times New Roman"/>
        </w:rPr>
      </w:pPr>
      <w:r>
        <w:rPr>
          <w:rFonts w:eastAsia="Times New Roman"/>
        </w:rPr>
        <w:pict w14:anchorId="5162B5FC">
          <v:rect id="_x0000_i1076" style="width:0;height:1.5pt" o:hralign="center" o:hrstd="t" o:hr="t" fillcolor="#a0a0a0" stroked="f"/>
        </w:pict>
      </w:r>
    </w:p>
    <w:p w14:paraId="781E723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3114B60" w14:textId="77777777" w:rsidR="00000000" w:rsidRDefault="00EF48A2">
      <w:pPr>
        <w:pStyle w:val="a3"/>
        <w:spacing w:before="240" w:beforeAutospacing="0" w:after="0" w:afterAutospacing="0"/>
        <w:rPr>
          <w:sz w:val="20"/>
          <w:szCs w:val="20"/>
        </w:rPr>
      </w:pPr>
      <w:r>
        <w:rPr>
          <w:b/>
          <w:bCs/>
          <w:sz w:val="20"/>
          <w:szCs w:val="20"/>
        </w:rPr>
        <w:t>Taxes on incom</w:t>
      </w:r>
      <w:r>
        <w:rPr>
          <w:b/>
          <w:bCs/>
          <w:sz w:val="20"/>
          <w:szCs w:val="20"/>
        </w:rPr>
        <w:t>e</w:t>
      </w:r>
    </w:p>
    <w:p w14:paraId="09858B27" w14:textId="77777777" w:rsidR="00000000" w:rsidRDefault="00EF48A2">
      <w:pPr>
        <w:pStyle w:val="a3"/>
        <w:spacing w:before="180" w:beforeAutospacing="0" w:after="0" w:afterAutospacing="0"/>
        <w:jc w:val="both"/>
        <w:rPr>
          <w:sz w:val="20"/>
          <w:szCs w:val="20"/>
        </w:rPr>
      </w:pPr>
      <w:r>
        <w:rPr>
          <w:sz w:val="20"/>
          <w:szCs w:val="20"/>
        </w:rPr>
        <w:t>Taxes on income consists primarily of forei</w:t>
      </w:r>
      <w:r>
        <w:rPr>
          <w:sz w:val="20"/>
          <w:szCs w:val="20"/>
        </w:rPr>
        <w:t>gn income taxes related to income generated by our subsidiary organized under the laws of Israel</w:t>
      </w:r>
      <w:r>
        <w:rPr>
          <w:sz w:val="20"/>
          <w:szCs w:val="20"/>
        </w:rPr>
        <w:t>.</w:t>
      </w:r>
    </w:p>
    <w:p w14:paraId="63381282" w14:textId="77777777" w:rsidR="00000000" w:rsidRDefault="00EF48A2">
      <w:pPr>
        <w:pStyle w:val="a3"/>
        <w:spacing w:before="240" w:beforeAutospacing="0" w:after="0" w:afterAutospacing="0"/>
        <w:rPr>
          <w:sz w:val="20"/>
          <w:szCs w:val="20"/>
        </w:rPr>
      </w:pPr>
      <w:r>
        <w:rPr>
          <w:b/>
          <w:bCs/>
          <w:sz w:val="20"/>
          <w:szCs w:val="20"/>
          <w:u w:val="single"/>
        </w:rPr>
        <w:t>Year Ended December 31, 2021 compared to December 31, 202</w:t>
      </w:r>
      <w:r>
        <w:rPr>
          <w:b/>
          <w:bCs/>
          <w:sz w:val="20"/>
          <w:szCs w:val="20"/>
          <w:u w:val="single"/>
        </w:rPr>
        <w:t>0</w:t>
      </w:r>
    </w:p>
    <w:p w14:paraId="792B0008" w14:textId="77777777" w:rsidR="00000000" w:rsidRDefault="00EF48A2">
      <w:pPr>
        <w:pStyle w:val="a3"/>
        <w:spacing w:before="180" w:beforeAutospacing="0" w:after="0" w:afterAutospacing="0"/>
        <w:jc w:val="both"/>
        <w:rPr>
          <w:sz w:val="20"/>
          <w:szCs w:val="20"/>
        </w:rPr>
      </w:pPr>
      <w:r>
        <w:rPr>
          <w:sz w:val="20"/>
          <w:szCs w:val="20"/>
        </w:rPr>
        <w:t xml:space="preserve">For a detailed discussion of the results for the year ended December 31, 2021 compared to the year </w:t>
      </w:r>
      <w:r>
        <w:rPr>
          <w:sz w:val="20"/>
          <w:szCs w:val="20"/>
        </w:rPr>
        <w:t>ended December 31, 2020, please refer to the “Management’s Discussion and Analysis of Financial Condition and Results of Operations” section of the Company’s 2021 Form 10-K filed on February 25, 2022</w:t>
      </w:r>
      <w:r>
        <w:rPr>
          <w:sz w:val="20"/>
          <w:szCs w:val="20"/>
        </w:rPr>
        <w:t>.</w:t>
      </w:r>
    </w:p>
    <w:p w14:paraId="01AD27F3" w14:textId="77777777" w:rsidR="00000000" w:rsidRDefault="00EF48A2">
      <w:pPr>
        <w:pStyle w:val="a3"/>
        <w:spacing w:before="24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14:paraId="6AE23E43" w14:textId="77777777" w:rsidR="00000000" w:rsidRDefault="00EF48A2">
      <w:pPr>
        <w:pStyle w:val="a3"/>
        <w:spacing w:before="180" w:beforeAutospacing="0" w:after="0" w:afterAutospacing="0"/>
        <w:jc w:val="both"/>
        <w:rPr>
          <w:sz w:val="20"/>
          <w:szCs w:val="20"/>
        </w:rPr>
      </w:pPr>
      <w:r>
        <w:rPr>
          <w:sz w:val="20"/>
          <w:szCs w:val="20"/>
        </w:rPr>
        <w:t>In addition to our financi</w:t>
      </w:r>
      <w:r>
        <w:rPr>
          <w:sz w:val="20"/>
          <w:szCs w:val="20"/>
        </w:rPr>
        <w:t>al results determined in accordance with GAAP, we believe adjusted EBITDA, a non-GAAP measure, is useful in evaluating our operating performance and is a key performance measure that our management uses to assess our operating performance. Because adjusted</w:t>
      </w:r>
      <w:r>
        <w:rPr>
          <w:sz w:val="20"/>
          <w:szCs w:val="20"/>
        </w:rPr>
        <w:t xml:space="preserve"> EBITDA facilitates internal comparisons of our historical operating performance on a more consistent basis, we use this measure for business planning purposes and in evaluating acquisition opportunities. We also use adjusted EBITDA to evaluate our ongoing</w:t>
      </w:r>
      <w:r>
        <w:rPr>
          <w:sz w:val="20"/>
          <w:szCs w:val="20"/>
        </w:rPr>
        <w:t xml:space="preserve"> operations and for internal planning and forecasting purposes. We believe that this non-GAAP financial measure, when taken together with the corresponding GAAP financial measures, provides meaningful supplemental information regarding our performance by e</w:t>
      </w:r>
      <w:r>
        <w:rPr>
          <w:sz w:val="20"/>
          <w:szCs w:val="20"/>
        </w:rPr>
        <w:t>xcluding certain items that may not be indicative of our business, results of operations or outlook. We believe that the use of adjusted EBITDA is helpful to our investors as it is a metric used by management in assessing the health of our business and our</w:t>
      </w:r>
      <w:r>
        <w:rPr>
          <w:sz w:val="20"/>
          <w:szCs w:val="20"/>
        </w:rPr>
        <w:t xml:space="preserve"> operating performance. However, non-GAAP financial information is presented for supplemental informational purposes only, has limitations as an analytical tool and should not be considered in isolation or as a substitute for financial information presente</w:t>
      </w:r>
      <w:r>
        <w:rPr>
          <w:sz w:val="20"/>
          <w:szCs w:val="20"/>
        </w:rPr>
        <w:t>d in accordance with GAAP</w:t>
      </w:r>
      <w:r>
        <w:rPr>
          <w:sz w:val="20"/>
          <w:szCs w:val="20"/>
        </w:rPr>
        <w:t>.</w:t>
      </w:r>
    </w:p>
    <w:p w14:paraId="047B77E6" w14:textId="77777777" w:rsidR="00000000" w:rsidRDefault="00EF48A2">
      <w:pPr>
        <w:pStyle w:val="a3"/>
        <w:spacing w:before="180" w:beforeAutospacing="0" w:after="0" w:afterAutospacing="0"/>
        <w:jc w:val="both"/>
        <w:rPr>
          <w:sz w:val="20"/>
          <w:szCs w:val="20"/>
        </w:rPr>
      </w:pPr>
      <w:r>
        <w:rPr>
          <w:sz w:val="20"/>
          <w:szCs w:val="20"/>
        </w:rPr>
        <w:t>Some of the limitations of adjusted EBITDA include (i) adjusted EBITDA does not necessarily reflect capital commitments to be paid in the future and (ii) although depreciation and amortization are non-cash charges, the underlying</w:t>
      </w:r>
      <w:r>
        <w:rPr>
          <w:sz w:val="20"/>
          <w:szCs w:val="20"/>
        </w:rPr>
        <w:t xml:space="preserve"> assets may need to be replaced and adjusted EBITDA does not reflect these requirements. In evaluating adjusted EBITDA, you should be aware that in the future we will incur expenses similar to the adjustments described herein. Our presentation of adjusted </w:t>
      </w:r>
      <w:r>
        <w:rPr>
          <w:sz w:val="20"/>
          <w:szCs w:val="20"/>
        </w:rPr>
        <w:t>EBITDA should not be construed as an inference that our future results will be unaffected by these expenses or any unusual or non-recurring items. Our adjusted EBITDA may not be comparable to similarly titled measures of other companies because they may no</w:t>
      </w:r>
      <w:r>
        <w:rPr>
          <w:sz w:val="20"/>
          <w:szCs w:val="20"/>
        </w:rPr>
        <w:t>t calculate adjusted EBITDA in the same manner as we calculate the measure, limiting its usefulness as a comparative measure. Adjusted EBITDA should not be considered as an alternative to loss before income taxes, net loss, loss per share, or any other per</w:t>
      </w:r>
      <w:r>
        <w:rPr>
          <w:sz w:val="20"/>
          <w:szCs w:val="20"/>
        </w:rPr>
        <w:t>formance measures derived in accordance with U.S. GAAP. When evaluating our performance, you should consider adjusted EBITDA alongside other financial performance measures, including our net loss and other GAAP results</w:t>
      </w:r>
      <w:r>
        <w:rPr>
          <w:sz w:val="20"/>
          <w:szCs w:val="20"/>
        </w:rPr>
        <w:t>.</w:t>
      </w:r>
      <w:r>
        <w:rPr>
          <w:sz w:val="20"/>
          <w:szCs w:val="20"/>
        </w:rPr>
        <w:t xml:space="preserve"> </w:t>
      </w:r>
    </w:p>
    <w:p w14:paraId="0FB357CC" w14:textId="77777777" w:rsidR="00000000" w:rsidRDefault="00EF48A2">
      <w:pPr>
        <w:pStyle w:val="a3"/>
        <w:spacing w:before="180" w:beforeAutospacing="0" w:after="0" w:afterAutospacing="0"/>
        <w:jc w:val="both"/>
        <w:rPr>
          <w:sz w:val="20"/>
          <w:szCs w:val="20"/>
        </w:rPr>
      </w:pPr>
      <w:r>
        <w:rPr>
          <w:sz w:val="20"/>
          <w:szCs w:val="20"/>
        </w:rPr>
        <w:t xml:space="preserve">A reconciliation is provided below </w:t>
      </w:r>
      <w:r>
        <w:rPr>
          <w:sz w:val="20"/>
          <w:szCs w:val="20"/>
        </w:rPr>
        <w:t>for adjusted EBITDA to net loss, the most directly comparable financial measure stated in accordance with GAAP. Investors are encouraged to review our financial statements prepared in accordance with GAAP and the reconciliation of our non-GAAP financial me</w:t>
      </w:r>
      <w:r>
        <w:rPr>
          <w:sz w:val="20"/>
          <w:szCs w:val="20"/>
        </w:rPr>
        <w:t>asure to its most directly comparable GAAP financial measure, and not to rely on any single financial measure to evaluate our business</w:t>
      </w:r>
      <w:r>
        <w:rPr>
          <w:sz w:val="20"/>
          <w:szCs w:val="20"/>
        </w:rPr>
        <w:t>.</w:t>
      </w:r>
    </w:p>
    <w:p w14:paraId="6E3BEB26" w14:textId="77777777" w:rsidR="00000000" w:rsidRDefault="00EF48A2">
      <w:pPr>
        <w:pStyle w:val="a3"/>
        <w:spacing w:before="180" w:beforeAutospacing="0" w:after="0" w:afterAutospacing="0"/>
        <w:jc w:val="both"/>
        <w:rPr>
          <w:sz w:val="20"/>
          <w:szCs w:val="20"/>
        </w:rPr>
      </w:pPr>
      <w:r>
        <w:rPr>
          <w:sz w:val="20"/>
          <w:szCs w:val="20"/>
        </w:rPr>
        <w:t xml:space="preserve">We calculate adjusted EBITDA as net loss income adjusted to exclude (i) interest and other expenses (income), net, (ii) </w:t>
      </w:r>
      <w:r>
        <w:rPr>
          <w:sz w:val="20"/>
          <w:szCs w:val="20"/>
        </w:rPr>
        <w:t>tax benefit and expense, (iii) depreciation and amortization, (iv) stock-based compensation expense, (v) Impairment of goodwill and (vi) certain non-recurring expenses that do not represent our on-going operations, where applicable</w:t>
      </w:r>
      <w:r>
        <w:rPr>
          <w:sz w:val="20"/>
          <w:szCs w:val="20"/>
        </w:rPr>
        <w:t>.</w:t>
      </w:r>
    </w:p>
    <w:p w14:paraId="0BB8F9EF" w14:textId="77777777" w:rsidR="00000000" w:rsidRDefault="00EF48A2">
      <w:pPr>
        <w:pStyle w:val="a3"/>
        <w:spacing w:before="240" w:beforeAutospacing="0" w:after="0" w:afterAutospacing="0"/>
        <w:rPr>
          <w:sz w:val="20"/>
          <w:szCs w:val="20"/>
        </w:rPr>
      </w:pPr>
      <w:r>
        <w:rPr>
          <w:b/>
          <w:bCs/>
          <w:sz w:val="20"/>
          <w:szCs w:val="20"/>
        </w:rPr>
        <w:t>Liquidity and Capital R</w:t>
      </w:r>
      <w:r>
        <w:rPr>
          <w:b/>
          <w:bCs/>
          <w:sz w:val="20"/>
          <w:szCs w:val="20"/>
        </w:rPr>
        <w:t>esource</w:t>
      </w:r>
      <w:r>
        <w:rPr>
          <w:b/>
          <w:bCs/>
          <w:sz w:val="20"/>
          <w:szCs w:val="20"/>
        </w:rPr>
        <w:t>s</w:t>
      </w:r>
      <w:r>
        <w:rPr>
          <w:b/>
          <w:bCs/>
          <w:sz w:val="20"/>
          <w:szCs w:val="20"/>
        </w:rPr>
        <w:t xml:space="preserve"> </w:t>
      </w:r>
    </w:p>
    <w:p w14:paraId="5258F34E" w14:textId="77777777" w:rsidR="00000000" w:rsidRDefault="00EF48A2">
      <w:pPr>
        <w:pStyle w:val="a3"/>
        <w:spacing w:before="180" w:beforeAutospacing="0" w:after="0" w:afterAutospacing="0"/>
        <w:jc w:val="both"/>
        <w:rPr>
          <w:sz w:val="20"/>
          <w:szCs w:val="20"/>
        </w:rPr>
      </w:pPr>
      <w:r>
        <w:rPr>
          <w:sz w:val="20"/>
          <w:szCs w:val="20"/>
        </w:rPr>
        <w:t>As of December 31, 2022, we had $138.5 million of cash and cash equivalents, compared to $198.3 million as of December 31, 2021, which we use to finance our operations and support a variety of growth initiatives and investments. We had no debt as</w:t>
      </w:r>
      <w:r>
        <w:rPr>
          <w:sz w:val="20"/>
          <w:szCs w:val="20"/>
        </w:rPr>
        <w:t xml:space="preserve"> of December 31, 2022 and expect to generate operating losses for the foreseeable future</w:t>
      </w:r>
      <w:r>
        <w:rPr>
          <w:sz w:val="20"/>
          <w:szCs w:val="20"/>
        </w:rPr>
        <w:t>.</w:t>
      </w:r>
    </w:p>
    <w:p w14:paraId="397ADAFE" w14:textId="77777777" w:rsidR="00000000" w:rsidRDefault="00EF48A2">
      <w:pPr>
        <w:pStyle w:val="a3"/>
        <w:spacing w:before="180" w:beforeAutospacing="0" w:after="0" w:afterAutospacing="0"/>
        <w:jc w:val="both"/>
        <w:rPr>
          <w:sz w:val="20"/>
          <w:szCs w:val="20"/>
        </w:rPr>
      </w:pPr>
      <w:r>
        <w:rPr>
          <w:sz w:val="20"/>
          <w:szCs w:val="20"/>
        </w:rPr>
        <w:t xml:space="preserve">Our primary cash needs are to fund operating activities and invest in technology development. Our future capital requirements will depend on many factors including our growth rate, contract renewal activity, the timing and extent of investments to support </w:t>
      </w:r>
      <w:r>
        <w:rPr>
          <w:sz w:val="20"/>
          <w:szCs w:val="20"/>
        </w:rPr>
        <w:t>product development efforts, our expansion of sales and marketing activities, the introduction of new and enhanced service offerings, and the continuing market acceptance of virtual behavioral services. Additionally, we may in the future enter into arrange</w:t>
      </w:r>
      <w:r>
        <w:rPr>
          <w:sz w:val="20"/>
          <w:szCs w:val="20"/>
        </w:rPr>
        <w:t>ments to acquire or invest in complementary businesses, services and technologies</w:t>
      </w:r>
      <w:r>
        <w:rPr>
          <w:sz w:val="20"/>
          <w:szCs w:val="20"/>
        </w:rPr>
        <w:t>.</w:t>
      </w:r>
      <w:r>
        <w:rPr>
          <w:sz w:val="20"/>
          <w:szCs w:val="20"/>
        </w:rPr>
        <w:t xml:space="preserve"> </w:t>
      </w:r>
    </w:p>
    <w:p w14:paraId="39300C14"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0</w:t>
      </w:r>
    </w:p>
    <w:p w14:paraId="034C31E3" w14:textId="77777777" w:rsidR="00000000" w:rsidRDefault="00EF48A2">
      <w:pPr>
        <w:rPr>
          <w:rFonts w:eastAsia="Times New Roman"/>
        </w:rPr>
      </w:pPr>
      <w:r>
        <w:rPr>
          <w:rFonts w:eastAsia="Times New Roman"/>
        </w:rPr>
        <w:pict w14:anchorId="52EC5505">
          <v:rect id="_x0000_i1077" style="width:0;height:1.5pt" o:hralign="center" o:hrstd="t" o:hr="t" fillcolor="#a0a0a0" stroked="f"/>
        </w:pict>
      </w:r>
    </w:p>
    <w:p w14:paraId="1D22840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03064C7" w14:textId="77777777" w:rsidR="00000000" w:rsidRDefault="00EF48A2">
      <w:pPr>
        <w:pStyle w:val="a3"/>
        <w:spacing w:before="180" w:beforeAutospacing="0" w:after="0" w:afterAutospacing="0"/>
        <w:jc w:val="both"/>
        <w:rPr>
          <w:sz w:val="20"/>
          <w:szCs w:val="20"/>
        </w:rPr>
      </w:pPr>
      <w:r>
        <w:rPr>
          <w:sz w:val="20"/>
          <w:szCs w:val="20"/>
        </w:rPr>
        <w:t>We currently anticipate to be able to fund our cash needs for at least the foreseea</w:t>
      </w:r>
      <w:r>
        <w:rPr>
          <w:sz w:val="20"/>
          <w:szCs w:val="20"/>
        </w:rPr>
        <w:t>ble future using available cash and cash equivalent balances as of December 31, 2022. However, in the future we may require additional capital to respond to technological advancements, competitive dynamics, customer demands, business opportunities, acquisi</w:t>
      </w:r>
      <w:r>
        <w:rPr>
          <w:sz w:val="20"/>
          <w:szCs w:val="20"/>
        </w:rPr>
        <w:t>tions or unforeseen circumstances and we may determine to engage in equity or debt financings or enter into credit facilities for other reasons. We may not be able to timely secure additional debt or equity financing on favorable terms, or at all. If we ra</w:t>
      </w:r>
      <w:r>
        <w:rPr>
          <w:sz w:val="20"/>
          <w:szCs w:val="20"/>
        </w:rPr>
        <w:t xml:space="preserve">ise additional funds through the issuance of equity or convertible debt or other equity-linked securities, our existing stockholders could experience significant dilution. Any debt financing obtained by us in the future could involve restrictive covenants </w:t>
      </w:r>
      <w:r>
        <w:rPr>
          <w:sz w:val="20"/>
          <w:szCs w:val="20"/>
        </w:rPr>
        <w:t xml:space="preserve">relating to our capital raising activities and other financial and operational matters, which may make it more difficult for us to obtain additional capital and to pursue business opportunities, including potential acquisitions. If we cannot raise capital </w:t>
      </w:r>
      <w:r>
        <w:rPr>
          <w:sz w:val="20"/>
          <w:szCs w:val="20"/>
        </w:rPr>
        <w:t>when needed we may be forced to undertake asset sales or similar measures to ensure adequate capital</w:t>
      </w:r>
      <w:r>
        <w:rPr>
          <w:sz w:val="20"/>
          <w:szCs w:val="20"/>
        </w:rPr>
        <w:t>.</w:t>
      </w:r>
    </w:p>
    <w:p w14:paraId="6B96FB69" w14:textId="77777777" w:rsidR="00000000" w:rsidRDefault="00EF48A2">
      <w:pPr>
        <w:pStyle w:val="a3"/>
        <w:spacing w:before="180" w:beforeAutospacing="0" w:after="0" w:afterAutospacing="0"/>
        <w:jc w:val="both"/>
        <w:rPr>
          <w:sz w:val="20"/>
          <w:szCs w:val="20"/>
        </w:rPr>
      </w:pPr>
      <w:r>
        <w:rPr>
          <w:sz w:val="20"/>
          <w:szCs w:val="20"/>
        </w:rPr>
        <w:t>If we are unable to obtain adequate financing or financing on terms satisfactory to us, when we require it, our ability to continue to grow or support our</w:t>
      </w:r>
      <w:r>
        <w:rPr>
          <w:sz w:val="20"/>
          <w:szCs w:val="20"/>
        </w:rPr>
        <w:t xml:space="preserve"> business and to respond to business challenges could be significantly limited</w:t>
      </w:r>
      <w:r>
        <w:rPr>
          <w:sz w:val="20"/>
          <w:szCs w:val="20"/>
        </w:rPr>
        <w:t>.</w:t>
      </w:r>
    </w:p>
    <w:p w14:paraId="1A37D22C" w14:textId="77777777" w:rsidR="00000000" w:rsidRDefault="00EF48A2">
      <w:pPr>
        <w:pStyle w:val="a3"/>
        <w:spacing w:before="240" w:beforeAutospacing="0" w:after="0" w:afterAutospacing="0"/>
        <w:rPr>
          <w:sz w:val="20"/>
          <w:szCs w:val="20"/>
        </w:rPr>
      </w:pPr>
      <w:r>
        <w:rPr>
          <w:b/>
          <w:bCs/>
          <w:i/>
          <w:iCs/>
          <w:sz w:val="20"/>
          <w:szCs w:val="20"/>
        </w:rPr>
        <w:t>Cash Flows from Operating, Investing and Financing Activitie</w:t>
      </w:r>
      <w:r>
        <w:rPr>
          <w:b/>
          <w:bCs/>
          <w:i/>
          <w:iCs/>
          <w:sz w:val="20"/>
          <w:szCs w:val="20"/>
        </w:rPr>
        <w:t>s</w:t>
      </w:r>
      <w:r>
        <w:rPr>
          <w:b/>
          <w:bCs/>
          <w:i/>
          <w:iCs/>
          <w:sz w:val="22"/>
          <w:szCs w:val="22"/>
        </w:rPr>
        <w:t xml:space="preserve"> </w:t>
      </w:r>
    </w:p>
    <w:p w14:paraId="6A86B288" w14:textId="77777777" w:rsidR="00000000" w:rsidRDefault="00EF48A2">
      <w:pPr>
        <w:pStyle w:val="a3"/>
        <w:spacing w:before="180" w:beforeAutospacing="0" w:after="120" w:afterAutospacing="0"/>
        <w:jc w:val="both"/>
        <w:rPr>
          <w:sz w:val="20"/>
          <w:szCs w:val="20"/>
        </w:rPr>
      </w:pPr>
      <w:r>
        <w:rPr>
          <w:sz w:val="20"/>
          <w:szCs w:val="20"/>
        </w:rPr>
        <w:t>The following table presents the summary consolidated cash flow information for the years ended December 31, 2022</w:t>
      </w:r>
      <w:r>
        <w:rPr>
          <w:sz w:val="20"/>
          <w:szCs w:val="20"/>
        </w:rPr>
        <w:t xml:space="preserve"> and 2021</w:t>
      </w:r>
      <w:r>
        <w:rPr>
          <w:sz w:val="20"/>
          <w:szCs w:val="20"/>
        </w:rPr>
        <w:t>:</w:t>
      </w:r>
      <w:r>
        <w:rPr>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9"/>
        <w:gridCol w:w="131"/>
        <w:gridCol w:w="160"/>
        <w:gridCol w:w="1037"/>
        <w:gridCol w:w="127"/>
        <w:gridCol w:w="132"/>
        <w:gridCol w:w="160"/>
        <w:gridCol w:w="1048"/>
        <w:gridCol w:w="142"/>
      </w:tblGrid>
      <w:tr w:rsidR="00000000" w14:paraId="4F98809E" w14:textId="77777777">
        <w:trPr>
          <w:tblCellSpacing w:w="15" w:type="dxa"/>
        </w:trPr>
        <w:tc>
          <w:tcPr>
            <w:tcW w:w="3340" w:type="pct"/>
            <w:vAlign w:val="center"/>
            <w:hideMark/>
          </w:tcPr>
          <w:p w14:paraId="4C7BEF5C" w14:textId="77777777" w:rsidR="00000000" w:rsidRDefault="00EF48A2">
            <w:pPr>
              <w:rPr>
                <w:sz w:val="20"/>
                <w:szCs w:val="20"/>
              </w:rPr>
            </w:pPr>
          </w:p>
        </w:tc>
        <w:tc>
          <w:tcPr>
            <w:tcW w:w="80" w:type="pct"/>
            <w:vAlign w:val="center"/>
            <w:hideMark/>
          </w:tcPr>
          <w:p w14:paraId="499A8219" w14:textId="77777777" w:rsidR="00000000" w:rsidRDefault="00EF48A2">
            <w:pPr>
              <w:rPr>
                <w:rFonts w:eastAsia="Times New Roman"/>
                <w:sz w:val="20"/>
                <w:szCs w:val="20"/>
              </w:rPr>
            </w:pPr>
          </w:p>
        </w:tc>
        <w:tc>
          <w:tcPr>
            <w:tcW w:w="50" w:type="pct"/>
            <w:vAlign w:val="center"/>
            <w:hideMark/>
          </w:tcPr>
          <w:p w14:paraId="477DE594" w14:textId="77777777" w:rsidR="00000000" w:rsidRDefault="00EF48A2">
            <w:pPr>
              <w:rPr>
                <w:rFonts w:eastAsia="Times New Roman"/>
                <w:sz w:val="20"/>
                <w:szCs w:val="20"/>
              </w:rPr>
            </w:pPr>
          </w:p>
        </w:tc>
        <w:tc>
          <w:tcPr>
            <w:tcW w:w="645" w:type="pct"/>
            <w:vAlign w:val="center"/>
            <w:hideMark/>
          </w:tcPr>
          <w:p w14:paraId="43DD3934" w14:textId="77777777" w:rsidR="00000000" w:rsidRDefault="00EF48A2">
            <w:pPr>
              <w:rPr>
                <w:rFonts w:eastAsia="Times New Roman"/>
                <w:sz w:val="20"/>
                <w:szCs w:val="20"/>
              </w:rPr>
            </w:pPr>
          </w:p>
        </w:tc>
        <w:tc>
          <w:tcPr>
            <w:tcW w:w="50" w:type="pct"/>
            <w:vAlign w:val="center"/>
            <w:hideMark/>
          </w:tcPr>
          <w:p w14:paraId="18E862F3" w14:textId="77777777" w:rsidR="00000000" w:rsidRDefault="00EF48A2">
            <w:pPr>
              <w:rPr>
                <w:rFonts w:eastAsia="Times New Roman"/>
                <w:sz w:val="20"/>
                <w:szCs w:val="20"/>
              </w:rPr>
            </w:pPr>
          </w:p>
        </w:tc>
        <w:tc>
          <w:tcPr>
            <w:tcW w:w="80" w:type="pct"/>
            <w:vAlign w:val="center"/>
            <w:hideMark/>
          </w:tcPr>
          <w:p w14:paraId="2628BCB3" w14:textId="77777777" w:rsidR="00000000" w:rsidRDefault="00EF48A2">
            <w:pPr>
              <w:rPr>
                <w:rFonts w:eastAsia="Times New Roman"/>
                <w:sz w:val="20"/>
                <w:szCs w:val="20"/>
              </w:rPr>
            </w:pPr>
          </w:p>
        </w:tc>
        <w:tc>
          <w:tcPr>
            <w:tcW w:w="50" w:type="pct"/>
            <w:vAlign w:val="center"/>
            <w:hideMark/>
          </w:tcPr>
          <w:p w14:paraId="03DBF041" w14:textId="77777777" w:rsidR="00000000" w:rsidRDefault="00EF48A2">
            <w:pPr>
              <w:rPr>
                <w:rFonts w:eastAsia="Times New Roman"/>
                <w:sz w:val="20"/>
                <w:szCs w:val="20"/>
              </w:rPr>
            </w:pPr>
          </w:p>
        </w:tc>
        <w:tc>
          <w:tcPr>
            <w:tcW w:w="652" w:type="pct"/>
            <w:vAlign w:val="center"/>
            <w:hideMark/>
          </w:tcPr>
          <w:p w14:paraId="279C9D32" w14:textId="77777777" w:rsidR="00000000" w:rsidRDefault="00EF48A2">
            <w:pPr>
              <w:rPr>
                <w:rFonts w:eastAsia="Times New Roman"/>
                <w:sz w:val="20"/>
                <w:szCs w:val="20"/>
              </w:rPr>
            </w:pPr>
          </w:p>
        </w:tc>
        <w:tc>
          <w:tcPr>
            <w:tcW w:w="50" w:type="pct"/>
            <w:vAlign w:val="center"/>
            <w:hideMark/>
          </w:tcPr>
          <w:p w14:paraId="3E4747C1" w14:textId="77777777" w:rsidR="00000000" w:rsidRDefault="00EF48A2">
            <w:pPr>
              <w:rPr>
                <w:rFonts w:eastAsia="Times New Roman"/>
                <w:sz w:val="20"/>
                <w:szCs w:val="20"/>
              </w:rPr>
            </w:pPr>
          </w:p>
        </w:tc>
      </w:tr>
      <w:tr w:rsidR="00000000" w14:paraId="6AD61D08" w14:textId="77777777">
        <w:trPr>
          <w:trHeight w:val="160"/>
          <w:tblCellSpacing w:w="15" w:type="dxa"/>
        </w:trPr>
        <w:tc>
          <w:tcPr>
            <w:tcW w:w="0" w:type="auto"/>
            <w:vAlign w:val="bottom"/>
            <w:hideMark/>
          </w:tcPr>
          <w:p w14:paraId="288B0E82"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79B85449"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2F86642A" w14:textId="77777777" w:rsidR="00000000" w:rsidRDefault="00EF48A2">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14:paraId="51BD6B9C"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773198AA" w14:textId="77777777">
        <w:trPr>
          <w:trHeight w:val="160"/>
          <w:tblCellSpacing w:w="15" w:type="dxa"/>
        </w:trPr>
        <w:tc>
          <w:tcPr>
            <w:tcW w:w="0" w:type="auto"/>
            <w:vAlign w:val="bottom"/>
            <w:hideMark/>
          </w:tcPr>
          <w:p w14:paraId="3324A22F"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1F6EBCAB"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48AC8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D10CBE1"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86A6029"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3F7F489"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A6D1E55"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3CD06E3" w14:textId="77777777">
        <w:trPr>
          <w:trHeight w:val="160"/>
          <w:tblCellSpacing w:w="15" w:type="dxa"/>
        </w:trPr>
        <w:tc>
          <w:tcPr>
            <w:tcW w:w="0" w:type="auto"/>
            <w:vAlign w:val="bottom"/>
            <w:hideMark/>
          </w:tcPr>
          <w:p w14:paraId="44BAA047"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46A39AA3"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D7026B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2895F72"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B1F57A8"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C728732"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0B967B9"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DA7E87C" w14:textId="77777777">
        <w:trPr>
          <w:trHeight w:val="200"/>
          <w:tblCellSpacing w:w="15" w:type="dxa"/>
        </w:trPr>
        <w:tc>
          <w:tcPr>
            <w:tcW w:w="0" w:type="auto"/>
            <w:hideMark/>
          </w:tcPr>
          <w:p w14:paraId="2B8E14C6" w14:textId="77777777" w:rsidR="00000000" w:rsidRDefault="00EF48A2">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14:paraId="04BFAF6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8B889C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A89D009" w14:textId="77777777" w:rsidR="00000000" w:rsidRDefault="00EF48A2">
            <w:pPr>
              <w:pStyle w:val="a3"/>
              <w:spacing w:before="0" w:beforeAutospacing="0" w:after="0" w:afterAutospacing="0"/>
              <w:jc w:val="right"/>
              <w:rPr>
                <w:sz w:val="20"/>
                <w:szCs w:val="20"/>
              </w:rPr>
            </w:pPr>
            <w:r>
              <w:rPr>
                <w:sz w:val="20"/>
                <w:szCs w:val="20"/>
              </w:rPr>
              <w:t>(61,07</w:t>
            </w:r>
            <w:r>
              <w:rPr>
                <w:sz w:val="20"/>
                <w:szCs w:val="20"/>
              </w:rPr>
              <w:t>7</w:t>
            </w:r>
          </w:p>
        </w:tc>
        <w:tc>
          <w:tcPr>
            <w:tcW w:w="0" w:type="auto"/>
            <w:noWrap/>
            <w:vAlign w:val="bottom"/>
            <w:hideMark/>
          </w:tcPr>
          <w:p w14:paraId="43FECD1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10E29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7606D5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94E961E" w14:textId="77777777" w:rsidR="00000000" w:rsidRDefault="00EF48A2">
            <w:pPr>
              <w:pStyle w:val="a3"/>
              <w:spacing w:before="0" w:beforeAutospacing="0" w:after="0" w:afterAutospacing="0"/>
              <w:jc w:val="right"/>
              <w:rPr>
                <w:sz w:val="20"/>
                <w:szCs w:val="20"/>
              </w:rPr>
            </w:pPr>
            <w:r>
              <w:rPr>
                <w:sz w:val="20"/>
                <w:szCs w:val="20"/>
              </w:rPr>
              <w:t>(65,71</w:t>
            </w:r>
            <w:r>
              <w:rPr>
                <w:sz w:val="20"/>
                <w:szCs w:val="20"/>
              </w:rPr>
              <w:t>1</w:t>
            </w:r>
          </w:p>
        </w:tc>
        <w:tc>
          <w:tcPr>
            <w:tcW w:w="0" w:type="auto"/>
            <w:noWrap/>
            <w:vAlign w:val="bottom"/>
            <w:hideMark/>
          </w:tcPr>
          <w:p w14:paraId="26E1C0A3" w14:textId="77777777" w:rsidR="00000000" w:rsidRDefault="00EF48A2">
            <w:pPr>
              <w:pStyle w:val="a3"/>
              <w:spacing w:before="0" w:beforeAutospacing="0" w:after="0" w:afterAutospacing="0"/>
              <w:rPr>
                <w:sz w:val="20"/>
                <w:szCs w:val="20"/>
              </w:rPr>
            </w:pPr>
            <w:r>
              <w:rPr>
                <w:sz w:val="20"/>
                <w:szCs w:val="20"/>
              </w:rPr>
              <w:t>)</w:t>
            </w:r>
          </w:p>
        </w:tc>
      </w:tr>
      <w:tr w:rsidR="00000000" w14:paraId="28CA4BFF" w14:textId="77777777">
        <w:trPr>
          <w:trHeight w:val="200"/>
          <w:tblCellSpacing w:w="15" w:type="dxa"/>
        </w:trPr>
        <w:tc>
          <w:tcPr>
            <w:tcW w:w="0" w:type="auto"/>
            <w:hideMark/>
          </w:tcPr>
          <w:p w14:paraId="6D8EAA85" w14:textId="77777777" w:rsidR="00000000" w:rsidRDefault="00EF48A2">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14:paraId="1530A97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6E27C3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9C45473" w14:textId="77777777" w:rsidR="00000000" w:rsidRDefault="00EF48A2">
            <w:pPr>
              <w:pStyle w:val="a3"/>
              <w:spacing w:before="0" w:beforeAutospacing="0" w:after="0" w:afterAutospacing="0"/>
              <w:jc w:val="right"/>
              <w:rPr>
                <w:sz w:val="20"/>
                <w:szCs w:val="20"/>
              </w:rPr>
            </w:pPr>
            <w:r>
              <w:rPr>
                <w:sz w:val="20"/>
                <w:szCs w:val="20"/>
              </w:rPr>
              <w:t>(31</w:t>
            </w:r>
            <w:r>
              <w:rPr>
                <w:sz w:val="20"/>
                <w:szCs w:val="20"/>
              </w:rPr>
              <w:t>7</w:t>
            </w:r>
          </w:p>
        </w:tc>
        <w:tc>
          <w:tcPr>
            <w:tcW w:w="0" w:type="auto"/>
            <w:noWrap/>
            <w:vAlign w:val="bottom"/>
            <w:hideMark/>
          </w:tcPr>
          <w:p w14:paraId="3BE88D0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37729C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D8B524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4E109A0" w14:textId="77777777" w:rsidR="00000000" w:rsidRDefault="00EF48A2">
            <w:pPr>
              <w:pStyle w:val="a3"/>
              <w:spacing w:before="0" w:beforeAutospacing="0" w:after="0" w:afterAutospacing="0"/>
              <w:jc w:val="right"/>
              <w:rPr>
                <w:sz w:val="20"/>
                <w:szCs w:val="20"/>
              </w:rPr>
            </w:pPr>
            <w:r>
              <w:rPr>
                <w:sz w:val="20"/>
                <w:szCs w:val="20"/>
              </w:rPr>
              <w:t>(66</w:t>
            </w:r>
            <w:r>
              <w:rPr>
                <w:sz w:val="20"/>
                <w:szCs w:val="20"/>
              </w:rPr>
              <w:t>3</w:t>
            </w:r>
          </w:p>
        </w:tc>
        <w:tc>
          <w:tcPr>
            <w:tcW w:w="0" w:type="auto"/>
            <w:noWrap/>
            <w:vAlign w:val="bottom"/>
            <w:hideMark/>
          </w:tcPr>
          <w:p w14:paraId="183AF4B4" w14:textId="77777777" w:rsidR="00000000" w:rsidRDefault="00EF48A2">
            <w:pPr>
              <w:pStyle w:val="a3"/>
              <w:spacing w:before="0" w:beforeAutospacing="0" w:after="0" w:afterAutospacing="0"/>
              <w:rPr>
                <w:sz w:val="20"/>
                <w:szCs w:val="20"/>
              </w:rPr>
            </w:pPr>
            <w:r>
              <w:rPr>
                <w:sz w:val="20"/>
                <w:szCs w:val="20"/>
              </w:rPr>
              <w:t>)</w:t>
            </w:r>
          </w:p>
        </w:tc>
      </w:tr>
      <w:tr w:rsidR="00000000" w14:paraId="6AC86DDC" w14:textId="77777777">
        <w:trPr>
          <w:trHeight w:val="200"/>
          <w:tblCellSpacing w:w="15" w:type="dxa"/>
        </w:trPr>
        <w:tc>
          <w:tcPr>
            <w:tcW w:w="0" w:type="auto"/>
            <w:hideMark/>
          </w:tcPr>
          <w:p w14:paraId="73D24EB9" w14:textId="77777777" w:rsidR="00000000" w:rsidRDefault="00EF48A2">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14:paraId="66230E4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9E7E2C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FF2F6F4" w14:textId="77777777" w:rsidR="00000000" w:rsidRDefault="00EF48A2">
            <w:pPr>
              <w:pStyle w:val="a3"/>
              <w:spacing w:before="0" w:beforeAutospacing="0" w:after="0" w:afterAutospacing="0"/>
              <w:jc w:val="right"/>
              <w:rPr>
                <w:sz w:val="20"/>
                <w:szCs w:val="20"/>
              </w:rPr>
            </w:pPr>
            <w:r>
              <w:rPr>
                <w:sz w:val="20"/>
                <w:szCs w:val="20"/>
              </w:rPr>
              <w:t>1,68</w:t>
            </w:r>
            <w:r>
              <w:rPr>
                <w:sz w:val="20"/>
                <w:szCs w:val="20"/>
              </w:rPr>
              <w:t>3</w:t>
            </w:r>
          </w:p>
        </w:tc>
        <w:tc>
          <w:tcPr>
            <w:tcW w:w="0" w:type="auto"/>
            <w:noWrap/>
            <w:vAlign w:val="bottom"/>
            <w:hideMark/>
          </w:tcPr>
          <w:p w14:paraId="26F8DD9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45A83F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F85497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610114" w14:textId="77777777" w:rsidR="00000000" w:rsidRDefault="00EF48A2">
            <w:pPr>
              <w:pStyle w:val="a3"/>
              <w:spacing w:before="0" w:beforeAutospacing="0" w:after="0" w:afterAutospacing="0"/>
              <w:jc w:val="right"/>
              <w:rPr>
                <w:sz w:val="20"/>
                <w:szCs w:val="20"/>
              </w:rPr>
            </w:pPr>
            <w:r>
              <w:rPr>
                <w:sz w:val="20"/>
                <w:szCs w:val="20"/>
              </w:rPr>
              <w:t>251,38</w:t>
            </w:r>
            <w:r>
              <w:rPr>
                <w:sz w:val="20"/>
                <w:szCs w:val="20"/>
              </w:rPr>
              <w:t>2</w:t>
            </w:r>
          </w:p>
        </w:tc>
        <w:tc>
          <w:tcPr>
            <w:tcW w:w="0" w:type="auto"/>
            <w:noWrap/>
            <w:vAlign w:val="bottom"/>
            <w:hideMark/>
          </w:tcPr>
          <w:p w14:paraId="2F730660" w14:textId="77777777" w:rsidR="00000000" w:rsidRDefault="00EF48A2">
            <w:pPr>
              <w:pStyle w:val="a3"/>
              <w:spacing w:before="0" w:beforeAutospacing="0" w:after="0" w:afterAutospacing="0"/>
              <w:rPr>
                <w:sz w:val="20"/>
                <w:szCs w:val="20"/>
              </w:rPr>
            </w:pPr>
            <w:r>
              <w:rPr>
                <w:sz w:val="20"/>
                <w:szCs w:val="20"/>
              </w:rPr>
              <w:t> </w:t>
            </w:r>
          </w:p>
        </w:tc>
      </w:tr>
      <w:tr w:rsidR="00000000" w14:paraId="7863BF68" w14:textId="77777777">
        <w:trPr>
          <w:trHeight w:val="200"/>
          <w:tblCellSpacing w:w="15" w:type="dxa"/>
        </w:trPr>
        <w:tc>
          <w:tcPr>
            <w:tcW w:w="0" w:type="auto"/>
            <w:hideMark/>
          </w:tcPr>
          <w:p w14:paraId="262B7AB9" w14:textId="77777777" w:rsidR="00000000" w:rsidRDefault="00EF48A2">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14:paraId="6D0FD0F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2D071B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1A664BF" w14:textId="77777777" w:rsidR="00000000" w:rsidRDefault="00EF48A2">
            <w:pPr>
              <w:pStyle w:val="a3"/>
              <w:spacing w:before="0" w:beforeAutospacing="0" w:after="0" w:afterAutospacing="0"/>
              <w:jc w:val="right"/>
              <w:rPr>
                <w:sz w:val="20"/>
                <w:szCs w:val="20"/>
              </w:rPr>
            </w:pPr>
            <w:r>
              <w:rPr>
                <w:sz w:val="20"/>
                <w:szCs w:val="20"/>
              </w:rPr>
              <w:t>(59,71</w:t>
            </w:r>
            <w:r>
              <w:rPr>
                <w:sz w:val="20"/>
                <w:szCs w:val="20"/>
              </w:rPr>
              <w:t>1</w:t>
            </w:r>
          </w:p>
        </w:tc>
        <w:tc>
          <w:tcPr>
            <w:tcW w:w="0" w:type="auto"/>
            <w:noWrap/>
            <w:vAlign w:val="bottom"/>
            <w:hideMark/>
          </w:tcPr>
          <w:p w14:paraId="4773DE3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3217E6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6FA669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F3EABC2" w14:textId="77777777" w:rsidR="00000000" w:rsidRDefault="00EF48A2">
            <w:pPr>
              <w:pStyle w:val="a3"/>
              <w:spacing w:before="0" w:beforeAutospacing="0" w:after="0" w:afterAutospacing="0"/>
              <w:jc w:val="right"/>
              <w:rPr>
                <w:sz w:val="20"/>
                <w:szCs w:val="20"/>
              </w:rPr>
            </w:pPr>
            <w:r>
              <w:rPr>
                <w:sz w:val="20"/>
                <w:szCs w:val="20"/>
              </w:rPr>
              <w:t>185,00</w:t>
            </w:r>
            <w:r>
              <w:rPr>
                <w:sz w:val="20"/>
                <w:szCs w:val="20"/>
              </w:rPr>
              <w:t>8</w:t>
            </w:r>
          </w:p>
        </w:tc>
        <w:tc>
          <w:tcPr>
            <w:tcW w:w="0" w:type="auto"/>
            <w:noWrap/>
            <w:vAlign w:val="bottom"/>
            <w:hideMark/>
          </w:tcPr>
          <w:p w14:paraId="225029E3" w14:textId="77777777" w:rsidR="00000000" w:rsidRDefault="00EF48A2">
            <w:pPr>
              <w:pStyle w:val="a3"/>
              <w:spacing w:before="0" w:beforeAutospacing="0" w:after="0" w:afterAutospacing="0"/>
              <w:rPr>
                <w:sz w:val="20"/>
                <w:szCs w:val="20"/>
              </w:rPr>
            </w:pPr>
            <w:r>
              <w:rPr>
                <w:sz w:val="20"/>
                <w:szCs w:val="20"/>
              </w:rPr>
              <w:t> </w:t>
            </w:r>
          </w:p>
        </w:tc>
      </w:tr>
    </w:tbl>
    <w:p w14:paraId="25B2DFBC" w14:textId="77777777" w:rsidR="00000000" w:rsidRDefault="00EF48A2">
      <w:pPr>
        <w:pStyle w:val="a3"/>
        <w:spacing w:before="240" w:beforeAutospacing="0" w:after="0" w:afterAutospacing="0"/>
        <w:rPr>
          <w:sz w:val="20"/>
          <w:szCs w:val="20"/>
        </w:rPr>
      </w:pPr>
      <w:r>
        <w:rPr>
          <w:b/>
          <w:bCs/>
          <w:i/>
          <w:iCs/>
          <w:sz w:val="20"/>
          <w:szCs w:val="20"/>
        </w:rPr>
        <w:t>Operating Activitie</w:t>
      </w:r>
      <w:r>
        <w:rPr>
          <w:b/>
          <w:bCs/>
          <w:i/>
          <w:iCs/>
          <w:sz w:val="20"/>
          <w:szCs w:val="20"/>
        </w:rPr>
        <w:t>s</w:t>
      </w:r>
      <w:r>
        <w:rPr>
          <w:b/>
          <w:bCs/>
          <w:i/>
          <w:iCs/>
          <w:sz w:val="20"/>
          <w:szCs w:val="20"/>
        </w:rPr>
        <w:t xml:space="preserve"> </w:t>
      </w:r>
    </w:p>
    <w:p w14:paraId="5A3DF8F3" w14:textId="77777777" w:rsidR="00000000" w:rsidRDefault="00EF48A2">
      <w:pPr>
        <w:pStyle w:val="a3"/>
        <w:spacing w:before="180" w:beforeAutospacing="0" w:after="0" w:afterAutospacing="0"/>
        <w:jc w:val="both"/>
        <w:rPr>
          <w:sz w:val="20"/>
          <w:szCs w:val="20"/>
        </w:rPr>
      </w:pPr>
      <w:r>
        <w:rPr>
          <w:sz w:val="20"/>
          <w:szCs w:val="20"/>
        </w:rPr>
        <w:t>Net cash used in operating activities was $61.1 million and $65.7 million for the year ended December 31, 2022 and 2021, respectively. The decrease in net cash used in operating activities was driven primarily by the positive impact of lower operating expe</w:t>
      </w:r>
      <w:r>
        <w:rPr>
          <w:sz w:val="20"/>
          <w:szCs w:val="20"/>
        </w:rPr>
        <w:t>nses offset by unfavorable timing of collections on receivables and payments of account payables and accrued expenses</w:t>
      </w:r>
      <w:r>
        <w:rPr>
          <w:sz w:val="20"/>
          <w:szCs w:val="20"/>
        </w:rPr>
        <w:t>.</w:t>
      </w:r>
    </w:p>
    <w:p w14:paraId="16847153" w14:textId="77777777" w:rsidR="00000000" w:rsidRDefault="00EF48A2">
      <w:pPr>
        <w:pStyle w:val="a3"/>
        <w:spacing w:before="240" w:beforeAutospacing="0" w:after="0" w:afterAutospacing="0"/>
        <w:rPr>
          <w:sz w:val="20"/>
          <w:szCs w:val="20"/>
        </w:rPr>
      </w:pPr>
      <w:r>
        <w:rPr>
          <w:b/>
          <w:bCs/>
          <w:i/>
          <w:iCs/>
          <w:sz w:val="20"/>
          <w:szCs w:val="20"/>
        </w:rPr>
        <w:t>Investing Activitie</w:t>
      </w:r>
      <w:r>
        <w:rPr>
          <w:b/>
          <w:bCs/>
          <w:i/>
          <w:iCs/>
          <w:sz w:val="20"/>
          <w:szCs w:val="20"/>
        </w:rPr>
        <w:t>s</w:t>
      </w:r>
      <w:r>
        <w:rPr>
          <w:b/>
          <w:bCs/>
          <w:i/>
          <w:iCs/>
          <w:sz w:val="20"/>
          <w:szCs w:val="20"/>
        </w:rPr>
        <w:t xml:space="preserve"> </w:t>
      </w:r>
    </w:p>
    <w:p w14:paraId="71FC37F8" w14:textId="77777777" w:rsidR="00000000" w:rsidRDefault="00EF48A2">
      <w:pPr>
        <w:pStyle w:val="a3"/>
        <w:spacing w:before="180" w:beforeAutospacing="0" w:after="0" w:afterAutospacing="0"/>
        <w:jc w:val="both"/>
        <w:rPr>
          <w:sz w:val="20"/>
          <w:szCs w:val="20"/>
        </w:rPr>
      </w:pPr>
      <w:r>
        <w:rPr>
          <w:sz w:val="20"/>
          <w:szCs w:val="20"/>
        </w:rPr>
        <w:t>Net cash used in investing activities was $0.3 million and $0.7 million for the years ended December 31, 2022 and 2</w:t>
      </w:r>
      <w:r>
        <w:rPr>
          <w:sz w:val="20"/>
          <w:szCs w:val="20"/>
        </w:rPr>
        <w:t>021, respectively. The decrease in net cash used in investing activities was driven primarily by a decrease in the purchases of computer equipment and software</w:t>
      </w:r>
      <w:r>
        <w:rPr>
          <w:sz w:val="20"/>
          <w:szCs w:val="20"/>
        </w:rPr>
        <w:t>.</w:t>
      </w:r>
    </w:p>
    <w:p w14:paraId="73FC157C" w14:textId="77777777" w:rsidR="00000000" w:rsidRDefault="00EF48A2">
      <w:pPr>
        <w:pStyle w:val="a3"/>
        <w:spacing w:before="240" w:beforeAutospacing="0" w:after="0" w:afterAutospacing="0"/>
        <w:rPr>
          <w:sz w:val="20"/>
          <w:szCs w:val="20"/>
        </w:rPr>
      </w:pPr>
      <w:r>
        <w:rPr>
          <w:b/>
          <w:bCs/>
          <w:i/>
          <w:iCs/>
          <w:sz w:val="20"/>
          <w:szCs w:val="20"/>
        </w:rPr>
        <w:t>Financing Activitie</w:t>
      </w:r>
      <w:r>
        <w:rPr>
          <w:b/>
          <w:bCs/>
          <w:i/>
          <w:iCs/>
          <w:sz w:val="20"/>
          <w:szCs w:val="20"/>
        </w:rPr>
        <w:t>s</w:t>
      </w:r>
      <w:r>
        <w:rPr>
          <w:b/>
          <w:bCs/>
          <w:i/>
          <w:iCs/>
          <w:sz w:val="20"/>
          <w:szCs w:val="20"/>
        </w:rPr>
        <w:t xml:space="preserve"> </w:t>
      </w:r>
    </w:p>
    <w:p w14:paraId="28D12192" w14:textId="77777777" w:rsidR="00000000" w:rsidRDefault="00EF48A2">
      <w:pPr>
        <w:pStyle w:val="a3"/>
        <w:spacing w:before="180" w:beforeAutospacing="0" w:after="0" w:afterAutospacing="0"/>
        <w:jc w:val="both"/>
        <w:rPr>
          <w:sz w:val="20"/>
          <w:szCs w:val="20"/>
        </w:rPr>
      </w:pPr>
      <w:r>
        <w:rPr>
          <w:sz w:val="20"/>
          <w:szCs w:val="20"/>
        </w:rPr>
        <w:t>Net cash provided by financing activities was $1.7 million and $251.4 mil</w:t>
      </w:r>
      <w:r>
        <w:rPr>
          <w:sz w:val="20"/>
          <w:szCs w:val="20"/>
        </w:rPr>
        <w:t>lion for the year ended December 31, 2022 and 2021, respectively. The decrease in cash provided by financing activities is due to proceeds of $249.3 million, net of payment of transaction costs, received in the Business Combination during the year ended De</w:t>
      </w:r>
      <w:r>
        <w:rPr>
          <w:sz w:val="20"/>
          <w:szCs w:val="20"/>
        </w:rPr>
        <w:t>cember 31, 2021</w:t>
      </w:r>
      <w:r>
        <w:rPr>
          <w:sz w:val="20"/>
          <w:szCs w:val="20"/>
        </w:rPr>
        <w:t>.</w:t>
      </w:r>
    </w:p>
    <w:p w14:paraId="7A01AAB0" w14:textId="77777777" w:rsidR="00000000" w:rsidRDefault="00EF48A2">
      <w:pPr>
        <w:pStyle w:val="a3"/>
        <w:spacing w:before="240" w:beforeAutospacing="0" w:after="0" w:afterAutospacing="0"/>
        <w:jc w:val="both"/>
        <w:rPr>
          <w:sz w:val="20"/>
          <w:szCs w:val="20"/>
        </w:rPr>
      </w:pPr>
      <w:r>
        <w:rPr>
          <w:b/>
          <w:bCs/>
          <w:sz w:val="20"/>
          <w:szCs w:val="20"/>
        </w:rPr>
        <w:t>Contractual Obligations, Commitments and Contingencie</w:t>
      </w:r>
      <w:r>
        <w:rPr>
          <w:b/>
          <w:bCs/>
          <w:sz w:val="20"/>
          <w:szCs w:val="20"/>
        </w:rPr>
        <w:t>s</w:t>
      </w:r>
      <w:r>
        <w:rPr>
          <w:b/>
          <w:bCs/>
          <w:sz w:val="20"/>
          <w:szCs w:val="20"/>
        </w:rPr>
        <w:t xml:space="preserve"> </w:t>
      </w:r>
    </w:p>
    <w:p w14:paraId="2CFE1B2C" w14:textId="77777777" w:rsidR="00000000" w:rsidRDefault="00EF48A2">
      <w:pPr>
        <w:pStyle w:val="a3"/>
        <w:spacing w:before="180" w:beforeAutospacing="0" w:after="0" w:afterAutospacing="0"/>
        <w:jc w:val="both"/>
        <w:rPr>
          <w:sz w:val="20"/>
          <w:szCs w:val="20"/>
        </w:rPr>
      </w:pPr>
      <w:r>
        <w:rPr>
          <w:sz w:val="20"/>
          <w:szCs w:val="20"/>
        </w:rPr>
        <w:t>As of December 31, 2022, we did not have any short-term or long-term debt, or significant long-term liabilities</w:t>
      </w:r>
      <w:r>
        <w:rPr>
          <w:sz w:val="20"/>
          <w:szCs w:val="20"/>
        </w:rPr>
        <w:t>.</w:t>
      </w:r>
    </w:p>
    <w:p w14:paraId="2B653CEE" w14:textId="77777777" w:rsidR="00000000" w:rsidRDefault="00EF48A2">
      <w:pPr>
        <w:pStyle w:val="a3"/>
        <w:spacing w:before="180" w:beforeAutospacing="0" w:after="0" w:afterAutospacing="0"/>
        <w:jc w:val="both"/>
        <w:rPr>
          <w:sz w:val="20"/>
          <w:szCs w:val="20"/>
        </w:rPr>
      </w:pPr>
      <w:r>
        <w:rPr>
          <w:sz w:val="20"/>
          <w:szCs w:val="20"/>
        </w:rPr>
        <w:t>As of December 31, 2022, we have a long-term operating lease for our n</w:t>
      </w:r>
      <w:r>
        <w:rPr>
          <w:sz w:val="20"/>
          <w:szCs w:val="20"/>
        </w:rPr>
        <w:t>ew office space in New York, NY. See Note 9, “Leases” in the notes to the consolidated financial statements for further details</w:t>
      </w:r>
      <w:r>
        <w:rPr>
          <w:sz w:val="20"/>
          <w:szCs w:val="20"/>
        </w:rPr>
        <w:t>.</w:t>
      </w:r>
    </w:p>
    <w:p w14:paraId="65DF370C" w14:textId="77777777" w:rsidR="00000000" w:rsidRDefault="00EF48A2">
      <w:pPr>
        <w:pStyle w:val="a3"/>
        <w:spacing w:before="180" w:beforeAutospacing="0" w:after="0" w:afterAutospacing="0"/>
        <w:jc w:val="both"/>
        <w:rPr>
          <w:sz w:val="20"/>
          <w:szCs w:val="20"/>
        </w:rPr>
      </w:pPr>
      <w:r>
        <w:rPr>
          <w:sz w:val="20"/>
          <w:szCs w:val="20"/>
        </w:rPr>
        <w:t>We are presently a party to certain class action lawsuits for which a settlement was reached in February 2023 ending the ongoin</w:t>
      </w:r>
      <w:r>
        <w:rPr>
          <w:sz w:val="20"/>
          <w:szCs w:val="20"/>
        </w:rPr>
        <w:t>g litigation. In addition, we may in the future be involved in various legal proceedings, claims and litigation that arise in the normal course of business. We accrue for estimated loss contingencies related to legal matters when available information indi</w:t>
      </w:r>
      <w:r>
        <w:rPr>
          <w:sz w:val="20"/>
          <w:szCs w:val="20"/>
        </w:rPr>
        <w:t>cates that it is probable a liability had been incurred and we can reasonably estimate the amount of that loss. In many proceedings, however, it is inherently difficult to determine whether any loss is probable or even possible or to estimate the amount of</w:t>
      </w:r>
      <w:r>
        <w:rPr>
          <w:sz w:val="20"/>
          <w:szCs w:val="20"/>
        </w:rPr>
        <w:t xml:space="preserve"> any loss. In addition, even where a loss is possible or an exposure to loss exists in excess of the liability already accrued with respect to </w:t>
      </w:r>
      <w:r>
        <w:rPr>
          <w:sz w:val="20"/>
          <w:szCs w:val="20"/>
        </w:rPr>
        <w:t>a</w:t>
      </w:r>
      <w:r>
        <w:rPr>
          <w:sz w:val="20"/>
          <w:szCs w:val="20"/>
        </w:rPr>
        <w:t xml:space="preserve"> </w:t>
      </w:r>
    </w:p>
    <w:p w14:paraId="3F4FB73A"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1</w:t>
      </w:r>
    </w:p>
    <w:p w14:paraId="70350D2D" w14:textId="77777777" w:rsidR="00000000" w:rsidRDefault="00EF48A2">
      <w:pPr>
        <w:rPr>
          <w:rFonts w:eastAsia="Times New Roman"/>
        </w:rPr>
      </w:pPr>
      <w:r>
        <w:rPr>
          <w:rFonts w:eastAsia="Times New Roman"/>
        </w:rPr>
        <w:pict w14:anchorId="4F867DCD">
          <v:rect id="_x0000_i1078" style="width:0;height:1.5pt" o:hralign="center" o:hrstd="t" o:hr="t" fillcolor="#a0a0a0" stroked="f"/>
        </w:pict>
      </w:r>
    </w:p>
    <w:p w14:paraId="3E4760C6"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3585549" w14:textId="77777777" w:rsidR="00000000" w:rsidRDefault="00EF48A2">
      <w:pPr>
        <w:pStyle w:val="a3"/>
        <w:spacing w:before="180" w:beforeAutospacing="0" w:after="0" w:afterAutospacing="0"/>
        <w:jc w:val="both"/>
        <w:rPr>
          <w:sz w:val="20"/>
          <w:szCs w:val="20"/>
        </w:rPr>
      </w:pPr>
      <w:r>
        <w:rPr>
          <w:sz w:val="20"/>
          <w:szCs w:val="20"/>
        </w:rPr>
        <w:t>previously recognized</w:t>
      </w:r>
      <w:r>
        <w:rPr>
          <w:sz w:val="20"/>
          <w:szCs w:val="20"/>
        </w:rPr>
        <w:t xml:space="preserve"> loss contingency, it is often not possible to reasonably estimate the size of the possible loss or range of loss or possible additional losses or range of additional losses. Should any of our estimates and assumptions change or prove to be incorrect, it c</w:t>
      </w:r>
      <w:r>
        <w:rPr>
          <w:sz w:val="20"/>
          <w:szCs w:val="20"/>
        </w:rPr>
        <w:t>ould have a material impact on our results of operations, financial position, and cash flows. See Note 7, “Commitments and Contingent Liabilities” in the notes to the consolidated financial statements for further details</w:t>
      </w:r>
      <w:r>
        <w:rPr>
          <w:sz w:val="20"/>
          <w:szCs w:val="20"/>
        </w:rPr>
        <w:t>.</w:t>
      </w:r>
    </w:p>
    <w:p w14:paraId="7ECCA4B0" w14:textId="77777777" w:rsidR="00000000" w:rsidRDefault="00EF48A2">
      <w:pPr>
        <w:pStyle w:val="a3"/>
        <w:spacing w:before="180" w:beforeAutospacing="0" w:after="0" w:afterAutospacing="0"/>
        <w:jc w:val="both"/>
        <w:rPr>
          <w:sz w:val="20"/>
          <w:szCs w:val="20"/>
        </w:rPr>
      </w:pPr>
      <w:r>
        <w:rPr>
          <w:sz w:val="20"/>
          <w:szCs w:val="20"/>
        </w:rPr>
        <w:t>Our commercial contract arrangemen</w:t>
      </w:r>
      <w:r>
        <w:rPr>
          <w:sz w:val="20"/>
          <w:szCs w:val="20"/>
        </w:rPr>
        <w:t>ts generally include certain provisions requiring us to indemnify clients against liabilities if there is a breach of a client’s data or if our service infringes a third party’s intellectual property rights. To date, we have not incurred any material costs</w:t>
      </w:r>
      <w:r>
        <w:rPr>
          <w:sz w:val="20"/>
          <w:szCs w:val="20"/>
        </w:rPr>
        <w:t xml:space="preserve"> as a result of such indemnifications</w:t>
      </w:r>
      <w:r>
        <w:rPr>
          <w:sz w:val="20"/>
          <w:szCs w:val="20"/>
        </w:rPr>
        <w:t>.</w:t>
      </w:r>
    </w:p>
    <w:p w14:paraId="0BD6E59B" w14:textId="77777777" w:rsidR="00000000" w:rsidRDefault="00EF48A2">
      <w:pPr>
        <w:pStyle w:val="a3"/>
        <w:spacing w:before="180" w:beforeAutospacing="0" w:after="0" w:afterAutospacing="0"/>
        <w:jc w:val="both"/>
        <w:rPr>
          <w:sz w:val="20"/>
          <w:szCs w:val="20"/>
        </w:rPr>
      </w:pPr>
      <w:r>
        <w:rPr>
          <w:sz w:val="20"/>
          <w:szCs w:val="20"/>
        </w:rPr>
        <w:t>We have also agreed to indemnify our officers and directors for costs associated with any fees, expenses, judgments, fines and settlement amounts incurred by any of these persons in any action or proceeding to which any of those persons is, or is threatene</w:t>
      </w:r>
      <w:r>
        <w:rPr>
          <w:sz w:val="20"/>
          <w:szCs w:val="20"/>
        </w:rPr>
        <w:t>d to be, made a party by reason of the person’s service as a director or officer, including any action by us, arising out of that person’s services as our director or officer or that person’s services provided to any other company or enterprise at our requ</w:t>
      </w:r>
      <w:r>
        <w:rPr>
          <w:sz w:val="20"/>
          <w:szCs w:val="20"/>
        </w:rPr>
        <w:t>est. We maintain director and officer liability insurance coverage that would generally enable us to recover a portion of any future amounts paid. We may also be subject to indemnification obligations by law with respect to the actions of our employees und</w:t>
      </w:r>
      <w:r>
        <w:rPr>
          <w:sz w:val="20"/>
          <w:szCs w:val="20"/>
        </w:rPr>
        <w:t>er certain circumstances and in certain jurisdictions</w:t>
      </w:r>
      <w:r>
        <w:rPr>
          <w:sz w:val="20"/>
          <w:szCs w:val="20"/>
        </w:rPr>
        <w:t>.</w:t>
      </w:r>
      <w:r>
        <w:rPr>
          <w:sz w:val="20"/>
          <w:szCs w:val="20"/>
        </w:rPr>
        <w:t xml:space="preserve"> </w:t>
      </w:r>
    </w:p>
    <w:p w14:paraId="4E3333EA" w14:textId="77777777" w:rsidR="00000000" w:rsidRDefault="00EF48A2">
      <w:pPr>
        <w:pStyle w:val="a3"/>
        <w:spacing w:before="24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14:paraId="1D5B7239" w14:textId="77777777" w:rsidR="00000000" w:rsidRDefault="00EF48A2">
      <w:pPr>
        <w:pStyle w:val="a3"/>
        <w:spacing w:before="180" w:beforeAutospacing="0" w:after="0" w:afterAutospacing="0"/>
        <w:jc w:val="both"/>
        <w:rPr>
          <w:sz w:val="20"/>
          <w:szCs w:val="20"/>
        </w:rPr>
      </w:pPr>
      <w:r>
        <w:rPr>
          <w:sz w:val="20"/>
          <w:szCs w:val="20"/>
        </w:rPr>
        <w:t xml:space="preserve">We do not invest in any off-balance sheet vehicles that provide liquidity, capital resources, market or credit risk support, or engage in any activities that expose us </w:t>
      </w:r>
      <w:r>
        <w:rPr>
          <w:sz w:val="20"/>
          <w:szCs w:val="20"/>
        </w:rPr>
        <w:t>to any liability that is not reflected in our consolidated financial statements</w:t>
      </w:r>
      <w:r>
        <w:rPr>
          <w:sz w:val="20"/>
          <w:szCs w:val="20"/>
        </w:rPr>
        <w:t>.</w:t>
      </w:r>
      <w:r>
        <w:rPr>
          <w:sz w:val="20"/>
          <w:szCs w:val="20"/>
        </w:rPr>
        <w:t xml:space="preserve"> </w:t>
      </w:r>
    </w:p>
    <w:p w14:paraId="5839C2DB" w14:textId="77777777" w:rsidR="00000000" w:rsidRDefault="00EF48A2">
      <w:pPr>
        <w:pStyle w:val="a3"/>
        <w:spacing w:before="240" w:beforeAutospacing="0" w:after="0" w:afterAutospacing="0"/>
        <w:rPr>
          <w:sz w:val="20"/>
          <w:szCs w:val="20"/>
        </w:rPr>
      </w:pPr>
      <w:r>
        <w:rPr>
          <w:b/>
          <w:bCs/>
          <w:i/>
          <w:iCs/>
          <w:sz w:val="20"/>
          <w:szCs w:val="20"/>
        </w:rPr>
        <w:t>Inflation Ris</w:t>
      </w:r>
      <w:r>
        <w:rPr>
          <w:b/>
          <w:bCs/>
          <w:i/>
          <w:iCs/>
          <w:sz w:val="20"/>
          <w:szCs w:val="20"/>
        </w:rPr>
        <w:t>k</w:t>
      </w:r>
      <w:r>
        <w:rPr>
          <w:b/>
          <w:bCs/>
          <w:i/>
          <w:iCs/>
          <w:sz w:val="20"/>
          <w:szCs w:val="20"/>
        </w:rPr>
        <w:t xml:space="preserve"> </w:t>
      </w:r>
    </w:p>
    <w:p w14:paraId="3AF536B5" w14:textId="77777777" w:rsidR="00000000" w:rsidRDefault="00EF48A2">
      <w:pPr>
        <w:pStyle w:val="a3"/>
        <w:spacing w:before="180" w:beforeAutospacing="0" w:after="0" w:afterAutospacing="0"/>
        <w:jc w:val="both"/>
        <w:rPr>
          <w:sz w:val="20"/>
          <w:szCs w:val="20"/>
        </w:rPr>
      </w:pPr>
      <w:r>
        <w:rPr>
          <w:sz w:val="20"/>
          <w:szCs w:val="20"/>
        </w:rPr>
        <w:t xml:space="preserve">We do not believe that inflation has had a material effect on our business, financial condition or results of operations. If our costs were to become subject </w:t>
      </w:r>
      <w:r>
        <w:rPr>
          <w:sz w:val="20"/>
          <w:szCs w:val="20"/>
        </w:rPr>
        <w:t>to significant inflationary pressures, we may not be able to fully offset such higher costs through price increases. Our inability or failure to do so could harm our business, financial condition or results of operations</w:t>
      </w:r>
      <w:r>
        <w:rPr>
          <w:sz w:val="20"/>
          <w:szCs w:val="20"/>
        </w:rPr>
        <w:t>.</w:t>
      </w:r>
    </w:p>
    <w:p w14:paraId="6C408DDA" w14:textId="77777777" w:rsidR="00000000" w:rsidRDefault="00EF48A2">
      <w:pPr>
        <w:pStyle w:val="a3"/>
        <w:spacing w:before="240" w:beforeAutospacing="0" w:after="0" w:afterAutospacing="0"/>
        <w:jc w:val="both"/>
        <w:rPr>
          <w:sz w:val="20"/>
          <w:szCs w:val="20"/>
        </w:rPr>
      </w:pPr>
      <w:r>
        <w:rPr>
          <w:b/>
          <w:bCs/>
          <w:sz w:val="20"/>
          <w:szCs w:val="20"/>
        </w:rPr>
        <w:t>Critical Accounting Policies and E</w:t>
      </w:r>
      <w:r>
        <w:rPr>
          <w:b/>
          <w:bCs/>
          <w:sz w:val="20"/>
          <w:szCs w:val="20"/>
        </w:rPr>
        <w:t>stimate</w:t>
      </w:r>
      <w:r>
        <w:rPr>
          <w:b/>
          <w:bCs/>
          <w:sz w:val="20"/>
          <w:szCs w:val="20"/>
        </w:rPr>
        <w:t>s</w:t>
      </w:r>
    </w:p>
    <w:p w14:paraId="038EC4B5" w14:textId="77777777" w:rsidR="00000000" w:rsidRDefault="00EF48A2">
      <w:pPr>
        <w:pStyle w:val="a3"/>
        <w:spacing w:before="180" w:beforeAutospacing="0" w:after="0" w:afterAutospacing="0"/>
        <w:jc w:val="both"/>
        <w:rPr>
          <w:sz w:val="20"/>
          <w:szCs w:val="20"/>
        </w:rPr>
      </w:pPr>
      <w:r>
        <w:rPr>
          <w:sz w:val="20"/>
          <w:szCs w:val="20"/>
        </w:rPr>
        <w:t>The Company's accounting estimates are essential to understanding and interpreting the financial results reported on the consolidated financial statements. The significant accounting policies used in the preparation of the Company's consolidated f</w:t>
      </w:r>
      <w:r>
        <w:rPr>
          <w:sz w:val="20"/>
          <w:szCs w:val="20"/>
        </w:rPr>
        <w:t>inancial statements are summarized in note 2 to those statements. Certain of those policies are considered to be particularly important to the presentation of the Company's financial results because they require management to make difficult, complex or sub</w:t>
      </w:r>
      <w:r>
        <w:rPr>
          <w:sz w:val="20"/>
          <w:szCs w:val="20"/>
        </w:rPr>
        <w:t>jective judgments, often as a result of matters that are inherently uncertain. The following is a discussion of these estimates</w:t>
      </w:r>
      <w:r>
        <w:rPr>
          <w:sz w:val="20"/>
          <w:szCs w:val="20"/>
        </w:rPr>
        <w:t>:</w:t>
      </w:r>
    </w:p>
    <w:p w14:paraId="171D056F" w14:textId="77777777" w:rsidR="00000000" w:rsidRDefault="00EF48A2">
      <w:pPr>
        <w:pStyle w:val="a3"/>
        <w:spacing w:before="240" w:beforeAutospacing="0" w:after="0" w:afterAutospacing="0"/>
        <w:jc w:val="both"/>
        <w:rPr>
          <w:sz w:val="20"/>
          <w:szCs w:val="20"/>
        </w:rPr>
      </w:pPr>
      <w:r>
        <w:rPr>
          <w:b/>
          <w:bCs/>
          <w:i/>
          <w:iCs/>
          <w:sz w:val="20"/>
          <w:szCs w:val="20"/>
          <w:u w:val="single"/>
        </w:rPr>
        <w:t>Revenue Recognitio</w:t>
      </w:r>
      <w:r>
        <w:rPr>
          <w:b/>
          <w:bCs/>
          <w:i/>
          <w:iCs/>
          <w:sz w:val="20"/>
          <w:szCs w:val="20"/>
          <w:u w:val="single"/>
        </w:rPr>
        <w:t>n</w:t>
      </w:r>
    </w:p>
    <w:p w14:paraId="4F663735" w14:textId="77777777" w:rsidR="00000000" w:rsidRDefault="00EF48A2">
      <w:pPr>
        <w:pStyle w:val="a3"/>
        <w:spacing w:before="180" w:beforeAutospacing="0" w:after="0" w:afterAutospacing="0"/>
        <w:jc w:val="both"/>
        <w:rPr>
          <w:sz w:val="20"/>
          <w:szCs w:val="20"/>
        </w:rPr>
      </w:pPr>
      <w:r>
        <w:rPr>
          <w:sz w:val="20"/>
          <w:szCs w:val="20"/>
        </w:rPr>
        <w:t>The Company recognizes revenues in accordance with ASC 606, “Revenue from Contracts with Customers”. As suc</w:t>
      </w:r>
      <w:r>
        <w:rPr>
          <w:sz w:val="20"/>
          <w:szCs w:val="20"/>
        </w:rPr>
        <w:t xml:space="preserve">h, the Company identifies a contract with a customer, identifies the performance obligations in the contract, determines the transaction price, allocates the transaction price to each performance obligation in the contract and recognizes revenues when (or </w:t>
      </w:r>
      <w:r>
        <w:rPr>
          <w:sz w:val="20"/>
          <w:szCs w:val="20"/>
        </w:rPr>
        <w:t>as) the Company satisfies a performance obligation. A contract with a customer exists only when the parties to the contract have approved it and are committed to perform their respective obligations, the Company can identify each party’s rights regarding t</w:t>
      </w:r>
      <w:r>
        <w:rPr>
          <w:sz w:val="20"/>
          <w:szCs w:val="20"/>
        </w:rPr>
        <w:t>he distinct services to be transferred (“performance obligations”), the Company can determine the transaction price for the services to be transferred, the contract has commercial substance and it is probable that the Company will collect the consideration</w:t>
      </w:r>
      <w:r>
        <w:rPr>
          <w:sz w:val="20"/>
          <w:szCs w:val="20"/>
        </w:rPr>
        <w:t xml:space="preserve"> to which it will be entitled in exchange for the services that will be transferred to the customer</w:t>
      </w:r>
      <w:r>
        <w:rPr>
          <w:sz w:val="20"/>
          <w:szCs w:val="20"/>
        </w:rPr>
        <w:t>.</w:t>
      </w:r>
    </w:p>
    <w:p w14:paraId="1F60DBD3" w14:textId="77777777" w:rsidR="00000000" w:rsidRDefault="00EF48A2">
      <w:pPr>
        <w:pStyle w:val="a3"/>
        <w:spacing w:before="180" w:beforeAutospacing="0" w:after="0" w:afterAutospacing="0"/>
        <w:jc w:val="both"/>
        <w:rPr>
          <w:sz w:val="20"/>
          <w:szCs w:val="20"/>
        </w:rPr>
      </w:pPr>
      <w:r>
        <w:rPr>
          <w:sz w:val="20"/>
          <w:szCs w:val="20"/>
        </w:rPr>
        <w:t xml:space="preserve">Revenues are recognized when the Company satisfies its performance obligation to perform its defined contractual obligations to provide virtual behavioral </w:t>
      </w:r>
      <w:r>
        <w:rPr>
          <w:sz w:val="20"/>
          <w:szCs w:val="20"/>
        </w:rPr>
        <w:t>healthcare services. The transaction price is determined based on the consideration to which the Company will be entitled in exchange for the service rendered. To the extent the transaction price includes variable consideration, the Company estimates the a</w:t>
      </w:r>
      <w:r>
        <w:rPr>
          <w:sz w:val="20"/>
          <w:szCs w:val="20"/>
        </w:rPr>
        <w:t>mount of variable consideration that is included in the transaction price using the expected value method, as this method best predicts the amount of consideration to which the Company will be entitled based on the terms of its contracts. Variable consider</w:t>
      </w:r>
      <w:r>
        <w:rPr>
          <w:sz w:val="20"/>
          <w:szCs w:val="20"/>
        </w:rPr>
        <w:t>ation is included in the transaction price if it is probable that a significant reversal of cumulative revenue recognized will not occur when the uncertainty associated with the variable consideration is subsequently resolved. The Company determines its es</w:t>
      </w:r>
      <w:r>
        <w:rPr>
          <w:sz w:val="20"/>
          <w:szCs w:val="20"/>
        </w:rPr>
        <w:t>timate of variable consideration primarily based on actual historical collection experience for each insurance payor over a twelve-month period</w:t>
      </w:r>
      <w:r>
        <w:rPr>
          <w:sz w:val="20"/>
          <w:szCs w:val="20"/>
        </w:rPr>
        <w:t>.</w:t>
      </w:r>
    </w:p>
    <w:p w14:paraId="61DDF2E2"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2</w:t>
      </w:r>
    </w:p>
    <w:p w14:paraId="1ABBC203" w14:textId="77777777" w:rsidR="00000000" w:rsidRDefault="00EF48A2">
      <w:pPr>
        <w:rPr>
          <w:rFonts w:eastAsia="Times New Roman"/>
        </w:rPr>
      </w:pPr>
      <w:r>
        <w:rPr>
          <w:rFonts w:eastAsia="Times New Roman"/>
        </w:rPr>
        <w:pict w14:anchorId="75950B45">
          <v:rect id="_x0000_i1079" style="width:0;height:1.5pt" o:hralign="center" o:hrstd="t" o:hr="t" fillcolor="#a0a0a0" stroked="f"/>
        </w:pict>
      </w:r>
    </w:p>
    <w:p w14:paraId="300EB4DF"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3F3DA94D" w14:textId="77777777" w:rsidR="00000000" w:rsidRDefault="00EF48A2">
      <w:pPr>
        <w:pStyle w:val="a3"/>
        <w:spacing w:before="240" w:beforeAutospacing="0" w:after="0" w:afterAutospacing="0"/>
        <w:jc w:val="both"/>
        <w:rPr>
          <w:sz w:val="20"/>
          <w:szCs w:val="20"/>
        </w:rPr>
      </w:pPr>
      <w:r>
        <w:rPr>
          <w:b/>
          <w:bCs/>
          <w:i/>
          <w:iCs/>
          <w:sz w:val="20"/>
          <w:szCs w:val="20"/>
          <w:u w:val="single"/>
        </w:rPr>
        <w:t>Warrant Liabilitie</w:t>
      </w:r>
      <w:r>
        <w:rPr>
          <w:b/>
          <w:bCs/>
          <w:i/>
          <w:iCs/>
          <w:sz w:val="20"/>
          <w:szCs w:val="20"/>
          <w:u w:val="single"/>
        </w:rPr>
        <w:t>s</w:t>
      </w:r>
    </w:p>
    <w:p w14:paraId="3B94C417" w14:textId="77777777" w:rsidR="00000000" w:rsidRDefault="00EF48A2">
      <w:pPr>
        <w:pStyle w:val="a3"/>
        <w:spacing w:before="180" w:beforeAutospacing="0" w:after="0" w:afterAutospacing="0"/>
        <w:jc w:val="both"/>
        <w:rPr>
          <w:sz w:val="20"/>
          <w:szCs w:val="20"/>
        </w:rPr>
      </w:pPr>
      <w:r>
        <w:rPr>
          <w:sz w:val="20"/>
          <w:szCs w:val="20"/>
        </w:rPr>
        <w:t xml:space="preserve">In </w:t>
      </w:r>
      <w:r>
        <w:rPr>
          <w:sz w:val="20"/>
          <w:szCs w:val="20"/>
        </w:rPr>
        <w:t>connection with the consummation of the Business Combination, the Company acquired Private Placement Warrants from HEC. Additionally, there were Private Placement Warrants that were issued related to the closing of the Forward Purchase Agreement with the H</w:t>
      </w:r>
      <w:r>
        <w:rPr>
          <w:sz w:val="20"/>
          <w:szCs w:val="20"/>
        </w:rPr>
        <w:t>EC Fund. The Private Placement Warrants are accounted for as liabilities in accordance with ASC 815-40 and are presented within warrant liabilities in the accompanying consolidated balance sheets. The warrant liabilities are measured at fair value at incep</w:t>
      </w:r>
      <w:r>
        <w:rPr>
          <w:sz w:val="20"/>
          <w:szCs w:val="20"/>
        </w:rPr>
        <w:t>tion and on a recurring basis, with changes in fair value presented within financial (income), net in the consolidated statement of operations. The Private Placement Warrants were valued using the Black-Scholes-Merton Model, which is considered to be a Lev</w:t>
      </w:r>
      <w:r>
        <w:rPr>
          <w:sz w:val="20"/>
          <w:szCs w:val="20"/>
        </w:rPr>
        <w:t>el 3 fair value measurement. The primary unobservable input utilized in determining the fair value of the Private Placement Warrants is the expected volatility of the Company’s common stock</w:t>
      </w:r>
      <w:r>
        <w:rPr>
          <w:sz w:val="20"/>
          <w:szCs w:val="20"/>
        </w:rPr>
        <w:t>.</w:t>
      </w:r>
    </w:p>
    <w:p w14:paraId="55338D62" w14:textId="77777777" w:rsidR="00000000" w:rsidRDefault="00EF48A2">
      <w:pPr>
        <w:pStyle w:val="a3"/>
        <w:spacing w:before="240" w:beforeAutospacing="0" w:after="0" w:afterAutospacing="0"/>
        <w:jc w:val="both"/>
        <w:rPr>
          <w:sz w:val="20"/>
          <w:szCs w:val="20"/>
        </w:rPr>
      </w:pPr>
      <w:r>
        <w:rPr>
          <w:b/>
          <w:bCs/>
          <w:i/>
          <w:iCs/>
          <w:sz w:val="20"/>
          <w:szCs w:val="20"/>
          <w:u w:val="single"/>
        </w:rPr>
        <w:t>Stock-based Compensatio</w:t>
      </w:r>
      <w:r>
        <w:rPr>
          <w:b/>
          <w:bCs/>
          <w:i/>
          <w:iCs/>
          <w:sz w:val="20"/>
          <w:szCs w:val="20"/>
          <w:u w:val="single"/>
        </w:rPr>
        <w:t>n</w:t>
      </w:r>
    </w:p>
    <w:p w14:paraId="35C3B913" w14:textId="77777777" w:rsidR="00000000" w:rsidRDefault="00EF48A2">
      <w:pPr>
        <w:pStyle w:val="a3"/>
        <w:spacing w:before="180" w:beforeAutospacing="0" w:after="0" w:afterAutospacing="0"/>
        <w:jc w:val="both"/>
        <w:rPr>
          <w:sz w:val="20"/>
          <w:szCs w:val="20"/>
        </w:rPr>
      </w:pPr>
      <w:r>
        <w:rPr>
          <w:sz w:val="20"/>
          <w:szCs w:val="20"/>
        </w:rPr>
        <w:t xml:space="preserve">We account for stock-based compensation </w:t>
      </w:r>
      <w:r>
        <w:rPr>
          <w:sz w:val="20"/>
          <w:szCs w:val="20"/>
        </w:rPr>
        <w:t>in accordance with ASC No. 718, “Compensation—Stock Compensation” which requires equity-based awards to be measured at fair value on the grant date and the resulting compensation cost to be recognized over the requisite service period</w:t>
      </w:r>
      <w:r>
        <w:rPr>
          <w:sz w:val="20"/>
          <w:szCs w:val="20"/>
        </w:rPr>
        <w:t>.</w:t>
      </w:r>
      <w:r>
        <w:rPr>
          <w:sz w:val="20"/>
          <w:szCs w:val="20"/>
        </w:rPr>
        <w:t xml:space="preserve"> </w:t>
      </w:r>
    </w:p>
    <w:p w14:paraId="309FEAE4" w14:textId="77777777" w:rsidR="00000000" w:rsidRDefault="00EF48A2">
      <w:pPr>
        <w:pStyle w:val="a3"/>
        <w:spacing w:before="180" w:beforeAutospacing="0" w:after="0" w:afterAutospacing="0"/>
        <w:jc w:val="both"/>
        <w:rPr>
          <w:sz w:val="20"/>
          <w:szCs w:val="20"/>
        </w:rPr>
      </w:pPr>
      <w:r>
        <w:rPr>
          <w:sz w:val="20"/>
          <w:szCs w:val="20"/>
        </w:rPr>
        <w:t>ASC No. 718 require</w:t>
      </w:r>
      <w:r>
        <w:rPr>
          <w:sz w:val="20"/>
          <w:szCs w:val="20"/>
        </w:rPr>
        <w:t>s companies to estimate the fair value of stock options awards using an option-pricing model. We have selected the Black-Scholes-Merton option pricing model as the most appropriate fair value method for our stock-options awards. The option-pricing model re</w:t>
      </w:r>
      <w:r>
        <w:rPr>
          <w:sz w:val="20"/>
          <w:szCs w:val="20"/>
        </w:rPr>
        <w:t>quires a number of assumptions, of which the most significant are the expected stock price volatility and the expected option term. Expected volatility was calculated based upon the Company's historical share price movements as well as similar traded compa</w:t>
      </w:r>
      <w:r>
        <w:rPr>
          <w:sz w:val="20"/>
          <w:szCs w:val="20"/>
        </w:rPr>
        <w:t>nies’ historical share price movements as adequate historical experience is not available to provide a reasonable estimate based only on the Company's share price. Expected term is calculated based on the simplified method as adequate historical experience</w:t>
      </w:r>
      <w:r>
        <w:rPr>
          <w:sz w:val="20"/>
          <w:szCs w:val="20"/>
        </w:rPr>
        <w:t xml:space="preserve"> is not available to provide a reasonable estimate. The simplified method will continue to apply until enough historical experience is available to provide a reasonable estimate of the expected term. The risk-free interest rate is calculated based on the y</w:t>
      </w:r>
      <w:r>
        <w:rPr>
          <w:sz w:val="20"/>
          <w:szCs w:val="20"/>
        </w:rPr>
        <w:t>ield from U.S. Treasury zero-coupon bonds with an equivalent term. We have historically not paid dividends and have no foreseeable plans to pay dividends. We recognize forfeitures of awards as they occur</w:t>
      </w:r>
      <w:r>
        <w:rPr>
          <w:sz w:val="20"/>
          <w:szCs w:val="20"/>
        </w:rPr>
        <w:t>.</w:t>
      </w:r>
    </w:p>
    <w:p w14:paraId="0202F045" w14:textId="77777777" w:rsidR="00000000" w:rsidRDefault="00EF48A2">
      <w:pPr>
        <w:pStyle w:val="a3"/>
        <w:spacing w:before="240" w:beforeAutospacing="0" w:after="0" w:afterAutospacing="0"/>
        <w:jc w:val="both"/>
        <w:rPr>
          <w:sz w:val="20"/>
          <w:szCs w:val="20"/>
        </w:rPr>
      </w:pPr>
      <w:r>
        <w:rPr>
          <w:b/>
          <w:bCs/>
          <w:i/>
          <w:iCs/>
          <w:sz w:val="20"/>
          <w:szCs w:val="20"/>
          <w:u w:val="single"/>
        </w:rPr>
        <w:t>Goodwil</w:t>
      </w:r>
      <w:r>
        <w:rPr>
          <w:b/>
          <w:bCs/>
          <w:i/>
          <w:iCs/>
          <w:sz w:val="20"/>
          <w:szCs w:val="20"/>
          <w:u w:val="single"/>
        </w:rPr>
        <w:t>l</w:t>
      </w:r>
    </w:p>
    <w:p w14:paraId="45C82676" w14:textId="77777777" w:rsidR="00000000" w:rsidRDefault="00EF48A2">
      <w:pPr>
        <w:pStyle w:val="a3"/>
        <w:spacing w:before="180" w:beforeAutospacing="0" w:after="0" w:afterAutospacing="0"/>
        <w:jc w:val="both"/>
        <w:rPr>
          <w:sz w:val="20"/>
          <w:szCs w:val="20"/>
        </w:rPr>
      </w:pPr>
      <w:r>
        <w:rPr>
          <w:sz w:val="20"/>
          <w:szCs w:val="20"/>
        </w:rPr>
        <w:t>Goodwill represents the excess of the tota</w:t>
      </w:r>
      <w:r>
        <w:rPr>
          <w:sz w:val="20"/>
          <w:szCs w:val="20"/>
        </w:rPr>
        <w:t>l purchase consideration over the fair value of the identifiable assets acquired and liabilities assumed in a business combination. In accordance with ASC 350, we test goodwill for impairment at least on an annual basis or more frequently if events or chan</w:t>
      </w:r>
      <w:r>
        <w:rPr>
          <w:sz w:val="20"/>
          <w:szCs w:val="20"/>
        </w:rPr>
        <w:t>ges in circumstances indicate that the fair value of the reporting unit may be reduced below its carrying value</w:t>
      </w:r>
      <w:r>
        <w:rPr>
          <w:sz w:val="20"/>
          <w:szCs w:val="20"/>
        </w:rPr>
        <w:t>.</w:t>
      </w:r>
      <w:r>
        <w:rPr>
          <w:sz w:val="20"/>
          <w:szCs w:val="20"/>
        </w:rPr>
        <w:t xml:space="preserve"> </w:t>
      </w:r>
    </w:p>
    <w:p w14:paraId="2A785AD5" w14:textId="77777777" w:rsidR="00000000" w:rsidRDefault="00EF48A2">
      <w:pPr>
        <w:pStyle w:val="a3"/>
        <w:spacing w:before="180" w:beforeAutospacing="0" w:after="0" w:afterAutospacing="0"/>
        <w:jc w:val="both"/>
        <w:rPr>
          <w:sz w:val="20"/>
          <w:szCs w:val="20"/>
        </w:rPr>
      </w:pPr>
      <w:r>
        <w:rPr>
          <w:sz w:val="20"/>
          <w:szCs w:val="20"/>
        </w:rPr>
        <w:t>When testing goodwill for impairment, we have the option of first performing a qualitative assessment to determine whether it is more likely t</w:t>
      </w:r>
      <w:r>
        <w:rPr>
          <w:sz w:val="20"/>
          <w:szCs w:val="20"/>
        </w:rPr>
        <w:t>han not that the fair value of our reporting unit is less than its carrying amount. If we elect to bypass the qualitative assessment, or if a qualitative assessment indicates it is more likely than not that carrying value exceeds its fair value, we perform</w:t>
      </w:r>
      <w:r>
        <w:rPr>
          <w:sz w:val="20"/>
          <w:szCs w:val="20"/>
        </w:rPr>
        <w:t xml:space="preserve"> a quantitative goodwill impairment test. Under the quantitative goodwill impairment test, if our reporting unit’s carrying amount exceeds its fair value, we will record an impairment charge equal to the excess but limited to the total amount of goodwill. </w:t>
      </w:r>
      <w:r>
        <w:rPr>
          <w:sz w:val="20"/>
          <w:szCs w:val="20"/>
        </w:rPr>
        <w:t>As part of our annual goodwill impairment tests performed for the year ended December 31, 2022, the Company recognized an impairment charge of $6.1 million. See Note 4, "Goodwill" in the notes to the consolidated financial statements for further details</w:t>
      </w:r>
      <w:r>
        <w:rPr>
          <w:sz w:val="20"/>
          <w:szCs w:val="20"/>
        </w:rPr>
        <w:t>.</w:t>
      </w:r>
    </w:p>
    <w:p w14:paraId="66415F50" w14:textId="77777777" w:rsidR="00000000" w:rsidRDefault="00EF48A2">
      <w:pPr>
        <w:pStyle w:val="a3"/>
        <w:spacing w:before="240" w:beforeAutospacing="0" w:after="0" w:afterAutospacing="0"/>
        <w:rPr>
          <w:sz w:val="20"/>
          <w:szCs w:val="20"/>
        </w:rPr>
      </w:pPr>
      <w:r>
        <w:rPr>
          <w:b/>
          <w:bCs/>
          <w:sz w:val="20"/>
          <w:szCs w:val="20"/>
        </w:rPr>
        <w:t>R</w:t>
      </w:r>
      <w:r>
        <w:rPr>
          <w:b/>
          <w:bCs/>
          <w:sz w:val="20"/>
          <w:szCs w:val="20"/>
        </w:rPr>
        <w:t>ecent Accounting Pronouncement</w:t>
      </w:r>
      <w:r>
        <w:rPr>
          <w:b/>
          <w:bCs/>
          <w:sz w:val="20"/>
          <w:szCs w:val="20"/>
        </w:rPr>
        <w:t>s</w:t>
      </w:r>
      <w:r>
        <w:rPr>
          <w:b/>
          <w:bCs/>
          <w:sz w:val="20"/>
          <w:szCs w:val="20"/>
        </w:rPr>
        <w:t xml:space="preserve"> </w:t>
      </w:r>
    </w:p>
    <w:p w14:paraId="74F27A45" w14:textId="77777777" w:rsidR="00000000" w:rsidRDefault="00EF48A2">
      <w:pPr>
        <w:pStyle w:val="a3"/>
        <w:spacing w:before="180" w:beforeAutospacing="0" w:after="0" w:afterAutospacing="0"/>
        <w:jc w:val="both"/>
        <w:rPr>
          <w:sz w:val="20"/>
          <w:szCs w:val="20"/>
        </w:rPr>
      </w:pPr>
      <w:r>
        <w:rPr>
          <w:sz w:val="20"/>
          <w:szCs w:val="20"/>
        </w:rPr>
        <w:t>See Note 2, “Summary of Significant Accounting Policies and Estimates” in the notes to the consolidated financial statements for information regarding recent accounting developments and their impact on our results</w:t>
      </w:r>
      <w:r>
        <w:rPr>
          <w:sz w:val="20"/>
          <w:szCs w:val="20"/>
        </w:rPr>
        <w:t>.</w:t>
      </w:r>
    </w:p>
    <w:p w14:paraId="15498CB9" w14:textId="77777777" w:rsidR="00000000" w:rsidRDefault="00EF48A2">
      <w:pPr>
        <w:pStyle w:val="a3"/>
        <w:spacing w:before="0" w:beforeAutospacing="0" w:after="0" w:afterAutospacing="0"/>
        <w:rPr>
          <w:sz w:val="20"/>
          <w:szCs w:val="20"/>
        </w:rPr>
      </w:pPr>
      <w:r>
        <w:rPr>
          <w:sz w:val="20"/>
          <w:szCs w:val="20"/>
        </w:rPr>
        <w:t> </w:t>
      </w:r>
    </w:p>
    <w:p w14:paraId="41A85F29"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3</w:t>
      </w:r>
    </w:p>
    <w:p w14:paraId="73578C72" w14:textId="77777777" w:rsidR="00000000" w:rsidRDefault="00EF48A2">
      <w:pPr>
        <w:rPr>
          <w:rFonts w:eastAsia="Times New Roman"/>
        </w:rPr>
      </w:pPr>
      <w:r>
        <w:rPr>
          <w:rFonts w:eastAsia="Times New Roman"/>
        </w:rPr>
        <w:pict w14:anchorId="71DE422F">
          <v:rect id="_x0000_i1080" style="width:0;height:1.5pt" o:hralign="center" o:hrstd="t" o:hr="t" fillcolor="#a0a0a0" stroked="f"/>
        </w:pict>
      </w:r>
    </w:p>
    <w:p w14:paraId="00B3E87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0EA5BED" w14:textId="77777777" w:rsidR="00000000" w:rsidRDefault="00EF48A2">
      <w:pPr>
        <w:pStyle w:val="a3"/>
        <w:spacing w:before="360" w:beforeAutospacing="0" w:after="0" w:afterAutospacing="0"/>
        <w:jc w:val="center"/>
        <w:rPr>
          <w:sz w:val="20"/>
          <w:szCs w:val="20"/>
        </w:rPr>
      </w:pPr>
      <w:r>
        <w:rPr>
          <w:b/>
          <w:bCs/>
          <w:sz w:val="20"/>
          <w:szCs w:val="20"/>
        </w:rPr>
        <w:t>FORWARD-LOOKING STATEMENT</w:t>
      </w:r>
      <w:r>
        <w:rPr>
          <w:b/>
          <w:bCs/>
          <w:sz w:val="20"/>
          <w:szCs w:val="20"/>
        </w:rPr>
        <w:t>S</w:t>
      </w:r>
    </w:p>
    <w:p w14:paraId="09D55125" w14:textId="77777777" w:rsidR="00000000" w:rsidRDefault="00EF48A2">
      <w:pPr>
        <w:pStyle w:val="a3"/>
        <w:spacing w:before="0" w:beforeAutospacing="0" w:after="0" w:afterAutospacing="0"/>
        <w:jc w:val="center"/>
        <w:rPr>
          <w:sz w:val="20"/>
          <w:szCs w:val="20"/>
        </w:rPr>
      </w:pPr>
      <w:r>
        <w:rPr>
          <w:sz w:val="20"/>
          <w:szCs w:val="20"/>
        </w:rPr>
        <w:t> </w:t>
      </w:r>
    </w:p>
    <w:p w14:paraId="5796A057" w14:textId="77777777" w:rsidR="00000000" w:rsidRDefault="00EF48A2">
      <w:pPr>
        <w:pStyle w:val="a3"/>
        <w:spacing w:before="0" w:beforeAutospacing="0" w:after="0" w:afterAutospacing="0"/>
        <w:jc w:val="both"/>
        <w:rPr>
          <w:sz w:val="20"/>
          <w:szCs w:val="20"/>
        </w:rPr>
      </w:pPr>
      <w:r>
        <w:rPr>
          <w:sz w:val="20"/>
          <w:szCs w:val="20"/>
        </w:rPr>
        <w:t>This Annual Report on Form 10-K contains forward-looking statements. We intend such forward-looking statements to be covered by the safe harbor provisions for forward-looking statements contained in Section 27A of the Securities Act of 1933, as amended (th</w:t>
      </w:r>
      <w:r>
        <w:rPr>
          <w:sz w:val="20"/>
          <w:szCs w:val="20"/>
        </w:rPr>
        <w:t>e “Securities Act”), and Section 21E of the Securities Exchange Act of 1934, as amended (the “Exchange Act”). All statements other than statements of historical facts contained in this Annual Report on Form 10-K may be forward-looking statements. In some c</w:t>
      </w:r>
      <w:r>
        <w:rPr>
          <w:sz w:val="20"/>
          <w:szCs w:val="20"/>
        </w:rPr>
        <w:t>ases, you can identify forward-looking statements by terms such as “may,” “will,” “should,” “expects,” “plans,” “anticipates,” “could,” “intends,” “targets,” “projects,” “contemplates,” “believes,” “estimates,” “forecasts,” “predicts,” “potential” or “cont</w:t>
      </w:r>
      <w:r>
        <w:rPr>
          <w:sz w:val="20"/>
          <w:szCs w:val="20"/>
        </w:rPr>
        <w:t>inue” or the negative of these terms or other similar expressions. Forward-looking statements contained in this Annual Report on Form 10-K include, but are not limited to, statements regarding our future results of operations and financial position, indust</w:t>
      </w:r>
      <w:r>
        <w:rPr>
          <w:sz w:val="20"/>
          <w:szCs w:val="20"/>
        </w:rPr>
        <w:t>ry and business trends, stock-based compensation, revenue recognition, business strategy, plans and market growth</w:t>
      </w:r>
      <w:r>
        <w:rPr>
          <w:sz w:val="20"/>
          <w:szCs w:val="20"/>
        </w:rPr>
        <w:t>.</w:t>
      </w:r>
    </w:p>
    <w:p w14:paraId="48920C06" w14:textId="77777777" w:rsidR="00000000" w:rsidRDefault="00EF48A2">
      <w:pPr>
        <w:pStyle w:val="a3"/>
        <w:spacing w:before="180" w:beforeAutospacing="0" w:after="0" w:afterAutospacing="0"/>
        <w:jc w:val="both"/>
        <w:rPr>
          <w:sz w:val="20"/>
          <w:szCs w:val="20"/>
        </w:rPr>
      </w:pPr>
      <w:r>
        <w:rPr>
          <w:sz w:val="20"/>
          <w:szCs w:val="20"/>
        </w:rPr>
        <w:t>The forward-looking statements in this Annual Report on Form 10-K and other such statements we publicly make from time-to-time are only predi</w:t>
      </w:r>
      <w:r>
        <w:rPr>
          <w:sz w:val="20"/>
          <w:szCs w:val="20"/>
        </w:rPr>
        <w:t>ctions. We base these forward-looking statements largely on our current expectations and projections about future events and financial trends that we believe may affect our business, financial condition, and results of operations. Forward-looking statement</w:t>
      </w:r>
      <w:r>
        <w:rPr>
          <w:sz w:val="20"/>
          <w:szCs w:val="20"/>
        </w:rPr>
        <w:t>s involve known and unknown risks, uncertainties and other important factors that may cause our actual results, performance or achievements to be materially different from any future results, performance or achievements expressed or implied by the forward-</w:t>
      </w:r>
      <w:r>
        <w:rPr>
          <w:sz w:val="20"/>
          <w:szCs w:val="20"/>
        </w:rPr>
        <w:t>looking statements, including, but not limited to, the important factors discussed in Part I, Item 1A, “Risk Factors” in this Annual Report on Form 10-K for the fiscal year ended December 31, 2022. The forward-looking statements in this Annual Report on Fo</w:t>
      </w:r>
      <w:r>
        <w:rPr>
          <w:sz w:val="20"/>
          <w:szCs w:val="20"/>
        </w:rPr>
        <w:t>rm 10-K are based upon information available to us as of the date of this Annual Report on Form 10-K, and while we believe such information forms a reasonable basis for such statements, such information may be limited or incomplete, and our statements shou</w:t>
      </w:r>
      <w:r>
        <w:rPr>
          <w:sz w:val="20"/>
          <w:szCs w:val="20"/>
        </w:rPr>
        <w:t>ld not be read to indicate that we have conducted an exhaustive inquiry into, or review of, all potentially available relevant information. These statements are inherently uncertain and investors are cautioned not to unduly rely upon these statements</w:t>
      </w:r>
      <w:r>
        <w:rPr>
          <w:sz w:val="20"/>
          <w:szCs w:val="20"/>
        </w:rPr>
        <w:t>.</w:t>
      </w:r>
    </w:p>
    <w:p w14:paraId="25E41F3E" w14:textId="77777777" w:rsidR="00000000" w:rsidRDefault="00EF48A2">
      <w:pPr>
        <w:pStyle w:val="a3"/>
        <w:spacing w:before="180" w:beforeAutospacing="0" w:after="0" w:afterAutospacing="0"/>
        <w:jc w:val="both"/>
        <w:rPr>
          <w:sz w:val="20"/>
          <w:szCs w:val="20"/>
        </w:rPr>
      </w:pPr>
      <w:r>
        <w:rPr>
          <w:sz w:val="20"/>
          <w:szCs w:val="20"/>
        </w:rPr>
        <w:t>This</w:t>
      </w:r>
      <w:r>
        <w:rPr>
          <w:sz w:val="20"/>
          <w:szCs w:val="20"/>
        </w:rPr>
        <w:t xml:space="preserve"> Annual Report on Form 10-K and the documents that we reference herein and have filed as exhibits to this Annual Report on Form 10-K should be read with the understanding that our actual future results, levels of activity, performance and achievements may </w:t>
      </w:r>
      <w:r>
        <w:rPr>
          <w:sz w:val="20"/>
          <w:szCs w:val="20"/>
        </w:rPr>
        <w:t>be materially different from what we expect. We qualify all of our forward-looking statements by these cautionary statements. These forward-looking statements speak only as of the date of this Annual Report on Form 10-K. Except as required by applicable la</w:t>
      </w:r>
      <w:r>
        <w:rPr>
          <w:sz w:val="20"/>
          <w:szCs w:val="20"/>
        </w:rPr>
        <w:t>w, we do not plan to publicly update or revise any forward-looking statements contained in this Annual Report on Form 10-K or any forward-looking statements we may publicly make from time-to-time, whether as a result of any new information, future events o</w:t>
      </w:r>
      <w:r>
        <w:rPr>
          <w:sz w:val="20"/>
          <w:szCs w:val="20"/>
        </w:rPr>
        <w:t>r otherwise</w:t>
      </w:r>
      <w:r>
        <w:rPr>
          <w:sz w:val="20"/>
          <w:szCs w:val="20"/>
        </w:rPr>
        <w:t>.</w:t>
      </w:r>
    </w:p>
    <w:p w14:paraId="3B8F57EE" w14:textId="77777777" w:rsidR="00000000" w:rsidRDefault="00EF48A2">
      <w:pPr>
        <w:pStyle w:val="a3"/>
        <w:spacing w:before="360" w:beforeAutospacing="0" w:after="0" w:afterAutospacing="0"/>
        <w:jc w:val="both"/>
        <w:rPr>
          <w:sz w:val="20"/>
          <w:szCs w:val="20"/>
        </w:rPr>
      </w:pPr>
      <w:r>
        <w:rPr>
          <w:b/>
          <w:bCs/>
          <w:sz w:val="20"/>
          <w:szCs w:val="20"/>
        </w:rPr>
        <w:t>It</w:t>
      </w:r>
      <w:r>
        <w:rPr>
          <w:b/>
          <w:bCs/>
          <w:sz w:val="20"/>
          <w:szCs w:val="20"/>
        </w:rPr>
        <w:t>e</w:t>
      </w:r>
      <w:r>
        <w:rPr>
          <w:b/>
          <w:bCs/>
          <w:sz w:val="20"/>
          <w:szCs w:val="20"/>
        </w:rPr>
        <w:t>m 7A. QUANTITATIVE AND QUALITATIVE DISCLOSURES ABOUT MARKET RIS</w:t>
      </w:r>
      <w:r>
        <w:rPr>
          <w:b/>
          <w:bCs/>
          <w:sz w:val="20"/>
          <w:szCs w:val="20"/>
        </w:rPr>
        <w:t>K</w:t>
      </w:r>
    </w:p>
    <w:p w14:paraId="052D071A" w14:textId="77777777" w:rsidR="00000000" w:rsidRDefault="00EF48A2">
      <w:pPr>
        <w:pStyle w:val="a3"/>
        <w:spacing w:before="240" w:beforeAutospacing="0" w:after="0" w:afterAutospacing="0"/>
        <w:rPr>
          <w:sz w:val="20"/>
          <w:szCs w:val="20"/>
        </w:rPr>
      </w:pPr>
      <w:r>
        <w:rPr>
          <w:b/>
          <w:bCs/>
          <w:i/>
          <w:iCs/>
          <w:sz w:val="20"/>
          <w:szCs w:val="20"/>
        </w:rPr>
        <w:t>Interest Rate Ris</w:t>
      </w:r>
      <w:r>
        <w:rPr>
          <w:b/>
          <w:bCs/>
          <w:i/>
          <w:iCs/>
          <w:sz w:val="20"/>
          <w:szCs w:val="20"/>
        </w:rPr>
        <w:t>k</w:t>
      </w:r>
      <w:r>
        <w:rPr>
          <w:b/>
          <w:bCs/>
          <w:i/>
          <w:iCs/>
          <w:sz w:val="20"/>
          <w:szCs w:val="20"/>
        </w:rPr>
        <w:t xml:space="preserve"> </w:t>
      </w:r>
    </w:p>
    <w:p w14:paraId="2B76286B" w14:textId="77777777" w:rsidR="00000000" w:rsidRDefault="00EF48A2">
      <w:pPr>
        <w:pStyle w:val="a3"/>
        <w:spacing w:before="180" w:beforeAutospacing="0" w:after="0" w:afterAutospacing="0"/>
        <w:jc w:val="both"/>
        <w:rPr>
          <w:sz w:val="20"/>
          <w:szCs w:val="20"/>
        </w:rPr>
      </w:pPr>
      <w:r>
        <w:rPr>
          <w:sz w:val="20"/>
          <w:szCs w:val="20"/>
        </w:rPr>
        <w:t>We had cash and cash equivalents totaling $138.5 million and $198.3 million as of December 31, 2022 and December 31, 2021, respectively. Cash and cash equi</w:t>
      </w:r>
      <w:r>
        <w:rPr>
          <w:sz w:val="20"/>
          <w:szCs w:val="20"/>
        </w:rPr>
        <w:t>valents are held for a variety of growth and investments as well as working capital purposes</w:t>
      </w:r>
      <w:r>
        <w:rPr>
          <w:sz w:val="20"/>
          <w:szCs w:val="20"/>
        </w:rPr>
        <w:t>.</w:t>
      </w:r>
      <w:r>
        <w:rPr>
          <w:sz w:val="20"/>
          <w:szCs w:val="20"/>
        </w:rPr>
        <w:t xml:space="preserve"> </w:t>
      </w:r>
    </w:p>
    <w:p w14:paraId="6EF95EA5" w14:textId="77777777" w:rsidR="00000000" w:rsidRDefault="00EF48A2">
      <w:pPr>
        <w:pStyle w:val="a3"/>
        <w:spacing w:before="180" w:beforeAutospacing="0" w:after="0" w:afterAutospacing="0"/>
        <w:jc w:val="both"/>
        <w:rPr>
          <w:sz w:val="20"/>
          <w:szCs w:val="20"/>
        </w:rPr>
      </w:pPr>
      <w:r>
        <w:rPr>
          <w:sz w:val="20"/>
          <w:szCs w:val="20"/>
        </w:rPr>
        <w:t>We do not believe that a hypothetical increase or decrease of 100 basis points in interest rates would have a material effect on our business, financial conditio</w:t>
      </w:r>
      <w:r>
        <w:rPr>
          <w:sz w:val="20"/>
          <w:szCs w:val="20"/>
        </w:rPr>
        <w:t>n or results of operations. However, our earnings on cash equivalents are subject to market risk due to changes in interest rates</w:t>
      </w:r>
      <w:r>
        <w:rPr>
          <w:sz w:val="20"/>
          <w:szCs w:val="20"/>
        </w:rPr>
        <w:t>.</w:t>
      </w:r>
      <w:r>
        <w:rPr>
          <w:sz w:val="20"/>
          <w:szCs w:val="20"/>
        </w:rPr>
        <w:t xml:space="preserve"> </w:t>
      </w:r>
    </w:p>
    <w:p w14:paraId="6FB0CE9C" w14:textId="77777777" w:rsidR="00000000" w:rsidRDefault="00EF48A2">
      <w:pPr>
        <w:pStyle w:val="a3"/>
        <w:spacing w:before="240" w:beforeAutospacing="0" w:after="0" w:afterAutospacing="0"/>
        <w:rPr>
          <w:sz w:val="20"/>
          <w:szCs w:val="20"/>
        </w:rPr>
      </w:pPr>
      <w:r>
        <w:rPr>
          <w:b/>
          <w:bCs/>
          <w:i/>
          <w:iCs/>
          <w:sz w:val="20"/>
          <w:szCs w:val="20"/>
        </w:rPr>
        <w:t>Foreign Currency Exchange Ris</w:t>
      </w:r>
      <w:r>
        <w:rPr>
          <w:b/>
          <w:bCs/>
          <w:i/>
          <w:iCs/>
          <w:sz w:val="20"/>
          <w:szCs w:val="20"/>
        </w:rPr>
        <w:t>k</w:t>
      </w:r>
      <w:r>
        <w:rPr>
          <w:b/>
          <w:bCs/>
          <w:i/>
          <w:iCs/>
          <w:sz w:val="20"/>
          <w:szCs w:val="20"/>
        </w:rPr>
        <w:t xml:space="preserve"> </w:t>
      </w:r>
    </w:p>
    <w:p w14:paraId="6CF31B73" w14:textId="77777777" w:rsidR="00000000" w:rsidRDefault="00EF48A2">
      <w:pPr>
        <w:pStyle w:val="a3"/>
        <w:spacing w:before="180" w:beforeAutospacing="0" w:after="0" w:afterAutospacing="0"/>
        <w:jc w:val="both"/>
        <w:rPr>
          <w:sz w:val="20"/>
          <w:szCs w:val="20"/>
        </w:rPr>
      </w:pPr>
      <w:r>
        <w:rPr>
          <w:sz w:val="20"/>
          <w:szCs w:val="20"/>
        </w:rPr>
        <w:t>To date, a substantial majority of our revenue from customer arrangements has been denominat</w:t>
      </w:r>
      <w:r>
        <w:rPr>
          <w:sz w:val="20"/>
          <w:szCs w:val="20"/>
        </w:rPr>
        <w:t>ed in U.S. dollars. We have limited operations outside the United States. Accordingly, we believe we do not have a material exposure to foreign currency risk. In the future, we may choose to focus on international expansion, which may increase our exposure</w:t>
      </w:r>
      <w:r>
        <w:rPr>
          <w:sz w:val="20"/>
          <w:szCs w:val="20"/>
        </w:rPr>
        <w:t xml:space="preserve"> to foreign currency exchange risk</w:t>
      </w:r>
      <w:r>
        <w:rPr>
          <w:sz w:val="20"/>
          <w:szCs w:val="20"/>
        </w:rPr>
        <w:t>.</w:t>
      </w:r>
    </w:p>
    <w:p w14:paraId="4570F074" w14:textId="77777777" w:rsidR="00000000" w:rsidRDefault="00EF48A2">
      <w:pPr>
        <w:pStyle w:val="a3"/>
        <w:spacing w:before="0" w:beforeAutospacing="0" w:after="0" w:afterAutospacing="0"/>
        <w:rPr>
          <w:sz w:val="20"/>
          <w:szCs w:val="20"/>
        </w:rPr>
      </w:pPr>
      <w:r>
        <w:rPr>
          <w:sz w:val="20"/>
          <w:szCs w:val="20"/>
        </w:rPr>
        <w:t> </w:t>
      </w:r>
    </w:p>
    <w:p w14:paraId="18C57EB7"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4</w:t>
      </w:r>
    </w:p>
    <w:p w14:paraId="6B9AED86" w14:textId="77777777" w:rsidR="00000000" w:rsidRDefault="00EF48A2">
      <w:pPr>
        <w:rPr>
          <w:rFonts w:eastAsia="Times New Roman"/>
        </w:rPr>
      </w:pPr>
      <w:r>
        <w:rPr>
          <w:rFonts w:eastAsia="Times New Roman"/>
        </w:rPr>
        <w:pict w14:anchorId="769E0978">
          <v:rect id="_x0000_i1081" style="width:0;height:1.5pt" o:hralign="center" o:hrstd="t" o:hr="t" fillcolor="#a0a0a0" stroked="f"/>
        </w:pict>
      </w:r>
    </w:p>
    <w:p w14:paraId="31970C9D"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ACBC246" w14:textId="77777777" w:rsidR="00000000" w:rsidRDefault="00EF48A2">
      <w:pPr>
        <w:pStyle w:val="a3"/>
        <w:spacing w:before="0" w:beforeAutospacing="0" w:after="0" w:afterAutospacing="0"/>
        <w:rPr>
          <w:sz w:val="20"/>
          <w:szCs w:val="20"/>
        </w:rPr>
      </w:pPr>
      <w:r>
        <w:rPr>
          <w:sz w:val="20"/>
          <w:szCs w:val="20"/>
        </w:rPr>
        <w:t> </w:t>
      </w:r>
    </w:p>
    <w:p w14:paraId="45E8A5BC" w14:textId="77777777" w:rsidR="00000000" w:rsidRDefault="00EF48A2">
      <w:pPr>
        <w:pStyle w:val="a3"/>
        <w:spacing w:before="0" w:beforeAutospacing="0" w:after="0" w:afterAutospacing="0"/>
        <w:rPr>
          <w:sz w:val="20"/>
          <w:szCs w:val="20"/>
        </w:rPr>
      </w:pPr>
      <w:r>
        <w:rPr>
          <w:b/>
          <w:bCs/>
          <w:sz w:val="20"/>
          <w:szCs w:val="20"/>
        </w:rPr>
        <w:t>It</w:t>
      </w:r>
      <w:r>
        <w:rPr>
          <w:b/>
          <w:bCs/>
          <w:sz w:val="20"/>
          <w:szCs w:val="20"/>
        </w:rPr>
        <w:t>e</w:t>
      </w:r>
      <w:r>
        <w:rPr>
          <w:b/>
          <w:bCs/>
          <w:sz w:val="20"/>
          <w:szCs w:val="20"/>
        </w:rPr>
        <w:t>m 8. FINANCIAL STATEMENTS AND SUPPLEMENTARY DAT</w:t>
      </w:r>
      <w:r>
        <w:rPr>
          <w:b/>
          <w:bCs/>
          <w:sz w:val="20"/>
          <w:szCs w:val="20"/>
        </w:rPr>
        <w:t>A</w:t>
      </w:r>
    </w:p>
    <w:p w14:paraId="092B00E1" w14:textId="77777777" w:rsidR="00000000" w:rsidRDefault="00EF48A2">
      <w:pPr>
        <w:pStyle w:val="a3"/>
        <w:spacing w:before="360" w:beforeAutospacing="0" w:after="240" w:afterAutospacing="0"/>
        <w:jc w:val="center"/>
        <w:rPr>
          <w:sz w:val="20"/>
          <w:szCs w:val="20"/>
        </w:rPr>
      </w:pPr>
      <w:r>
        <w:rPr>
          <w:b/>
          <w:bCs/>
          <w:sz w:val="20"/>
          <w:szCs w:val="20"/>
        </w:rPr>
        <w:t>INDEX TO CONSOLIDATED FINANCIAL STATEMENT</w:t>
      </w:r>
      <w:r>
        <w:rPr>
          <w:b/>
          <w:bCs/>
          <w:sz w:val="20"/>
          <w:szCs w:val="20"/>
        </w:rPr>
        <w:t>S</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7522"/>
        <w:gridCol w:w="618"/>
      </w:tblGrid>
      <w:tr w:rsidR="00000000" w14:paraId="17B121A5" w14:textId="77777777">
        <w:trPr>
          <w:tblCellSpacing w:w="15" w:type="dxa"/>
        </w:trPr>
        <w:tc>
          <w:tcPr>
            <w:tcW w:w="4643" w:type="pct"/>
            <w:vAlign w:val="center"/>
            <w:hideMark/>
          </w:tcPr>
          <w:p w14:paraId="51CD7A93" w14:textId="77777777" w:rsidR="00000000" w:rsidRDefault="00EF48A2">
            <w:pPr>
              <w:rPr>
                <w:sz w:val="20"/>
                <w:szCs w:val="20"/>
              </w:rPr>
            </w:pPr>
          </w:p>
        </w:tc>
        <w:tc>
          <w:tcPr>
            <w:tcW w:w="356" w:type="pct"/>
            <w:vAlign w:val="center"/>
            <w:hideMark/>
          </w:tcPr>
          <w:p w14:paraId="52E43424" w14:textId="77777777" w:rsidR="00000000" w:rsidRDefault="00EF48A2">
            <w:pPr>
              <w:rPr>
                <w:rFonts w:eastAsia="Times New Roman"/>
                <w:sz w:val="20"/>
                <w:szCs w:val="20"/>
              </w:rPr>
            </w:pPr>
          </w:p>
        </w:tc>
      </w:tr>
      <w:tr w:rsidR="00000000" w14:paraId="438A2EBF" w14:textId="77777777">
        <w:trPr>
          <w:trHeight w:val="200"/>
          <w:tblCellSpacing w:w="15" w:type="dxa"/>
        </w:trPr>
        <w:tc>
          <w:tcPr>
            <w:tcW w:w="0" w:type="auto"/>
            <w:tcMar>
              <w:top w:w="14" w:type="dxa"/>
              <w:left w:w="15" w:type="dxa"/>
              <w:bottom w:w="15" w:type="dxa"/>
              <w:right w:w="14" w:type="dxa"/>
            </w:tcMar>
            <w:vAlign w:val="center"/>
            <w:hideMark/>
          </w:tcPr>
          <w:p w14:paraId="0164853F" w14:textId="77777777" w:rsidR="00000000" w:rsidRDefault="00EF48A2">
            <w:pPr>
              <w:pStyle w:val="a3"/>
              <w:spacing w:before="0" w:beforeAutospacing="0" w:after="0" w:afterAutospacing="0"/>
              <w:rPr>
                <w:sz w:val="20"/>
                <w:szCs w:val="20"/>
              </w:rPr>
            </w:pPr>
            <w:hyperlink w:anchor="report_of_independent_registered_public" w:history="1">
              <w:r>
                <w:rPr>
                  <w:rStyle w:val="a4"/>
                  <w:sz w:val="20"/>
                  <w:szCs w:val="20"/>
                </w:rPr>
                <w:t>Reports of Independent Registered Public Accounting Fir</w:t>
              </w:r>
              <w:r>
                <w:rPr>
                  <w:rStyle w:val="a4"/>
                  <w:sz w:val="20"/>
                  <w:szCs w:val="20"/>
                </w:rPr>
                <w:t>m</w:t>
              </w:r>
            </w:hyperlink>
          </w:p>
        </w:tc>
        <w:tc>
          <w:tcPr>
            <w:tcW w:w="0" w:type="auto"/>
            <w:tcMar>
              <w:top w:w="14" w:type="dxa"/>
              <w:left w:w="15" w:type="dxa"/>
              <w:bottom w:w="15" w:type="dxa"/>
              <w:right w:w="14" w:type="dxa"/>
            </w:tcMar>
            <w:vAlign w:val="center"/>
            <w:hideMark/>
          </w:tcPr>
          <w:p w14:paraId="08586E3F" w14:textId="77777777" w:rsidR="00000000" w:rsidRDefault="00EF48A2">
            <w:pPr>
              <w:pStyle w:val="a3"/>
              <w:spacing w:before="0" w:beforeAutospacing="0" w:after="0" w:afterAutospacing="0"/>
              <w:jc w:val="right"/>
              <w:rPr>
                <w:sz w:val="20"/>
                <w:szCs w:val="20"/>
              </w:rPr>
            </w:pPr>
            <w:r>
              <w:rPr>
                <w:sz w:val="20"/>
                <w:szCs w:val="20"/>
              </w:rPr>
              <w:t>5</w:t>
            </w:r>
            <w:r>
              <w:rPr>
                <w:sz w:val="20"/>
                <w:szCs w:val="20"/>
              </w:rPr>
              <w:t>6</w:t>
            </w:r>
          </w:p>
        </w:tc>
      </w:tr>
      <w:tr w:rsidR="00000000" w14:paraId="436BACDA" w14:textId="77777777">
        <w:trPr>
          <w:trHeight w:val="200"/>
          <w:tblCellSpacing w:w="15" w:type="dxa"/>
        </w:trPr>
        <w:tc>
          <w:tcPr>
            <w:tcW w:w="0" w:type="auto"/>
            <w:tcMar>
              <w:top w:w="14" w:type="dxa"/>
              <w:left w:w="15" w:type="dxa"/>
              <w:bottom w:w="15" w:type="dxa"/>
              <w:right w:w="14" w:type="dxa"/>
            </w:tcMar>
            <w:vAlign w:val="center"/>
            <w:hideMark/>
          </w:tcPr>
          <w:p w14:paraId="27301BC9" w14:textId="77777777" w:rsidR="00000000" w:rsidRDefault="00EF48A2">
            <w:pPr>
              <w:pStyle w:val="a3"/>
              <w:spacing w:before="0" w:beforeAutospacing="0" w:after="0" w:afterAutospacing="0"/>
              <w:rPr>
                <w:sz w:val="20"/>
                <w:szCs w:val="20"/>
              </w:rPr>
            </w:pPr>
            <w:hyperlink w:anchor="consolidated_balance_sheets" w:history="1">
              <w:r>
                <w:rPr>
                  <w:rStyle w:val="a4"/>
                  <w:sz w:val="20"/>
                  <w:szCs w:val="20"/>
                </w:rPr>
                <w:t>Consolidated Balance Sheets as of Dec</w:t>
              </w:r>
              <w:r>
                <w:rPr>
                  <w:rStyle w:val="a4"/>
                  <w:sz w:val="20"/>
                  <w:szCs w:val="20"/>
                </w:rPr>
                <w:t>e</w:t>
              </w:r>
              <w:r>
                <w:rPr>
                  <w:rStyle w:val="a4"/>
                  <w:sz w:val="20"/>
                  <w:szCs w:val="20"/>
                </w:rPr>
                <w:t>m</w:t>
              </w:r>
              <w:r>
                <w:rPr>
                  <w:rStyle w:val="a4"/>
                  <w:sz w:val="20"/>
                  <w:szCs w:val="20"/>
                </w:rPr>
                <w:t>ber 31, 2022 and 20</w:t>
              </w:r>
              <w:r>
                <w:rPr>
                  <w:rStyle w:val="a4"/>
                  <w:sz w:val="20"/>
                  <w:szCs w:val="20"/>
                </w:rPr>
                <w:t>2</w:t>
              </w:r>
            </w:hyperlink>
            <w:r>
              <w:rPr>
                <w:sz w:val="20"/>
                <w:szCs w:val="20"/>
                <w:u w:val="single"/>
              </w:rPr>
              <w:t>1</w:t>
            </w:r>
          </w:p>
        </w:tc>
        <w:tc>
          <w:tcPr>
            <w:tcW w:w="0" w:type="auto"/>
            <w:tcMar>
              <w:top w:w="14" w:type="dxa"/>
              <w:left w:w="15" w:type="dxa"/>
              <w:bottom w:w="15" w:type="dxa"/>
              <w:right w:w="14" w:type="dxa"/>
            </w:tcMar>
            <w:vAlign w:val="center"/>
            <w:hideMark/>
          </w:tcPr>
          <w:p w14:paraId="7BA6A743" w14:textId="77777777" w:rsidR="00000000" w:rsidRDefault="00EF48A2">
            <w:pPr>
              <w:pStyle w:val="a3"/>
              <w:spacing w:before="0" w:beforeAutospacing="0" w:after="0" w:afterAutospacing="0"/>
              <w:jc w:val="right"/>
              <w:rPr>
                <w:sz w:val="20"/>
                <w:szCs w:val="20"/>
              </w:rPr>
            </w:pPr>
            <w:r>
              <w:rPr>
                <w:sz w:val="20"/>
                <w:szCs w:val="20"/>
              </w:rPr>
              <w:t>6</w:t>
            </w:r>
            <w:r>
              <w:rPr>
                <w:sz w:val="20"/>
                <w:szCs w:val="20"/>
              </w:rPr>
              <w:t>0</w:t>
            </w:r>
          </w:p>
        </w:tc>
      </w:tr>
      <w:tr w:rsidR="00000000" w14:paraId="625F71AF" w14:textId="77777777">
        <w:trPr>
          <w:trHeight w:val="200"/>
          <w:tblCellSpacing w:w="15" w:type="dxa"/>
        </w:trPr>
        <w:tc>
          <w:tcPr>
            <w:tcW w:w="0" w:type="auto"/>
            <w:tcMar>
              <w:top w:w="14" w:type="dxa"/>
              <w:left w:w="15" w:type="dxa"/>
              <w:bottom w:w="15" w:type="dxa"/>
              <w:right w:w="14" w:type="dxa"/>
            </w:tcMar>
            <w:vAlign w:val="center"/>
            <w:hideMark/>
          </w:tcPr>
          <w:p w14:paraId="14D2F63F" w14:textId="77777777" w:rsidR="00000000" w:rsidRDefault="00EF48A2">
            <w:pPr>
              <w:pStyle w:val="a3"/>
              <w:spacing w:before="0" w:beforeAutospacing="0" w:after="0" w:afterAutospacing="0"/>
              <w:rPr>
                <w:sz w:val="20"/>
                <w:szCs w:val="20"/>
              </w:rPr>
            </w:pPr>
            <w:hyperlink w:anchor="stmt_operations_and_comprehensive_loss" w:history="1">
              <w:r>
                <w:rPr>
                  <w:rStyle w:val="a4"/>
                  <w:sz w:val="20"/>
                  <w:szCs w:val="20"/>
                </w:rPr>
                <w:t>Consolidated Statements of Operations for the years ended December 31, 2022, 2021 and 202</w:t>
              </w:r>
              <w:r>
                <w:rPr>
                  <w:rStyle w:val="a4"/>
                  <w:sz w:val="20"/>
                  <w:szCs w:val="20"/>
                </w:rPr>
                <w:t>0</w:t>
              </w:r>
            </w:hyperlink>
          </w:p>
        </w:tc>
        <w:tc>
          <w:tcPr>
            <w:tcW w:w="0" w:type="auto"/>
            <w:tcMar>
              <w:top w:w="14" w:type="dxa"/>
              <w:left w:w="15" w:type="dxa"/>
              <w:bottom w:w="15" w:type="dxa"/>
              <w:right w:w="14" w:type="dxa"/>
            </w:tcMar>
            <w:vAlign w:val="bottom"/>
            <w:hideMark/>
          </w:tcPr>
          <w:p w14:paraId="7C3D9A90" w14:textId="77777777" w:rsidR="00000000" w:rsidRDefault="00EF48A2">
            <w:pPr>
              <w:pStyle w:val="a3"/>
              <w:spacing w:before="0" w:beforeAutospacing="0" w:after="0" w:afterAutospacing="0"/>
              <w:jc w:val="right"/>
              <w:rPr>
                <w:sz w:val="20"/>
                <w:szCs w:val="20"/>
              </w:rPr>
            </w:pPr>
            <w:r>
              <w:rPr>
                <w:sz w:val="20"/>
                <w:szCs w:val="20"/>
              </w:rPr>
              <w:t>6</w:t>
            </w:r>
            <w:r>
              <w:rPr>
                <w:sz w:val="20"/>
                <w:szCs w:val="20"/>
              </w:rPr>
              <w:t>1</w:t>
            </w:r>
          </w:p>
        </w:tc>
      </w:tr>
      <w:tr w:rsidR="00000000" w14:paraId="4B554DB4" w14:textId="77777777">
        <w:trPr>
          <w:trHeight w:val="200"/>
          <w:tblCellSpacing w:w="15" w:type="dxa"/>
        </w:trPr>
        <w:tc>
          <w:tcPr>
            <w:tcW w:w="0" w:type="auto"/>
            <w:tcMar>
              <w:top w:w="14" w:type="dxa"/>
              <w:left w:w="15" w:type="dxa"/>
              <w:bottom w:w="15" w:type="dxa"/>
              <w:right w:w="14" w:type="dxa"/>
            </w:tcMar>
            <w:vAlign w:val="center"/>
            <w:hideMark/>
          </w:tcPr>
          <w:p w14:paraId="02992BA8" w14:textId="77777777" w:rsidR="00000000" w:rsidRDefault="00EF48A2">
            <w:pPr>
              <w:pStyle w:val="a3"/>
              <w:spacing w:before="0" w:beforeAutospacing="0" w:after="0" w:afterAutospacing="0"/>
              <w:rPr>
                <w:sz w:val="20"/>
                <w:szCs w:val="20"/>
              </w:rPr>
            </w:pPr>
            <w:hyperlink w:anchor="stockholders_equity_deficit" w:history="1">
              <w:r>
                <w:rPr>
                  <w:rStyle w:val="a4"/>
                  <w:sz w:val="20"/>
                  <w:szCs w:val="20"/>
                </w:rPr>
                <w:t>Consolidated Statement</w:t>
              </w:r>
              <w:r>
                <w:rPr>
                  <w:rStyle w:val="a4"/>
                  <w:sz w:val="20"/>
                  <w:szCs w:val="20"/>
                </w:rPr>
                <w:t>s of Changes in Stockholders’ Equity (Deficit) for the years ended December 31, 2022, 2021 and 202</w:t>
              </w:r>
              <w:r>
                <w:rPr>
                  <w:rStyle w:val="a4"/>
                  <w:sz w:val="20"/>
                  <w:szCs w:val="20"/>
                </w:rPr>
                <w:t>0</w:t>
              </w:r>
            </w:hyperlink>
          </w:p>
        </w:tc>
        <w:tc>
          <w:tcPr>
            <w:tcW w:w="0" w:type="auto"/>
            <w:tcMar>
              <w:top w:w="14" w:type="dxa"/>
              <w:left w:w="15" w:type="dxa"/>
              <w:bottom w:w="15" w:type="dxa"/>
              <w:right w:w="14" w:type="dxa"/>
            </w:tcMar>
            <w:vAlign w:val="center"/>
            <w:hideMark/>
          </w:tcPr>
          <w:p w14:paraId="492C80C8" w14:textId="77777777" w:rsidR="00000000" w:rsidRDefault="00EF48A2">
            <w:pPr>
              <w:pStyle w:val="a3"/>
              <w:spacing w:before="0" w:beforeAutospacing="0" w:after="0" w:afterAutospacing="0"/>
              <w:jc w:val="right"/>
              <w:rPr>
                <w:sz w:val="20"/>
                <w:szCs w:val="20"/>
              </w:rPr>
            </w:pPr>
            <w:r>
              <w:rPr>
                <w:sz w:val="20"/>
                <w:szCs w:val="20"/>
              </w:rPr>
              <w:t>6</w:t>
            </w:r>
            <w:r>
              <w:rPr>
                <w:sz w:val="20"/>
                <w:szCs w:val="20"/>
              </w:rPr>
              <w:t>2</w:t>
            </w:r>
          </w:p>
        </w:tc>
      </w:tr>
      <w:tr w:rsidR="00000000" w14:paraId="5554FF89" w14:textId="77777777">
        <w:trPr>
          <w:trHeight w:val="200"/>
          <w:tblCellSpacing w:w="15" w:type="dxa"/>
        </w:trPr>
        <w:tc>
          <w:tcPr>
            <w:tcW w:w="0" w:type="auto"/>
            <w:tcMar>
              <w:top w:w="14" w:type="dxa"/>
              <w:left w:w="15" w:type="dxa"/>
              <w:bottom w:w="15" w:type="dxa"/>
              <w:right w:w="14" w:type="dxa"/>
            </w:tcMar>
            <w:vAlign w:val="center"/>
            <w:hideMark/>
          </w:tcPr>
          <w:p w14:paraId="2292C317" w14:textId="77777777" w:rsidR="00000000" w:rsidRDefault="00EF48A2">
            <w:pPr>
              <w:pStyle w:val="a3"/>
              <w:spacing w:before="0" w:beforeAutospacing="0" w:after="0" w:afterAutospacing="0"/>
              <w:rPr>
                <w:sz w:val="20"/>
                <w:szCs w:val="20"/>
              </w:rPr>
            </w:pPr>
            <w:hyperlink w:anchor="consolidated_statements_of_cash_flows" w:history="1">
              <w:r>
                <w:rPr>
                  <w:rStyle w:val="a4"/>
                  <w:sz w:val="20"/>
                  <w:szCs w:val="20"/>
                </w:rPr>
                <w:t>Consolidated Statements of Cash Flows for the years ended December 31, 2022, 2021 and 202</w:t>
              </w:r>
              <w:r>
                <w:rPr>
                  <w:rStyle w:val="a4"/>
                  <w:sz w:val="20"/>
                  <w:szCs w:val="20"/>
                </w:rPr>
                <w:t>0</w:t>
              </w:r>
            </w:hyperlink>
          </w:p>
        </w:tc>
        <w:tc>
          <w:tcPr>
            <w:tcW w:w="0" w:type="auto"/>
            <w:tcMar>
              <w:top w:w="14" w:type="dxa"/>
              <w:left w:w="15" w:type="dxa"/>
              <w:bottom w:w="15" w:type="dxa"/>
              <w:right w:w="14" w:type="dxa"/>
            </w:tcMar>
            <w:vAlign w:val="center"/>
            <w:hideMark/>
          </w:tcPr>
          <w:p w14:paraId="735314E1" w14:textId="77777777" w:rsidR="00000000" w:rsidRDefault="00EF48A2">
            <w:pPr>
              <w:pStyle w:val="a3"/>
              <w:spacing w:before="0" w:beforeAutospacing="0" w:after="0" w:afterAutospacing="0"/>
              <w:jc w:val="right"/>
              <w:rPr>
                <w:sz w:val="20"/>
                <w:szCs w:val="20"/>
              </w:rPr>
            </w:pPr>
            <w:r>
              <w:rPr>
                <w:sz w:val="20"/>
                <w:szCs w:val="20"/>
              </w:rPr>
              <w:t>6</w:t>
            </w:r>
            <w:r>
              <w:rPr>
                <w:sz w:val="20"/>
                <w:szCs w:val="20"/>
              </w:rPr>
              <w:t>3</w:t>
            </w:r>
          </w:p>
        </w:tc>
      </w:tr>
      <w:tr w:rsidR="00000000" w14:paraId="65E2E2EE" w14:textId="77777777">
        <w:trPr>
          <w:trHeight w:val="200"/>
          <w:tblCellSpacing w:w="15" w:type="dxa"/>
        </w:trPr>
        <w:tc>
          <w:tcPr>
            <w:tcW w:w="0" w:type="auto"/>
            <w:tcMar>
              <w:top w:w="14" w:type="dxa"/>
              <w:left w:w="15" w:type="dxa"/>
              <w:bottom w:w="15" w:type="dxa"/>
              <w:right w:w="14" w:type="dxa"/>
            </w:tcMar>
            <w:vAlign w:val="center"/>
            <w:hideMark/>
          </w:tcPr>
          <w:p w14:paraId="38DC1817" w14:textId="77777777" w:rsidR="00000000" w:rsidRDefault="00EF48A2">
            <w:pPr>
              <w:pStyle w:val="a3"/>
              <w:spacing w:before="0" w:beforeAutospacing="0" w:after="0" w:afterAutospacing="0"/>
              <w:rPr>
                <w:sz w:val="20"/>
                <w:szCs w:val="20"/>
              </w:rPr>
            </w:pPr>
            <w:hyperlink w:anchor="notes_to_consolidated_fs" w:history="1">
              <w:r>
                <w:rPr>
                  <w:rStyle w:val="a4"/>
                  <w:sz w:val="20"/>
                  <w:szCs w:val="20"/>
                </w:rPr>
                <w:t>Notes to Consolidated Financial Statement</w:t>
              </w:r>
              <w:r>
                <w:rPr>
                  <w:rStyle w:val="a4"/>
                  <w:sz w:val="20"/>
                  <w:szCs w:val="20"/>
                </w:rPr>
                <w:t>s</w:t>
              </w:r>
            </w:hyperlink>
          </w:p>
        </w:tc>
        <w:tc>
          <w:tcPr>
            <w:tcW w:w="0" w:type="auto"/>
            <w:tcMar>
              <w:top w:w="14" w:type="dxa"/>
              <w:left w:w="15" w:type="dxa"/>
              <w:bottom w:w="15" w:type="dxa"/>
              <w:right w:w="14" w:type="dxa"/>
            </w:tcMar>
            <w:vAlign w:val="center"/>
            <w:hideMark/>
          </w:tcPr>
          <w:p w14:paraId="6E9504B7" w14:textId="77777777" w:rsidR="00000000" w:rsidRDefault="00EF48A2">
            <w:pPr>
              <w:pStyle w:val="a3"/>
              <w:spacing w:before="0" w:beforeAutospacing="0" w:after="0" w:afterAutospacing="0"/>
              <w:jc w:val="right"/>
              <w:rPr>
                <w:sz w:val="20"/>
                <w:szCs w:val="20"/>
              </w:rPr>
            </w:pPr>
            <w:r>
              <w:rPr>
                <w:sz w:val="20"/>
                <w:szCs w:val="20"/>
              </w:rPr>
              <w:t>6</w:t>
            </w:r>
            <w:r>
              <w:rPr>
                <w:sz w:val="20"/>
                <w:szCs w:val="20"/>
              </w:rPr>
              <w:t>4</w:t>
            </w:r>
          </w:p>
        </w:tc>
      </w:tr>
    </w:tbl>
    <w:p w14:paraId="4C28A771" w14:textId="77777777" w:rsidR="00000000" w:rsidRDefault="00EF48A2">
      <w:pPr>
        <w:pStyle w:val="a3"/>
        <w:spacing w:before="0" w:beforeAutospacing="0" w:after="0" w:afterAutospacing="0"/>
        <w:rPr>
          <w:sz w:val="20"/>
          <w:szCs w:val="20"/>
        </w:rPr>
      </w:pPr>
      <w:r>
        <w:rPr>
          <w:sz w:val="20"/>
          <w:szCs w:val="20"/>
        </w:rPr>
        <w:t> </w:t>
      </w:r>
    </w:p>
    <w:p w14:paraId="4EAC71DE" w14:textId="77777777" w:rsidR="00000000" w:rsidRDefault="00EF48A2">
      <w:pPr>
        <w:pStyle w:val="a3"/>
        <w:spacing w:before="0" w:beforeAutospacing="0" w:after="0" w:afterAutospacing="0"/>
        <w:rPr>
          <w:sz w:val="20"/>
          <w:szCs w:val="20"/>
        </w:rPr>
      </w:pPr>
      <w:r>
        <w:rPr>
          <w:sz w:val="20"/>
          <w:szCs w:val="20"/>
        </w:rPr>
        <w:t> </w:t>
      </w:r>
    </w:p>
    <w:p w14:paraId="489926FE"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5</w:t>
      </w:r>
    </w:p>
    <w:p w14:paraId="3679B3D8" w14:textId="77777777" w:rsidR="00000000" w:rsidRDefault="00EF48A2">
      <w:pPr>
        <w:rPr>
          <w:rFonts w:eastAsia="Times New Roman"/>
        </w:rPr>
      </w:pPr>
      <w:r>
        <w:rPr>
          <w:rFonts w:eastAsia="Times New Roman"/>
        </w:rPr>
        <w:pict w14:anchorId="27DE3F4D">
          <v:rect id="_x0000_i1082" style="width:0;height:1.5pt" o:hralign="center" o:hrstd="t" o:hr="t" fillcolor="#a0a0a0" stroked="f"/>
        </w:pict>
      </w:r>
    </w:p>
    <w:p w14:paraId="75F52993"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948F0E0" w14:textId="77777777" w:rsidR="00000000" w:rsidRDefault="00EF48A2">
      <w:pPr>
        <w:pStyle w:val="a3"/>
        <w:spacing w:before="0" w:beforeAutospacing="0" w:after="0" w:afterAutospacing="0"/>
        <w:jc w:val="center"/>
        <w:rPr>
          <w:sz w:val="20"/>
          <w:szCs w:val="20"/>
        </w:rPr>
      </w:pPr>
      <w:r>
        <w:rPr>
          <w:b/>
          <w:bCs/>
          <w:sz w:val="20"/>
          <w:szCs w:val="20"/>
        </w:rPr>
        <w:t>RE</w:t>
      </w:r>
      <w:r>
        <w:rPr>
          <w:b/>
          <w:bCs/>
          <w:sz w:val="20"/>
          <w:szCs w:val="20"/>
        </w:rPr>
        <w:t>P</w:t>
      </w:r>
      <w:r>
        <w:rPr>
          <w:b/>
          <w:bCs/>
          <w:sz w:val="20"/>
          <w:szCs w:val="20"/>
        </w:rPr>
        <w:t>ORT OF INDEPENDENT REGISTERED PUBLIC ACCOUNTING FIR</w:t>
      </w:r>
      <w:r>
        <w:rPr>
          <w:b/>
          <w:bCs/>
          <w:sz w:val="20"/>
          <w:szCs w:val="20"/>
        </w:rPr>
        <w:t>M</w:t>
      </w:r>
    </w:p>
    <w:p w14:paraId="5E4DA09B" w14:textId="77777777" w:rsidR="00000000" w:rsidRDefault="00EF48A2">
      <w:pPr>
        <w:pStyle w:val="a3"/>
        <w:spacing w:before="480" w:beforeAutospacing="0" w:after="0" w:afterAutospacing="0"/>
        <w:rPr>
          <w:sz w:val="20"/>
          <w:szCs w:val="20"/>
        </w:rPr>
      </w:pPr>
      <w:r>
        <w:rPr>
          <w:sz w:val="20"/>
          <w:szCs w:val="20"/>
        </w:rPr>
        <w:t>To the Shareholders and the Board of Directors of Talkspace, Inc</w:t>
      </w:r>
      <w:r>
        <w:rPr>
          <w:sz w:val="20"/>
          <w:szCs w:val="20"/>
        </w:rPr>
        <w:t>.</w:t>
      </w:r>
      <w:r>
        <w:rPr>
          <w:sz w:val="20"/>
          <w:szCs w:val="20"/>
        </w:rPr>
        <w:t xml:space="preserve"> </w:t>
      </w:r>
    </w:p>
    <w:p w14:paraId="63175557" w14:textId="77777777" w:rsidR="00000000" w:rsidRDefault="00EF48A2">
      <w:pPr>
        <w:pStyle w:val="a3"/>
        <w:spacing w:before="0" w:beforeAutospacing="0" w:after="0" w:afterAutospacing="0"/>
        <w:rPr>
          <w:sz w:val="20"/>
          <w:szCs w:val="20"/>
        </w:rPr>
      </w:pPr>
      <w:r>
        <w:rPr>
          <w:sz w:val="20"/>
          <w:szCs w:val="20"/>
        </w:rPr>
        <w:t> </w:t>
      </w:r>
    </w:p>
    <w:p w14:paraId="1131CE30" w14:textId="77777777" w:rsidR="00000000" w:rsidRDefault="00EF48A2">
      <w:pPr>
        <w:pStyle w:val="a3"/>
        <w:spacing w:before="0" w:beforeAutospacing="0" w:after="0" w:afterAutospacing="0"/>
        <w:rPr>
          <w:sz w:val="20"/>
          <w:szCs w:val="20"/>
        </w:rPr>
      </w:pPr>
      <w:r>
        <w:rPr>
          <w:b/>
          <w:bCs/>
          <w:sz w:val="20"/>
          <w:szCs w:val="20"/>
        </w:rPr>
        <w:t>Opinion on the Financial Statement</w:t>
      </w:r>
      <w:r>
        <w:rPr>
          <w:b/>
          <w:bCs/>
          <w:sz w:val="20"/>
          <w:szCs w:val="20"/>
        </w:rPr>
        <w:t>s</w:t>
      </w:r>
    </w:p>
    <w:p w14:paraId="3EBFCA46" w14:textId="77777777" w:rsidR="00000000" w:rsidRDefault="00EF48A2">
      <w:pPr>
        <w:pStyle w:val="a3"/>
        <w:spacing w:before="0" w:beforeAutospacing="0" w:after="0" w:afterAutospacing="0"/>
        <w:jc w:val="both"/>
        <w:rPr>
          <w:sz w:val="20"/>
          <w:szCs w:val="20"/>
        </w:rPr>
      </w:pPr>
      <w:r>
        <w:rPr>
          <w:sz w:val="20"/>
          <w:szCs w:val="20"/>
        </w:rPr>
        <w:t> </w:t>
      </w:r>
    </w:p>
    <w:p w14:paraId="5EBFBA2B" w14:textId="77777777" w:rsidR="00000000" w:rsidRDefault="00EF48A2">
      <w:pPr>
        <w:pStyle w:val="a3"/>
        <w:spacing w:before="0" w:beforeAutospacing="0" w:after="0" w:afterAutospacing="0"/>
        <w:jc w:val="both"/>
        <w:rPr>
          <w:sz w:val="20"/>
          <w:szCs w:val="20"/>
        </w:rPr>
      </w:pPr>
      <w:r>
        <w:rPr>
          <w:sz w:val="20"/>
          <w:szCs w:val="20"/>
        </w:rPr>
        <w:t>We have audited the accompanying consolidate</w:t>
      </w:r>
      <w:r>
        <w:rPr>
          <w:sz w:val="20"/>
          <w:szCs w:val="20"/>
        </w:rPr>
        <w:t>d balance sheets of Talkspace, Inc. (the Company) as of December 31, 2022 and 2021, the related consolidated statements of operations, changes in stockholders' equity (deficit) and cash flows for each of the three years in the period ended December 31, 202</w:t>
      </w:r>
      <w:r>
        <w:rPr>
          <w:sz w:val="20"/>
          <w:szCs w:val="20"/>
        </w:rPr>
        <w:t>2, and the related notes (collectively referred to as the “consolidated financial statements”). In our opinion, the consolidated financial statements present fairly, in all material respects, the financial position of the Company at December 31, 2022 and 2</w:t>
      </w:r>
      <w:r>
        <w:rPr>
          <w:sz w:val="20"/>
          <w:szCs w:val="20"/>
        </w:rPr>
        <w:t>021, and the results of its operations and its cash flows for each of the three years in the period ended December 31, 2022, in conformity with U.S. generally accepted accounting principles</w:t>
      </w:r>
      <w:r>
        <w:rPr>
          <w:sz w:val="20"/>
          <w:szCs w:val="20"/>
        </w:rPr>
        <w:t>.</w:t>
      </w:r>
    </w:p>
    <w:p w14:paraId="7C55DC2F" w14:textId="77777777" w:rsidR="00000000" w:rsidRDefault="00EF48A2">
      <w:pPr>
        <w:pStyle w:val="a3"/>
        <w:spacing w:before="0" w:beforeAutospacing="0" w:after="0" w:afterAutospacing="0"/>
        <w:jc w:val="both"/>
        <w:rPr>
          <w:sz w:val="20"/>
          <w:szCs w:val="20"/>
        </w:rPr>
      </w:pPr>
      <w:r>
        <w:rPr>
          <w:sz w:val="20"/>
          <w:szCs w:val="20"/>
        </w:rPr>
        <w:t> </w:t>
      </w:r>
    </w:p>
    <w:p w14:paraId="04ECEBBE" w14:textId="77777777" w:rsidR="00000000" w:rsidRDefault="00EF48A2">
      <w:pPr>
        <w:pStyle w:val="a3"/>
        <w:spacing w:before="0" w:beforeAutospacing="0" w:after="0" w:afterAutospacing="0"/>
        <w:jc w:val="both"/>
        <w:rPr>
          <w:sz w:val="20"/>
          <w:szCs w:val="20"/>
        </w:rPr>
      </w:pPr>
      <w:r>
        <w:rPr>
          <w:sz w:val="20"/>
          <w:szCs w:val="20"/>
        </w:rPr>
        <w:t>We also have audited, in accordance with the standards of the P</w:t>
      </w:r>
      <w:r>
        <w:rPr>
          <w:sz w:val="20"/>
          <w:szCs w:val="20"/>
        </w:rPr>
        <w:t xml:space="preserve">ublic Company Accounting Oversight Board (United States) (PCAOB), the Company's internal control over financial reporting as of December 31, 2022, based on criteria established in Internal Control-Integrated Framework issued by the Committee of Sponsoring </w:t>
      </w:r>
      <w:r>
        <w:rPr>
          <w:sz w:val="20"/>
          <w:szCs w:val="20"/>
        </w:rPr>
        <w:t>Organizations of the Treadway Commission (2013 framework)and our report dated March 10, 2023 expressed an adverse opinion thereon</w:t>
      </w:r>
      <w:r>
        <w:rPr>
          <w:sz w:val="20"/>
          <w:szCs w:val="20"/>
        </w:rPr>
        <w:t>.</w:t>
      </w:r>
    </w:p>
    <w:p w14:paraId="101C8476" w14:textId="77777777" w:rsidR="00000000" w:rsidRDefault="00EF48A2">
      <w:pPr>
        <w:pStyle w:val="a3"/>
        <w:spacing w:before="0" w:beforeAutospacing="0" w:after="0" w:afterAutospacing="0"/>
        <w:jc w:val="both"/>
        <w:rPr>
          <w:sz w:val="20"/>
          <w:szCs w:val="20"/>
        </w:rPr>
      </w:pPr>
      <w:r>
        <w:rPr>
          <w:sz w:val="20"/>
          <w:szCs w:val="20"/>
        </w:rPr>
        <w:t> </w:t>
      </w:r>
    </w:p>
    <w:p w14:paraId="31124B54" w14:textId="77777777" w:rsidR="00000000" w:rsidRDefault="00EF48A2">
      <w:pPr>
        <w:pStyle w:val="a3"/>
        <w:spacing w:before="0" w:beforeAutospacing="0" w:after="0" w:afterAutospacing="0"/>
        <w:rPr>
          <w:sz w:val="20"/>
          <w:szCs w:val="20"/>
        </w:rPr>
      </w:pPr>
      <w:r>
        <w:rPr>
          <w:b/>
          <w:bCs/>
          <w:sz w:val="20"/>
          <w:szCs w:val="20"/>
        </w:rPr>
        <w:t>Basis for Opinio</w:t>
      </w:r>
      <w:r>
        <w:rPr>
          <w:b/>
          <w:bCs/>
          <w:sz w:val="20"/>
          <w:szCs w:val="20"/>
        </w:rPr>
        <w:t>n</w:t>
      </w:r>
    </w:p>
    <w:p w14:paraId="25E0B2A7" w14:textId="77777777" w:rsidR="00000000" w:rsidRDefault="00EF48A2">
      <w:pPr>
        <w:pStyle w:val="a3"/>
        <w:spacing w:before="0" w:beforeAutospacing="0" w:after="0" w:afterAutospacing="0"/>
        <w:rPr>
          <w:sz w:val="20"/>
          <w:szCs w:val="20"/>
        </w:rPr>
      </w:pPr>
      <w:r>
        <w:rPr>
          <w:sz w:val="20"/>
          <w:szCs w:val="20"/>
        </w:rPr>
        <w:t> </w:t>
      </w:r>
    </w:p>
    <w:p w14:paraId="3832820A" w14:textId="77777777" w:rsidR="00000000" w:rsidRDefault="00EF48A2">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w:t>
      </w:r>
      <w:r>
        <w:rPr>
          <w:sz w:val="20"/>
          <w:szCs w:val="20"/>
        </w:rPr>
        <w:t xml:space="preserve"> to be independent with respect to the Company in accordance with the U.S. federal securities laws and the applicable rules and regulations of the Securities and Exchange Commission and the PCAOB</w:t>
      </w:r>
      <w:r>
        <w:rPr>
          <w:sz w:val="20"/>
          <w:szCs w:val="20"/>
        </w:rPr>
        <w:t>.</w:t>
      </w:r>
    </w:p>
    <w:p w14:paraId="04B39D84" w14:textId="77777777" w:rsidR="00000000" w:rsidRDefault="00EF48A2">
      <w:pPr>
        <w:pStyle w:val="a3"/>
        <w:spacing w:before="0" w:beforeAutospacing="0" w:after="0" w:afterAutospacing="0"/>
        <w:jc w:val="both"/>
        <w:rPr>
          <w:sz w:val="20"/>
          <w:szCs w:val="20"/>
        </w:rPr>
      </w:pPr>
      <w:r>
        <w:rPr>
          <w:sz w:val="20"/>
          <w:szCs w:val="20"/>
        </w:rPr>
        <w:t> </w:t>
      </w:r>
    </w:p>
    <w:p w14:paraId="79AE894C" w14:textId="77777777" w:rsidR="00000000" w:rsidRDefault="00EF48A2">
      <w:pPr>
        <w:pStyle w:val="a3"/>
        <w:spacing w:before="0" w:beforeAutospacing="0" w:after="0" w:afterAutospacing="0"/>
        <w:jc w:val="both"/>
        <w:rPr>
          <w:sz w:val="20"/>
          <w:szCs w:val="20"/>
        </w:rPr>
      </w:pPr>
      <w:r>
        <w:rPr>
          <w:sz w:val="20"/>
          <w:szCs w:val="20"/>
        </w:rPr>
        <w:t xml:space="preserve">We conducted our audits in accordance with the standards </w:t>
      </w:r>
      <w:r>
        <w:rPr>
          <w:sz w:val="20"/>
          <w:szCs w:val="20"/>
        </w:rPr>
        <w:t>of the PCAOB. Those standards require that we plan and perform the audit to obtain reasonable assurance about whether the financial statements are free of material misstatement, whether due to error or fraud. Our audits included performing procedures to as</w:t>
      </w:r>
      <w:r>
        <w:rPr>
          <w:sz w:val="20"/>
          <w:szCs w:val="20"/>
        </w:rPr>
        <w:t>sess the risks of material misstatement of the financial statements, whether due to error or fraud, and performing procedures that respond to those risks. Such procedures included examining, on a test basis, evidence regarding the amounts and disclosures i</w:t>
      </w:r>
      <w:r>
        <w:rPr>
          <w:sz w:val="20"/>
          <w:szCs w:val="20"/>
        </w:rPr>
        <w:t>n the financial statements. Our audits also included evaluating the accounting principles used and significant estimates made by management, as well as evaluating the overall presentation of the financial statements. We believe that our audits provide a re</w:t>
      </w:r>
      <w:r>
        <w:rPr>
          <w:sz w:val="20"/>
          <w:szCs w:val="20"/>
        </w:rPr>
        <w:t>asonable basis for our opinion</w:t>
      </w:r>
      <w:r>
        <w:rPr>
          <w:sz w:val="20"/>
          <w:szCs w:val="20"/>
        </w:rPr>
        <w:t>.</w:t>
      </w:r>
    </w:p>
    <w:p w14:paraId="37D6193A" w14:textId="77777777" w:rsidR="00000000" w:rsidRDefault="00EF48A2">
      <w:pPr>
        <w:pStyle w:val="a3"/>
        <w:spacing w:before="0" w:beforeAutospacing="0" w:after="0" w:afterAutospacing="0"/>
        <w:jc w:val="both"/>
        <w:rPr>
          <w:sz w:val="20"/>
          <w:szCs w:val="20"/>
        </w:rPr>
      </w:pPr>
      <w:r>
        <w:rPr>
          <w:sz w:val="20"/>
          <w:szCs w:val="20"/>
        </w:rPr>
        <w:t> </w:t>
      </w:r>
    </w:p>
    <w:p w14:paraId="2B92A036" w14:textId="77777777" w:rsidR="00000000" w:rsidRDefault="00EF48A2">
      <w:pPr>
        <w:pStyle w:val="a3"/>
        <w:spacing w:before="0" w:beforeAutospacing="0" w:after="0" w:afterAutospacing="0"/>
        <w:rPr>
          <w:sz w:val="20"/>
          <w:szCs w:val="20"/>
        </w:rPr>
      </w:pPr>
      <w:r>
        <w:rPr>
          <w:b/>
          <w:bCs/>
          <w:sz w:val="20"/>
          <w:szCs w:val="20"/>
        </w:rPr>
        <w:t>Critical Audit Matte</w:t>
      </w:r>
      <w:r>
        <w:rPr>
          <w:b/>
          <w:bCs/>
          <w:sz w:val="20"/>
          <w:szCs w:val="20"/>
        </w:rPr>
        <w:t>r</w:t>
      </w:r>
    </w:p>
    <w:p w14:paraId="3318FECD" w14:textId="77777777" w:rsidR="00000000" w:rsidRDefault="00EF48A2">
      <w:pPr>
        <w:pStyle w:val="a3"/>
        <w:spacing w:before="0" w:beforeAutospacing="0" w:after="0" w:afterAutospacing="0"/>
        <w:jc w:val="both"/>
        <w:rPr>
          <w:sz w:val="20"/>
          <w:szCs w:val="20"/>
        </w:rPr>
      </w:pPr>
      <w:r>
        <w:rPr>
          <w:sz w:val="20"/>
          <w:szCs w:val="20"/>
        </w:rPr>
        <w:t> </w:t>
      </w:r>
    </w:p>
    <w:p w14:paraId="60F3C760" w14:textId="77777777" w:rsidR="00000000" w:rsidRDefault="00EF48A2">
      <w:pPr>
        <w:pStyle w:val="a3"/>
        <w:spacing w:before="0" w:beforeAutospacing="0" w:after="0" w:afterAutospacing="0"/>
        <w:jc w:val="both"/>
        <w:rPr>
          <w:sz w:val="20"/>
          <w:szCs w:val="20"/>
        </w:rPr>
      </w:pPr>
      <w:r>
        <w:rPr>
          <w:sz w:val="20"/>
          <w:szCs w:val="20"/>
        </w:rPr>
        <w:t>The critical audit matter communicated below is a matter arising from the current period audit of the financial statements that was communicated or required to be communicated to the audit committee</w:t>
      </w:r>
      <w:r>
        <w:rPr>
          <w:sz w:val="20"/>
          <w:szCs w:val="20"/>
        </w:rPr>
        <w:t xml:space="preserve"> and that: (1) relates to accounts or disclosures that are material to the financial statements and (2) involved our especially challenging, subjective or complex judgments. The communication of the critical audit matter does not alter in any way our opini</w:t>
      </w:r>
      <w:r>
        <w:rPr>
          <w:sz w:val="20"/>
          <w:szCs w:val="20"/>
        </w:rPr>
        <w:t>on on the consolidated financial statements, taken as a whole, and we are not, by communicating the critical audit matter below, providing a separate opinion on the critical audit matter or on the accounts or disclosures to which it relates</w:t>
      </w:r>
      <w:r>
        <w:rPr>
          <w:sz w:val="20"/>
          <w:szCs w:val="20"/>
        </w:rPr>
        <w:t>.</w:t>
      </w:r>
    </w:p>
    <w:p w14:paraId="0334A3F7" w14:textId="77777777" w:rsidR="00000000" w:rsidRDefault="00EF48A2">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82"/>
        <w:gridCol w:w="192"/>
        <w:gridCol w:w="6432"/>
      </w:tblGrid>
      <w:tr w:rsidR="00000000" w14:paraId="21815E83" w14:textId="77777777">
        <w:trPr>
          <w:tblCellSpacing w:w="15" w:type="dxa"/>
        </w:trPr>
        <w:tc>
          <w:tcPr>
            <w:tcW w:w="1000" w:type="pct"/>
            <w:vAlign w:val="center"/>
            <w:hideMark/>
          </w:tcPr>
          <w:p w14:paraId="1582F866" w14:textId="77777777" w:rsidR="00000000" w:rsidRDefault="00EF48A2">
            <w:pPr>
              <w:rPr>
                <w:sz w:val="20"/>
                <w:szCs w:val="20"/>
              </w:rPr>
            </w:pPr>
          </w:p>
        </w:tc>
        <w:tc>
          <w:tcPr>
            <w:tcW w:w="99" w:type="pct"/>
            <w:vAlign w:val="center"/>
            <w:hideMark/>
          </w:tcPr>
          <w:p w14:paraId="5C802757" w14:textId="77777777" w:rsidR="00000000" w:rsidRDefault="00EF48A2">
            <w:pPr>
              <w:rPr>
                <w:rFonts w:eastAsia="Times New Roman"/>
                <w:sz w:val="20"/>
                <w:szCs w:val="20"/>
              </w:rPr>
            </w:pPr>
          </w:p>
        </w:tc>
        <w:tc>
          <w:tcPr>
            <w:tcW w:w="3900" w:type="pct"/>
            <w:vAlign w:val="center"/>
            <w:hideMark/>
          </w:tcPr>
          <w:p w14:paraId="3B720D9F" w14:textId="77777777" w:rsidR="00000000" w:rsidRDefault="00EF48A2">
            <w:pPr>
              <w:rPr>
                <w:rFonts w:eastAsia="Times New Roman"/>
                <w:sz w:val="20"/>
                <w:szCs w:val="20"/>
              </w:rPr>
            </w:pPr>
          </w:p>
        </w:tc>
      </w:tr>
      <w:tr w:rsidR="00000000" w14:paraId="4FA90C71" w14:textId="77777777">
        <w:trPr>
          <w:trHeight w:val="200"/>
          <w:tblCellSpacing w:w="15" w:type="dxa"/>
        </w:trPr>
        <w:tc>
          <w:tcPr>
            <w:tcW w:w="0" w:type="auto"/>
            <w:tcMar>
              <w:top w:w="14" w:type="dxa"/>
              <w:left w:w="15" w:type="dxa"/>
              <w:bottom w:w="15" w:type="dxa"/>
              <w:right w:w="14" w:type="dxa"/>
            </w:tcMar>
            <w:hideMark/>
          </w:tcPr>
          <w:p w14:paraId="7B138195"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365F2199"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A98B6C8" w14:textId="77777777" w:rsidR="00000000" w:rsidRDefault="00EF48A2">
            <w:pPr>
              <w:pStyle w:val="a3"/>
              <w:spacing w:before="0" w:beforeAutospacing="0" w:after="0" w:afterAutospacing="0"/>
              <w:rPr>
                <w:sz w:val="20"/>
                <w:szCs w:val="20"/>
              </w:rPr>
            </w:pPr>
            <w:r>
              <w:rPr>
                <w:b/>
                <w:bCs/>
                <w:sz w:val="20"/>
                <w:szCs w:val="20"/>
              </w:rPr>
              <w:t>Esti</w:t>
            </w:r>
            <w:r>
              <w:rPr>
                <w:b/>
                <w:bCs/>
                <w:sz w:val="20"/>
                <w:szCs w:val="20"/>
              </w:rPr>
              <w:t>mation of transaction price with respect to variable consideration for revenue recognitio</w:t>
            </w:r>
            <w:r>
              <w:rPr>
                <w:b/>
                <w:bCs/>
                <w:sz w:val="20"/>
                <w:szCs w:val="20"/>
              </w:rPr>
              <w:t>n</w:t>
            </w:r>
          </w:p>
        </w:tc>
      </w:tr>
      <w:tr w:rsidR="00000000" w14:paraId="01BD8C05" w14:textId="77777777">
        <w:trPr>
          <w:tblCellSpacing w:w="15" w:type="dxa"/>
        </w:trPr>
        <w:tc>
          <w:tcPr>
            <w:tcW w:w="0" w:type="auto"/>
            <w:tcMar>
              <w:top w:w="14" w:type="dxa"/>
              <w:left w:w="15" w:type="dxa"/>
              <w:bottom w:w="15" w:type="dxa"/>
              <w:right w:w="14" w:type="dxa"/>
            </w:tcMar>
            <w:hideMark/>
          </w:tcPr>
          <w:p w14:paraId="234F3992"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31606CCF"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5B3B01B6" w14:textId="77777777" w:rsidR="00000000" w:rsidRDefault="00EF48A2">
            <w:pPr>
              <w:pStyle w:val="a3"/>
              <w:spacing w:before="0" w:beforeAutospacing="0" w:after="0" w:afterAutospacing="0"/>
              <w:rPr>
                <w:sz w:val="20"/>
                <w:szCs w:val="20"/>
              </w:rPr>
            </w:pPr>
            <w:r>
              <w:rPr>
                <w:sz w:val="20"/>
                <w:szCs w:val="20"/>
              </w:rPr>
              <w:t> </w:t>
            </w:r>
          </w:p>
        </w:tc>
      </w:tr>
      <w:tr w:rsidR="00000000" w14:paraId="12297730" w14:textId="77777777">
        <w:trPr>
          <w:trHeight w:val="200"/>
          <w:tblCellSpacing w:w="15" w:type="dxa"/>
        </w:trPr>
        <w:tc>
          <w:tcPr>
            <w:tcW w:w="0" w:type="auto"/>
            <w:tcMar>
              <w:top w:w="14" w:type="dxa"/>
              <w:left w:w="15" w:type="dxa"/>
              <w:bottom w:w="15" w:type="dxa"/>
              <w:right w:w="14" w:type="dxa"/>
            </w:tcMar>
            <w:hideMark/>
          </w:tcPr>
          <w:p w14:paraId="5FB15AAE" w14:textId="77777777" w:rsidR="00000000" w:rsidRDefault="00EF48A2">
            <w:pPr>
              <w:pStyle w:val="a3"/>
              <w:spacing w:before="0" w:beforeAutospacing="0" w:after="0" w:afterAutospacing="0"/>
              <w:rPr>
                <w:sz w:val="20"/>
                <w:szCs w:val="20"/>
              </w:rPr>
            </w:pPr>
            <w:r>
              <w:rPr>
                <w:i/>
                <w:iCs/>
                <w:sz w:val="20"/>
                <w:szCs w:val="20"/>
              </w:rPr>
              <w:t>Description of the Matte</w:t>
            </w:r>
            <w:r>
              <w:rPr>
                <w:i/>
                <w:iCs/>
                <w:sz w:val="20"/>
                <w:szCs w:val="20"/>
              </w:rPr>
              <w:t>r</w:t>
            </w:r>
          </w:p>
        </w:tc>
        <w:tc>
          <w:tcPr>
            <w:tcW w:w="0" w:type="auto"/>
            <w:tcMar>
              <w:top w:w="14" w:type="dxa"/>
              <w:left w:w="15" w:type="dxa"/>
              <w:bottom w:w="15" w:type="dxa"/>
              <w:right w:w="14" w:type="dxa"/>
            </w:tcMar>
            <w:hideMark/>
          </w:tcPr>
          <w:p w14:paraId="31F0AE44"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95A2424" w14:textId="77777777" w:rsidR="00000000" w:rsidRDefault="00EF48A2">
            <w:pPr>
              <w:pStyle w:val="a3"/>
              <w:spacing w:before="0" w:beforeAutospacing="0" w:after="0" w:afterAutospacing="0"/>
              <w:jc w:val="both"/>
              <w:rPr>
                <w:sz w:val="20"/>
                <w:szCs w:val="20"/>
              </w:rPr>
            </w:pPr>
            <w:r>
              <w:rPr>
                <w:sz w:val="20"/>
                <w:szCs w:val="20"/>
              </w:rPr>
              <w:t>As discussed in Note 2 of the consolidated financial statements, the Company recognizes revenues from contracted insurance payors and employee assistance organizations ("insurance payors") at a point in time based on contracted rates, net of implicit price</w:t>
            </w:r>
            <w:r>
              <w:rPr>
                <w:sz w:val="20"/>
                <w:szCs w:val="20"/>
              </w:rPr>
              <w:t xml:space="preserve"> concessions, as virtual therapy or psychiatry session is rendered ("behavioral healthcare revenues"). The Company estimates the amount of variable consideration that is included in the transaction price using the expected value method based on actual hist</w:t>
            </w:r>
            <w:r>
              <w:rPr>
                <w:sz w:val="20"/>
                <w:szCs w:val="20"/>
              </w:rPr>
              <w:t>orical collection experience over a twelve-month period by insurance payor. For the year ended December 31, 2022, behavioral healthcare revenues were $36.2 million</w:t>
            </w:r>
            <w:r>
              <w:rPr>
                <w:sz w:val="20"/>
                <w:szCs w:val="20"/>
              </w:rPr>
              <w:t>.</w:t>
            </w:r>
          </w:p>
        </w:tc>
      </w:tr>
    </w:tbl>
    <w:p w14:paraId="5BCE1486"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6</w:t>
      </w:r>
    </w:p>
    <w:p w14:paraId="0BF63957" w14:textId="77777777" w:rsidR="00000000" w:rsidRDefault="00EF48A2">
      <w:pPr>
        <w:rPr>
          <w:rFonts w:eastAsia="Times New Roman"/>
        </w:rPr>
      </w:pPr>
      <w:r>
        <w:rPr>
          <w:rFonts w:eastAsia="Times New Roman"/>
        </w:rPr>
        <w:pict w14:anchorId="142F2672">
          <v:rect id="_x0000_i1083" style="width:0;height:1.5pt" o:hralign="center" o:hrstd="t" o:hr="t" fillcolor="#a0a0a0" stroked="f"/>
        </w:pict>
      </w:r>
    </w:p>
    <w:p w14:paraId="00027E39"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82"/>
        <w:gridCol w:w="192"/>
        <w:gridCol w:w="6432"/>
      </w:tblGrid>
      <w:tr w:rsidR="00000000" w14:paraId="1735F6C6" w14:textId="77777777">
        <w:trPr>
          <w:tblCellSpacing w:w="15" w:type="dxa"/>
        </w:trPr>
        <w:tc>
          <w:tcPr>
            <w:tcW w:w="1000" w:type="pct"/>
            <w:vAlign w:val="center"/>
            <w:hideMark/>
          </w:tcPr>
          <w:p w14:paraId="7AB10C59" w14:textId="77777777" w:rsidR="00000000" w:rsidRDefault="00EF48A2">
            <w:pPr>
              <w:rPr>
                <w:sz w:val="20"/>
                <w:szCs w:val="20"/>
              </w:rPr>
            </w:pPr>
          </w:p>
        </w:tc>
        <w:tc>
          <w:tcPr>
            <w:tcW w:w="99" w:type="pct"/>
            <w:vAlign w:val="center"/>
            <w:hideMark/>
          </w:tcPr>
          <w:p w14:paraId="7533A2A6" w14:textId="77777777" w:rsidR="00000000" w:rsidRDefault="00EF48A2">
            <w:pPr>
              <w:rPr>
                <w:rFonts w:eastAsia="Times New Roman"/>
                <w:sz w:val="20"/>
                <w:szCs w:val="20"/>
              </w:rPr>
            </w:pPr>
          </w:p>
        </w:tc>
        <w:tc>
          <w:tcPr>
            <w:tcW w:w="3900" w:type="pct"/>
            <w:vAlign w:val="center"/>
            <w:hideMark/>
          </w:tcPr>
          <w:p w14:paraId="58F3ACB8" w14:textId="77777777" w:rsidR="00000000" w:rsidRDefault="00EF48A2">
            <w:pPr>
              <w:rPr>
                <w:rFonts w:eastAsia="Times New Roman"/>
                <w:sz w:val="20"/>
                <w:szCs w:val="20"/>
              </w:rPr>
            </w:pPr>
          </w:p>
        </w:tc>
      </w:tr>
      <w:tr w:rsidR="00000000" w14:paraId="7773D7F0" w14:textId="77777777">
        <w:trPr>
          <w:tblCellSpacing w:w="15" w:type="dxa"/>
        </w:trPr>
        <w:tc>
          <w:tcPr>
            <w:tcW w:w="0" w:type="auto"/>
            <w:tcMar>
              <w:top w:w="14" w:type="dxa"/>
              <w:left w:w="15" w:type="dxa"/>
              <w:bottom w:w="15" w:type="dxa"/>
              <w:right w:w="14" w:type="dxa"/>
            </w:tcMar>
            <w:hideMark/>
          </w:tcPr>
          <w:p w14:paraId="0C48BAF0"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5D3834B8"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504B6523" w14:textId="77777777" w:rsidR="00000000" w:rsidRDefault="00EF48A2">
            <w:pPr>
              <w:pStyle w:val="a3"/>
              <w:spacing w:before="0" w:beforeAutospacing="0" w:after="0" w:afterAutospacing="0"/>
              <w:jc w:val="both"/>
              <w:rPr>
                <w:sz w:val="20"/>
                <w:szCs w:val="20"/>
              </w:rPr>
            </w:pPr>
            <w:r>
              <w:rPr>
                <w:sz w:val="20"/>
                <w:szCs w:val="20"/>
              </w:rPr>
              <w:t> </w:t>
            </w:r>
          </w:p>
        </w:tc>
      </w:tr>
      <w:tr w:rsidR="00000000" w14:paraId="59E25868" w14:textId="77777777">
        <w:trPr>
          <w:trHeight w:val="200"/>
          <w:tblCellSpacing w:w="15" w:type="dxa"/>
        </w:trPr>
        <w:tc>
          <w:tcPr>
            <w:tcW w:w="0" w:type="auto"/>
            <w:tcMar>
              <w:top w:w="14" w:type="dxa"/>
              <w:left w:w="15" w:type="dxa"/>
              <w:bottom w:w="15" w:type="dxa"/>
              <w:right w:w="14" w:type="dxa"/>
            </w:tcMar>
            <w:hideMark/>
          </w:tcPr>
          <w:p w14:paraId="3230056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74D0E85"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6233020B" w14:textId="77777777" w:rsidR="00000000" w:rsidRDefault="00EF48A2">
            <w:pPr>
              <w:pStyle w:val="a3"/>
              <w:spacing w:before="0" w:beforeAutospacing="0" w:after="0" w:afterAutospacing="0"/>
              <w:jc w:val="both"/>
              <w:rPr>
                <w:sz w:val="20"/>
                <w:szCs w:val="20"/>
              </w:rPr>
            </w:pPr>
            <w:r>
              <w:rPr>
                <w:sz w:val="20"/>
                <w:szCs w:val="20"/>
              </w:rPr>
              <w:t>Auditing management's determination of transaction price including variable consideration was complex and judgmental due to significant data inputs and subjective assumptions utilized in the process. In determining transaction price, management develops es</w:t>
            </w:r>
            <w:r>
              <w:rPr>
                <w:sz w:val="20"/>
                <w:szCs w:val="20"/>
              </w:rPr>
              <w:t>timates based on actual historical collection experience by insurance payor</w:t>
            </w:r>
            <w:r>
              <w:rPr>
                <w:sz w:val="20"/>
                <w:szCs w:val="20"/>
              </w:rPr>
              <w:t>.</w:t>
            </w:r>
          </w:p>
        </w:tc>
      </w:tr>
      <w:tr w:rsidR="00000000" w14:paraId="4D61DEF6" w14:textId="77777777">
        <w:trPr>
          <w:tblCellSpacing w:w="15" w:type="dxa"/>
        </w:trPr>
        <w:tc>
          <w:tcPr>
            <w:tcW w:w="0" w:type="auto"/>
            <w:tcMar>
              <w:top w:w="14" w:type="dxa"/>
              <w:left w:w="15" w:type="dxa"/>
              <w:bottom w:w="15" w:type="dxa"/>
              <w:right w:w="14" w:type="dxa"/>
            </w:tcMar>
            <w:hideMark/>
          </w:tcPr>
          <w:p w14:paraId="5B6663A6"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0209B74B"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49C95F82" w14:textId="77777777" w:rsidR="00000000" w:rsidRDefault="00EF48A2">
            <w:pPr>
              <w:pStyle w:val="a3"/>
              <w:spacing w:before="0" w:beforeAutospacing="0" w:after="0" w:afterAutospacing="0"/>
              <w:rPr>
                <w:sz w:val="20"/>
                <w:szCs w:val="20"/>
              </w:rPr>
            </w:pPr>
            <w:r>
              <w:rPr>
                <w:sz w:val="20"/>
                <w:szCs w:val="20"/>
              </w:rPr>
              <w:t> </w:t>
            </w:r>
          </w:p>
        </w:tc>
      </w:tr>
      <w:tr w:rsidR="00000000" w14:paraId="24161FC7" w14:textId="77777777">
        <w:trPr>
          <w:trHeight w:val="200"/>
          <w:tblCellSpacing w:w="15" w:type="dxa"/>
        </w:trPr>
        <w:tc>
          <w:tcPr>
            <w:tcW w:w="0" w:type="auto"/>
            <w:tcMar>
              <w:top w:w="14" w:type="dxa"/>
              <w:left w:w="15" w:type="dxa"/>
              <w:bottom w:w="15" w:type="dxa"/>
              <w:right w:w="14" w:type="dxa"/>
            </w:tcMar>
            <w:hideMark/>
          </w:tcPr>
          <w:p w14:paraId="3EB360F4" w14:textId="77777777" w:rsidR="00000000" w:rsidRDefault="00EF48A2">
            <w:pPr>
              <w:pStyle w:val="a3"/>
              <w:spacing w:before="0" w:beforeAutospacing="0" w:after="0" w:afterAutospacing="0"/>
              <w:rPr>
                <w:sz w:val="20"/>
                <w:szCs w:val="20"/>
              </w:rPr>
            </w:pPr>
            <w:r>
              <w:rPr>
                <w:i/>
                <w:iCs/>
                <w:sz w:val="20"/>
                <w:szCs w:val="20"/>
              </w:rPr>
              <w:t>How We Addressed the Matter in Our Audi</w:t>
            </w:r>
            <w:r>
              <w:rPr>
                <w:i/>
                <w:iCs/>
                <w:sz w:val="20"/>
                <w:szCs w:val="20"/>
              </w:rPr>
              <w:t>t</w:t>
            </w:r>
            <w:r>
              <w:rPr>
                <w:i/>
                <w:iCs/>
                <w:sz w:val="20"/>
                <w:szCs w:val="20"/>
              </w:rPr>
              <w:t xml:space="preserve"> </w:t>
            </w:r>
          </w:p>
        </w:tc>
        <w:tc>
          <w:tcPr>
            <w:tcW w:w="0" w:type="auto"/>
            <w:tcMar>
              <w:top w:w="14" w:type="dxa"/>
              <w:left w:w="15" w:type="dxa"/>
              <w:bottom w:w="15" w:type="dxa"/>
              <w:right w:w="14" w:type="dxa"/>
            </w:tcMar>
            <w:hideMark/>
          </w:tcPr>
          <w:p w14:paraId="029B4577"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19C48B06" w14:textId="77777777" w:rsidR="00000000" w:rsidRDefault="00EF48A2">
            <w:pPr>
              <w:pStyle w:val="a3"/>
              <w:spacing w:before="0" w:beforeAutospacing="0" w:after="0" w:afterAutospacing="0"/>
              <w:jc w:val="both"/>
              <w:rPr>
                <w:sz w:val="20"/>
                <w:szCs w:val="20"/>
              </w:rPr>
            </w:pPr>
            <w:r>
              <w:rPr>
                <w:sz w:val="20"/>
                <w:szCs w:val="20"/>
              </w:rPr>
              <w:t>To test the estimated variable consideration, our audit procedures included, among others, evaluating the subjective assumption</w:t>
            </w:r>
            <w:r>
              <w:rPr>
                <w:sz w:val="20"/>
                <w:szCs w:val="20"/>
              </w:rPr>
              <w:t>s and the accuracy and completeness of the underlying data used in management’s calculations. For transaction price, this included testing management’s estimate through a combination of underlying data validation by inspection of source documents, independ</w:t>
            </w:r>
            <w:r>
              <w:rPr>
                <w:sz w:val="20"/>
                <w:szCs w:val="20"/>
              </w:rPr>
              <w:t>ent recalculation of management’s analysis and review for consistency against historical data. In addition, we inspected the results of the Company’s retrospective review analysis of uncollected claims, evaluated the estimates made based on historical expe</w:t>
            </w:r>
            <w:r>
              <w:rPr>
                <w:sz w:val="20"/>
                <w:szCs w:val="20"/>
              </w:rPr>
              <w:t>rience and performed sensitivity analyses over the Company's significant assumptions</w:t>
            </w:r>
            <w:r>
              <w:rPr>
                <w:sz w:val="20"/>
                <w:szCs w:val="20"/>
              </w:rPr>
              <w:t>.</w:t>
            </w:r>
          </w:p>
        </w:tc>
      </w:tr>
    </w:tbl>
    <w:p w14:paraId="7FCDE16B" w14:textId="77777777" w:rsidR="00000000" w:rsidRDefault="00EF48A2">
      <w:pPr>
        <w:pStyle w:val="a3"/>
        <w:spacing w:before="360" w:beforeAutospacing="0" w:after="0" w:afterAutospacing="0"/>
        <w:rPr>
          <w:sz w:val="20"/>
          <w:szCs w:val="20"/>
        </w:rPr>
      </w:pPr>
      <w:r>
        <w:rPr>
          <w:sz w:val="20"/>
          <w:szCs w:val="20"/>
        </w:rPr>
        <w:t> </w:t>
      </w:r>
    </w:p>
    <w:p w14:paraId="184DB4B1" w14:textId="77777777" w:rsidR="00000000" w:rsidRDefault="00EF48A2">
      <w:pPr>
        <w:pStyle w:val="a3"/>
        <w:spacing w:before="360" w:beforeAutospacing="0" w:after="0" w:afterAutospacing="0"/>
        <w:rPr>
          <w:sz w:val="20"/>
          <w:szCs w:val="20"/>
        </w:rPr>
      </w:pPr>
      <w:r>
        <w:rPr>
          <w:sz w:val="20"/>
          <w:szCs w:val="20"/>
        </w:rPr>
        <w:t> </w:t>
      </w:r>
    </w:p>
    <w:p w14:paraId="7819B6A6" w14:textId="77777777" w:rsidR="00000000" w:rsidRDefault="00EF48A2">
      <w:pPr>
        <w:pStyle w:val="a3"/>
        <w:spacing w:before="360" w:beforeAutospacing="0" w:after="0" w:afterAutospacing="0"/>
        <w:rPr>
          <w:sz w:val="20"/>
          <w:szCs w:val="20"/>
        </w:rPr>
      </w:pPr>
      <w:r>
        <w:rPr>
          <w:sz w:val="20"/>
          <w:szCs w:val="20"/>
        </w:rPr>
        <w:t>/s/ Kost Forer Gabbay &amp; Kasiere</w:t>
      </w:r>
      <w:r>
        <w:rPr>
          <w:sz w:val="20"/>
          <w:szCs w:val="20"/>
        </w:rPr>
        <w:t>r</w:t>
      </w:r>
      <w:r>
        <w:rPr>
          <w:sz w:val="20"/>
          <w:szCs w:val="20"/>
        </w:rPr>
        <w:t xml:space="preserve"> </w:t>
      </w:r>
    </w:p>
    <w:p w14:paraId="0D810208" w14:textId="77777777" w:rsidR="00000000" w:rsidRDefault="00EF48A2">
      <w:pPr>
        <w:pStyle w:val="a3"/>
        <w:spacing w:before="0" w:beforeAutospacing="0" w:after="0" w:afterAutospacing="0"/>
        <w:rPr>
          <w:sz w:val="20"/>
          <w:szCs w:val="20"/>
        </w:rPr>
      </w:pPr>
      <w:r>
        <w:rPr>
          <w:sz w:val="20"/>
          <w:szCs w:val="20"/>
        </w:rPr>
        <w:t>A Member of EY Globa</w:t>
      </w:r>
      <w:r>
        <w:rPr>
          <w:sz w:val="20"/>
          <w:szCs w:val="20"/>
        </w:rPr>
        <w:t>l</w:t>
      </w:r>
      <w:r>
        <w:rPr>
          <w:sz w:val="20"/>
          <w:szCs w:val="20"/>
        </w:rPr>
        <w:t xml:space="preserve"> </w:t>
      </w:r>
    </w:p>
    <w:p w14:paraId="2937ACF9" w14:textId="77777777" w:rsidR="00000000" w:rsidRDefault="00EF48A2">
      <w:pPr>
        <w:pStyle w:val="a3"/>
        <w:spacing w:before="240" w:beforeAutospacing="0" w:after="0" w:afterAutospacing="0"/>
        <w:rPr>
          <w:sz w:val="20"/>
          <w:szCs w:val="20"/>
        </w:rPr>
      </w:pPr>
      <w:r>
        <w:rPr>
          <w:sz w:val="20"/>
          <w:szCs w:val="20"/>
        </w:rPr>
        <w:t>We have served as the Company’s auditor since 2014</w:t>
      </w:r>
      <w:r>
        <w:rPr>
          <w:sz w:val="20"/>
          <w:szCs w:val="20"/>
        </w:rPr>
        <w:t>.</w:t>
      </w:r>
      <w:r>
        <w:rPr>
          <w:sz w:val="20"/>
          <w:szCs w:val="20"/>
        </w:rPr>
        <w:t xml:space="preserve"> </w:t>
      </w:r>
    </w:p>
    <w:p w14:paraId="57F38B8C" w14:textId="77777777" w:rsidR="00000000" w:rsidRDefault="00EF48A2">
      <w:pPr>
        <w:pStyle w:val="a3"/>
        <w:spacing w:before="240" w:beforeAutospacing="0" w:after="0" w:afterAutospacing="0"/>
        <w:rPr>
          <w:sz w:val="20"/>
          <w:szCs w:val="20"/>
        </w:rPr>
      </w:pPr>
      <w:r>
        <w:rPr>
          <w:sz w:val="20"/>
          <w:szCs w:val="20"/>
        </w:rPr>
        <w:t>Tel-Aviv, Israe</w:t>
      </w:r>
      <w:r>
        <w:rPr>
          <w:sz w:val="20"/>
          <w:szCs w:val="20"/>
        </w:rPr>
        <w:t>l</w:t>
      </w:r>
      <w:r>
        <w:rPr>
          <w:sz w:val="20"/>
          <w:szCs w:val="20"/>
        </w:rPr>
        <w:t xml:space="preserve"> </w:t>
      </w:r>
    </w:p>
    <w:p w14:paraId="353D5174" w14:textId="77777777" w:rsidR="00000000" w:rsidRDefault="00EF48A2">
      <w:pPr>
        <w:pStyle w:val="a3"/>
        <w:spacing w:before="0" w:beforeAutospacing="0" w:after="0" w:afterAutospacing="0"/>
        <w:rPr>
          <w:sz w:val="20"/>
          <w:szCs w:val="20"/>
        </w:rPr>
      </w:pPr>
      <w:r>
        <w:rPr>
          <w:sz w:val="20"/>
          <w:szCs w:val="20"/>
        </w:rPr>
        <w:t>March 10, 202</w:t>
      </w:r>
      <w:r>
        <w:rPr>
          <w:sz w:val="20"/>
          <w:szCs w:val="20"/>
        </w:rPr>
        <w:t>3</w:t>
      </w:r>
      <w:r>
        <w:rPr>
          <w:sz w:val="20"/>
          <w:szCs w:val="20"/>
        </w:rPr>
        <w:t xml:space="preserve"> </w:t>
      </w:r>
    </w:p>
    <w:p w14:paraId="0C6A8F95" w14:textId="77777777" w:rsidR="00000000" w:rsidRDefault="00EF48A2">
      <w:pPr>
        <w:pStyle w:val="a3"/>
        <w:spacing w:before="0" w:beforeAutospacing="0" w:after="0" w:afterAutospacing="0"/>
        <w:rPr>
          <w:sz w:val="20"/>
          <w:szCs w:val="20"/>
        </w:rPr>
      </w:pPr>
      <w:r>
        <w:rPr>
          <w:sz w:val="20"/>
          <w:szCs w:val="20"/>
        </w:rPr>
        <w:t> </w:t>
      </w:r>
    </w:p>
    <w:p w14:paraId="6F1302B2" w14:textId="77777777" w:rsidR="00000000" w:rsidRDefault="00EF48A2">
      <w:pPr>
        <w:pStyle w:val="a3"/>
        <w:spacing w:before="0" w:beforeAutospacing="0" w:after="0" w:afterAutospacing="0"/>
        <w:rPr>
          <w:sz w:val="20"/>
          <w:szCs w:val="20"/>
        </w:rPr>
      </w:pPr>
      <w:r>
        <w:rPr>
          <w:sz w:val="20"/>
          <w:szCs w:val="20"/>
        </w:rPr>
        <w:t> </w:t>
      </w:r>
    </w:p>
    <w:p w14:paraId="475B5003" w14:textId="77777777" w:rsidR="00000000" w:rsidRDefault="00EF48A2">
      <w:pPr>
        <w:pStyle w:val="a3"/>
        <w:spacing w:before="0" w:beforeAutospacing="0" w:after="0" w:afterAutospacing="0"/>
        <w:rPr>
          <w:sz w:val="20"/>
          <w:szCs w:val="20"/>
        </w:rPr>
      </w:pPr>
      <w:r>
        <w:rPr>
          <w:sz w:val="20"/>
          <w:szCs w:val="20"/>
        </w:rPr>
        <w:t> </w:t>
      </w:r>
    </w:p>
    <w:p w14:paraId="15196BEB"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7</w:t>
      </w:r>
    </w:p>
    <w:p w14:paraId="0B4DCE45" w14:textId="77777777" w:rsidR="00000000" w:rsidRDefault="00EF48A2">
      <w:pPr>
        <w:rPr>
          <w:rFonts w:eastAsia="Times New Roman"/>
        </w:rPr>
      </w:pPr>
      <w:r>
        <w:rPr>
          <w:rFonts w:eastAsia="Times New Roman"/>
        </w:rPr>
        <w:pict w14:anchorId="6FE2A31A">
          <v:rect id="_x0000_i1084" style="width:0;height:1.5pt" o:hralign="center" o:hrstd="t" o:hr="t" fillcolor="#a0a0a0" stroked="f"/>
        </w:pict>
      </w:r>
    </w:p>
    <w:p w14:paraId="42EEF3E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40EA4CD" w14:textId="77777777" w:rsidR="00000000" w:rsidRDefault="00EF48A2">
      <w:pPr>
        <w:pStyle w:val="a3"/>
        <w:spacing w:before="0" w:beforeAutospacing="0" w:after="0" w:afterAutospacing="0"/>
        <w:rPr>
          <w:sz w:val="20"/>
          <w:szCs w:val="20"/>
        </w:rPr>
      </w:pPr>
      <w:r>
        <w:rPr>
          <w:sz w:val="20"/>
          <w:szCs w:val="20"/>
        </w:rPr>
        <w:t> </w:t>
      </w:r>
    </w:p>
    <w:p w14:paraId="20D530CE" w14:textId="77777777" w:rsidR="00000000" w:rsidRDefault="00EF48A2">
      <w:pPr>
        <w:pStyle w:val="a3"/>
        <w:spacing w:before="0" w:beforeAutospacing="0" w:after="0" w:afterAutospacing="0"/>
        <w:jc w:val="center"/>
        <w:rPr>
          <w:sz w:val="20"/>
          <w:szCs w:val="20"/>
        </w:rPr>
      </w:pPr>
      <w:r>
        <w:rPr>
          <w:b/>
          <w:bCs/>
          <w:sz w:val="20"/>
          <w:szCs w:val="20"/>
        </w:rPr>
        <w:t>REPORT OF INDEPENDENT REGISTERED PUBLIC ACCOUNTING FIR</w:t>
      </w:r>
      <w:r>
        <w:rPr>
          <w:b/>
          <w:bCs/>
          <w:sz w:val="20"/>
          <w:szCs w:val="20"/>
        </w:rPr>
        <w:t>M</w:t>
      </w:r>
    </w:p>
    <w:p w14:paraId="2DBE0AA1" w14:textId="77777777" w:rsidR="00000000" w:rsidRDefault="00EF48A2">
      <w:pPr>
        <w:pStyle w:val="a3"/>
        <w:spacing w:before="480" w:beforeAutospacing="0" w:after="0" w:afterAutospacing="0"/>
        <w:rPr>
          <w:sz w:val="20"/>
          <w:szCs w:val="20"/>
        </w:rPr>
      </w:pPr>
      <w:r>
        <w:rPr>
          <w:sz w:val="20"/>
          <w:szCs w:val="20"/>
        </w:rPr>
        <w:t>To the Shareholders and the Board of Directors of Talkspace, Inc</w:t>
      </w:r>
      <w:r>
        <w:rPr>
          <w:sz w:val="20"/>
          <w:szCs w:val="20"/>
        </w:rPr>
        <w:t>.</w:t>
      </w:r>
    </w:p>
    <w:p w14:paraId="6EAA9A60" w14:textId="77777777" w:rsidR="00000000" w:rsidRDefault="00EF48A2">
      <w:pPr>
        <w:pStyle w:val="a3"/>
        <w:spacing w:before="0" w:beforeAutospacing="0" w:after="0" w:afterAutospacing="0"/>
        <w:rPr>
          <w:sz w:val="20"/>
          <w:szCs w:val="20"/>
        </w:rPr>
      </w:pPr>
      <w:r>
        <w:rPr>
          <w:sz w:val="20"/>
          <w:szCs w:val="20"/>
        </w:rPr>
        <w:t> </w:t>
      </w:r>
    </w:p>
    <w:p w14:paraId="21F1578D" w14:textId="77777777" w:rsidR="00000000" w:rsidRDefault="00EF48A2">
      <w:pPr>
        <w:pStyle w:val="a3"/>
        <w:spacing w:before="0" w:beforeAutospacing="0" w:after="0" w:afterAutospacing="0"/>
        <w:rPr>
          <w:sz w:val="20"/>
          <w:szCs w:val="20"/>
        </w:rPr>
      </w:pPr>
      <w:r>
        <w:rPr>
          <w:b/>
          <w:bCs/>
          <w:sz w:val="20"/>
          <w:szCs w:val="20"/>
        </w:rPr>
        <w:t>Opinion on Internal Control Over Financial Re</w:t>
      </w:r>
      <w:r>
        <w:rPr>
          <w:b/>
          <w:bCs/>
          <w:sz w:val="20"/>
          <w:szCs w:val="20"/>
        </w:rPr>
        <w:t>portin</w:t>
      </w:r>
      <w:r>
        <w:rPr>
          <w:b/>
          <w:bCs/>
          <w:sz w:val="20"/>
          <w:szCs w:val="20"/>
        </w:rPr>
        <w:t>g</w:t>
      </w:r>
      <w:r>
        <w:rPr>
          <w:b/>
          <w:bCs/>
          <w:sz w:val="20"/>
          <w:szCs w:val="20"/>
        </w:rPr>
        <w:t xml:space="preserve"> </w:t>
      </w:r>
    </w:p>
    <w:p w14:paraId="42B88DAB" w14:textId="77777777" w:rsidR="00000000" w:rsidRDefault="00EF48A2">
      <w:pPr>
        <w:pStyle w:val="a3"/>
        <w:spacing w:before="0" w:beforeAutospacing="0" w:after="0" w:afterAutospacing="0"/>
        <w:rPr>
          <w:sz w:val="20"/>
          <w:szCs w:val="20"/>
        </w:rPr>
      </w:pPr>
      <w:r>
        <w:rPr>
          <w:sz w:val="20"/>
          <w:szCs w:val="20"/>
        </w:rPr>
        <w:t> </w:t>
      </w:r>
    </w:p>
    <w:p w14:paraId="3D1FC3F8" w14:textId="77777777" w:rsidR="00000000" w:rsidRDefault="00EF48A2">
      <w:pPr>
        <w:pStyle w:val="a3"/>
        <w:spacing w:before="0" w:beforeAutospacing="0" w:after="0" w:afterAutospacing="0"/>
        <w:jc w:val="both"/>
        <w:rPr>
          <w:sz w:val="20"/>
          <w:szCs w:val="20"/>
        </w:rPr>
      </w:pPr>
      <w:r>
        <w:rPr>
          <w:sz w:val="20"/>
          <w:szCs w:val="20"/>
        </w:rPr>
        <w:t>We have audited Talkspace, Inc.'s internal control over financial reporting as of December 31, 2022, based on criteria established in Internal Control—Integrated Framework issued by the Committee of Sponsoring Organizations of the Treadway Commi</w:t>
      </w:r>
      <w:r>
        <w:rPr>
          <w:sz w:val="20"/>
          <w:szCs w:val="20"/>
        </w:rPr>
        <w:t>ssion (2013 framework) (the COSO criteria). In our opinion, because of the effect of the material weaknesses described below on the achievement of the objectives of the control criteria, Talkspace, Inc. (the Company) has not maintained effective internal c</w:t>
      </w:r>
      <w:r>
        <w:rPr>
          <w:sz w:val="20"/>
          <w:szCs w:val="20"/>
        </w:rPr>
        <w:t>ontrol over financial reporting as of December 31, 2022, based on the COSO criteria</w:t>
      </w:r>
      <w:r>
        <w:rPr>
          <w:sz w:val="20"/>
          <w:szCs w:val="20"/>
        </w:rPr>
        <w:t>.</w:t>
      </w:r>
    </w:p>
    <w:p w14:paraId="06ADDBB0" w14:textId="77777777" w:rsidR="00000000" w:rsidRDefault="00EF48A2">
      <w:pPr>
        <w:pStyle w:val="a3"/>
        <w:spacing w:before="0" w:beforeAutospacing="0" w:after="0" w:afterAutospacing="0"/>
        <w:jc w:val="both"/>
        <w:rPr>
          <w:sz w:val="20"/>
          <w:szCs w:val="20"/>
        </w:rPr>
      </w:pPr>
      <w:r>
        <w:rPr>
          <w:sz w:val="20"/>
          <w:szCs w:val="20"/>
        </w:rPr>
        <w:t> </w:t>
      </w:r>
    </w:p>
    <w:p w14:paraId="56D19334" w14:textId="77777777" w:rsidR="00000000" w:rsidRDefault="00EF48A2">
      <w:pPr>
        <w:pStyle w:val="a3"/>
        <w:spacing w:before="0" w:beforeAutospacing="0" w:after="0" w:afterAutospacing="0"/>
        <w:jc w:val="both"/>
        <w:rPr>
          <w:sz w:val="20"/>
          <w:szCs w:val="20"/>
        </w:rPr>
      </w:pPr>
      <w:r>
        <w:rPr>
          <w:sz w:val="20"/>
          <w:szCs w:val="20"/>
        </w:rPr>
        <w:t>A material weakness is a deficiency, or combination of deficiencies, in internal control over financial reporting, such that there is a reasonable possibility that a mat</w:t>
      </w:r>
      <w:r>
        <w:rPr>
          <w:sz w:val="20"/>
          <w:szCs w:val="20"/>
        </w:rPr>
        <w:t>erial misstatement of the company’s annual or interim financial statements will not be prevented or detected on a timely basis. The following material weaknesses have been identified and included in management’s assessment. Management has identified the fo</w:t>
      </w:r>
      <w:r>
        <w:rPr>
          <w:sz w:val="20"/>
          <w:szCs w:val="20"/>
        </w:rPr>
        <w:t>llowing material weaknesses in internal controls</w:t>
      </w:r>
      <w:r>
        <w:rPr>
          <w:sz w:val="20"/>
          <w:szCs w:val="20"/>
        </w:rPr>
        <w:t>:</w:t>
      </w:r>
    </w:p>
    <w:p w14:paraId="4109086F" w14:textId="77777777" w:rsidR="00000000" w:rsidRDefault="00EF48A2">
      <w:pPr>
        <w:pStyle w:val="a3"/>
        <w:spacing w:before="0" w:beforeAutospacing="0" w:after="0" w:afterAutospacing="0"/>
        <w:jc w:val="both"/>
        <w:rPr>
          <w:sz w:val="20"/>
          <w:szCs w:val="20"/>
        </w:rPr>
      </w:pPr>
      <w:r>
        <w:rPr>
          <w:sz w:val="20"/>
          <w:szCs w:val="20"/>
        </w:rPr>
        <w:t> </w:t>
      </w:r>
    </w:p>
    <w:p w14:paraId="12955C4D" w14:textId="77777777" w:rsidR="00000000" w:rsidRDefault="00EF48A2">
      <w:pPr>
        <w:jc w:val="both"/>
        <w:divId w:val="53893565"/>
        <w:rPr>
          <w:rFonts w:eastAsia="Times New Roman"/>
        </w:rPr>
      </w:pPr>
      <w:r>
        <w:rPr>
          <w:rFonts w:eastAsia="Times New Roman"/>
          <w:sz w:val="20"/>
          <w:szCs w:val="20"/>
        </w:rPr>
        <w:t>a</w:t>
      </w:r>
      <w:r>
        <w:rPr>
          <w:rFonts w:eastAsia="Times New Roman"/>
          <w:sz w:val="20"/>
          <w:szCs w:val="20"/>
        </w:rPr>
        <w:t>)</w:t>
      </w:r>
    </w:p>
    <w:p w14:paraId="07029E83" w14:textId="77777777" w:rsidR="00000000" w:rsidRDefault="00EF48A2">
      <w:pPr>
        <w:jc w:val="both"/>
        <w:divId w:val="1873684406"/>
        <w:rPr>
          <w:rFonts w:eastAsia="Times New Roman"/>
        </w:rPr>
      </w:pPr>
      <w:r>
        <w:rPr>
          <w:rFonts w:eastAsia="Times New Roman"/>
          <w:sz w:val="20"/>
          <w:szCs w:val="20"/>
        </w:rPr>
        <w:t>Management was able to complete the design and establish effective information technology general controls (ITGCs) for the majority of tested ITGCs; however, some ineffective ITGC controls existed at D</w:t>
      </w:r>
      <w:r>
        <w:rPr>
          <w:rFonts w:eastAsia="Times New Roman"/>
          <w:sz w:val="20"/>
          <w:szCs w:val="20"/>
        </w:rPr>
        <w:t xml:space="preserve">ecember 31, 2022. As a result, business process controls (automated and IT-dependent manual controls) that are dependent on the ineffective ITGCs, or that use data produced from systems impacted by the ineffective ITGCs were deemed ineffective at December </w:t>
      </w:r>
      <w:r>
        <w:rPr>
          <w:rFonts w:eastAsia="Times New Roman"/>
          <w:sz w:val="20"/>
          <w:szCs w:val="20"/>
        </w:rPr>
        <w:t>31 2022; and</w:t>
      </w:r>
      <w:r>
        <w:rPr>
          <w:rFonts w:eastAsia="Times New Roman"/>
          <w:sz w:val="20"/>
          <w:szCs w:val="20"/>
        </w:rPr>
        <w:t xml:space="preserve"> </w:t>
      </w:r>
    </w:p>
    <w:p w14:paraId="0A87C556" w14:textId="77777777" w:rsidR="00000000" w:rsidRDefault="00EF48A2">
      <w:pPr>
        <w:jc w:val="both"/>
        <w:divId w:val="421949153"/>
        <w:rPr>
          <w:rFonts w:eastAsia="Times New Roman"/>
        </w:rPr>
      </w:pPr>
      <w:r>
        <w:rPr>
          <w:rFonts w:eastAsia="Times New Roman"/>
          <w:sz w:val="20"/>
          <w:szCs w:val="20"/>
        </w:rPr>
        <w:t>b</w:t>
      </w:r>
      <w:r>
        <w:rPr>
          <w:rFonts w:eastAsia="Times New Roman"/>
          <w:sz w:val="20"/>
          <w:szCs w:val="20"/>
        </w:rPr>
        <w:t>)</w:t>
      </w:r>
    </w:p>
    <w:p w14:paraId="15AA1B22" w14:textId="77777777" w:rsidR="00000000" w:rsidRDefault="00EF48A2">
      <w:pPr>
        <w:jc w:val="both"/>
        <w:divId w:val="1181698828"/>
        <w:rPr>
          <w:rFonts w:eastAsia="Times New Roman"/>
        </w:rPr>
      </w:pPr>
      <w:r>
        <w:rPr>
          <w:rFonts w:eastAsia="Times New Roman"/>
          <w:sz w:val="20"/>
          <w:szCs w:val="20"/>
        </w:rPr>
        <w:t>Management did not have an adequate process in place to monitor and provide oversight over the completion of its testing and assessment of the design and operating effectiveness of internal control over financial reporting in a timely mann</w:t>
      </w:r>
      <w:r>
        <w:rPr>
          <w:rFonts w:eastAsia="Times New Roman"/>
          <w:sz w:val="20"/>
          <w:szCs w:val="20"/>
        </w:rPr>
        <w:t>er.</w:t>
      </w:r>
      <w:r>
        <w:rPr>
          <w:rFonts w:eastAsia="Times New Roman"/>
          <w:sz w:val="20"/>
          <w:szCs w:val="20"/>
        </w:rPr>
        <w:t xml:space="preserve"> </w:t>
      </w:r>
    </w:p>
    <w:p w14:paraId="39DFA53E" w14:textId="77777777" w:rsidR="00000000" w:rsidRDefault="00EF48A2">
      <w:pPr>
        <w:pStyle w:val="a3"/>
        <w:spacing w:before="0" w:beforeAutospacing="0" w:after="0" w:afterAutospacing="0"/>
        <w:jc w:val="both"/>
        <w:rPr>
          <w:sz w:val="20"/>
          <w:szCs w:val="20"/>
        </w:rPr>
      </w:pPr>
      <w:r>
        <w:rPr>
          <w:sz w:val="20"/>
          <w:szCs w:val="20"/>
        </w:rPr>
        <w:t> </w:t>
      </w:r>
    </w:p>
    <w:p w14:paraId="53D316B6" w14:textId="77777777" w:rsidR="00000000" w:rsidRDefault="00EF48A2">
      <w:pPr>
        <w:pStyle w:val="a3"/>
        <w:spacing w:before="0" w:beforeAutospacing="0" w:after="0" w:afterAutospacing="0"/>
        <w:jc w:val="both"/>
        <w:rPr>
          <w:sz w:val="20"/>
          <w:szCs w:val="20"/>
        </w:rPr>
      </w:pPr>
      <w:r>
        <w:rPr>
          <w:sz w:val="20"/>
          <w:szCs w:val="20"/>
        </w:rPr>
        <w:t xml:space="preserve">We also have audited, in accordance with the standards of the Public Company Accounting Oversight Board (United States) (PCAOB), the consolidated balance sheets of Talkspace Inc. as of December 31, 2022 and 2021, the related consolidated statements </w:t>
      </w:r>
      <w:r>
        <w:rPr>
          <w:sz w:val="20"/>
          <w:szCs w:val="20"/>
        </w:rPr>
        <w:t>of operations, changes in stockholders' equity (deficit) and cash flows for each of the three years in the period ended December 31, 2022, and the related notes. This material weaknesses were considered in determining the nature, timing and extent of audit</w:t>
      </w:r>
      <w:r>
        <w:rPr>
          <w:sz w:val="20"/>
          <w:szCs w:val="20"/>
        </w:rPr>
        <w:t xml:space="preserve"> tests applied in our audit of the 2022 consolidated financial statements, and this report does not affect our report dated March 10, 2023, which expressed an unqualified opinion thereon</w:t>
      </w:r>
      <w:r>
        <w:rPr>
          <w:sz w:val="20"/>
          <w:szCs w:val="20"/>
        </w:rPr>
        <w:t>.</w:t>
      </w:r>
    </w:p>
    <w:p w14:paraId="641B2021" w14:textId="77777777" w:rsidR="00000000" w:rsidRDefault="00EF48A2">
      <w:pPr>
        <w:pStyle w:val="a3"/>
        <w:spacing w:before="0" w:beforeAutospacing="0" w:after="0" w:afterAutospacing="0"/>
        <w:rPr>
          <w:sz w:val="20"/>
          <w:szCs w:val="20"/>
        </w:rPr>
      </w:pPr>
      <w:r>
        <w:rPr>
          <w:sz w:val="20"/>
          <w:szCs w:val="20"/>
        </w:rPr>
        <w:t> </w:t>
      </w:r>
    </w:p>
    <w:p w14:paraId="7FAC6DEC" w14:textId="77777777" w:rsidR="00000000" w:rsidRDefault="00EF48A2">
      <w:pPr>
        <w:pStyle w:val="a3"/>
        <w:spacing w:before="0" w:beforeAutospacing="0" w:after="0" w:afterAutospacing="0"/>
        <w:rPr>
          <w:sz w:val="20"/>
          <w:szCs w:val="20"/>
        </w:rPr>
      </w:pPr>
      <w:r>
        <w:rPr>
          <w:b/>
          <w:bCs/>
          <w:sz w:val="20"/>
          <w:szCs w:val="20"/>
        </w:rPr>
        <w:t>Basis for Opinio</w:t>
      </w:r>
      <w:r>
        <w:rPr>
          <w:b/>
          <w:bCs/>
          <w:sz w:val="20"/>
          <w:szCs w:val="20"/>
        </w:rPr>
        <w:t>n</w:t>
      </w:r>
    </w:p>
    <w:p w14:paraId="1501F212" w14:textId="77777777" w:rsidR="00000000" w:rsidRDefault="00EF48A2">
      <w:pPr>
        <w:pStyle w:val="a3"/>
        <w:spacing w:before="0" w:beforeAutospacing="0" w:after="0" w:afterAutospacing="0"/>
        <w:rPr>
          <w:sz w:val="20"/>
          <w:szCs w:val="20"/>
        </w:rPr>
      </w:pPr>
      <w:r>
        <w:rPr>
          <w:sz w:val="20"/>
          <w:szCs w:val="20"/>
        </w:rPr>
        <w:t> </w:t>
      </w:r>
    </w:p>
    <w:p w14:paraId="06B04F6B" w14:textId="77777777" w:rsidR="00000000" w:rsidRDefault="00EF48A2">
      <w:pPr>
        <w:pStyle w:val="a3"/>
        <w:spacing w:before="0" w:beforeAutospacing="0" w:after="0" w:afterAutospacing="0"/>
        <w:jc w:val="both"/>
        <w:rPr>
          <w:sz w:val="20"/>
          <w:szCs w:val="20"/>
        </w:rPr>
      </w:pPr>
      <w:r>
        <w:rPr>
          <w:sz w:val="20"/>
          <w:szCs w:val="20"/>
        </w:rPr>
        <w:t>The Company’</w:t>
      </w:r>
      <w:r>
        <w:rPr>
          <w:sz w:val="20"/>
          <w:szCs w:val="20"/>
        </w:rPr>
        <w:t>s management is responsible for maintaining effective internal control over financial reporting and for its assessment of the effectiveness of internal control over financial reporting included in the accompanying management’s report on internal control ov</w:t>
      </w:r>
      <w:r>
        <w:rPr>
          <w:sz w:val="20"/>
          <w:szCs w:val="20"/>
        </w:rPr>
        <w:t xml:space="preserve">er financial reporting. Our responsibility is to express an opinion on the Company’s internal control over financial reporting based on our audit. We are a public accounting firm registered with the PCAOB and are required to be independent with respect to </w:t>
      </w:r>
      <w:r>
        <w:rPr>
          <w:sz w:val="20"/>
          <w:szCs w:val="20"/>
        </w:rPr>
        <w:t>the Company in accordance with the U.S. federal securities laws and the applicable rules and regulations of the Securities and Exchange Commission and the PCAOB</w:t>
      </w:r>
      <w:r>
        <w:rPr>
          <w:sz w:val="20"/>
          <w:szCs w:val="20"/>
        </w:rPr>
        <w:t>.</w:t>
      </w:r>
    </w:p>
    <w:p w14:paraId="34E37C29" w14:textId="77777777" w:rsidR="00000000" w:rsidRDefault="00EF48A2">
      <w:pPr>
        <w:pStyle w:val="a3"/>
        <w:spacing w:before="0" w:beforeAutospacing="0" w:after="0" w:afterAutospacing="0"/>
        <w:jc w:val="both"/>
        <w:rPr>
          <w:sz w:val="20"/>
          <w:szCs w:val="20"/>
        </w:rPr>
      </w:pPr>
      <w:r>
        <w:rPr>
          <w:sz w:val="20"/>
          <w:szCs w:val="20"/>
        </w:rPr>
        <w:t> </w:t>
      </w:r>
    </w:p>
    <w:p w14:paraId="161F04E4" w14:textId="77777777" w:rsidR="00000000" w:rsidRDefault="00EF48A2">
      <w:pPr>
        <w:pStyle w:val="a3"/>
        <w:spacing w:before="0" w:beforeAutospacing="0" w:after="0" w:afterAutospacing="0"/>
        <w:jc w:val="both"/>
        <w:rPr>
          <w:sz w:val="20"/>
          <w:szCs w:val="20"/>
        </w:rPr>
      </w:pPr>
      <w:r>
        <w:rPr>
          <w:sz w:val="20"/>
          <w:szCs w:val="20"/>
        </w:rPr>
        <w:t>We conducted our audit in accordance with the standards of the PCAOB. Those standards requir</w:t>
      </w:r>
      <w:r>
        <w:rPr>
          <w:sz w:val="20"/>
          <w:szCs w:val="20"/>
        </w:rPr>
        <w:t>e that we plan and perform the audit to obtain reasonable assurance about whether effective internal control over financial reporting was maintained in all material respects</w:t>
      </w:r>
      <w:r>
        <w:rPr>
          <w:sz w:val="20"/>
          <w:szCs w:val="20"/>
        </w:rPr>
        <w:t>.</w:t>
      </w:r>
    </w:p>
    <w:p w14:paraId="3F0B6A0E" w14:textId="77777777" w:rsidR="00000000" w:rsidRDefault="00EF48A2">
      <w:pPr>
        <w:pStyle w:val="a3"/>
        <w:spacing w:before="0" w:beforeAutospacing="0" w:after="0" w:afterAutospacing="0"/>
        <w:jc w:val="both"/>
        <w:rPr>
          <w:sz w:val="20"/>
          <w:szCs w:val="20"/>
        </w:rPr>
      </w:pPr>
      <w:r>
        <w:rPr>
          <w:sz w:val="20"/>
          <w:szCs w:val="20"/>
        </w:rPr>
        <w:t> </w:t>
      </w:r>
    </w:p>
    <w:p w14:paraId="33F08303" w14:textId="77777777" w:rsidR="00000000" w:rsidRDefault="00EF48A2">
      <w:pPr>
        <w:pStyle w:val="a3"/>
        <w:spacing w:before="0" w:beforeAutospacing="0" w:after="0" w:afterAutospacing="0"/>
        <w:jc w:val="both"/>
        <w:rPr>
          <w:sz w:val="20"/>
          <w:szCs w:val="20"/>
        </w:rPr>
      </w:pPr>
      <w:r>
        <w:rPr>
          <w:sz w:val="20"/>
          <w:szCs w:val="20"/>
        </w:rPr>
        <w:t>Our audit included obtaining an understanding of internal control over financia</w:t>
      </w:r>
      <w:r>
        <w:rPr>
          <w:sz w:val="20"/>
          <w:szCs w:val="20"/>
        </w:rPr>
        <w:t>l reporting, assessing the risk that a material weakness exists, testing and evaluating the design and operating effectiveness of internal control based on the assessed risk, and performing such other procedures as we considered necessary in the circumstan</w:t>
      </w:r>
      <w:r>
        <w:rPr>
          <w:sz w:val="20"/>
          <w:szCs w:val="20"/>
        </w:rPr>
        <w:t>ces. We believe that our audit provides a reasonable basis for our opinion</w:t>
      </w:r>
      <w:r>
        <w:rPr>
          <w:sz w:val="20"/>
          <w:szCs w:val="20"/>
        </w:rPr>
        <w:t>.</w:t>
      </w:r>
    </w:p>
    <w:p w14:paraId="2CDEE175" w14:textId="77777777" w:rsidR="00000000" w:rsidRDefault="00EF48A2">
      <w:pPr>
        <w:pStyle w:val="a3"/>
        <w:spacing w:before="0" w:beforeAutospacing="0" w:after="0" w:afterAutospacing="0"/>
        <w:rPr>
          <w:sz w:val="20"/>
          <w:szCs w:val="20"/>
        </w:rPr>
      </w:pPr>
      <w:r>
        <w:rPr>
          <w:sz w:val="20"/>
          <w:szCs w:val="20"/>
        </w:rPr>
        <w:t> </w:t>
      </w:r>
    </w:p>
    <w:p w14:paraId="7D7C1766"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8</w:t>
      </w:r>
    </w:p>
    <w:p w14:paraId="1C9A925A" w14:textId="77777777" w:rsidR="00000000" w:rsidRDefault="00EF48A2">
      <w:pPr>
        <w:rPr>
          <w:rFonts w:eastAsia="Times New Roman"/>
        </w:rPr>
      </w:pPr>
      <w:r>
        <w:rPr>
          <w:rFonts w:eastAsia="Times New Roman"/>
        </w:rPr>
        <w:pict w14:anchorId="6498056B">
          <v:rect id="_x0000_i1085" style="width:0;height:1.5pt" o:hralign="center" o:hrstd="t" o:hr="t" fillcolor="#a0a0a0" stroked="f"/>
        </w:pict>
      </w:r>
    </w:p>
    <w:p w14:paraId="70ED488E"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A0562D3" w14:textId="77777777" w:rsidR="00000000" w:rsidRDefault="00EF48A2">
      <w:pPr>
        <w:pStyle w:val="a3"/>
        <w:spacing w:before="0" w:beforeAutospacing="0" w:after="0" w:afterAutospacing="0"/>
        <w:jc w:val="both"/>
        <w:rPr>
          <w:sz w:val="20"/>
          <w:szCs w:val="20"/>
        </w:rPr>
      </w:pPr>
      <w:r>
        <w:rPr>
          <w:sz w:val="20"/>
          <w:szCs w:val="20"/>
        </w:rPr>
        <w:t> </w:t>
      </w:r>
    </w:p>
    <w:p w14:paraId="1BAD2095" w14:textId="77777777" w:rsidR="00000000" w:rsidRDefault="00EF48A2">
      <w:pPr>
        <w:pStyle w:val="a3"/>
        <w:spacing w:before="0" w:beforeAutospacing="0" w:after="0" w:afterAutospacing="0"/>
        <w:rPr>
          <w:sz w:val="20"/>
          <w:szCs w:val="20"/>
        </w:rPr>
      </w:pPr>
      <w:r>
        <w:rPr>
          <w:b/>
          <w:bCs/>
          <w:sz w:val="20"/>
          <w:szCs w:val="20"/>
        </w:rPr>
        <w:t>Definition and Limitations of Internal Control Over Financial Reportin</w:t>
      </w:r>
      <w:r>
        <w:rPr>
          <w:b/>
          <w:bCs/>
          <w:sz w:val="20"/>
          <w:szCs w:val="20"/>
        </w:rPr>
        <w:t>g</w:t>
      </w:r>
    </w:p>
    <w:p w14:paraId="5BC7A521" w14:textId="77777777" w:rsidR="00000000" w:rsidRDefault="00EF48A2">
      <w:pPr>
        <w:pStyle w:val="a3"/>
        <w:spacing w:before="0" w:beforeAutospacing="0" w:after="0" w:afterAutospacing="0"/>
        <w:rPr>
          <w:sz w:val="20"/>
          <w:szCs w:val="20"/>
        </w:rPr>
      </w:pPr>
      <w:r>
        <w:rPr>
          <w:sz w:val="20"/>
          <w:szCs w:val="20"/>
        </w:rPr>
        <w:t> </w:t>
      </w:r>
    </w:p>
    <w:p w14:paraId="1516DB40" w14:textId="77777777" w:rsidR="00000000" w:rsidRDefault="00EF48A2">
      <w:pPr>
        <w:pStyle w:val="a3"/>
        <w:spacing w:before="0" w:beforeAutospacing="0" w:after="0" w:afterAutospacing="0"/>
        <w:jc w:val="both"/>
        <w:rPr>
          <w:sz w:val="20"/>
          <w:szCs w:val="20"/>
        </w:rPr>
      </w:pPr>
      <w:r>
        <w:rPr>
          <w:sz w:val="20"/>
          <w:szCs w:val="20"/>
        </w:rPr>
        <w:t>A company’s internal control over financial reporting is a process designed to provide reasonable assurance regarding the reliability of financial reporting and the preparation of fi</w:t>
      </w:r>
      <w:r>
        <w:rPr>
          <w:sz w:val="20"/>
          <w:szCs w:val="20"/>
        </w:rPr>
        <w:t>nancial statements for external purposes in accordance with generally accepted accounting principles. A company’s internal control over financial reporting includes those policies and procedures that (1) pertain to the maintenance of records that, in reaso</w:t>
      </w:r>
      <w:r>
        <w:rPr>
          <w:sz w:val="20"/>
          <w:szCs w:val="20"/>
        </w:rPr>
        <w:t>nable detail, accurately and fairly reflect the transactions and dispositions of the assets of the company; (2) provide reasonable assurance that transactions are recorded as necessary to permit preparation of financial statements in accordance with genera</w:t>
      </w:r>
      <w:r>
        <w:rPr>
          <w:sz w:val="20"/>
          <w:szCs w:val="20"/>
        </w:rPr>
        <w:t>lly accepted accounting principles, and that receipts and expenditures of the company are being made only in accordance with authorizations of management and directors of the company; and (3) provide reasonable assurance regarding prevention or timely dete</w:t>
      </w:r>
      <w:r>
        <w:rPr>
          <w:sz w:val="20"/>
          <w:szCs w:val="20"/>
        </w:rPr>
        <w:t>ction of unauthorized acquisition, use, or disposition of the company’s assets that could have a material effect on the financial statements</w:t>
      </w:r>
      <w:r>
        <w:rPr>
          <w:sz w:val="20"/>
          <w:szCs w:val="20"/>
        </w:rPr>
        <w:t>.</w:t>
      </w:r>
    </w:p>
    <w:p w14:paraId="28E5EE2F" w14:textId="77777777" w:rsidR="00000000" w:rsidRDefault="00EF48A2">
      <w:pPr>
        <w:pStyle w:val="a3"/>
        <w:spacing w:before="0" w:beforeAutospacing="0" w:after="0" w:afterAutospacing="0"/>
        <w:jc w:val="both"/>
        <w:rPr>
          <w:sz w:val="20"/>
          <w:szCs w:val="20"/>
        </w:rPr>
      </w:pPr>
      <w:r>
        <w:rPr>
          <w:sz w:val="20"/>
          <w:szCs w:val="20"/>
        </w:rPr>
        <w:t> </w:t>
      </w:r>
    </w:p>
    <w:p w14:paraId="17EF42F0" w14:textId="77777777" w:rsidR="00000000" w:rsidRDefault="00EF48A2">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w:t>
      </w:r>
      <w:r>
        <w:rPr>
          <w:sz w:val="20"/>
          <w:szCs w:val="20"/>
        </w:rPr>
        <w:t>ements. Also, projections of any evaluation of effectiveness to future periods are subject to the risk that controls may become inadequate because of changes in conditions, or that the degree of compliance with the policies or procedures may deteriorate</w:t>
      </w:r>
      <w:r>
        <w:rPr>
          <w:sz w:val="20"/>
          <w:szCs w:val="20"/>
        </w:rPr>
        <w:t>.</w:t>
      </w:r>
    </w:p>
    <w:p w14:paraId="50E7BE10" w14:textId="77777777" w:rsidR="00000000" w:rsidRDefault="00EF48A2">
      <w:pPr>
        <w:pStyle w:val="a3"/>
        <w:spacing w:before="0" w:beforeAutospacing="0" w:after="0" w:afterAutospacing="0"/>
        <w:jc w:val="both"/>
        <w:rPr>
          <w:sz w:val="20"/>
          <w:szCs w:val="20"/>
        </w:rPr>
      </w:pPr>
      <w:r>
        <w:rPr>
          <w:sz w:val="20"/>
          <w:szCs w:val="20"/>
        </w:rPr>
        <w:t> </w:t>
      </w:r>
    </w:p>
    <w:p w14:paraId="65735396" w14:textId="77777777" w:rsidR="00000000" w:rsidRDefault="00EF48A2">
      <w:pPr>
        <w:pStyle w:val="a3"/>
        <w:spacing w:before="0" w:beforeAutospacing="0" w:after="0" w:afterAutospacing="0"/>
        <w:jc w:val="both"/>
        <w:rPr>
          <w:sz w:val="20"/>
          <w:szCs w:val="20"/>
        </w:rPr>
      </w:pPr>
      <w:r>
        <w:rPr>
          <w:sz w:val="20"/>
          <w:szCs w:val="20"/>
        </w:rPr>
        <w:t> </w:t>
      </w:r>
    </w:p>
    <w:p w14:paraId="145A914A" w14:textId="77777777" w:rsidR="00000000" w:rsidRDefault="00EF48A2">
      <w:pPr>
        <w:pStyle w:val="a3"/>
        <w:spacing w:before="0" w:beforeAutospacing="0" w:after="0" w:afterAutospacing="0"/>
        <w:jc w:val="both"/>
        <w:rPr>
          <w:sz w:val="20"/>
          <w:szCs w:val="20"/>
        </w:rPr>
      </w:pPr>
      <w:r>
        <w:rPr>
          <w:sz w:val="20"/>
          <w:szCs w:val="20"/>
        </w:rPr>
        <w:t> </w:t>
      </w:r>
    </w:p>
    <w:p w14:paraId="718477A8" w14:textId="77777777" w:rsidR="00000000" w:rsidRDefault="00EF48A2">
      <w:pPr>
        <w:pStyle w:val="a3"/>
        <w:spacing w:before="360" w:beforeAutospacing="0" w:after="0" w:afterAutospacing="0"/>
        <w:rPr>
          <w:sz w:val="20"/>
          <w:szCs w:val="20"/>
        </w:rPr>
      </w:pPr>
      <w:r>
        <w:rPr>
          <w:sz w:val="20"/>
          <w:szCs w:val="20"/>
        </w:rPr>
        <w:t>/s/ Kost Forer Gabbay &amp; Kasiere</w:t>
      </w:r>
      <w:r>
        <w:rPr>
          <w:sz w:val="20"/>
          <w:szCs w:val="20"/>
        </w:rPr>
        <w:t>r</w:t>
      </w:r>
      <w:r>
        <w:rPr>
          <w:sz w:val="20"/>
          <w:szCs w:val="20"/>
        </w:rPr>
        <w:t xml:space="preserve"> </w:t>
      </w:r>
    </w:p>
    <w:p w14:paraId="01EF5595" w14:textId="77777777" w:rsidR="00000000" w:rsidRDefault="00EF48A2">
      <w:pPr>
        <w:pStyle w:val="a3"/>
        <w:spacing w:before="0" w:beforeAutospacing="0" w:after="0" w:afterAutospacing="0"/>
        <w:rPr>
          <w:sz w:val="20"/>
          <w:szCs w:val="20"/>
        </w:rPr>
      </w:pPr>
      <w:r>
        <w:rPr>
          <w:sz w:val="20"/>
          <w:szCs w:val="20"/>
        </w:rPr>
        <w:t>A Member of EY Globa</w:t>
      </w:r>
      <w:r>
        <w:rPr>
          <w:sz w:val="20"/>
          <w:szCs w:val="20"/>
        </w:rPr>
        <w:t>l</w:t>
      </w:r>
      <w:r>
        <w:rPr>
          <w:sz w:val="20"/>
          <w:szCs w:val="20"/>
        </w:rPr>
        <w:t xml:space="preserve"> </w:t>
      </w:r>
    </w:p>
    <w:p w14:paraId="55B2D7D2" w14:textId="77777777" w:rsidR="00000000" w:rsidRDefault="00EF48A2">
      <w:pPr>
        <w:pStyle w:val="a3"/>
        <w:spacing w:before="240" w:beforeAutospacing="0" w:after="0" w:afterAutospacing="0"/>
        <w:rPr>
          <w:sz w:val="20"/>
          <w:szCs w:val="20"/>
        </w:rPr>
      </w:pPr>
      <w:r>
        <w:rPr>
          <w:sz w:val="20"/>
          <w:szCs w:val="20"/>
        </w:rPr>
        <w:t>We have served as the Company’s auditor since 2014</w:t>
      </w:r>
      <w:r>
        <w:rPr>
          <w:sz w:val="20"/>
          <w:szCs w:val="20"/>
        </w:rPr>
        <w:t>.</w:t>
      </w:r>
      <w:r>
        <w:rPr>
          <w:sz w:val="20"/>
          <w:szCs w:val="20"/>
        </w:rPr>
        <w:t xml:space="preserve"> </w:t>
      </w:r>
    </w:p>
    <w:p w14:paraId="490E70F4" w14:textId="77777777" w:rsidR="00000000" w:rsidRDefault="00EF48A2">
      <w:pPr>
        <w:pStyle w:val="a3"/>
        <w:spacing w:before="240" w:beforeAutospacing="0" w:after="0" w:afterAutospacing="0"/>
        <w:rPr>
          <w:sz w:val="20"/>
          <w:szCs w:val="20"/>
        </w:rPr>
      </w:pPr>
      <w:r>
        <w:rPr>
          <w:sz w:val="20"/>
          <w:szCs w:val="20"/>
        </w:rPr>
        <w:t>Tel-Aviv, Israe</w:t>
      </w:r>
      <w:r>
        <w:rPr>
          <w:sz w:val="20"/>
          <w:szCs w:val="20"/>
        </w:rPr>
        <w:t>l</w:t>
      </w:r>
      <w:r>
        <w:rPr>
          <w:sz w:val="20"/>
          <w:szCs w:val="20"/>
        </w:rPr>
        <w:t xml:space="preserve"> </w:t>
      </w:r>
    </w:p>
    <w:p w14:paraId="4A100D11" w14:textId="77777777" w:rsidR="00000000" w:rsidRDefault="00EF48A2">
      <w:pPr>
        <w:pStyle w:val="a3"/>
        <w:spacing w:before="0" w:beforeAutospacing="0" w:after="0" w:afterAutospacing="0"/>
        <w:rPr>
          <w:sz w:val="20"/>
          <w:szCs w:val="20"/>
        </w:rPr>
      </w:pPr>
      <w:r>
        <w:rPr>
          <w:sz w:val="20"/>
          <w:szCs w:val="20"/>
        </w:rPr>
        <w:t>March 10, 202</w:t>
      </w:r>
      <w:r>
        <w:rPr>
          <w:sz w:val="20"/>
          <w:szCs w:val="20"/>
        </w:rPr>
        <w:t>3</w:t>
      </w:r>
      <w:r>
        <w:rPr>
          <w:sz w:val="20"/>
          <w:szCs w:val="20"/>
        </w:rPr>
        <w:t xml:space="preserve"> </w:t>
      </w:r>
    </w:p>
    <w:p w14:paraId="64D22981" w14:textId="77777777" w:rsidR="00000000" w:rsidRDefault="00EF48A2">
      <w:pPr>
        <w:pStyle w:val="a3"/>
        <w:spacing w:before="0" w:beforeAutospacing="0" w:after="0" w:afterAutospacing="0"/>
        <w:jc w:val="center"/>
        <w:rPr>
          <w:sz w:val="20"/>
          <w:szCs w:val="20"/>
        </w:rPr>
      </w:pPr>
      <w:r>
        <w:rPr>
          <w:sz w:val="20"/>
          <w:szCs w:val="20"/>
        </w:rPr>
        <w:t>5</w:t>
      </w:r>
      <w:r>
        <w:rPr>
          <w:sz w:val="20"/>
          <w:szCs w:val="20"/>
        </w:rPr>
        <w:t>9</w:t>
      </w:r>
    </w:p>
    <w:p w14:paraId="6D8F1C04" w14:textId="77777777" w:rsidR="00000000" w:rsidRDefault="00EF48A2">
      <w:pPr>
        <w:rPr>
          <w:rFonts w:eastAsia="Times New Roman"/>
        </w:rPr>
      </w:pPr>
      <w:r>
        <w:rPr>
          <w:rFonts w:eastAsia="Times New Roman"/>
        </w:rPr>
        <w:pict w14:anchorId="3714C625">
          <v:rect id="_x0000_i1086" style="width:0;height:1.5pt" o:hralign="center" o:hrstd="t" o:hr="t" fillcolor="#a0a0a0" stroked="f"/>
        </w:pict>
      </w:r>
    </w:p>
    <w:p w14:paraId="2632C3B6"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48AD325" w14:textId="77777777" w:rsidR="00000000" w:rsidRDefault="00EF48A2">
      <w:pPr>
        <w:pStyle w:val="a3"/>
        <w:spacing w:before="0" w:beforeAutospacing="0" w:after="0" w:afterAutospacing="0"/>
        <w:jc w:val="center"/>
        <w:rPr>
          <w:sz w:val="20"/>
          <w:szCs w:val="20"/>
        </w:rPr>
      </w:pPr>
      <w:r>
        <w:rPr>
          <w:b/>
          <w:bCs/>
          <w:sz w:val="20"/>
          <w:szCs w:val="20"/>
        </w:rPr>
        <w:t>TALKSPACE, INC</w:t>
      </w:r>
      <w:r>
        <w:rPr>
          <w:b/>
          <w:bCs/>
          <w:sz w:val="20"/>
          <w:szCs w:val="20"/>
        </w:rPr>
        <w:t>.</w:t>
      </w:r>
    </w:p>
    <w:p w14:paraId="5CD2E47E" w14:textId="77777777" w:rsidR="00000000" w:rsidRDefault="00EF48A2">
      <w:pPr>
        <w:pStyle w:val="a3"/>
        <w:spacing w:before="0" w:beforeAutospacing="0" w:after="0" w:afterAutospacing="0"/>
        <w:jc w:val="center"/>
        <w:rPr>
          <w:sz w:val="20"/>
          <w:szCs w:val="20"/>
        </w:rPr>
      </w:pPr>
      <w:r>
        <w:rPr>
          <w:b/>
          <w:bCs/>
          <w:sz w:val="20"/>
          <w:szCs w:val="20"/>
        </w:rPr>
        <w:t>CONSOLIDATED BALANCE SHEET</w:t>
      </w:r>
      <w:r>
        <w:rPr>
          <w:b/>
          <w:bCs/>
          <w:sz w:val="20"/>
          <w:szCs w:val="20"/>
        </w:rPr>
        <w:t>S</w:t>
      </w:r>
    </w:p>
    <w:p w14:paraId="21949C81" w14:textId="77777777" w:rsidR="00000000" w:rsidRDefault="00EF48A2">
      <w:pPr>
        <w:pStyle w:val="a3"/>
        <w:spacing w:before="0" w:beforeAutospacing="0" w:after="0" w:afterAutospacing="0"/>
        <w:jc w:val="center"/>
        <w:rPr>
          <w:sz w:val="20"/>
          <w:szCs w:val="20"/>
        </w:rPr>
      </w:pPr>
      <w:r>
        <w:rPr>
          <w:b/>
          <w:bCs/>
          <w:sz w:val="19"/>
          <w:szCs w:val="19"/>
        </w:rPr>
        <w:t>U.S. dollars in thousands (except share and per share data</w:t>
      </w:r>
      <w:r>
        <w:rPr>
          <w:b/>
          <w:bCs/>
          <w:sz w:val="19"/>
          <w:szCs w:val="19"/>
        </w:rPr>
        <w:t>)</w:t>
      </w:r>
      <w:r>
        <w:rPr>
          <w:b/>
          <w:bCs/>
          <w:sz w:val="19"/>
          <w:szCs w:val="19"/>
        </w:rPr>
        <w:t xml:space="preserve"> </w:t>
      </w:r>
    </w:p>
    <w:p w14:paraId="5D44B576" w14:textId="77777777" w:rsidR="00000000" w:rsidRDefault="00EF48A2">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9"/>
        <w:gridCol w:w="131"/>
        <w:gridCol w:w="160"/>
        <w:gridCol w:w="1037"/>
        <w:gridCol w:w="127"/>
        <w:gridCol w:w="132"/>
        <w:gridCol w:w="160"/>
        <w:gridCol w:w="1048"/>
        <w:gridCol w:w="142"/>
      </w:tblGrid>
      <w:tr w:rsidR="00000000" w14:paraId="60BECEC4" w14:textId="77777777">
        <w:trPr>
          <w:tblCellSpacing w:w="15" w:type="dxa"/>
        </w:trPr>
        <w:tc>
          <w:tcPr>
            <w:tcW w:w="3340" w:type="pct"/>
            <w:vAlign w:val="center"/>
            <w:hideMark/>
          </w:tcPr>
          <w:p w14:paraId="2FF25D57" w14:textId="77777777" w:rsidR="00000000" w:rsidRDefault="00EF48A2">
            <w:pPr>
              <w:rPr>
                <w:sz w:val="20"/>
                <w:szCs w:val="20"/>
              </w:rPr>
            </w:pPr>
          </w:p>
        </w:tc>
        <w:tc>
          <w:tcPr>
            <w:tcW w:w="80" w:type="pct"/>
            <w:vAlign w:val="center"/>
            <w:hideMark/>
          </w:tcPr>
          <w:p w14:paraId="7FF3948A" w14:textId="77777777" w:rsidR="00000000" w:rsidRDefault="00EF48A2">
            <w:pPr>
              <w:rPr>
                <w:rFonts w:eastAsia="Times New Roman"/>
                <w:sz w:val="20"/>
                <w:szCs w:val="20"/>
              </w:rPr>
            </w:pPr>
          </w:p>
        </w:tc>
        <w:tc>
          <w:tcPr>
            <w:tcW w:w="50" w:type="pct"/>
            <w:vAlign w:val="center"/>
            <w:hideMark/>
          </w:tcPr>
          <w:p w14:paraId="3E966C57" w14:textId="77777777" w:rsidR="00000000" w:rsidRDefault="00EF48A2">
            <w:pPr>
              <w:rPr>
                <w:rFonts w:eastAsia="Times New Roman"/>
                <w:sz w:val="20"/>
                <w:szCs w:val="20"/>
              </w:rPr>
            </w:pPr>
          </w:p>
        </w:tc>
        <w:tc>
          <w:tcPr>
            <w:tcW w:w="645" w:type="pct"/>
            <w:vAlign w:val="center"/>
            <w:hideMark/>
          </w:tcPr>
          <w:p w14:paraId="2BC72956" w14:textId="77777777" w:rsidR="00000000" w:rsidRDefault="00EF48A2">
            <w:pPr>
              <w:rPr>
                <w:rFonts w:eastAsia="Times New Roman"/>
                <w:sz w:val="20"/>
                <w:szCs w:val="20"/>
              </w:rPr>
            </w:pPr>
          </w:p>
        </w:tc>
        <w:tc>
          <w:tcPr>
            <w:tcW w:w="50" w:type="pct"/>
            <w:vAlign w:val="center"/>
            <w:hideMark/>
          </w:tcPr>
          <w:p w14:paraId="12899905" w14:textId="77777777" w:rsidR="00000000" w:rsidRDefault="00EF48A2">
            <w:pPr>
              <w:rPr>
                <w:rFonts w:eastAsia="Times New Roman"/>
                <w:sz w:val="20"/>
                <w:szCs w:val="20"/>
              </w:rPr>
            </w:pPr>
          </w:p>
        </w:tc>
        <w:tc>
          <w:tcPr>
            <w:tcW w:w="80" w:type="pct"/>
            <w:vAlign w:val="center"/>
            <w:hideMark/>
          </w:tcPr>
          <w:p w14:paraId="43C000F3" w14:textId="77777777" w:rsidR="00000000" w:rsidRDefault="00EF48A2">
            <w:pPr>
              <w:rPr>
                <w:rFonts w:eastAsia="Times New Roman"/>
                <w:sz w:val="20"/>
                <w:szCs w:val="20"/>
              </w:rPr>
            </w:pPr>
          </w:p>
        </w:tc>
        <w:tc>
          <w:tcPr>
            <w:tcW w:w="50" w:type="pct"/>
            <w:vAlign w:val="center"/>
            <w:hideMark/>
          </w:tcPr>
          <w:p w14:paraId="37F14398" w14:textId="77777777" w:rsidR="00000000" w:rsidRDefault="00EF48A2">
            <w:pPr>
              <w:rPr>
                <w:rFonts w:eastAsia="Times New Roman"/>
                <w:sz w:val="20"/>
                <w:szCs w:val="20"/>
              </w:rPr>
            </w:pPr>
          </w:p>
        </w:tc>
        <w:tc>
          <w:tcPr>
            <w:tcW w:w="652" w:type="pct"/>
            <w:vAlign w:val="center"/>
            <w:hideMark/>
          </w:tcPr>
          <w:p w14:paraId="3DBAE57A" w14:textId="77777777" w:rsidR="00000000" w:rsidRDefault="00EF48A2">
            <w:pPr>
              <w:rPr>
                <w:rFonts w:eastAsia="Times New Roman"/>
                <w:sz w:val="20"/>
                <w:szCs w:val="20"/>
              </w:rPr>
            </w:pPr>
          </w:p>
        </w:tc>
        <w:tc>
          <w:tcPr>
            <w:tcW w:w="50" w:type="pct"/>
            <w:vAlign w:val="center"/>
            <w:hideMark/>
          </w:tcPr>
          <w:p w14:paraId="46024932" w14:textId="77777777" w:rsidR="00000000" w:rsidRDefault="00EF48A2">
            <w:pPr>
              <w:rPr>
                <w:rFonts w:eastAsia="Times New Roman"/>
                <w:sz w:val="20"/>
                <w:szCs w:val="20"/>
              </w:rPr>
            </w:pPr>
          </w:p>
        </w:tc>
      </w:tr>
      <w:tr w:rsidR="00000000" w14:paraId="5423A2B5" w14:textId="77777777">
        <w:trPr>
          <w:trHeight w:val="160"/>
          <w:tblCellSpacing w:w="15" w:type="dxa"/>
        </w:trPr>
        <w:tc>
          <w:tcPr>
            <w:tcW w:w="0" w:type="auto"/>
            <w:vAlign w:val="bottom"/>
            <w:hideMark/>
          </w:tcPr>
          <w:p w14:paraId="130F199C"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4556386F" w14:textId="77777777" w:rsidR="00000000" w:rsidRDefault="00EF48A2">
            <w:pPr>
              <w:pStyle w:val="a3"/>
              <w:spacing w:before="0" w:beforeAutospacing="0" w:after="0" w:afterAutospacing="0"/>
              <w:rPr>
                <w:sz w:val="16"/>
                <w:szCs w:val="16"/>
              </w:rPr>
            </w:pPr>
            <w:r>
              <w:rPr>
                <w:sz w:val="16"/>
                <w:szCs w:val="16"/>
              </w:rPr>
              <w:t> </w:t>
            </w:r>
          </w:p>
        </w:tc>
        <w:tc>
          <w:tcPr>
            <w:tcW w:w="0" w:type="auto"/>
            <w:gridSpan w:val="6"/>
            <w:vAlign w:val="bottom"/>
            <w:hideMark/>
          </w:tcPr>
          <w:p w14:paraId="17BFCE19" w14:textId="77777777" w:rsidR="00000000" w:rsidRDefault="00EF48A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34524B68"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9328A61" w14:textId="77777777">
        <w:trPr>
          <w:trHeight w:val="160"/>
          <w:tblCellSpacing w:w="15" w:type="dxa"/>
        </w:trPr>
        <w:tc>
          <w:tcPr>
            <w:tcW w:w="0" w:type="auto"/>
            <w:vAlign w:val="bottom"/>
            <w:hideMark/>
          </w:tcPr>
          <w:p w14:paraId="7625CFFE"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23A9461A"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2FF30C9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A37D39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ABCA7DC"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2808D9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8C5D969"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2FAE6A54" w14:textId="77777777">
        <w:trPr>
          <w:trHeight w:val="200"/>
          <w:tblCellSpacing w:w="15" w:type="dxa"/>
        </w:trPr>
        <w:tc>
          <w:tcPr>
            <w:tcW w:w="0" w:type="auto"/>
            <w:hideMark/>
          </w:tcPr>
          <w:p w14:paraId="02F3812F" w14:textId="77777777" w:rsidR="00000000" w:rsidRDefault="00EF48A2">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14:paraId="52AFA8A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7E64B4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8E2417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AF5B923"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FCC3DD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96C6D6A" w14:textId="77777777" w:rsidR="00000000" w:rsidRDefault="00EF48A2">
            <w:pPr>
              <w:pStyle w:val="a3"/>
              <w:spacing w:before="0" w:beforeAutospacing="0" w:after="0" w:afterAutospacing="0"/>
              <w:jc w:val="right"/>
              <w:rPr>
                <w:sz w:val="20"/>
                <w:szCs w:val="20"/>
              </w:rPr>
            </w:pPr>
            <w:r>
              <w:rPr>
                <w:sz w:val="20"/>
                <w:szCs w:val="20"/>
              </w:rPr>
              <w:t> </w:t>
            </w:r>
          </w:p>
        </w:tc>
      </w:tr>
      <w:tr w:rsidR="00000000" w14:paraId="0FC20F0B" w14:textId="77777777">
        <w:trPr>
          <w:trHeight w:val="200"/>
          <w:tblCellSpacing w:w="15" w:type="dxa"/>
        </w:trPr>
        <w:tc>
          <w:tcPr>
            <w:tcW w:w="0" w:type="auto"/>
            <w:hideMark/>
          </w:tcPr>
          <w:p w14:paraId="5131E4CB" w14:textId="77777777" w:rsidR="00000000" w:rsidRDefault="00EF48A2">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14:paraId="02231624"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715271E"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18A5AAE"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3C59934"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E93517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4A9C39C" w14:textId="77777777" w:rsidR="00000000" w:rsidRDefault="00EF48A2">
            <w:pPr>
              <w:pStyle w:val="a3"/>
              <w:spacing w:before="0" w:beforeAutospacing="0" w:after="0" w:afterAutospacing="0"/>
              <w:jc w:val="right"/>
              <w:rPr>
                <w:sz w:val="20"/>
                <w:szCs w:val="20"/>
              </w:rPr>
            </w:pPr>
            <w:r>
              <w:rPr>
                <w:sz w:val="20"/>
                <w:szCs w:val="20"/>
              </w:rPr>
              <w:t> </w:t>
            </w:r>
          </w:p>
        </w:tc>
      </w:tr>
      <w:tr w:rsidR="00000000" w14:paraId="0DA630BD" w14:textId="77777777">
        <w:trPr>
          <w:trHeight w:val="200"/>
          <w:tblCellSpacing w:w="15" w:type="dxa"/>
        </w:trPr>
        <w:tc>
          <w:tcPr>
            <w:tcW w:w="0" w:type="auto"/>
            <w:hideMark/>
          </w:tcPr>
          <w:p w14:paraId="22C7C488" w14:textId="77777777" w:rsidR="00000000" w:rsidRDefault="00EF48A2">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14:paraId="64CB5D5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8C8947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1F48C78" w14:textId="77777777" w:rsidR="00000000" w:rsidRDefault="00EF48A2">
            <w:pPr>
              <w:pStyle w:val="a3"/>
              <w:spacing w:before="0" w:beforeAutospacing="0" w:after="0" w:afterAutospacing="0"/>
              <w:jc w:val="right"/>
              <w:rPr>
                <w:sz w:val="20"/>
                <w:szCs w:val="20"/>
              </w:rPr>
            </w:pPr>
            <w:r>
              <w:rPr>
                <w:sz w:val="20"/>
                <w:szCs w:val="20"/>
              </w:rPr>
              <w:t>138,54</w:t>
            </w:r>
            <w:r>
              <w:rPr>
                <w:sz w:val="20"/>
                <w:szCs w:val="20"/>
              </w:rPr>
              <w:t>5</w:t>
            </w:r>
          </w:p>
        </w:tc>
        <w:tc>
          <w:tcPr>
            <w:tcW w:w="0" w:type="auto"/>
            <w:noWrap/>
            <w:vAlign w:val="bottom"/>
            <w:hideMark/>
          </w:tcPr>
          <w:p w14:paraId="4DBDBF5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63690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7C09F90"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3B61A5F" w14:textId="77777777" w:rsidR="00000000" w:rsidRDefault="00EF48A2">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14:paraId="0C1E9E29" w14:textId="77777777" w:rsidR="00000000" w:rsidRDefault="00EF48A2">
            <w:pPr>
              <w:pStyle w:val="a3"/>
              <w:spacing w:before="0" w:beforeAutospacing="0" w:after="0" w:afterAutospacing="0"/>
              <w:rPr>
                <w:sz w:val="20"/>
                <w:szCs w:val="20"/>
              </w:rPr>
            </w:pPr>
            <w:r>
              <w:rPr>
                <w:sz w:val="20"/>
                <w:szCs w:val="20"/>
              </w:rPr>
              <w:t> </w:t>
            </w:r>
          </w:p>
        </w:tc>
      </w:tr>
      <w:tr w:rsidR="00000000" w14:paraId="1E540898" w14:textId="77777777">
        <w:trPr>
          <w:trHeight w:val="200"/>
          <w:tblCellSpacing w:w="15" w:type="dxa"/>
        </w:trPr>
        <w:tc>
          <w:tcPr>
            <w:tcW w:w="0" w:type="auto"/>
            <w:hideMark/>
          </w:tcPr>
          <w:p w14:paraId="3BA86BB9" w14:textId="77777777" w:rsidR="00000000" w:rsidRDefault="00EF48A2">
            <w:pPr>
              <w:pStyle w:val="a3"/>
              <w:spacing w:before="0" w:beforeAutospacing="0" w:after="0" w:afterAutospacing="0"/>
              <w:ind w:left="200"/>
              <w:rPr>
                <w:sz w:val="20"/>
                <w:szCs w:val="20"/>
              </w:rPr>
            </w:pPr>
            <w:r>
              <w:rPr>
                <w:sz w:val="20"/>
                <w:szCs w:val="20"/>
              </w:rPr>
              <w:t>Accounts receivabl</w:t>
            </w:r>
            <w:r>
              <w:rPr>
                <w:sz w:val="20"/>
                <w:szCs w:val="20"/>
              </w:rPr>
              <w:t>e</w:t>
            </w:r>
          </w:p>
        </w:tc>
        <w:tc>
          <w:tcPr>
            <w:tcW w:w="0" w:type="auto"/>
            <w:vAlign w:val="bottom"/>
            <w:hideMark/>
          </w:tcPr>
          <w:p w14:paraId="4739605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F32A68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52C5619" w14:textId="77777777" w:rsidR="00000000" w:rsidRDefault="00EF48A2">
            <w:pPr>
              <w:pStyle w:val="a3"/>
              <w:spacing w:before="0" w:beforeAutospacing="0" w:after="0" w:afterAutospacing="0"/>
              <w:jc w:val="right"/>
              <w:rPr>
                <w:sz w:val="20"/>
                <w:szCs w:val="20"/>
              </w:rPr>
            </w:pPr>
            <w:r>
              <w:rPr>
                <w:sz w:val="20"/>
                <w:szCs w:val="20"/>
              </w:rPr>
              <w:t>9,64</w:t>
            </w:r>
            <w:r>
              <w:rPr>
                <w:sz w:val="20"/>
                <w:szCs w:val="20"/>
              </w:rPr>
              <w:t>0</w:t>
            </w:r>
          </w:p>
        </w:tc>
        <w:tc>
          <w:tcPr>
            <w:tcW w:w="0" w:type="auto"/>
            <w:noWrap/>
            <w:vAlign w:val="bottom"/>
            <w:hideMark/>
          </w:tcPr>
          <w:p w14:paraId="20EFE60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E59934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D74161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80172C" w14:textId="77777777" w:rsidR="00000000" w:rsidRDefault="00EF48A2">
            <w:pPr>
              <w:pStyle w:val="a3"/>
              <w:spacing w:before="0" w:beforeAutospacing="0" w:after="0" w:afterAutospacing="0"/>
              <w:jc w:val="right"/>
              <w:rPr>
                <w:sz w:val="20"/>
                <w:szCs w:val="20"/>
              </w:rPr>
            </w:pPr>
            <w:r>
              <w:rPr>
                <w:sz w:val="20"/>
                <w:szCs w:val="20"/>
              </w:rPr>
              <w:t>5,51</w:t>
            </w:r>
            <w:r>
              <w:rPr>
                <w:sz w:val="20"/>
                <w:szCs w:val="20"/>
              </w:rPr>
              <w:t>2</w:t>
            </w:r>
          </w:p>
        </w:tc>
        <w:tc>
          <w:tcPr>
            <w:tcW w:w="0" w:type="auto"/>
            <w:noWrap/>
            <w:vAlign w:val="bottom"/>
            <w:hideMark/>
          </w:tcPr>
          <w:p w14:paraId="3205A9E8" w14:textId="77777777" w:rsidR="00000000" w:rsidRDefault="00EF48A2">
            <w:pPr>
              <w:pStyle w:val="a3"/>
              <w:spacing w:before="0" w:beforeAutospacing="0" w:after="0" w:afterAutospacing="0"/>
              <w:rPr>
                <w:sz w:val="20"/>
                <w:szCs w:val="20"/>
              </w:rPr>
            </w:pPr>
            <w:r>
              <w:rPr>
                <w:sz w:val="20"/>
                <w:szCs w:val="20"/>
              </w:rPr>
              <w:t> </w:t>
            </w:r>
          </w:p>
        </w:tc>
      </w:tr>
      <w:tr w:rsidR="00000000" w14:paraId="43BC385E" w14:textId="77777777">
        <w:trPr>
          <w:trHeight w:val="200"/>
          <w:tblCellSpacing w:w="15" w:type="dxa"/>
        </w:trPr>
        <w:tc>
          <w:tcPr>
            <w:tcW w:w="0" w:type="auto"/>
            <w:hideMark/>
          </w:tcPr>
          <w:p w14:paraId="18DA647F" w14:textId="77777777" w:rsidR="00000000" w:rsidRDefault="00EF48A2">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14:paraId="0D4E153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791620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F69BDF1" w14:textId="77777777" w:rsidR="00000000" w:rsidRDefault="00EF48A2">
            <w:pPr>
              <w:pStyle w:val="a3"/>
              <w:spacing w:before="0" w:beforeAutospacing="0" w:after="0" w:afterAutospacing="0"/>
              <w:jc w:val="right"/>
              <w:rPr>
                <w:sz w:val="20"/>
                <w:szCs w:val="20"/>
              </w:rPr>
            </w:pPr>
            <w:r>
              <w:rPr>
                <w:sz w:val="20"/>
                <w:szCs w:val="20"/>
              </w:rPr>
              <w:t>4,37</w:t>
            </w:r>
            <w:r>
              <w:rPr>
                <w:sz w:val="20"/>
                <w:szCs w:val="20"/>
              </w:rPr>
              <w:t>2</w:t>
            </w:r>
          </w:p>
        </w:tc>
        <w:tc>
          <w:tcPr>
            <w:tcW w:w="0" w:type="auto"/>
            <w:noWrap/>
            <w:vAlign w:val="bottom"/>
            <w:hideMark/>
          </w:tcPr>
          <w:p w14:paraId="46A8B0E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96519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1C62F3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0DD40E" w14:textId="77777777" w:rsidR="00000000" w:rsidRDefault="00EF48A2">
            <w:pPr>
              <w:pStyle w:val="a3"/>
              <w:spacing w:before="0" w:beforeAutospacing="0" w:after="0" w:afterAutospacing="0"/>
              <w:jc w:val="right"/>
              <w:rPr>
                <w:sz w:val="20"/>
                <w:szCs w:val="20"/>
              </w:rPr>
            </w:pPr>
            <w:r>
              <w:rPr>
                <w:sz w:val="20"/>
                <w:szCs w:val="20"/>
              </w:rPr>
              <w:t>9,56</w:t>
            </w:r>
            <w:r>
              <w:rPr>
                <w:sz w:val="20"/>
                <w:szCs w:val="20"/>
              </w:rPr>
              <w:t>2</w:t>
            </w:r>
          </w:p>
        </w:tc>
        <w:tc>
          <w:tcPr>
            <w:tcW w:w="0" w:type="auto"/>
            <w:noWrap/>
            <w:vAlign w:val="bottom"/>
            <w:hideMark/>
          </w:tcPr>
          <w:p w14:paraId="7C8CE1B8" w14:textId="77777777" w:rsidR="00000000" w:rsidRDefault="00EF48A2">
            <w:pPr>
              <w:pStyle w:val="a3"/>
              <w:spacing w:before="0" w:beforeAutospacing="0" w:after="0" w:afterAutospacing="0"/>
              <w:rPr>
                <w:sz w:val="20"/>
                <w:szCs w:val="20"/>
              </w:rPr>
            </w:pPr>
            <w:r>
              <w:rPr>
                <w:sz w:val="20"/>
                <w:szCs w:val="20"/>
              </w:rPr>
              <w:t> </w:t>
            </w:r>
          </w:p>
        </w:tc>
      </w:tr>
      <w:tr w:rsidR="00000000" w14:paraId="470E12C6" w14:textId="77777777">
        <w:trPr>
          <w:trHeight w:val="200"/>
          <w:tblCellSpacing w:w="15" w:type="dxa"/>
        </w:trPr>
        <w:tc>
          <w:tcPr>
            <w:tcW w:w="0" w:type="auto"/>
            <w:hideMark/>
          </w:tcPr>
          <w:p w14:paraId="26CB56FA" w14:textId="77777777" w:rsidR="00000000" w:rsidRDefault="00EF48A2">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14:paraId="61D46CB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D5B95A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D88F419" w14:textId="77777777" w:rsidR="00000000" w:rsidRDefault="00EF48A2">
            <w:pPr>
              <w:pStyle w:val="a3"/>
              <w:spacing w:before="0" w:beforeAutospacing="0" w:after="0" w:afterAutospacing="0"/>
              <w:jc w:val="right"/>
              <w:rPr>
                <w:sz w:val="20"/>
                <w:szCs w:val="20"/>
              </w:rPr>
            </w:pPr>
            <w:r>
              <w:rPr>
                <w:sz w:val="20"/>
                <w:szCs w:val="20"/>
              </w:rPr>
              <w:t>152,55</w:t>
            </w:r>
            <w:r>
              <w:rPr>
                <w:sz w:val="20"/>
                <w:szCs w:val="20"/>
              </w:rPr>
              <w:t>7</w:t>
            </w:r>
          </w:p>
        </w:tc>
        <w:tc>
          <w:tcPr>
            <w:tcW w:w="0" w:type="auto"/>
            <w:noWrap/>
            <w:vAlign w:val="bottom"/>
            <w:hideMark/>
          </w:tcPr>
          <w:p w14:paraId="7A09210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B45AB8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AD1BEF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B990085" w14:textId="77777777" w:rsidR="00000000" w:rsidRDefault="00EF48A2">
            <w:pPr>
              <w:pStyle w:val="a3"/>
              <w:spacing w:before="0" w:beforeAutospacing="0" w:after="0" w:afterAutospacing="0"/>
              <w:jc w:val="right"/>
              <w:rPr>
                <w:sz w:val="20"/>
                <w:szCs w:val="20"/>
              </w:rPr>
            </w:pPr>
            <w:r>
              <w:rPr>
                <w:sz w:val="20"/>
                <w:szCs w:val="20"/>
              </w:rPr>
              <w:t>213,33</w:t>
            </w:r>
            <w:r>
              <w:rPr>
                <w:sz w:val="20"/>
                <w:szCs w:val="20"/>
              </w:rPr>
              <w:t>0</w:t>
            </w:r>
          </w:p>
        </w:tc>
        <w:tc>
          <w:tcPr>
            <w:tcW w:w="0" w:type="auto"/>
            <w:noWrap/>
            <w:vAlign w:val="bottom"/>
            <w:hideMark/>
          </w:tcPr>
          <w:p w14:paraId="67B5DDE2" w14:textId="77777777" w:rsidR="00000000" w:rsidRDefault="00EF48A2">
            <w:pPr>
              <w:pStyle w:val="a3"/>
              <w:spacing w:before="0" w:beforeAutospacing="0" w:after="0" w:afterAutospacing="0"/>
              <w:rPr>
                <w:sz w:val="20"/>
                <w:szCs w:val="20"/>
              </w:rPr>
            </w:pPr>
            <w:r>
              <w:rPr>
                <w:sz w:val="20"/>
                <w:szCs w:val="20"/>
              </w:rPr>
              <w:t> </w:t>
            </w:r>
          </w:p>
        </w:tc>
      </w:tr>
      <w:tr w:rsidR="00000000" w14:paraId="2DFD9F91" w14:textId="77777777">
        <w:trPr>
          <w:trHeight w:val="200"/>
          <w:tblCellSpacing w:w="15" w:type="dxa"/>
        </w:trPr>
        <w:tc>
          <w:tcPr>
            <w:tcW w:w="0" w:type="auto"/>
            <w:hideMark/>
          </w:tcPr>
          <w:p w14:paraId="01F31072" w14:textId="77777777" w:rsidR="00000000" w:rsidRDefault="00EF48A2">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14:paraId="64CAA91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DC5189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4C5B47" w14:textId="77777777" w:rsidR="00000000" w:rsidRDefault="00EF48A2">
            <w:pPr>
              <w:pStyle w:val="a3"/>
              <w:spacing w:before="0" w:beforeAutospacing="0" w:after="0" w:afterAutospacing="0"/>
              <w:jc w:val="right"/>
              <w:rPr>
                <w:sz w:val="20"/>
                <w:szCs w:val="20"/>
              </w:rPr>
            </w:pPr>
            <w:r>
              <w:rPr>
                <w:sz w:val="20"/>
                <w:szCs w:val="20"/>
              </w:rPr>
              <w:t>67</w:t>
            </w:r>
            <w:r>
              <w:rPr>
                <w:sz w:val="20"/>
                <w:szCs w:val="20"/>
              </w:rPr>
              <w:t>7</w:t>
            </w:r>
          </w:p>
        </w:tc>
        <w:tc>
          <w:tcPr>
            <w:tcW w:w="0" w:type="auto"/>
            <w:noWrap/>
            <w:vAlign w:val="bottom"/>
            <w:hideMark/>
          </w:tcPr>
          <w:p w14:paraId="15567C2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1E590F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EF7921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AAD9E29" w14:textId="77777777" w:rsidR="00000000" w:rsidRDefault="00EF48A2">
            <w:pPr>
              <w:pStyle w:val="a3"/>
              <w:spacing w:before="0" w:beforeAutospacing="0" w:after="0" w:afterAutospacing="0"/>
              <w:jc w:val="right"/>
              <w:rPr>
                <w:sz w:val="20"/>
                <w:szCs w:val="20"/>
              </w:rPr>
            </w:pPr>
            <w:r>
              <w:rPr>
                <w:sz w:val="20"/>
                <w:szCs w:val="20"/>
              </w:rPr>
              <w:t>62</w:t>
            </w:r>
            <w:r>
              <w:rPr>
                <w:sz w:val="20"/>
                <w:szCs w:val="20"/>
              </w:rPr>
              <w:t>4</w:t>
            </w:r>
          </w:p>
        </w:tc>
        <w:tc>
          <w:tcPr>
            <w:tcW w:w="0" w:type="auto"/>
            <w:noWrap/>
            <w:vAlign w:val="bottom"/>
            <w:hideMark/>
          </w:tcPr>
          <w:p w14:paraId="419937C7" w14:textId="77777777" w:rsidR="00000000" w:rsidRDefault="00EF48A2">
            <w:pPr>
              <w:pStyle w:val="a3"/>
              <w:spacing w:before="0" w:beforeAutospacing="0" w:after="0" w:afterAutospacing="0"/>
              <w:rPr>
                <w:sz w:val="20"/>
                <w:szCs w:val="20"/>
              </w:rPr>
            </w:pPr>
            <w:r>
              <w:rPr>
                <w:sz w:val="20"/>
                <w:szCs w:val="20"/>
              </w:rPr>
              <w:t> </w:t>
            </w:r>
          </w:p>
        </w:tc>
      </w:tr>
      <w:tr w:rsidR="00000000" w14:paraId="230C85FB" w14:textId="77777777">
        <w:trPr>
          <w:trHeight w:val="200"/>
          <w:tblCellSpacing w:w="15" w:type="dxa"/>
        </w:trPr>
        <w:tc>
          <w:tcPr>
            <w:tcW w:w="0" w:type="auto"/>
            <w:hideMark/>
          </w:tcPr>
          <w:p w14:paraId="75DF4215" w14:textId="77777777" w:rsidR="00000000" w:rsidRDefault="00EF48A2">
            <w:pPr>
              <w:pStyle w:val="a3"/>
              <w:spacing w:before="0" w:beforeAutospacing="0" w:after="0" w:afterAutospacing="0"/>
              <w:ind w:left="200"/>
              <w:rPr>
                <w:sz w:val="20"/>
                <w:szCs w:val="20"/>
              </w:rPr>
            </w:pPr>
            <w:r>
              <w:rPr>
                <w:sz w:val="20"/>
                <w:szCs w:val="20"/>
              </w:rPr>
              <w:t>Intangible assets, ne</w:t>
            </w:r>
            <w:r>
              <w:rPr>
                <w:sz w:val="20"/>
                <w:szCs w:val="20"/>
              </w:rPr>
              <w:t>t</w:t>
            </w:r>
          </w:p>
        </w:tc>
        <w:tc>
          <w:tcPr>
            <w:tcW w:w="0" w:type="auto"/>
            <w:vAlign w:val="bottom"/>
            <w:hideMark/>
          </w:tcPr>
          <w:p w14:paraId="10F7199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29E6A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2737730" w14:textId="77777777" w:rsidR="00000000" w:rsidRDefault="00EF48A2">
            <w:pPr>
              <w:pStyle w:val="a3"/>
              <w:spacing w:before="0" w:beforeAutospacing="0" w:after="0" w:afterAutospacing="0"/>
              <w:jc w:val="right"/>
              <w:rPr>
                <w:sz w:val="20"/>
                <w:szCs w:val="20"/>
              </w:rPr>
            </w:pPr>
            <w:r>
              <w:rPr>
                <w:sz w:val="20"/>
                <w:szCs w:val="20"/>
              </w:rPr>
              <w:t>2,52</w:t>
            </w:r>
            <w:r>
              <w:rPr>
                <w:sz w:val="20"/>
                <w:szCs w:val="20"/>
              </w:rPr>
              <w:t>9</w:t>
            </w:r>
          </w:p>
        </w:tc>
        <w:tc>
          <w:tcPr>
            <w:tcW w:w="0" w:type="auto"/>
            <w:noWrap/>
            <w:vAlign w:val="bottom"/>
            <w:hideMark/>
          </w:tcPr>
          <w:p w14:paraId="62B0421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EE3EAB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8AFFBB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25987A3" w14:textId="77777777" w:rsidR="00000000" w:rsidRDefault="00EF48A2">
            <w:pPr>
              <w:pStyle w:val="a3"/>
              <w:spacing w:before="0" w:beforeAutospacing="0" w:after="0" w:afterAutospacing="0"/>
              <w:jc w:val="right"/>
              <w:rPr>
                <w:sz w:val="20"/>
                <w:szCs w:val="20"/>
              </w:rPr>
            </w:pPr>
            <w:r>
              <w:rPr>
                <w:sz w:val="20"/>
                <w:szCs w:val="20"/>
              </w:rPr>
              <w:t>3,43</w:t>
            </w:r>
            <w:r>
              <w:rPr>
                <w:sz w:val="20"/>
                <w:szCs w:val="20"/>
              </w:rPr>
              <w:t>6</w:t>
            </w:r>
          </w:p>
        </w:tc>
        <w:tc>
          <w:tcPr>
            <w:tcW w:w="0" w:type="auto"/>
            <w:noWrap/>
            <w:vAlign w:val="bottom"/>
            <w:hideMark/>
          </w:tcPr>
          <w:p w14:paraId="3FB52300" w14:textId="77777777" w:rsidR="00000000" w:rsidRDefault="00EF48A2">
            <w:pPr>
              <w:pStyle w:val="a3"/>
              <w:spacing w:before="0" w:beforeAutospacing="0" w:after="0" w:afterAutospacing="0"/>
              <w:rPr>
                <w:sz w:val="20"/>
                <w:szCs w:val="20"/>
              </w:rPr>
            </w:pPr>
            <w:r>
              <w:rPr>
                <w:sz w:val="20"/>
                <w:szCs w:val="20"/>
              </w:rPr>
              <w:t> </w:t>
            </w:r>
          </w:p>
        </w:tc>
      </w:tr>
      <w:tr w:rsidR="00000000" w14:paraId="1D991464" w14:textId="77777777">
        <w:trPr>
          <w:trHeight w:val="200"/>
          <w:tblCellSpacing w:w="15" w:type="dxa"/>
        </w:trPr>
        <w:tc>
          <w:tcPr>
            <w:tcW w:w="0" w:type="auto"/>
            <w:hideMark/>
          </w:tcPr>
          <w:p w14:paraId="327CA389" w14:textId="77777777" w:rsidR="00000000" w:rsidRDefault="00EF48A2">
            <w:pPr>
              <w:pStyle w:val="a3"/>
              <w:spacing w:before="0" w:beforeAutospacing="0" w:after="0" w:afterAutospacing="0"/>
              <w:ind w:left="200"/>
              <w:rPr>
                <w:sz w:val="20"/>
                <w:szCs w:val="20"/>
              </w:rPr>
            </w:pPr>
            <w:r>
              <w:rPr>
                <w:sz w:val="20"/>
                <w:szCs w:val="20"/>
              </w:rPr>
              <w:t>Goodwil</w:t>
            </w:r>
            <w:r>
              <w:rPr>
                <w:sz w:val="20"/>
                <w:szCs w:val="20"/>
              </w:rPr>
              <w:t>l</w:t>
            </w:r>
          </w:p>
        </w:tc>
        <w:tc>
          <w:tcPr>
            <w:tcW w:w="0" w:type="auto"/>
            <w:vAlign w:val="bottom"/>
            <w:hideMark/>
          </w:tcPr>
          <w:p w14:paraId="729A7ED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C0096D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DA7411F"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047A10A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9DD16E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1C4860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562916" w14:textId="77777777" w:rsidR="00000000" w:rsidRDefault="00EF48A2">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7372FE77" w14:textId="77777777" w:rsidR="00000000" w:rsidRDefault="00EF48A2">
            <w:pPr>
              <w:pStyle w:val="a3"/>
              <w:spacing w:before="0" w:beforeAutospacing="0" w:after="0" w:afterAutospacing="0"/>
              <w:rPr>
                <w:sz w:val="20"/>
                <w:szCs w:val="20"/>
              </w:rPr>
            </w:pPr>
            <w:r>
              <w:rPr>
                <w:sz w:val="20"/>
                <w:szCs w:val="20"/>
              </w:rPr>
              <w:t> </w:t>
            </w:r>
          </w:p>
        </w:tc>
      </w:tr>
      <w:tr w:rsidR="00000000" w14:paraId="3768C601" w14:textId="77777777">
        <w:trPr>
          <w:trHeight w:val="200"/>
          <w:tblCellSpacing w:w="15" w:type="dxa"/>
        </w:trPr>
        <w:tc>
          <w:tcPr>
            <w:tcW w:w="0" w:type="auto"/>
            <w:hideMark/>
          </w:tcPr>
          <w:p w14:paraId="14B00F3B" w14:textId="77777777" w:rsidR="00000000" w:rsidRDefault="00EF48A2">
            <w:pPr>
              <w:pStyle w:val="a3"/>
              <w:spacing w:before="0" w:beforeAutospacing="0" w:after="0" w:afterAutospacing="0"/>
              <w:ind w:left="200"/>
              <w:rPr>
                <w:sz w:val="20"/>
                <w:szCs w:val="20"/>
              </w:rPr>
            </w:pPr>
            <w:r>
              <w:rPr>
                <w:sz w:val="20"/>
                <w:szCs w:val="20"/>
              </w:rPr>
              <w:t>Other asset</w:t>
            </w:r>
            <w:r>
              <w:rPr>
                <w:sz w:val="20"/>
                <w:szCs w:val="20"/>
              </w:rPr>
              <w:t>s</w:t>
            </w:r>
          </w:p>
        </w:tc>
        <w:tc>
          <w:tcPr>
            <w:tcW w:w="0" w:type="auto"/>
            <w:vAlign w:val="bottom"/>
            <w:hideMark/>
          </w:tcPr>
          <w:p w14:paraId="4145082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057739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FA98D7" w14:textId="77777777" w:rsidR="00000000" w:rsidRDefault="00EF48A2">
            <w:pPr>
              <w:pStyle w:val="a3"/>
              <w:spacing w:before="0" w:beforeAutospacing="0" w:after="0" w:afterAutospacing="0"/>
              <w:jc w:val="right"/>
              <w:rPr>
                <w:sz w:val="20"/>
                <w:szCs w:val="20"/>
              </w:rPr>
            </w:pPr>
            <w:r>
              <w:rPr>
                <w:sz w:val="20"/>
                <w:szCs w:val="20"/>
              </w:rPr>
              <w:t>49</w:t>
            </w:r>
            <w:r>
              <w:rPr>
                <w:sz w:val="20"/>
                <w:szCs w:val="20"/>
              </w:rPr>
              <w:t>1</w:t>
            </w:r>
          </w:p>
        </w:tc>
        <w:tc>
          <w:tcPr>
            <w:tcW w:w="0" w:type="auto"/>
            <w:noWrap/>
            <w:vAlign w:val="bottom"/>
            <w:hideMark/>
          </w:tcPr>
          <w:p w14:paraId="79C624E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1839A7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0C9EFE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04F92A" w14:textId="77777777" w:rsidR="00000000" w:rsidRDefault="00EF48A2">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14:paraId="6FD77322" w14:textId="77777777" w:rsidR="00000000" w:rsidRDefault="00EF48A2">
            <w:pPr>
              <w:pStyle w:val="a3"/>
              <w:spacing w:before="0" w:beforeAutospacing="0" w:after="0" w:afterAutospacing="0"/>
              <w:rPr>
                <w:sz w:val="20"/>
                <w:szCs w:val="20"/>
              </w:rPr>
            </w:pPr>
            <w:r>
              <w:rPr>
                <w:sz w:val="20"/>
                <w:szCs w:val="20"/>
              </w:rPr>
              <w:t> </w:t>
            </w:r>
          </w:p>
        </w:tc>
      </w:tr>
      <w:tr w:rsidR="00000000" w14:paraId="6C919016" w14:textId="77777777">
        <w:trPr>
          <w:trHeight w:val="200"/>
          <w:tblCellSpacing w:w="15" w:type="dxa"/>
        </w:trPr>
        <w:tc>
          <w:tcPr>
            <w:tcW w:w="0" w:type="auto"/>
            <w:hideMark/>
          </w:tcPr>
          <w:p w14:paraId="4980E882" w14:textId="77777777" w:rsidR="00000000" w:rsidRDefault="00EF48A2">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14:paraId="71649C6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BD0880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9FEB348" w14:textId="77777777" w:rsidR="00000000" w:rsidRDefault="00EF48A2">
            <w:pPr>
              <w:pStyle w:val="a3"/>
              <w:spacing w:before="0" w:beforeAutospacing="0" w:after="0" w:afterAutospacing="0"/>
              <w:jc w:val="right"/>
              <w:rPr>
                <w:sz w:val="20"/>
                <w:szCs w:val="20"/>
              </w:rPr>
            </w:pPr>
            <w:r>
              <w:rPr>
                <w:sz w:val="20"/>
                <w:szCs w:val="20"/>
              </w:rPr>
              <w:t>156,25</w:t>
            </w:r>
            <w:r>
              <w:rPr>
                <w:sz w:val="20"/>
                <w:szCs w:val="20"/>
              </w:rPr>
              <w:t>4</w:t>
            </w:r>
          </w:p>
        </w:tc>
        <w:tc>
          <w:tcPr>
            <w:tcW w:w="0" w:type="auto"/>
            <w:noWrap/>
            <w:vAlign w:val="bottom"/>
            <w:hideMark/>
          </w:tcPr>
          <w:p w14:paraId="4B30A2F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3E9382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1BCFC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6FF44E2" w14:textId="77777777" w:rsidR="00000000" w:rsidRDefault="00EF48A2">
            <w:pPr>
              <w:pStyle w:val="a3"/>
              <w:spacing w:before="0" w:beforeAutospacing="0" w:after="0" w:afterAutospacing="0"/>
              <w:jc w:val="right"/>
              <w:rPr>
                <w:sz w:val="20"/>
                <w:szCs w:val="20"/>
              </w:rPr>
            </w:pPr>
            <w:r>
              <w:rPr>
                <w:sz w:val="20"/>
                <w:szCs w:val="20"/>
              </w:rPr>
              <w:t>223,60</w:t>
            </w:r>
            <w:r>
              <w:rPr>
                <w:sz w:val="20"/>
                <w:szCs w:val="20"/>
              </w:rPr>
              <w:t>6</w:t>
            </w:r>
          </w:p>
        </w:tc>
        <w:tc>
          <w:tcPr>
            <w:tcW w:w="0" w:type="auto"/>
            <w:noWrap/>
            <w:vAlign w:val="bottom"/>
            <w:hideMark/>
          </w:tcPr>
          <w:p w14:paraId="1A027D67" w14:textId="77777777" w:rsidR="00000000" w:rsidRDefault="00EF48A2">
            <w:pPr>
              <w:pStyle w:val="a3"/>
              <w:spacing w:before="0" w:beforeAutospacing="0" w:after="0" w:afterAutospacing="0"/>
              <w:rPr>
                <w:sz w:val="20"/>
                <w:szCs w:val="20"/>
              </w:rPr>
            </w:pPr>
            <w:r>
              <w:rPr>
                <w:sz w:val="20"/>
                <w:szCs w:val="20"/>
              </w:rPr>
              <w:t> </w:t>
            </w:r>
          </w:p>
        </w:tc>
      </w:tr>
      <w:tr w:rsidR="00000000" w14:paraId="2AEA4BDD" w14:textId="77777777">
        <w:trPr>
          <w:trHeight w:val="200"/>
          <w:tblCellSpacing w:w="15" w:type="dxa"/>
        </w:trPr>
        <w:tc>
          <w:tcPr>
            <w:tcW w:w="0" w:type="auto"/>
            <w:hideMark/>
          </w:tcPr>
          <w:p w14:paraId="27519A9F" w14:textId="77777777" w:rsidR="00000000" w:rsidRDefault="00EF48A2">
            <w:pPr>
              <w:pStyle w:val="a3"/>
              <w:spacing w:before="0" w:beforeAutospacing="0" w:after="0" w:afterAutospacing="0"/>
              <w:rPr>
                <w:sz w:val="20"/>
                <w:szCs w:val="20"/>
              </w:rPr>
            </w:pPr>
            <w:r>
              <w:rPr>
                <w:sz w:val="20"/>
                <w:szCs w:val="20"/>
              </w:rPr>
              <w:t>LIABILITIES AND STOCKHOLDERS’ EQUIT</w:t>
            </w:r>
            <w:r>
              <w:rPr>
                <w:sz w:val="20"/>
                <w:szCs w:val="20"/>
              </w:rPr>
              <w:t>Y</w:t>
            </w:r>
          </w:p>
        </w:tc>
        <w:tc>
          <w:tcPr>
            <w:tcW w:w="0" w:type="auto"/>
            <w:vAlign w:val="bottom"/>
            <w:hideMark/>
          </w:tcPr>
          <w:p w14:paraId="00A59EB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CC62A2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94C981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A73F2CA"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D3604F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C68C8C1" w14:textId="77777777" w:rsidR="00000000" w:rsidRDefault="00EF48A2">
            <w:pPr>
              <w:pStyle w:val="a3"/>
              <w:spacing w:before="0" w:beforeAutospacing="0" w:after="0" w:afterAutospacing="0"/>
              <w:jc w:val="right"/>
              <w:rPr>
                <w:sz w:val="20"/>
                <w:szCs w:val="20"/>
              </w:rPr>
            </w:pPr>
            <w:r>
              <w:rPr>
                <w:sz w:val="20"/>
                <w:szCs w:val="20"/>
              </w:rPr>
              <w:t> </w:t>
            </w:r>
          </w:p>
        </w:tc>
      </w:tr>
      <w:tr w:rsidR="00000000" w14:paraId="41C3E2AE" w14:textId="77777777">
        <w:trPr>
          <w:trHeight w:val="200"/>
          <w:tblCellSpacing w:w="15" w:type="dxa"/>
        </w:trPr>
        <w:tc>
          <w:tcPr>
            <w:tcW w:w="0" w:type="auto"/>
            <w:hideMark/>
          </w:tcPr>
          <w:p w14:paraId="796D1627" w14:textId="77777777" w:rsidR="00000000" w:rsidRDefault="00EF48A2">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14:paraId="68F7D133"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6217543"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C9C35C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FC6D940"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A891F3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97ED525" w14:textId="77777777" w:rsidR="00000000" w:rsidRDefault="00EF48A2">
            <w:pPr>
              <w:pStyle w:val="a3"/>
              <w:spacing w:before="0" w:beforeAutospacing="0" w:after="0" w:afterAutospacing="0"/>
              <w:jc w:val="right"/>
              <w:rPr>
                <w:sz w:val="20"/>
                <w:szCs w:val="20"/>
              </w:rPr>
            </w:pPr>
            <w:r>
              <w:rPr>
                <w:sz w:val="20"/>
                <w:szCs w:val="20"/>
              </w:rPr>
              <w:t> </w:t>
            </w:r>
          </w:p>
        </w:tc>
      </w:tr>
      <w:tr w:rsidR="00000000" w14:paraId="66F07B6F" w14:textId="77777777">
        <w:trPr>
          <w:trHeight w:val="200"/>
          <w:tblCellSpacing w:w="15" w:type="dxa"/>
        </w:trPr>
        <w:tc>
          <w:tcPr>
            <w:tcW w:w="0" w:type="auto"/>
            <w:hideMark/>
          </w:tcPr>
          <w:p w14:paraId="12DBF8D1" w14:textId="77777777" w:rsidR="00000000" w:rsidRDefault="00EF48A2">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14:paraId="1BE527F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13B17D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30F0055" w14:textId="77777777" w:rsidR="00000000" w:rsidRDefault="00EF48A2">
            <w:pPr>
              <w:pStyle w:val="a3"/>
              <w:spacing w:before="0" w:beforeAutospacing="0" w:after="0" w:afterAutospacing="0"/>
              <w:jc w:val="right"/>
              <w:rPr>
                <w:sz w:val="20"/>
                <w:szCs w:val="20"/>
              </w:rPr>
            </w:pPr>
            <w:r>
              <w:rPr>
                <w:sz w:val="20"/>
                <w:szCs w:val="20"/>
              </w:rPr>
              <w:t>6,46</w:t>
            </w:r>
            <w:r>
              <w:rPr>
                <w:sz w:val="20"/>
                <w:szCs w:val="20"/>
              </w:rPr>
              <w:t>1</w:t>
            </w:r>
          </w:p>
        </w:tc>
        <w:tc>
          <w:tcPr>
            <w:tcW w:w="0" w:type="auto"/>
            <w:noWrap/>
            <w:vAlign w:val="bottom"/>
            <w:hideMark/>
          </w:tcPr>
          <w:p w14:paraId="418C733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2C5FD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564AB2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2076D15" w14:textId="77777777" w:rsidR="00000000" w:rsidRDefault="00EF48A2">
            <w:pPr>
              <w:pStyle w:val="a3"/>
              <w:spacing w:before="0" w:beforeAutospacing="0" w:after="0" w:afterAutospacing="0"/>
              <w:jc w:val="right"/>
              <w:rPr>
                <w:sz w:val="20"/>
                <w:szCs w:val="20"/>
              </w:rPr>
            </w:pPr>
            <w:r>
              <w:rPr>
                <w:sz w:val="20"/>
                <w:szCs w:val="20"/>
              </w:rPr>
              <w:t>7,42</w:t>
            </w:r>
            <w:r>
              <w:rPr>
                <w:sz w:val="20"/>
                <w:szCs w:val="20"/>
              </w:rPr>
              <w:t>9</w:t>
            </w:r>
          </w:p>
        </w:tc>
        <w:tc>
          <w:tcPr>
            <w:tcW w:w="0" w:type="auto"/>
            <w:noWrap/>
            <w:vAlign w:val="bottom"/>
            <w:hideMark/>
          </w:tcPr>
          <w:p w14:paraId="61F09E29" w14:textId="77777777" w:rsidR="00000000" w:rsidRDefault="00EF48A2">
            <w:pPr>
              <w:pStyle w:val="a3"/>
              <w:spacing w:before="0" w:beforeAutospacing="0" w:after="0" w:afterAutospacing="0"/>
              <w:rPr>
                <w:sz w:val="20"/>
                <w:szCs w:val="20"/>
              </w:rPr>
            </w:pPr>
            <w:r>
              <w:rPr>
                <w:sz w:val="20"/>
                <w:szCs w:val="20"/>
              </w:rPr>
              <w:t> </w:t>
            </w:r>
          </w:p>
        </w:tc>
      </w:tr>
      <w:tr w:rsidR="00000000" w14:paraId="595628F6" w14:textId="77777777">
        <w:trPr>
          <w:trHeight w:val="200"/>
          <w:tblCellSpacing w:w="15" w:type="dxa"/>
        </w:trPr>
        <w:tc>
          <w:tcPr>
            <w:tcW w:w="0" w:type="auto"/>
            <w:hideMark/>
          </w:tcPr>
          <w:p w14:paraId="32BC4AC9" w14:textId="77777777" w:rsidR="00000000" w:rsidRDefault="00EF48A2">
            <w:pPr>
              <w:pStyle w:val="a3"/>
              <w:spacing w:before="0" w:beforeAutospacing="0" w:after="0" w:afterAutospacing="0"/>
              <w:ind w:left="200"/>
              <w:rPr>
                <w:sz w:val="20"/>
                <w:szCs w:val="20"/>
              </w:rPr>
            </w:pPr>
            <w:r>
              <w:rPr>
                <w:sz w:val="20"/>
                <w:szCs w:val="20"/>
              </w:rPr>
              <w:t>Deferred revenue</w:t>
            </w:r>
            <w:r>
              <w:rPr>
                <w:sz w:val="20"/>
                <w:szCs w:val="20"/>
              </w:rPr>
              <w:t>s</w:t>
            </w:r>
          </w:p>
        </w:tc>
        <w:tc>
          <w:tcPr>
            <w:tcW w:w="0" w:type="auto"/>
            <w:vAlign w:val="bottom"/>
            <w:hideMark/>
          </w:tcPr>
          <w:p w14:paraId="7C8DC55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5D900B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FD1910" w14:textId="77777777" w:rsidR="00000000" w:rsidRDefault="00EF48A2">
            <w:pPr>
              <w:pStyle w:val="a3"/>
              <w:spacing w:before="0" w:beforeAutospacing="0" w:after="0" w:afterAutospacing="0"/>
              <w:jc w:val="right"/>
              <w:rPr>
                <w:sz w:val="20"/>
                <w:szCs w:val="20"/>
              </w:rPr>
            </w:pPr>
            <w:r>
              <w:rPr>
                <w:sz w:val="20"/>
                <w:szCs w:val="20"/>
              </w:rPr>
              <w:t>4,35</w:t>
            </w:r>
            <w:r>
              <w:rPr>
                <w:sz w:val="20"/>
                <w:szCs w:val="20"/>
              </w:rPr>
              <w:t>5</w:t>
            </w:r>
          </w:p>
        </w:tc>
        <w:tc>
          <w:tcPr>
            <w:tcW w:w="0" w:type="auto"/>
            <w:noWrap/>
            <w:vAlign w:val="bottom"/>
            <w:hideMark/>
          </w:tcPr>
          <w:p w14:paraId="18B7579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CA7774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F9870B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62992C6" w14:textId="77777777" w:rsidR="00000000" w:rsidRDefault="00EF48A2">
            <w:pPr>
              <w:pStyle w:val="a3"/>
              <w:spacing w:before="0" w:beforeAutospacing="0" w:after="0" w:afterAutospacing="0"/>
              <w:jc w:val="right"/>
              <w:rPr>
                <w:sz w:val="20"/>
                <w:szCs w:val="20"/>
              </w:rPr>
            </w:pPr>
            <w:r>
              <w:rPr>
                <w:sz w:val="20"/>
                <w:szCs w:val="20"/>
              </w:rPr>
              <w:t>7,18</w:t>
            </w:r>
            <w:r>
              <w:rPr>
                <w:sz w:val="20"/>
                <w:szCs w:val="20"/>
              </w:rPr>
              <w:t>6</w:t>
            </w:r>
          </w:p>
        </w:tc>
        <w:tc>
          <w:tcPr>
            <w:tcW w:w="0" w:type="auto"/>
            <w:noWrap/>
            <w:vAlign w:val="bottom"/>
            <w:hideMark/>
          </w:tcPr>
          <w:p w14:paraId="23F06B6E" w14:textId="77777777" w:rsidR="00000000" w:rsidRDefault="00EF48A2">
            <w:pPr>
              <w:pStyle w:val="a3"/>
              <w:spacing w:before="0" w:beforeAutospacing="0" w:after="0" w:afterAutospacing="0"/>
              <w:rPr>
                <w:sz w:val="20"/>
                <w:szCs w:val="20"/>
              </w:rPr>
            </w:pPr>
            <w:r>
              <w:rPr>
                <w:sz w:val="20"/>
                <w:szCs w:val="20"/>
              </w:rPr>
              <w:t> </w:t>
            </w:r>
          </w:p>
        </w:tc>
      </w:tr>
      <w:tr w:rsidR="00000000" w14:paraId="7E4E1B41" w14:textId="77777777">
        <w:trPr>
          <w:trHeight w:val="200"/>
          <w:tblCellSpacing w:w="15" w:type="dxa"/>
        </w:trPr>
        <w:tc>
          <w:tcPr>
            <w:tcW w:w="0" w:type="auto"/>
            <w:hideMark/>
          </w:tcPr>
          <w:p w14:paraId="596E4294" w14:textId="77777777" w:rsidR="00000000" w:rsidRDefault="00EF48A2">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14:paraId="75FD001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5F9EB9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FCEF8E8" w14:textId="77777777" w:rsidR="00000000" w:rsidRDefault="00EF48A2">
            <w:pPr>
              <w:pStyle w:val="a3"/>
              <w:spacing w:before="0" w:beforeAutospacing="0" w:after="0" w:afterAutospacing="0"/>
              <w:jc w:val="right"/>
              <w:rPr>
                <w:sz w:val="20"/>
                <w:szCs w:val="20"/>
              </w:rPr>
            </w:pPr>
            <w:r>
              <w:rPr>
                <w:sz w:val="20"/>
                <w:szCs w:val="20"/>
              </w:rPr>
              <w:t>16,50</w:t>
            </w:r>
            <w:r>
              <w:rPr>
                <w:sz w:val="20"/>
                <w:szCs w:val="20"/>
              </w:rPr>
              <w:t>2</w:t>
            </w:r>
          </w:p>
        </w:tc>
        <w:tc>
          <w:tcPr>
            <w:tcW w:w="0" w:type="auto"/>
            <w:noWrap/>
            <w:vAlign w:val="bottom"/>
            <w:hideMark/>
          </w:tcPr>
          <w:p w14:paraId="222FD75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063FB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6B9ABC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BFFCC09" w14:textId="77777777" w:rsidR="00000000" w:rsidRDefault="00EF48A2">
            <w:pPr>
              <w:pStyle w:val="a3"/>
              <w:spacing w:before="0" w:beforeAutospacing="0" w:after="0" w:afterAutospacing="0"/>
              <w:jc w:val="right"/>
              <w:rPr>
                <w:sz w:val="20"/>
                <w:szCs w:val="20"/>
              </w:rPr>
            </w:pPr>
            <w:r>
              <w:rPr>
                <w:sz w:val="20"/>
                <w:szCs w:val="20"/>
              </w:rPr>
              <w:t>12,56</w:t>
            </w:r>
            <w:r>
              <w:rPr>
                <w:sz w:val="20"/>
                <w:szCs w:val="20"/>
              </w:rPr>
              <w:t>2</w:t>
            </w:r>
          </w:p>
        </w:tc>
        <w:tc>
          <w:tcPr>
            <w:tcW w:w="0" w:type="auto"/>
            <w:noWrap/>
            <w:vAlign w:val="bottom"/>
            <w:hideMark/>
          </w:tcPr>
          <w:p w14:paraId="6F432778" w14:textId="77777777" w:rsidR="00000000" w:rsidRDefault="00EF48A2">
            <w:pPr>
              <w:pStyle w:val="a3"/>
              <w:spacing w:before="0" w:beforeAutospacing="0" w:after="0" w:afterAutospacing="0"/>
              <w:rPr>
                <w:sz w:val="20"/>
                <w:szCs w:val="20"/>
              </w:rPr>
            </w:pPr>
            <w:r>
              <w:rPr>
                <w:sz w:val="20"/>
                <w:szCs w:val="20"/>
              </w:rPr>
              <w:t> </w:t>
            </w:r>
          </w:p>
        </w:tc>
      </w:tr>
      <w:tr w:rsidR="00000000" w14:paraId="5DFA16D6" w14:textId="77777777">
        <w:trPr>
          <w:trHeight w:val="200"/>
          <w:tblCellSpacing w:w="15" w:type="dxa"/>
        </w:trPr>
        <w:tc>
          <w:tcPr>
            <w:tcW w:w="0" w:type="auto"/>
            <w:hideMark/>
          </w:tcPr>
          <w:p w14:paraId="157885C6" w14:textId="77777777" w:rsidR="00000000" w:rsidRDefault="00EF48A2">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14:paraId="4BB0CBD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888681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40F3A84" w14:textId="77777777" w:rsidR="00000000" w:rsidRDefault="00EF48A2">
            <w:pPr>
              <w:pStyle w:val="a3"/>
              <w:spacing w:before="0" w:beforeAutospacing="0" w:after="0" w:afterAutospacing="0"/>
              <w:jc w:val="right"/>
              <w:rPr>
                <w:sz w:val="20"/>
                <w:szCs w:val="20"/>
              </w:rPr>
            </w:pPr>
            <w:r>
              <w:rPr>
                <w:sz w:val="20"/>
                <w:szCs w:val="20"/>
              </w:rPr>
              <w:t>27,31</w:t>
            </w:r>
            <w:r>
              <w:rPr>
                <w:sz w:val="20"/>
                <w:szCs w:val="20"/>
              </w:rPr>
              <w:t>8</w:t>
            </w:r>
          </w:p>
        </w:tc>
        <w:tc>
          <w:tcPr>
            <w:tcW w:w="0" w:type="auto"/>
            <w:noWrap/>
            <w:vAlign w:val="bottom"/>
            <w:hideMark/>
          </w:tcPr>
          <w:p w14:paraId="574497D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8214A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25F4D0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1B7AF0" w14:textId="77777777" w:rsidR="00000000" w:rsidRDefault="00EF48A2">
            <w:pPr>
              <w:pStyle w:val="a3"/>
              <w:spacing w:before="0" w:beforeAutospacing="0" w:after="0" w:afterAutospacing="0"/>
              <w:jc w:val="right"/>
              <w:rPr>
                <w:sz w:val="20"/>
                <w:szCs w:val="20"/>
              </w:rPr>
            </w:pPr>
            <w:r>
              <w:rPr>
                <w:sz w:val="20"/>
                <w:szCs w:val="20"/>
              </w:rPr>
              <w:t>27,17</w:t>
            </w:r>
            <w:r>
              <w:rPr>
                <w:sz w:val="20"/>
                <w:szCs w:val="20"/>
              </w:rPr>
              <w:t>7</w:t>
            </w:r>
          </w:p>
        </w:tc>
        <w:tc>
          <w:tcPr>
            <w:tcW w:w="0" w:type="auto"/>
            <w:noWrap/>
            <w:vAlign w:val="bottom"/>
            <w:hideMark/>
          </w:tcPr>
          <w:p w14:paraId="4247F7CC" w14:textId="77777777" w:rsidR="00000000" w:rsidRDefault="00EF48A2">
            <w:pPr>
              <w:pStyle w:val="a3"/>
              <w:spacing w:before="0" w:beforeAutospacing="0" w:after="0" w:afterAutospacing="0"/>
              <w:rPr>
                <w:sz w:val="20"/>
                <w:szCs w:val="20"/>
              </w:rPr>
            </w:pPr>
            <w:r>
              <w:rPr>
                <w:sz w:val="20"/>
                <w:szCs w:val="20"/>
              </w:rPr>
              <w:t> </w:t>
            </w:r>
          </w:p>
        </w:tc>
      </w:tr>
      <w:tr w:rsidR="00000000" w14:paraId="42BF3D8B" w14:textId="77777777">
        <w:trPr>
          <w:trHeight w:val="200"/>
          <w:tblCellSpacing w:w="15" w:type="dxa"/>
        </w:trPr>
        <w:tc>
          <w:tcPr>
            <w:tcW w:w="0" w:type="auto"/>
            <w:hideMark/>
          </w:tcPr>
          <w:p w14:paraId="5E4B05C1" w14:textId="77777777" w:rsidR="00000000" w:rsidRDefault="00EF48A2">
            <w:pPr>
              <w:pStyle w:val="a3"/>
              <w:spacing w:before="0" w:beforeAutospacing="0" w:after="0" w:afterAutospacing="0"/>
              <w:rPr>
                <w:sz w:val="20"/>
                <w:szCs w:val="20"/>
              </w:rPr>
            </w:pPr>
            <w:r>
              <w:rPr>
                <w:sz w:val="20"/>
                <w:szCs w:val="20"/>
              </w:rPr>
              <w:t>Warrant liabilitie</w:t>
            </w:r>
            <w:r>
              <w:rPr>
                <w:sz w:val="20"/>
                <w:szCs w:val="20"/>
              </w:rPr>
              <w:t>s</w:t>
            </w:r>
          </w:p>
        </w:tc>
        <w:tc>
          <w:tcPr>
            <w:tcW w:w="0" w:type="auto"/>
            <w:vAlign w:val="bottom"/>
            <w:hideMark/>
          </w:tcPr>
          <w:p w14:paraId="7F289A2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3AF7AC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04FFD4" w14:textId="77777777" w:rsidR="00000000" w:rsidRDefault="00EF48A2">
            <w:pPr>
              <w:pStyle w:val="a3"/>
              <w:spacing w:before="0" w:beforeAutospacing="0" w:after="0" w:afterAutospacing="0"/>
              <w:jc w:val="right"/>
              <w:rPr>
                <w:sz w:val="20"/>
                <w:szCs w:val="20"/>
              </w:rPr>
            </w:pPr>
            <w:r>
              <w:rPr>
                <w:sz w:val="20"/>
                <w:szCs w:val="20"/>
              </w:rPr>
              <w:t>93</w:t>
            </w:r>
            <w:r>
              <w:rPr>
                <w:sz w:val="20"/>
                <w:szCs w:val="20"/>
              </w:rPr>
              <w:t>9</w:t>
            </w:r>
          </w:p>
        </w:tc>
        <w:tc>
          <w:tcPr>
            <w:tcW w:w="0" w:type="auto"/>
            <w:noWrap/>
            <w:vAlign w:val="bottom"/>
            <w:hideMark/>
          </w:tcPr>
          <w:p w14:paraId="70D726F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8FE4EA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F1C722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15403F5" w14:textId="77777777" w:rsidR="00000000" w:rsidRDefault="00EF48A2">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14:paraId="2F2893EA" w14:textId="77777777" w:rsidR="00000000" w:rsidRDefault="00EF48A2">
            <w:pPr>
              <w:pStyle w:val="a3"/>
              <w:spacing w:before="0" w:beforeAutospacing="0" w:after="0" w:afterAutospacing="0"/>
              <w:rPr>
                <w:sz w:val="20"/>
                <w:szCs w:val="20"/>
              </w:rPr>
            </w:pPr>
            <w:r>
              <w:rPr>
                <w:sz w:val="20"/>
                <w:szCs w:val="20"/>
              </w:rPr>
              <w:t> </w:t>
            </w:r>
          </w:p>
        </w:tc>
      </w:tr>
      <w:tr w:rsidR="00000000" w14:paraId="10499F2E" w14:textId="77777777">
        <w:trPr>
          <w:trHeight w:val="200"/>
          <w:tblCellSpacing w:w="15" w:type="dxa"/>
        </w:trPr>
        <w:tc>
          <w:tcPr>
            <w:tcW w:w="0" w:type="auto"/>
            <w:hideMark/>
          </w:tcPr>
          <w:p w14:paraId="3DA8C68D" w14:textId="77777777" w:rsidR="00000000" w:rsidRDefault="00EF48A2">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14:paraId="0ED5ECE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FED75E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3D072DD" w14:textId="77777777" w:rsidR="00000000" w:rsidRDefault="00EF48A2">
            <w:pPr>
              <w:pStyle w:val="a3"/>
              <w:spacing w:before="0" w:beforeAutospacing="0" w:after="0" w:afterAutospacing="0"/>
              <w:jc w:val="right"/>
              <w:rPr>
                <w:sz w:val="20"/>
                <w:szCs w:val="20"/>
              </w:rPr>
            </w:pPr>
            <w:r>
              <w:rPr>
                <w:sz w:val="20"/>
                <w:szCs w:val="20"/>
              </w:rPr>
              <w:t>46</w:t>
            </w:r>
            <w:r>
              <w:rPr>
                <w:sz w:val="20"/>
                <w:szCs w:val="20"/>
              </w:rPr>
              <w:t>1</w:t>
            </w:r>
          </w:p>
        </w:tc>
        <w:tc>
          <w:tcPr>
            <w:tcW w:w="0" w:type="auto"/>
            <w:noWrap/>
            <w:vAlign w:val="bottom"/>
            <w:hideMark/>
          </w:tcPr>
          <w:p w14:paraId="3ED3434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9C7EC9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5CBCD0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8612AF" w14:textId="77777777" w:rsidR="00000000" w:rsidRDefault="00EF48A2">
            <w:pPr>
              <w:pStyle w:val="a3"/>
              <w:spacing w:before="0" w:beforeAutospacing="0" w:after="0" w:afterAutospacing="0"/>
              <w:jc w:val="right"/>
              <w:rPr>
                <w:sz w:val="20"/>
                <w:szCs w:val="20"/>
              </w:rPr>
            </w:pPr>
            <w:r>
              <w:rPr>
                <w:sz w:val="20"/>
                <w:szCs w:val="20"/>
              </w:rPr>
              <w:t>8</w:t>
            </w:r>
            <w:r>
              <w:rPr>
                <w:sz w:val="20"/>
                <w:szCs w:val="20"/>
              </w:rPr>
              <w:t>6</w:t>
            </w:r>
          </w:p>
        </w:tc>
        <w:tc>
          <w:tcPr>
            <w:tcW w:w="0" w:type="auto"/>
            <w:noWrap/>
            <w:vAlign w:val="bottom"/>
            <w:hideMark/>
          </w:tcPr>
          <w:p w14:paraId="2087AECD" w14:textId="77777777" w:rsidR="00000000" w:rsidRDefault="00EF48A2">
            <w:pPr>
              <w:pStyle w:val="a3"/>
              <w:spacing w:before="0" w:beforeAutospacing="0" w:after="0" w:afterAutospacing="0"/>
              <w:rPr>
                <w:sz w:val="20"/>
                <w:szCs w:val="20"/>
              </w:rPr>
            </w:pPr>
            <w:r>
              <w:rPr>
                <w:sz w:val="20"/>
                <w:szCs w:val="20"/>
              </w:rPr>
              <w:t> </w:t>
            </w:r>
          </w:p>
        </w:tc>
      </w:tr>
      <w:tr w:rsidR="00000000" w14:paraId="22724306" w14:textId="77777777">
        <w:trPr>
          <w:trHeight w:val="200"/>
          <w:tblCellSpacing w:w="15" w:type="dxa"/>
        </w:trPr>
        <w:tc>
          <w:tcPr>
            <w:tcW w:w="0" w:type="auto"/>
            <w:hideMark/>
          </w:tcPr>
          <w:p w14:paraId="736C5DBB" w14:textId="77777777" w:rsidR="00000000" w:rsidRDefault="00EF48A2">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14:paraId="1F54CDB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364A5D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73B2A6F" w14:textId="77777777" w:rsidR="00000000" w:rsidRDefault="00EF48A2">
            <w:pPr>
              <w:pStyle w:val="a3"/>
              <w:spacing w:before="0" w:beforeAutospacing="0" w:after="0" w:afterAutospacing="0"/>
              <w:jc w:val="right"/>
              <w:rPr>
                <w:sz w:val="20"/>
                <w:szCs w:val="20"/>
              </w:rPr>
            </w:pPr>
            <w:r>
              <w:rPr>
                <w:sz w:val="20"/>
                <w:szCs w:val="20"/>
              </w:rPr>
              <w:t>28,71</w:t>
            </w:r>
            <w:r>
              <w:rPr>
                <w:sz w:val="20"/>
                <w:szCs w:val="20"/>
              </w:rPr>
              <w:t>8</w:t>
            </w:r>
          </w:p>
        </w:tc>
        <w:tc>
          <w:tcPr>
            <w:tcW w:w="0" w:type="auto"/>
            <w:noWrap/>
            <w:vAlign w:val="bottom"/>
            <w:hideMark/>
          </w:tcPr>
          <w:p w14:paraId="53D7AB6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3D8834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430752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20C6FBC" w14:textId="77777777" w:rsidR="00000000" w:rsidRDefault="00EF48A2">
            <w:pPr>
              <w:pStyle w:val="a3"/>
              <w:spacing w:before="0" w:beforeAutospacing="0" w:after="0" w:afterAutospacing="0"/>
              <w:jc w:val="right"/>
              <w:rPr>
                <w:sz w:val="20"/>
                <w:szCs w:val="20"/>
              </w:rPr>
            </w:pPr>
            <w:r>
              <w:rPr>
                <w:sz w:val="20"/>
                <w:szCs w:val="20"/>
              </w:rPr>
              <w:t>31,33</w:t>
            </w:r>
            <w:r>
              <w:rPr>
                <w:sz w:val="20"/>
                <w:szCs w:val="20"/>
              </w:rPr>
              <w:t>3</w:t>
            </w:r>
          </w:p>
        </w:tc>
        <w:tc>
          <w:tcPr>
            <w:tcW w:w="0" w:type="auto"/>
            <w:noWrap/>
            <w:vAlign w:val="bottom"/>
            <w:hideMark/>
          </w:tcPr>
          <w:p w14:paraId="322722E4" w14:textId="77777777" w:rsidR="00000000" w:rsidRDefault="00EF48A2">
            <w:pPr>
              <w:pStyle w:val="a3"/>
              <w:spacing w:before="0" w:beforeAutospacing="0" w:after="0" w:afterAutospacing="0"/>
              <w:rPr>
                <w:sz w:val="20"/>
                <w:szCs w:val="20"/>
              </w:rPr>
            </w:pPr>
            <w:r>
              <w:rPr>
                <w:sz w:val="20"/>
                <w:szCs w:val="20"/>
              </w:rPr>
              <w:t> </w:t>
            </w:r>
          </w:p>
        </w:tc>
      </w:tr>
      <w:tr w:rsidR="00000000" w14:paraId="1C30B9F7" w14:textId="77777777">
        <w:trPr>
          <w:trHeight w:val="200"/>
          <w:tblCellSpacing w:w="15" w:type="dxa"/>
        </w:trPr>
        <w:tc>
          <w:tcPr>
            <w:tcW w:w="0" w:type="auto"/>
            <w:vAlign w:val="bottom"/>
            <w:hideMark/>
          </w:tcPr>
          <w:p w14:paraId="1481FE85" w14:textId="77777777" w:rsidR="00000000" w:rsidRDefault="00EF48A2">
            <w:pPr>
              <w:pStyle w:val="a3"/>
              <w:spacing w:before="0" w:beforeAutospacing="0" w:after="0" w:afterAutospacing="0"/>
              <w:rPr>
                <w:sz w:val="20"/>
                <w:szCs w:val="20"/>
              </w:rPr>
            </w:pPr>
            <w:r>
              <w:rPr>
                <w:sz w:val="20"/>
                <w:szCs w:val="20"/>
              </w:rPr>
              <w:t>Commitments and contingencies (Note 7</w:t>
            </w:r>
            <w:r>
              <w:rPr>
                <w:sz w:val="20"/>
                <w:szCs w:val="20"/>
              </w:rPr>
              <w:t>)</w:t>
            </w:r>
          </w:p>
        </w:tc>
        <w:tc>
          <w:tcPr>
            <w:tcW w:w="0" w:type="auto"/>
            <w:vAlign w:val="bottom"/>
            <w:hideMark/>
          </w:tcPr>
          <w:p w14:paraId="5A0DF6C7"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4C10E8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D58246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979031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2797A3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952E53B" w14:textId="77777777" w:rsidR="00000000" w:rsidRDefault="00EF48A2">
            <w:pPr>
              <w:pStyle w:val="a3"/>
              <w:spacing w:before="0" w:beforeAutospacing="0" w:after="0" w:afterAutospacing="0"/>
              <w:jc w:val="right"/>
              <w:rPr>
                <w:sz w:val="20"/>
                <w:szCs w:val="20"/>
              </w:rPr>
            </w:pPr>
            <w:r>
              <w:rPr>
                <w:sz w:val="20"/>
                <w:szCs w:val="20"/>
              </w:rPr>
              <w:t> </w:t>
            </w:r>
          </w:p>
        </w:tc>
      </w:tr>
      <w:tr w:rsidR="00000000" w14:paraId="695D3228" w14:textId="77777777">
        <w:trPr>
          <w:trHeight w:val="200"/>
          <w:tblCellSpacing w:w="15" w:type="dxa"/>
        </w:trPr>
        <w:tc>
          <w:tcPr>
            <w:tcW w:w="0" w:type="auto"/>
            <w:hideMark/>
          </w:tcPr>
          <w:p w14:paraId="145AEEAF" w14:textId="77777777" w:rsidR="00000000" w:rsidRDefault="00EF48A2">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14:paraId="7F835AA8"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D39C9E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D02977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779FBF6"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DC3E1A3"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EB3F8D0" w14:textId="77777777" w:rsidR="00000000" w:rsidRDefault="00EF48A2">
            <w:pPr>
              <w:pStyle w:val="a3"/>
              <w:spacing w:before="0" w:beforeAutospacing="0" w:after="0" w:afterAutospacing="0"/>
              <w:jc w:val="right"/>
              <w:rPr>
                <w:sz w:val="20"/>
                <w:szCs w:val="20"/>
              </w:rPr>
            </w:pPr>
            <w:r>
              <w:rPr>
                <w:sz w:val="20"/>
                <w:szCs w:val="20"/>
              </w:rPr>
              <w:t> </w:t>
            </w:r>
          </w:p>
        </w:tc>
      </w:tr>
      <w:tr w:rsidR="00000000" w14:paraId="77746DC8" w14:textId="77777777">
        <w:trPr>
          <w:trHeight w:val="200"/>
          <w:tblCellSpacing w:w="15" w:type="dxa"/>
        </w:trPr>
        <w:tc>
          <w:tcPr>
            <w:tcW w:w="0" w:type="auto"/>
            <w:hideMark/>
          </w:tcPr>
          <w:p w14:paraId="375A0644" w14:textId="77777777" w:rsidR="00000000" w:rsidRDefault="00EF48A2">
            <w:pPr>
              <w:pStyle w:val="a3"/>
              <w:spacing w:before="0" w:beforeAutospacing="0" w:after="0" w:afterAutospacing="0"/>
              <w:ind w:left="200"/>
              <w:rPr>
                <w:sz w:val="20"/>
                <w:szCs w:val="20"/>
              </w:rPr>
            </w:pPr>
            <w:r>
              <w:rPr>
                <w:sz w:val="20"/>
                <w:szCs w:val="20"/>
              </w:rPr>
              <w:t xml:space="preserve">Common stock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w:t>
            </w:r>
            <w:r>
              <w:rPr>
                <w:sz w:val="20"/>
                <w:szCs w:val="20"/>
              </w:rPr>
              <w:t>shares at December 31, 2022 and 2021; Issued and outstanding:</w:t>
            </w:r>
            <w:r>
              <w:rPr>
                <w:sz w:val="20"/>
                <w:szCs w:val="20"/>
              </w:rPr>
              <w:t xml:space="preserve"> </w:t>
            </w:r>
            <w:r>
              <w:rPr>
                <w:sz w:val="20"/>
                <w:szCs w:val="20"/>
              </w:rPr>
              <w:t>161,155,03</w:t>
            </w:r>
            <w:r>
              <w:rPr>
                <w:sz w:val="20"/>
                <w:szCs w:val="20"/>
              </w:rPr>
              <w:t>0</w:t>
            </w:r>
            <w:r>
              <w:rPr>
                <w:sz w:val="20"/>
                <w:szCs w:val="20"/>
              </w:rPr>
              <w:t> and</w:t>
            </w:r>
            <w:r>
              <w:rPr>
                <w:sz w:val="20"/>
                <w:szCs w:val="20"/>
              </w:rPr>
              <w:t xml:space="preserve"> </w:t>
            </w:r>
            <w:r>
              <w:rPr>
                <w:sz w:val="20"/>
                <w:szCs w:val="20"/>
              </w:rPr>
              <w:t>152,862,44</w:t>
            </w:r>
            <w:r>
              <w:rPr>
                <w:sz w:val="20"/>
                <w:szCs w:val="20"/>
              </w:rPr>
              <w:t>7</w:t>
            </w:r>
            <w:r>
              <w:rPr>
                <w:sz w:val="20"/>
                <w:szCs w:val="20"/>
              </w:rPr>
              <w:t> shares at December 31, 2022 and 2021, respectivel</w:t>
            </w:r>
            <w:r>
              <w:rPr>
                <w:sz w:val="20"/>
                <w:szCs w:val="20"/>
              </w:rPr>
              <w:t>y</w:t>
            </w:r>
          </w:p>
        </w:tc>
        <w:tc>
          <w:tcPr>
            <w:tcW w:w="0" w:type="auto"/>
            <w:vAlign w:val="bottom"/>
            <w:hideMark/>
          </w:tcPr>
          <w:p w14:paraId="13AF417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6F0EC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96CA00" w14:textId="77777777" w:rsidR="00000000" w:rsidRDefault="00EF48A2">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14:paraId="43D0367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5C5821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1C7B8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BCD033" w14:textId="77777777" w:rsidR="00000000" w:rsidRDefault="00EF48A2">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768C17A8" w14:textId="77777777" w:rsidR="00000000" w:rsidRDefault="00EF48A2">
            <w:pPr>
              <w:pStyle w:val="a3"/>
              <w:spacing w:before="0" w:beforeAutospacing="0" w:after="0" w:afterAutospacing="0"/>
              <w:rPr>
                <w:sz w:val="20"/>
                <w:szCs w:val="20"/>
              </w:rPr>
            </w:pPr>
            <w:r>
              <w:rPr>
                <w:sz w:val="20"/>
                <w:szCs w:val="20"/>
              </w:rPr>
              <w:t> </w:t>
            </w:r>
          </w:p>
        </w:tc>
      </w:tr>
      <w:tr w:rsidR="00000000" w14:paraId="6F33B6F5" w14:textId="77777777">
        <w:trPr>
          <w:trHeight w:val="200"/>
          <w:tblCellSpacing w:w="15" w:type="dxa"/>
        </w:trPr>
        <w:tc>
          <w:tcPr>
            <w:tcW w:w="0" w:type="auto"/>
            <w:hideMark/>
          </w:tcPr>
          <w:p w14:paraId="48A48545" w14:textId="77777777" w:rsidR="00000000" w:rsidRDefault="00EF48A2">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14:paraId="6A998C6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FABE0D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DDBCBA" w14:textId="77777777" w:rsidR="00000000" w:rsidRDefault="00EF48A2">
            <w:pPr>
              <w:pStyle w:val="a3"/>
              <w:spacing w:before="0" w:beforeAutospacing="0" w:after="0" w:afterAutospacing="0"/>
              <w:jc w:val="right"/>
              <w:rPr>
                <w:sz w:val="20"/>
                <w:szCs w:val="20"/>
              </w:rPr>
            </w:pPr>
            <w:r>
              <w:rPr>
                <w:sz w:val="20"/>
                <w:szCs w:val="20"/>
              </w:rPr>
              <w:t>378,72</w:t>
            </w:r>
            <w:r>
              <w:rPr>
                <w:sz w:val="20"/>
                <w:szCs w:val="20"/>
              </w:rPr>
              <w:t>2</w:t>
            </w:r>
          </w:p>
        </w:tc>
        <w:tc>
          <w:tcPr>
            <w:tcW w:w="0" w:type="auto"/>
            <w:noWrap/>
            <w:vAlign w:val="bottom"/>
            <w:hideMark/>
          </w:tcPr>
          <w:p w14:paraId="189DE18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BE17CC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47C2FB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B3E4DAC" w14:textId="77777777" w:rsidR="00000000" w:rsidRDefault="00EF48A2">
            <w:pPr>
              <w:pStyle w:val="a3"/>
              <w:spacing w:before="0" w:beforeAutospacing="0" w:after="0" w:afterAutospacing="0"/>
              <w:jc w:val="right"/>
              <w:rPr>
                <w:sz w:val="20"/>
                <w:szCs w:val="20"/>
              </w:rPr>
            </w:pPr>
            <w:r>
              <w:rPr>
                <w:sz w:val="20"/>
                <w:szCs w:val="20"/>
              </w:rPr>
              <w:t>363,78</w:t>
            </w:r>
            <w:r>
              <w:rPr>
                <w:sz w:val="20"/>
                <w:szCs w:val="20"/>
              </w:rPr>
              <w:t>8</w:t>
            </w:r>
          </w:p>
        </w:tc>
        <w:tc>
          <w:tcPr>
            <w:tcW w:w="0" w:type="auto"/>
            <w:noWrap/>
            <w:vAlign w:val="bottom"/>
            <w:hideMark/>
          </w:tcPr>
          <w:p w14:paraId="2036BE6A" w14:textId="77777777" w:rsidR="00000000" w:rsidRDefault="00EF48A2">
            <w:pPr>
              <w:pStyle w:val="a3"/>
              <w:spacing w:before="0" w:beforeAutospacing="0" w:after="0" w:afterAutospacing="0"/>
              <w:rPr>
                <w:sz w:val="20"/>
                <w:szCs w:val="20"/>
              </w:rPr>
            </w:pPr>
            <w:r>
              <w:rPr>
                <w:sz w:val="20"/>
                <w:szCs w:val="20"/>
              </w:rPr>
              <w:t> </w:t>
            </w:r>
          </w:p>
        </w:tc>
      </w:tr>
      <w:tr w:rsidR="00000000" w14:paraId="64FA42C8" w14:textId="77777777">
        <w:trPr>
          <w:trHeight w:val="200"/>
          <w:tblCellSpacing w:w="15" w:type="dxa"/>
        </w:trPr>
        <w:tc>
          <w:tcPr>
            <w:tcW w:w="0" w:type="auto"/>
            <w:hideMark/>
          </w:tcPr>
          <w:p w14:paraId="2DFEB5AA" w14:textId="77777777" w:rsidR="00000000" w:rsidRDefault="00EF48A2">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14:paraId="1F8BFA8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816B04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974BC0C" w14:textId="77777777" w:rsidR="00000000" w:rsidRDefault="00EF48A2">
            <w:pPr>
              <w:pStyle w:val="a3"/>
              <w:spacing w:before="0" w:beforeAutospacing="0" w:after="0" w:afterAutospacing="0"/>
              <w:jc w:val="right"/>
              <w:rPr>
                <w:sz w:val="20"/>
                <w:szCs w:val="20"/>
              </w:rPr>
            </w:pPr>
            <w:r>
              <w:rPr>
                <w:sz w:val="20"/>
                <w:szCs w:val="20"/>
              </w:rPr>
              <w:t>(</w:t>
            </w:r>
            <w:r>
              <w:rPr>
                <w:sz w:val="20"/>
                <w:szCs w:val="20"/>
              </w:rPr>
              <w:t>251,20</w:t>
            </w:r>
            <w:r>
              <w:rPr>
                <w:sz w:val="20"/>
                <w:szCs w:val="20"/>
              </w:rPr>
              <w:t>2</w:t>
            </w:r>
          </w:p>
        </w:tc>
        <w:tc>
          <w:tcPr>
            <w:tcW w:w="0" w:type="auto"/>
            <w:noWrap/>
            <w:vAlign w:val="bottom"/>
            <w:hideMark/>
          </w:tcPr>
          <w:p w14:paraId="0E5F240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2F5EA3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F266F3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0852596" w14:textId="77777777" w:rsidR="00000000" w:rsidRDefault="00EF48A2">
            <w:pPr>
              <w:pStyle w:val="a3"/>
              <w:spacing w:before="0" w:beforeAutospacing="0" w:after="0" w:afterAutospacing="0"/>
              <w:jc w:val="right"/>
              <w:rPr>
                <w:sz w:val="20"/>
                <w:szCs w:val="20"/>
              </w:rPr>
            </w:pPr>
            <w:r>
              <w:rPr>
                <w:sz w:val="20"/>
                <w:szCs w:val="20"/>
              </w:rPr>
              <w:t>(</w:t>
            </w:r>
            <w:r>
              <w:rPr>
                <w:sz w:val="20"/>
                <w:szCs w:val="20"/>
              </w:rPr>
              <w:t>171,53</w:t>
            </w:r>
            <w:r>
              <w:rPr>
                <w:sz w:val="20"/>
                <w:szCs w:val="20"/>
              </w:rPr>
              <w:t>0</w:t>
            </w:r>
          </w:p>
        </w:tc>
        <w:tc>
          <w:tcPr>
            <w:tcW w:w="0" w:type="auto"/>
            <w:noWrap/>
            <w:vAlign w:val="bottom"/>
            <w:hideMark/>
          </w:tcPr>
          <w:p w14:paraId="6EFFC375" w14:textId="77777777" w:rsidR="00000000" w:rsidRDefault="00EF48A2">
            <w:pPr>
              <w:pStyle w:val="a3"/>
              <w:spacing w:before="0" w:beforeAutospacing="0" w:after="0" w:afterAutospacing="0"/>
              <w:rPr>
                <w:sz w:val="20"/>
                <w:szCs w:val="20"/>
              </w:rPr>
            </w:pPr>
            <w:r>
              <w:rPr>
                <w:sz w:val="20"/>
                <w:szCs w:val="20"/>
              </w:rPr>
              <w:t>)</w:t>
            </w:r>
          </w:p>
        </w:tc>
      </w:tr>
      <w:tr w:rsidR="00000000" w14:paraId="2F14F341" w14:textId="77777777">
        <w:trPr>
          <w:trHeight w:val="200"/>
          <w:tblCellSpacing w:w="15" w:type="dxa"/>
        </w:trPr>
        <w:tc>
          <w:tcPr>
            <w:tcW w:w="0" w:type="auto"/>
            <w:hideMark/>
          </w:tcPr>
          <w:p w14:paraId="6FE0E66B" w14:textId="77777777" w:rsidR="00000000" w:rsidRDefault="00EF48A2">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14:paraId="21F4891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D3AFDC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25D83E" w14:textId="77777777" w:rsidR="00000000" w:rsidRDefault="00EF48A2">
            <w:pPr>
              <w:pStyle w:val="a3"/>
              <w:spacing w:before="0" w:beforeAutospacing="0" w:after="0" w:afterAutospacing="0"/>
              <w:jc w:val="right"/>
              <w:rPr>
                <w:sz w:val="20"/>
                <w:szCs w:val="20"/>
              </w:rPr>
            </w:pPr>
            <w:r>
              <w:rPr>
                <w:sz w:val="20"/>
                <w:szCs w:val="20"/>
              </w:rPr>
              <w:t>127,53</w:t>
            </w:r>
            <w:r>
              <w:rPr>
                <w:sz w:val="20"/>
                <w:szCs w:val="20"/>
              </w:rPr>
              <w:t>6</w:t>
            </w:r>
          </w:p>
        </w:tc>
        <w:tc>
          <w:tcPr>
            <w:tcW w:w="0" w:type="auto"/>
            <w:noWrap/>
            <w:vAlign w:val="bottom"/>
            <w:hideMark/>
          </w:tcPr>
          <w:p w14:paraId="15E5710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E2EF83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AF4E61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02BDC37" w14:textId="77777777" w:rsidR="00000000" w:rsidRDefault="00EF48A2">
            <w:pPr>
              <w:pStyle w:val="a3"/>
              <w:spacing w:before="0" w:beforeAutospacing="0" w:after="0" w:afterAutospacing="0"/>
              <w:jc w:val="right"/>
              <w:rPr>
                <w:sz w:val="20"/>
                <w:szCs w:val="20"/>
              </w:rPr>
            </w:pPr>
            <w:r>
              <w:rPr>
                <w:sz w:val="20"/>
                <w:szCs w:val="20"/>
              </w:rPr>
              <w:t>192,27</w:t>
            </w:r>
            <w:r>
              <w:rPr>
                <w:sz w:val="20"/>
                <w:szCs w:val="20"/>
              </w:rPr>
              <w:t>3</w:t>
            </w:r>
          </w:p>
        </w:tc>
        <w:tc>
          <w:tcPr>
            <w:tcW w:w="0" w:type="auto"/>
            <w:noWrap/>
            <w:vAlign w:val="bottom"/>
            <w:hideMark/>
          </w:tcPr>
          <w:p w14:paraId="5DAC1E58" w14:textId="77777777" w:rsidR="00000000" w:rsidRDefault="00EF48A2">
            <w:pPr>
              <w:pStyle w:val="a3"/>
              <w:spacing w:before="0" w:beforeAutospacing="0" w:after="0" w:afterAutospacing="0"/>
              <w:rPr>
                <w:sz w:val="20"/>
                <w:szCs w:val="20"/>
              </w:rPr>
            </w:pPr>
            <w:r>
              <w:rPr>
                <w:sz w:val="20"/>
                <w:szCs w:val="20"/>
              </w:rPr>
              <w:t> </w:t>
            </w:r>
          </w:p>
        </w:tc>
      </w:tr>
      <w:tr w:rsidR="00000000" w14:paraId="4F89F5CD" w14:textId="77777777">
        <w:trPr>
          <w:trHeight w:val="200"/>
          <w:tblCellSpacing w:w="15" w:type="dxa"/>
        </w:trPr>
        <w:tc>
          <w:tcPr>
            <w:tcW w:w="0" w:type="auto"/>
            <w:hideMark/>
          </w:tcPr>
          <w:p w14:paraId="51C4E3EC" w14:textId="77777777" w:rsidR="00000000" w:rsidRDefault="00EF48A2">
            <w:pPr>
              <w:pStyle w:val="a3"/>
              <w:spacing w:before="0" w:beforeAutospacing="0" w:after="0" w:afterAutospacing="0"/>
              <w:rPr>
                <w:sz w:val="20"/>
                <w:szCs w:val="20"/>
              </w:rPr>
            </w:pPr>
            <w:r>
              <w:rPr>
                <w:sz w:val="20"/>
                <w:szCs w:val="20"/>
              </w:rPr>
              <w:t>Total liabilities and stockholders’ equit</w:t>
            </w:r>
            <w:r>
              <w:rPr>
                <w:sz w:val="20"/>
                <w:szCs w:val="20"/>
              </w:rPr>
              <w:t>y</w:t>
            </w:r>
          </w:p>
        </w:tc>
        <w:tc>
          <w:tcPr>
            <w:tcW w:w="0" w:type="auto"/>
            <w:vAlign w:val="bottom"/>
            <w:hideMark/>
          </w:tcPr>
          <w:p w14:paraId="0968B06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0430BF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72F12AA" w14:textId="77777777" w:rsidR="00000000" w:rsidRDefault="00EF48A2">
            <w:pPr>
              <w:pStyle w:val="a3"/>
              <w:spacing w:before="0" w:beforeAutospacing="0" w:after="0" w:afterAutospacing="0"/>
              <w:jc w:val="right"/>
              <w:rPr>
                <w:sz w:val="20"/>
                <w:szCs w:val="20"/>
              </w:rPr>
            </w:pPr>
            <w:r>
              <w:rPr>
                <w:sz w:val="20"/>
                <w:szCs w:val="20"/>
              </w:rPr>
              <w:t>156,25</w:t>
            </w:r>
            <w:r>
              <w:rPr>
                <w:sz w:val="20"/>
                <w:szCs w:val="20"/>
              </w:rPr>
              <w:t>4</w:t>
            </w:r>
          </w:p>
        </w:tc>
        <w:tc>
          <w:tcPr>
            <w:tcW w:w="0" w:type="auto"/>
            <w:noWrap/>
            <w:vAlign w:val="bottom"/>
            <w:hideMark/>
          </w:tcPr>
          <w:p w14:paraId="63EC015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FFC2A9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7F9CCD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5348876" w14:textId="77777777" w:rsidR="00000000" w:rsidRDefault="00EF48A2">
            <w:pPr>
              <w:pStyle w:val="a3"/>
              <w:spacing w:before="0" w:beforeAutospacing="0" w:after="0" w:afterAutospacing="0"/>
              <w:jc w:val="right"/>
              <w:rPr>
                <w:sz w:val="20"/>
                <w:szCs w:val="20"/>
              </w:rPr>
            </w:pPr>
            <w:r>
              <w:rPr>
                <w:sz w:val="20"/>
                <w:szCs w:val="20"/>
              </w:rPr>
              <w:t>223,60</w:t>
            </w:r>
            <w:r>
              <w:rPr>
                <w:sz w:val="20"/>
                <w:szCs w:val="20"/>
              </w:rPr>
              <w:t>6</w:t>
            </w:r>
          </w:p>
        </w:tc>
        <w:tc>
          <w:tcPr>
            <w:tcW w:w="0" w:type="auto"/>
            <w:noWrap/>
            <w:vAlign w:val="bottom"/>
            <w:hideMark/>
          </w:tcPr>
          <w:p w14:paraId="4B63D25C" w14:textId="77777777" w:rsidR="00000000" w:rsidRDefault="00EF48A2">
            <w:pPr>
              <w:pStyle w:val="a3"/>
              <w:spacing w:before="0" w:beforeAutospacing="0" w:after="0" w:afterAutospacing="0"/>
              <w:rPr>
                <w:sz w:val="20"/>
                <w:szCs w:val="20"/>
              </w:rPr>
            </w:pPr>
            <w:r>
              <w:rPr>
                <w:sz w:val="20"/>
                <w:szCs w:val="20"/>
              </w:rPr>
              <w:t> </w:t>
            </w:r>
          </w:p>
        </w:tc>
      </w:tr>
    </w:tbl>
    <w:p w14:paraId="7AA7A644" w14:textId="77777777" w:rsidR="00000000" w:rsidRDefault="00EF48A2">
      <w:pPr>
        <w:pStyle w:val="a3"/>
        <w:spacing w:before="0" w:beforeAutospacing="0" w:after="0" w:afterAutospacing="0"/>
        <w:rPr>
          <w:sz w:val="20"/>
          <w:szCs w:val="20"/>
        </w:rPr>
      </w:pPr>
      <w:r>
        <w:t> </w:t>
      </w:r>
    </w:p>
    <w:p w14:paraId="0CA27505" w14:textId="77777777" w:rsidR="00000000" w:rsidRDefault="00EF48A2">
      <w:pPr>
        <w:pStyle w:val="a3"/>
        <w:spacing w:before="240" w:beforeAutospacing="0" w:after="0" w:afterAutospacing="0"/>
        <w:jc w:val="center"/>
        <w:rPr>
          <w:sz w:val="20"/>
          <w:szCs w:val="20"/>
        </w:rPr>
      </w:pPr>
      <w:r>
        <w:rPr>
          <w:sz w:val="20"/>
          <w:szCs w:val="20"/>
        </w:rPr>
        <w:t>The accompanying notes are an integral part of the consolidated financial statements</w:t>
      </w:r>
      <w:r>
        <w:rPr>
          <w:sz w:val="20"/>
          <w:szCs w:val="20"/>
        </w:rPr>
        <w:t>.</w:t>
      </w:r>
      <w:r>
        <w:rPr>
          <w:sz w:val="20"/>
          <w:szCs w:val="20"/>
        </w:rPr>
        <w:t xml:space="preserve"> </w:t>
      </w:r>
    </w:p>
    <w:p w14:paraId="4F6FED19" w14:textId="77777777" w:rsidR="00000000" w:rsidRDefault="00EF48A2">
      <w:pPr>
        <w:pStyle w:val="a3"/>
        <w:spacing w:before="0" w:beforeAutospacing="0" w:after="0" w:afterAutospacing="0"/>
        <w:jc w:val="center"/>
        <w:rPr>
          <w:sz w:val="20"/>
          <w:szCs w:val="20"/>
        </w:rPr>
      </w:pPr>
      <w:r>
        <w:rPr>
          <w:sz w:val="20"/>
          <w:szCs w:val="20"/>
        </w:rPr>
        <w:t>6</w:t>
      </w:r>
      <w:r>
        <w:rPr>
          <w:sz w:val="20"/>
          <w:szCs w:val="20"/>
        </w:rPr>
        <w:t>0</w:t>
      </w:r>
    </w:p>
    <w:p w14:paraId="13E7BF56" w14:textId="77777777" w:rsidR="00000000" w:rsidRDefault="00EF48A2">
      <w:pPr>
        <w:rPr>
          <w:rFonts w:eastAsia="Times New Roman"/>
        </w:rPr>
      </w:pPr>
      <w:r>
        <w:rPr>
          <w:rFonts w:eastAsia="Times New Roman"/>
        </w:rPr>
        <w:pict w14:anchorId="33023EFA">
          <v:rect id="_x0000_i1087" style="width:0;height:1.5pt" o:hralign="center" o:hrstd="t" o:hr="t" fillcolor="#a0a0a0" stroked="f"/>
        </w:pict>
      </w:r>
    </w:p>
    <w:p w14:paraId="3CA40542"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7B6A8599" w14:textId="77777777" w:rsidR="00000000" w:rsidRDefault="00EF48A2">
      <w:pPr>
        <w:pStyle w:val="a3"/>
        <w:spacing w:before="0" w:beforeAutospacing="0" w:after="0" w:afterAutospacing="0"/>
        <w:jc w:val="center"/>
        <w:rPr>
          <w:sz w:val="20"/>
          <w:szCs w:val="20"/>
        </w:rPr>
      </w:pPr>
      <w:r>
        <w:rPr>
          <w:b/>
          <w:bCs/>
          <w:sz w:val="20"/>
          <w:szCs w:val="20"/>
        </w:rPr>
        <w:t>TALKSPACE, INC</w:t>
      </w:r>
      <w:r>
        <w:rPr>
          <w:b/>
          <w:bCs/>
          <w:sz w:val="20"/>
          <w:szCs w:val="20"/>
        </w:rPr>
        <w:t>.</w:t>
      </w:r>
    </w:p>
    <w:p w14:paraId="40942981" w14:textId="77777777" w:rsidR="00000000" w:rsidRDefault="00EF48A2">
      <w:pPr>
        <w:pStyle w:val="a3"/>
        <w:spacing w:before="0" w:beforeAutospacing="0" w:after="0" w:afterAutospacing="0"/>
        <w:jc w:val="center"/>
        <w:rPr>
          <w:sz w:val="20"/>
          <w:szCs w:val="20"/>
        </w:rPr>
      </w:pPr>
      <w:r>
        <w:rPr>
          <w:b/>
          <w:bCs/>
          <w:sz w:val="20"/>
          <w:szCs w:val="20"/>
        </w:rPr>
        <w:t>CONSOLIDATED STATEMENTS OF OPERATION</w:t>
      </w:r>
      <w:r>
        <w:rPr>
          <w:b/>
          <w:bCs/>
          <w:sz w:val="20"/>
          <w:szCs w:val="20"/>
        </w:rPr>
        <w:t>S</w:t>
      </w:r>
    </w:p>
    <w:p w14:paraId="0F091B80" w14:textId="77777777" w:rsidR="00000000" w:rsidRDefault="00EF48A2">
      <w:pPr>
        <w:pStyle w:val="a3"/>
        <w:spacing w:before="0" w:beforeAutospacing="0" w:after="0" w:afterAutospacing="0"/>
        <w:jc w:val="center"/>
        <w:rPr>
          <w:sz w:val="20"/>
          <w:szCs w:val="20"/>
        </w:rPr>
      </w:pPr>
      <w:r>
        <w:rPr>
          <w:b/>
          <w:bCs/>
          <w:sz w:val="19"/>
          <w:szCs w:val="19"/>
        </w:rPr>
        <w:t>U.S. dollars in thousands (</w:t>
      </w:r>
      <w:r>
        <w:rPr>
          <w:b/>
          <w:bCs/>
          <w:sz w:val="19"/>
          <w:szCs w:val="19"/>
        </w:rPr>
        <w:t>except share and per share data</w:t>
      </w:r>
      <w:r>
        <w:rPr>
          <w:b/>
          <w:bCs/>
          <w:sz w:val="19"/>
          <w:szCs w:val="19"/>
        </w:rPr>
        <w:t>)</w:t>
      </w:r>
      <w:r>
        <w:rPr>
          <w:b/>
          <w:bCs/>
          <w:sz w:val="19"/>
          <w:szCs w:val="19"/>
        </w:rPr>
        <w:t xml:space="preserve"> </w:t>
      </w:r>
    </w:p>
    <w:p w14:paraId="6B70A49C" w14:textId="77777777" w:rsidR="00000000" w:rsidRDefault="00EF48A2">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0"/>
        <w:gridCol w:w="110"/>
        <w:gridCol w:w="160"/>
        <w:gridCol w:w="1060"/>
        <w:gridCol w:w="127"/>
        <w:gridCol w:w="110"/>
        <w:gridCol w:w="160"/>
        <w:gridCol w:w="960"/>
        <w:gridCol w:w="127"/>
        <w:gridCol w:w="110"/>
        <w:gridCol w:w="160"/>
        <w:gridCol w:w="960"/>
        <w:gridCol w:w="142"/>
      </w:tblGrid>
      <w:tr w:rsidR="00000000" w14:paraId="083995B6" w14:textId="77777777">
        <w:trPr>
          <w:tblCellSpacing w:w="15" w:type="dxa"/>
        </w:trPr>
        <w:tc>
          <w:tcPr>
            <w:tcW w:w="2698" w:type="pct"/>
            <w:vAlign w:val="center"/>
            <w:hideMark/>
          </w:tcPr>
          <w:p w14:paraId="5B67EDD4" w14:textId="77777777" w:rsidR="00000000" w:rsidRDefault="00EF48A2">
            <w:pPr>
              <w:rPr>
                <w:sz w:val="20"/>
                <w:szCs w:val="20"/>
              </w:rPr>
            </w:pPr>
          </w:p>
        </w:tc>
        <w:tc>
          <w:tcPr>
            <w:tcW w:w="79" w:type="pct"/>
            <w:vAlign w:val="center"/>
            <w:hideMark/>
          </w:tcPr>
          <w:p w14:paraId="3D1BD347" w14:textId="77777777" w:rsidR="00000000" w:rsidRDefault="00EF48A2">
            <w:pPr>
              <w:rPr>
                <w:rFonts w:eastAsia="Times New Roman"/>
                <w:sz w:val="20"/>
                <w:szCs w:val="20"/>
              </w:rPr>
            </w:pPr>
          </w:p>
        </w:tc>
        <w:tc>
          <w:tcPr>
            <w:tcW w:w="50" w:type="pct"/>
            <w:vAlign w:val="center"/>
            <w:hideMark/>
          </w:tcPr>
          <w:p w14:paraId="6F852EE5" w14:textId="77777777" w:rsidR="00000000" w:rsidRDefault="00EF48A2">
            <w:pPr>
              <w:rPr>
                <w:rFonts w:eastAsia="Times New Roman"/>
                <w:sz w:val="20"/>
                <w:szCs w:val="20"/>
              </w:rPr>
            </w:pPr>
          </w:p>
        </w:tc>
        <w:tc>
          <w:tcPr>
            <w:tcW w:w="584" w:type="pct"/>
            <w:vAlign w:val="center"/>
            <w:hideMark/>
          </w:tcPr>
          <w:p w14:paraId="6364FACE" w14:textId="77777777" w:rsidR="00000000" w:rsidRDefault="00EF48A2">
            <w:pPr>
              <w:rPr>
                <w:rFonts w:eastAsia="Times New Roman"/>
                <w:sz w:val="20"/>
                <w:szCs w:val="20"/>
              </w:rPr>
            </w:pPr>
          </w:p>
        </w:tc>
        <w:tc>
          <w:tcPr>
            <w:tcW w:w="50" w:type="pct"/>
            <w:vAlign w:val="center"/>
            <w:hideMark/>
          </w:tcPr>
          <w:p w14:paraId="33F6952A" w14:textId="77777777" w:rsidR="00000000" w:rsidRDefault="00EF48A2">
            <w:pPr>
              <w:rPr>
                <w:rFonts w:eastAsia="Times New Roman"/>
                <w:sz w:val="20"/>
                <w:szCs w:val="20"/>
              </w:rPr>
            </w:pPr>
          </w:p>
        </w:tc>
        <w:tc>
          <w:tcPr>
            <w:tcW w:w="79" w:type="pct"/>
            <w:vAlign w:val="center"/>
            <w:hideMark/>
          </w:tcPr>
          <w:p w14:paraId="15C54E6B" w14:textId="77777777" w:rsidR="00000000" w:rsidRDefault="00EF48A2">
            <w:pPr>
              <w:rPr>
                <w:rFonts w:eastAsia="Times New Roman"/>
                <w:sz w:val="20"/>
                <w:szCs w:val="20"/>
              </w:rPr>
            </w:pPr>
          </w:p>
        </w:tc>
        <w:tc>
          <w:tcPr>
            <w:tcW w:w="50" w:type="pct"/>
            <w:vAlign w:val="center"/>
            <w:hideMark/>
          </w:tcPr>
          <w:p w14:paraId="4D5E1066" w14:textId="77777777" w:rsidR="00000000" w:rsidRDefault="00EF48A2">
            <w:pPr>
              <w:rPr>
                <w:rFonts w:eastAsia="Times New Roman"/>
                <w:sz w:val="20"/>
                <w:szCs w:val="20"/>
              </w:rPr>
            </w:pPr>
          </w:p>
        </w:tc>
        <w:tc>
          <w:tcPr>
            <w:tcW w:w="584" w:type="pct"/>
            <w:vAlign w:val="center"/>
            <w:hideMark/>
          </w:tcPr>
          <w:p w14:paraId="2CA7F55E" w14:textId="77777777" w:rsidR="00000000" w:rsidRDefault="00EF48A2">
            <w:pPr>
              <w:rPr>
                <w:rFonts w:eastAsia="Times New Roman"/>
                <w:sz w:val="20"/>
                <w:szCs w:val="20"/>
              </w:rPr>
            </w:pPr>
          </w:p>
        </w:tc>
        <w:tc>
          <w:tcPr>
            <w:tcW w:w="50" w:type="pct"/>
            <w:vAlign w:val="center"/>
            <w:hideMark/>
          </w:tcPr>
          <w:p w14:paraId="427CE898" w14:textId="77777777" w:rsidR="00000000" w:rsidRDefault="00EF48A2">
            <w:pPr>
              <w:rPr>
                <w:rFonts w:eastAsia="Times New Roman"/>
                <w:sz w:val="20"/>
                <w:szCs w:val="20"/>
              </w:rPr>
            </w:pPr>
          </w:p>
        </w:tc>
        <w:tc>
          <w:tcPr>
            <w:tcW w:w="79" w:type="pct"/>
            <w:vAlign w:val="center"/>
            <w:hideMark/>
          </w:tcPr>
          <w:p w14:paraId="4CF3FA11" w14:textId="77777777" w:rsidR="00000000" w:rsidRDefault="00EF48A2">
            <w:pPr>
              <w:rPr>
                <w:rFonts w:eastAsia="Times New Roman"/>
                <w:sz w:val="20"/>
                <w:szCs w:val="20"/>
              </w:rPr>
            </w:pPr>
          </w:p>
        </w:tc>
        <w:tc>
          <w:tcPr>
            <w:tcW w:w="50" w:type="pct"/>
            <w:vAlign w:val="center"/>
            <w:hideMark/>
          </w:tcPr>
          <w:p w14:paraId="46CD38C4" w14:textId="77777777" w:rsidR="00000000" w:rsidRDefault="00EF48A2">
            <w:pPr>
              <w:rPr>
                <w:rFonts w:eastAsia="Times New Roman"/>
                <w:sz w:val="20"/>
                <w:szCs w:val="20"/>
              </w:rPr>
            </w:pPr>
          </w:p>
        </w:tc>
        <w:tc>
          <w:tcPr>
            <w:tcW w:w="592" w:type="pct"/>
            <w:vAlign w:val="center"/>
            <w:hideMark/>
          </w:tcPr>
          <w:p w14:paraId="4A0781D5" w14:textId="77777777" w:rsidR="00000000" w:rsidRDefault="00EF48A2">
            <w:pPr>
              <w:rPr>
                <w:rFonts w:eastAsia="Times New Roman"/>
                <w:sz w:val="20"/>
                <w:szCs w:val="20"/>
              </w:rPr>
            </w:pPr>
          </w:p>
        </w:tc>
        <w:tc>
          <w:tcPr>
            <w:tcW w:w="50" w:type="pct"/>
            <w:vAlign w:val="center"/>
            <w:hideMark/>
          </w:tcPr>
          <w:p w14:paraId="1D0C9EEC" w14:textId="77777777" w:rsidR="00000000" w:rsidRDefault="00EF48A2">
            <w:pPr>
              <w:rPr>
                <w:rFonts w:eastAsia="Times New Roman"/>
                <w:sz w:val="20"/>
                <w:szCs w:val="20"/>
              </w:rPr>
            </w:pPr>
          </w:p>
        </w:tc>
      </w:tr>
      <w:tr w:rsidR="00000000" w14:paraId="05635912" w14:textId="77777777">
        <w:trPr>
          <w:trHeight w:val="160"/>
          <w:tblCellSpacing w:w="15" w:type="dxa"/>
        </w:trPr>
        <w:tc>
          <w:tcPr>
            <w:tcW w:w="0" w:type="auto"/>
            <w:vAlign w:val="bottom"/>
            <w:hideMark/>
          </w:tcPr>
          <w:p w14:paraId="24310FA8"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09325DC7" w14:textId="77777777" w:rsidR="00000000" w:rsidRDefault="00EF48A2">
            <w:pPr>
              <w:pStyle w:val="a3"/>
              <w:spacing w:before="0" w:beforeAutospacing="0" w:after="0" w:afterAutospacing="0"/>
              <w:rPr>
                <w:sz w:val="16"/>
                <w:szCs w:val="16"/>
              </w:rPr>
            </w:pPr>
            <w:r>
              <w:rPr>
                <w:sz w:val="16"/>
                <w:szCs w:val="16"/>
              </w:rPr>
              <w:t> </w:t>
            </w:r>
          </w:p>
        </w:tc>
        <w:tc>
          <w:tcPr>
            <w:tcW w:w="0" w:type="auto"/>
            <w:gridSpan w:val="10"/>
            <w:vAlign w:val="bottom"/>
            <w:hideMark/>
          </w:tcPr>
          <w:p w14:paraId="6C44422E"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 31</w:t>
            </w:r>
            <w:r>
              <w:rPr>
                <w:b/>
                <w:bCs/>
                <w:sz w:val="16"/>
                <w:szCs w:val="16"/>
              </w:rPr>
              <w:t>,</w:t>
            </w:r>
          </w:p>
        </w:tc>
        <w:tc>
          <w:tcPr>
            <w:tcW w:w="0" w:type="auto"/>
            <w:vAlign w:val="bottom"/>
            <w:hideMark/>
          </w:tcPr>
          <w:p w14:paraId="11ABC2F8"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0C37B80" w14:textId="77777777">
        <w:trPr>
          <w:trHeight w:val="160"/>
          <w:tblCellSpacing w:w="15" w:type="dxa"/>
        </w:trPr>
        <w:tc>
          <w:tcPr>
            <w:tcW w:w="0" w:type="auto"/>
            <w:vAlign w:val="bottom"/>
            <w:hideMark/>
          </w:tcPr>
          <w:p w14:paraId="4F5CCB20"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35E95E52"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4D44582"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E7B5E4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DDC794D"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E2638B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B5BAC9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6F8CEFC"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122960F5"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58794E73"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22655E6C" w14:textId="77777777">
        <w:trPr>
          <w:trHeight w:val="200"/>
          <w:tblCellSpacing w:w="15" w:type="dxa"/>
        </w:trPr>
        <w:tc>
          <w:tcPr>
            <w:tcW w:w="0" w:type="auto"/>
            <w:hideMark/>
          </w:tcPr>
          <w:p w14:paraId="2665C2A8" w14:textId="77777777" w:rsidR="00000000" w:rsidRDefault="00EF48A2">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14:paraId="28E962C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C7E30A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01E16EB" w14:textId="77777777" w:rsidR="00000000" w:rsidRDefault="00EF48A2">
            <w:pPr>
              <w:pStyle w:val="a3"/>
              <w:spacing w:before="0" w:beforeAutospacing="0" w:after="0" w:afterAutospacing="0"/>
              <w:jc w:val="right"/>
              <w:rPr>
                <w:sz w:val="20"/>
                <w:szCs w:val="20"/>
              </w:rPr>
            </w:pPr>
            <w:r>
              <w:rPr>
                <w:sz w:val="20"/>
                <w:szCs w:val="20"/>
              </w:rPr>
              <w:t>119,56</w:t>
            </w:r>
            <w:r>
              <w:rPr>
                <w:sz w:val="20"/>
                <w:szCs w:val="20"/>
              </w:rPr>
              <w:t>7</w:t>
            </w:r>
          </w:p>
        </w:tc>
        <w:tc>
          <w:tcPr>
            <w:tcW w:w="0" w:type="auto"/>
            <w:noWrap/>
            <w:vAlign w:val="bottom"/>
            <w:hideMark/>
          </w:tcPr>
          <w:p w14:paraId="0D62067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49E0B6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E28F71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49B0FEE" w14:textId="77777777" w:rsidR="00000000" w:rsidRDefault="00EF48A2">
            <w:pPr>
              <w:pStyle w:val="a3"/>
              <w:spacing w:before="0" w:beforeAutospacing="0" w:after="0" w:afterAutospacing="0"/>
              <w:jc w:val="right"/>
              <w:rPr>
                <w:sz w:val="20"/>
                <w:szCs w:val="20"/>
              </w:rPr>
            </w:pPr>
            <w:r>
              <w:rPr>
                <w:sz w:val="20"/>
                <w:szCs w:val="20"/>
              </w:rPr>
              <w:t>113,67</w:t>
            </w:r>
            <w:r>
              <w:rPr>
                <w:sz w:val="20"/>
                <w:szCs w:val="20"/>
              </w:rPr>
              <w:t>1</w:t>
            </w:r>
          </w:p>
        </w:tc>
        <w:tc>
          <w:tcPr>
            <w:tcW w:w="0" w:type="auto"/>
            <w:noWrap/>
            <w:vAlign w:val="bottom"/>
            <w:hideMark/>
          </w:tcPr>
          <w:p w14:paraId="0BBF059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471DF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554927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8830ED6" w14:textId="77777777" w:rsidR="00000000" w:rsidRDefault="00EF48A2">
            <w:pPr>
              <w:pStyle w:val="a3"/>
              <w:spacing w:before="0" w:beforeAutospacing="0" w:after="0" w:afterAutospacing="0"/>
              <w:jc w:val="right"/>
              <w:rPr>
                <w:sz w:val="20"/>
                <w:szCs w:val="20"/>
              </w:rPr>
            </w:pPr>
            <w:r>
              <w:rPr>
                <w:sz w:val="20"/>
                <w:szCs w:val="20"/>
              </w:rPr>
              <w:t>76,19</w:t>
            </w:r>
            <w:r>
              <w:rPr>
                <w:sz w:val="20"/>
                <w:szCs w:val="20"/>
              </w:rPr>
              <w:t>0</w:t>
            </w:r>
          </w:p>
        </w:tc>
        <w:tc>
          <w:tcPr>
            <w:tcW w:w="0" w:type="auto"/>
            <w:noWrap/>
            <w:vAlign w:val="bottom"/>
            <w:hideMark/>
          </w:tcPr>
          <w:p w14:paraId="46DCDF0A" w14:textId="77777777" w:rsidR="00000000" w:rsidRDefault="00EF48A2">
            <w:pPr>
              <w:pStyle w:val="a3"/>
              <w:spacing w:before="0" w:beforeAutospacing="0" w:after="0" w:afterAutospacing="0"/>
              <w:rPr>
                <w:sz w:val="20"/>
                <w:szCs w:val="20"/>
              </w:rPr>
            </w:pPr>
            <w:r>
              <w:rPr>
                <w:sz w:val="20"/>
                <w:szCs w:val="20"/>
              </w:rPr>
              <w:t> </w:t>
            </w:r>
          </w:p>
        </w:tc>
      </w:tr>
      <w:tr w:rsidR="00000000" w14:paraId="2BF683F1" w14:textId="77777777">
        <w:trPr>
          <w:trHeight w:val="200"/>
          <w:tblCellSpacing w:w="15" w:type="dxa"/>
        </w:trPr>
        <w:tc>
          <w:tcPr>
            <w:tcW w:w="0" w:type="auto"/>
            <w:hideMark/>
          </w:tcPr>
          <w:p w14:paraId="25E41C45" w14:textId="77777777" w:rsidR="00000000" w:rsidRDefault="00EF48A2">
            <w:pPr>
              <w:pStyle w:val="a3"/>
              <w:spacing w:before="0" w:beforeAutospacing="0" w:after="0" w:afterAutospacing="0"/>
              <w:rPr>
                <w:sz w:val="20"/>
                <w:szCs w:val="20"/>
              </w:rPr>
            </w:pPr>
            <w:r>
              <w:rPr>
                <w:sz w:val="20"/>
                <w:szCs w:val="20"/>
              </w:rPr>
              <w:t>Cost of revenue</w:t>
            </w:r>
            <w:r>
              <w:rPr>
                <w:sz w:val="20"/>
                <w:szCs w:val="20"/>
              </w:rPr>
              <w:t>s</w:t>
            </w:r>
          </w:p>
        </w:tc>
        <w:tc>
          <w:tcPr>
            <w:tcW w:w="0" w:type="auto"/>
            <w:vAlign w:val="bottom"/>
            <w:hideMark/>
          </w:tcPr>
          <w:p w14:paraId="3B1D3E0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E1B73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D3F5C14" w14:textId="77777777" w:rsidR="00000000" w:rsidRDefault="00EF48A2">
            <w:pPr>
              <w:pStyle w:val="a3"/>
              <w:spacing w:before="0" w:beforeAutospacing="0" w:after="0" w:afterAutospacing="0"/>
              <w:jc w:val="right"/>
              <w:rPr>
                <w:sz w:val="20"/>
                <w:szCs w:val="20"/>
              </w:rPr>
            </w:pPr>
            <w:r>
              <w:rPr>
                <w:sz w:val="20"/>
                <w:szCs w:val="20"/>
              </w:rPr>
              <w:t>59,22</w:t>
            </w:r>
            <w:r>
              <w:rPr>
                <w:sz w:val="20"/>
                <w:szCs w:val="20"/>
              </w:rPr>
              <w:t>9</w:t>
            </w:r>
          </w:p>
        </w:tc>
        <w:tc>
          <w:tcPr>
            <w:tcW w:w="0" w:type="auto"/>
            <w:noWrap/>
            <w:vAlign w:val="bottom"/>
            <w:hideMark/>
          </w:tcPr>
          <w:p w14:paraId="12BC38A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9D6C3F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F28143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F9CAB77" w14:textId="77777777" w:rsidR="00000000" w:rsidRDefault="00EF48A2">
            <w:pPr>
              <w:pStyle w:val="a3"/>
              <w:spacing w:before="0" w:beforeAutospacing="0" w:after="0" w:afterAutospacing="0"/>
              <w:jc w:val="right"/>
              <w:rPr>
                <w:sz w:val="20"/>
                <w:szCs w:val="20"/>
              </w:rPr>
            </w:pPr>
            <w:r>
              <w:rPr>
                <w:sz w:val="20"/>
                <w:szCs w:val="20"/>
              </w:rPr>
              <w:t>46,89</w:t>
            </w:r>
            <w:r>
              <w:rPr>
                <w:sz w:val="20"/>
                <w:szCs w:val="20"/>
              </w:rPr>
              <w:t>9</w:t>
            </w:r>
          </w:p>
        </w:tc>
        <w:tc>
          <w:tcPr>
            <w:tcW w:w="0" w:type="auto"/>
            <w:noWrap/>
            <w:vAlign w:val="bottom"/>
            <w:hideMark/>
          </w:tcPr>
          <w:p w14:paraId="186AEF7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972608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3EE1E3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10B0C63" w14:textId="77777777" w:rsidR="00000000" w:rsidRDefault="00EF48A2">
            <w:pPr>
              <w:pStyle w:val="a3"/>
              <w:spacing w:before="0" w:beforeAutospacing="0" w:after="0" w:afterAutospacing="0"/>
              <w:jc w:val="right"/>
              <w:rPr>
                <w:sz w:val="20"/>
                <w:szCs w:val="20"/>
              </w:rPr>
            </w:pPr>
            <w:r>
              <w:rPr>
                <w:sz w:val="20"/>
                <w:szCs w:val="20"/>
              </w:rPr>
              <w:t>26,35</w:t>
            </w:r>
            <w:r>
              <w:rPr>
                <w:sz w:val="20"/>
                <w:szCs w:val="20"/>
              </w:rPr>
              <w:t>3</w:t>
            </w:r>
          </w:p>
        </w:tc>
        <w:tc>
          <w:tcPr>
            <w:tcW w:w="0" w:type="auto"/>
            <w:noWrap/>
            <w:vAlign w:val="bottom"/>
            <w:hideMark/>
          </w:tcPr>
          <w:p w14:paraId="0FE6FFF8" w14:textId="77777777" w:rsidR="00000000" w:rsidRDefault="00EF48A2">
            <w:pPr>
              <w:pStyle w:val="a3"/>
              <w:spacing w:before="0" w:beforeAutospacing="0" w:after="0" w:afterAutospacing="0"/>
              <w:rPr>
                <w:sz w:val="20"/>
                <w:szCs w:val="20"/>
              </w:rPr>
            </w:pPr>
            <w:r>
              <w:rPr>
                <w:sz w:val="20"/>
                <w:szCs w:val="20"/>
              </w:rPr>
              <w:t> </w:t>
            </w:r>
          </w:p>
        </w:tc>
      </w:tr>
      <w:tr w:rsidR="00000000" w14:paraId="62E88402" w14:textId="77777777">
        <w:trPr>
          <w:trHeight w:val="200"/>
          <w:tblCellSpacing w:w="15" w:type="dxa"/>
        </w:trPr>
        <w:tc>
          <w:tcPr>
            <w:tcW w:w="0" w:type="auto"/>
            <w:hideMark/>
          </w:tcPr>
          <w:p w14:paraId="2B308CE5" w14:textId="77777777" w:rsidR="00000000" w:rsidRDefault="00EF48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14:paraId="0099E69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B2FE79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7D3DF7F" w14:textId="77777777" w:rsidR="00000000" w:rsidRDefault="00EF48A2">
            <w:pPr>
              <w:pStyle w:val="a3"/>
              <w:spacing w:before="0" w:beforeAutospacing="0" w:after="0" w:afterAutospacing="0"/>
              <w:jc w:val="right"/>
              <w:rPr>
                <w:sz w:val="20"/>
                <w:szCs w:val="20"/>
              </w:rPr>
            </w:pPr>
            <w:r>
              <w:rPr>
                <w:sz w:val="20"/>
                <w:szCs w:val="20"/>
              </w:rPr>
              <w:t>60,33</w:t>
            </w:r>
            <w:r>
              <w:rPr>
                <w:sz w:val="20"/>
                <w:szCs w:val="20"/>
              </w:rPr>
              <w:t>8</w:t>
            </w:r>
          </w:p>
        </w:tc>
        <w:tc>
          <w:tcPr>
            <w:tcW w:w="0" w:type="auto"/>
            <w:noWrap/>
            <w:vAlign w:val="bottom"/>
            <w:hideMark/>
          </w:tcPr>
          <w:p w14:paraId="4632027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9539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2D11B1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B088138" w14:textId="77777777" w:rsidR="00000000" w:rsidRDefault="00EF48A2">
            <w:pPr>
              <w:pStyle w:val="a3"/>
              <w:spacing w:before="0" w:beforeAutospacing="0" w:after="0" w:afterAutospacing="0"/>
              <w:jc w:val="right"/>
              <w:rPr>
                <w:sz w:val="20"/>
                <w:szCs w:val="20"/>
              </w:rPr>
            </w:pPr>
            <w:r>
              <w:rPr>
                <w:sz w:val="20"/>
                <w:szCs w:val="20"/>
              </w:rPr>
              <w:t>66,77</w:t>
            </w:r>
            <w:r>
              <w:rPr>
                <w:sz w:val="20"/>
                <w:szCs w:val="20"/>
              </w:rPr>
              <w:t>2</w:t>
            </w:r>
          </w:p>
        </w:tc>
        <w:tc>
          <w:tcPr>
            <w:tcW w:w="0" w:type="auto"/>
            <w:noWrap/>
            <w:vAlign w:val="bottom"/>
            <w:hideMark/>
          </w:tcPr>
          <w:p w14:paraId="0052089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20E2D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6AA7B3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544D40E" w14:textId="77777777" w:rsidR="00000000" w:rsidRDefault="00EF48A2">
            <w:pPr>
              <w:pStyle w:val="a3"/>
              <w:spacing w:before="0" w:beforeAutospacing="0" w:after="0" w:afterAutospacing="0"/>
              <w:jc w:val="right"/>
              <w:rPr>
                <w:sz w:val="20"/>
                <w:szCs w:val="20"/>
              </w:rPr>
            </w:pPr>
            <w:r>
              <w:rPr>
                <w:sz w:val="20"/>
                <w:szCs w:val="20"/>
              </w:rPr>
              <w:t>49,83</w:t>
            </w:r>
            <w:r>
              <w:rPr>
                <w:sz w:val="20"/>
                <w:szCs w:val="20"/>
              </w:rPr>
              <w:t>7</w:t>
            </w:r>
          </w:p>
        </w:tc>
        <w:tc>
          <w:tcPr>
            <w:tcW w:w="0" w:type="auto"/>
            <w:noWrap/>
            <w:vAlign w:val="bottom"/>
            <w:hideMark/>
          </w:tcPr>
          <w:p w14:paraId="5C87DAFA" w14:textId="77777777" w:rsidR="00000000" w:rsidRDefault="00EF48A2">
            <w:pPr>
              <w:pStyle w:val="a3"/>
              <w:spacing w:before="0" w:beforeAutospacing="0" w:after="0" w:afterAutospacing="0"/>
              <w:rPr>
                <w:sz w:val="20"/>
                <w:szCs w:val="20"/>
              </w:rPr>
            </w:pPr>
            <w:r>
              <w:rPr>
                <w:sz w:val="20"/>
                <w:szCs w:val="20"/>
              </w:rPr>
              <w:t> </w:t>
            </w:r>
          </w:p>
        </w:tc>
      </w:tr>
      <w:tr w:rsidR="00000000" w14:paraId="45A6CFCD" w14:textId="77777777">
        <w:trPr>
          <w:trHeight w:val="200"/>
          <w:tblCellSpacing w:w="15" w:type="dxa"/>
        </w:trPr>
        <w:tc>
          <w:tcPr>
            <w:tcW w:w="0" w:type="auto"/>
            <w:hideMark/>
          </w:tcPr>
          <w:p w14:paraId="0D1D1CBE" w14:textId="77777777" w:rsidR="00000000" w:rsidRDefault="00EF48A2">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30E45A9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4374748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5A81E4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9FBBC6"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3F39D8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3EF34F5"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ACF9104"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7FB238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88E4982" w14:textId="77777777" w:rsidR="00000000" w:rsidRDefault="00EF48A2">
            <w:pPr>
              <w:pStyle w:val="a3"/>
              <w:spacing w:before="0" w:beforeAutospacing="0" w:after="0" w:afterAutospacing="0"/>
              <w:jc w:val="right"/>
              <w:rPr>
                <w:sz w:val="20"/>
                <w:szCs w:val="20"/>
              </w:rPr>
            </w:pPr>
            <w:r>
              <w:rPr>
                <w:sz w:val="20"/>
                <w:szCs w:val="20"/>
              </w:rPr>
              <w:t> </w:t>
            </w:r>
          </w:p>
        </w:tc>
      </w:tr>
      <w:tr w:rsidR="00000000" w14:paraId="43B77548" w14:textId="77777777">
        <w:trPr>
          <w:trHeight w:val="200"/>
          <w:tblCellSpacing w:w="15" w:type="dxa"/>
        </w:trPr>
        <w:tc>
          <w:tcPr>
            <w:tcW w:w="0" w:type="auto"/>
            <w:hideMark/>
          </w:tcPr>
          <w:p w14:paraId="2B7EC191" w14:textId="77777777" w:rsidR="00000000" w:rsidRDefault="00EF48A2">
            <w:pPr>
              <w:pStyle w:val="a3"/>
              <w:spacing w:before="0" w:beforeAutospacing="0" w:after="0" w:afterAutospacing="0"/>
              <w:ind w:left="200"/>
              <w:rPr>
                <w:sz w:val="20"/>
                <w:szCs w:val="20"/>
              </w:rPr>
            </w:pPr>
            <w:r>
              <w:rPr>
                <w:sz w:val="20"/>
                <w:szCs w:val="20"/>
              </w:rPr>
              <w:t>Research and development, ne</w:t>
            </w:r>
            <w:r>
              <w:rPr>
                <w:sz w:val="20"/>
                <w:szCs w:val="20"/>
              </w:rPr>
              <w:t>t</w:t>
            </w:r>
          </w:p>
        </w:tc>
        <w:tc>
          <w:tcPr>
            <w:tcW w:w="0" w:type="auto"/>
            <w:vAlign w:val="bottom"/>
            <w:hideMark/>
          </w:tcPr>
          <w:p w14:paraId="38D4A63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0F8DA2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5D5EC05" w14:textId="77777777" w:rsidR="00000000" w:rsidRDefault="00EF48A2">
            <w:pPr>
              <w:pStyle w:val="a3"/>
              <w:spacing w:before="0" w:beforeAutospacing="0" w:after="0" w:afterAutospacing="0"/>
              <w:jc w:val="right"/>
              <w:rPr>
                <w:sz w:val="20"/>
                <w:szCs w:val="20"/>
              </w:rPr>
            </w:pPr>
            <w:r>
              <w:rPr>
                <w:sz w:val="20"/>
                <w:szCs w:val="20"/>
              </w:rPr>
              <w:t>21,65</w:t>
            </w:r>
            <w:r>
              <w:rPr>
                <w:sz w:val="20"/>
                <w:szCs w:val="20"/>
              </w:rPr>
              <w:t>9</w:t>
            </w:r>
          </w:p>
        </w:tc>
        <w:tc>
          <w:tcPr>
            <w:tcW w:w="0" w:type="auto"/>
            <w:noWrap/>
            <w:vAlign w:val="bottom"/>
            <w:hideMark/>
          </w:tcPr>
          <w:p w14:paraId="2ACC849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064ED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40AA53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70B0B5" w14:textId="77777777" w:rsidR="00000000" w:rsidRDefault="00EF48A2">
            <w:pPr>
              <w:pStyle w:val="a3"/>
              <w:spacing w:before="0" w:beforeAutospacing="0" w:after="0" w:afterAutospacing="0"/>
              <w:jc w:val="right"/>
              <w:rPr>
                <w:sz w:val="20"/>
                <w:szCs w:val="20"/>
              </w:rPr>
            </w:pPr>
            <w:r>
              <w:rPr>
                <w:sz w:val="20"/>
                <w:szCs w:val="20"/>
              </w:rPr>
              <w:t>15,91</w:t>
            </w:r>
            <w:r>
              <w:rPr>
                <w:sz w:val="20"/>
                <w:szCs w:val="20"/>
              </w:rPr>
              <w:t>9</w:t>
            </w:r>
          </w:p>
        </w:tc>
        <w:tc>
          <w:tcPr>
            <w:tcW w:w="0" w:type="auto"/>
            <w:noWrap/>
            <w:vAlign w:val="bottom"/>
            <w:hideMark/>
          </w:tcPr>
          <w:p w14:paraId="4937E10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FC18CA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F3D05A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30FD488" w14:textId="77777777" w:rsidR="00000000" w:rsidRDefault="00EF48A2">
            <w:pPr>
              <w:pStyle w:val="a3"/>
              <w:spacing w:before="0" w:beforeAutospacing="0" w:after="0" w:afterAutospacing="0"/>
              <w:jc w:val="right"/>
              <w:rPr>
                <w:sz w:val="20"/>
                <w:szCs w:val="20"/>
              </w:rPr>
            </w:pPr>
            <w:r>
              <w:rPr>
                <w:sz w:val="20"/>
                <w:szCs w:val="20"/>
              </w:rPr>
              <w:t>9,58</w:t>
            </w:r>
            <w:r>
              <w:rPr>
                <w:sz w:val="20"/>
                <w:szCs w:val="20"/>
              </w:rPr>
              <w:t>3</w:t>
            </w:r>
          </w:p>
        </w:tc>
        <w:tc>
          <w:tcPr>
            <w:tcW w:w="0" w:type="auto"/>
            <w:noWrap/>
            <w:vAlign w:val="bottom"/>
            <w:hideMark/>
          </w:tcPr>
          <w:p w14:paraId="31592399" w14:textId="77777777" w:rsidR="00000000" w:rsidRDefault="00EF48A2">
            <w:pPr>
              <w:pStyle w:val="a3"/>
              <w:spacing w:before="0" w:beforeAutospacing="0" w:after="0" w:afterAutospacing="0"/>
              <w:rPr>
                <w:sz w:val="20"/>
                <w:szCs w:val="20"/>
              </w:rPr>
            </w:pPr>
            <w:r>
              <w:rPr>
                <w:sz w:val="20"/>
                <w:szCs w:val="20"/>
              </w:rPr>
              <w:t> </w:t>
            </w:r>
          </w:p>
        </w:tc>
      </w:tr>
      <w:tr w:rsidR="00000000" w14:paraId="6538B4F3" w14:textId="77777777">
        <w:trPr>
          <w:trHeight w:val="200"/>
          <w:tblCellSpacing w:w="15" w:type="dxa"/>
        </w:trPr>
        <w:tc>
          <w:tcPr>
            <w:tcW w:w="0" w:type="auto"/>
            <w:hideMark/>
          </w:tcPr>
          <w:p w14:paraId="701B16AE" w14:textId="77777777" w:rsidR="00000000" w:rsidRDefault="00EF48A2">
            <w:pPr>
              <w:pStyle w:val="a3"/>
              <w:spacing w:before="0" w:beforeAutospacing="0" w:after="0" w:afterAutospacing="0"/>
              <w:ind w:left="200"/>
              <w:rPr>
                <w:sz w:val="20"/>
                <w:szCs w:val="20"/>
              </w:rPr>
            </w:pPr>
            <w:r>
              <w:rPr>
                <w:sz w:val="20"/>
                <w:szCs w:val="20"/>
              </w:rPr>
              <w:t>Clinical operation</w:t>
            </w:r>
            <w:r>
              <w:rPr>
                <w:sz w:val="20"/>
                <w:szCs w:val="20"/>
              </w:rPr>
              <w:t>s</w:t>
            </w:r>
          </w:p>
        </w:tc>
        <w:tc>
          <w:tcPr>
            <w:tcW w:w="0" w:type="auto"/>
            <w:vAlign w:val="bottom"/>
            <w:hideMark/>
          </w:tcPr>
          <w:p w14:paraId="5A42150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42CDB0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7DC35B9" w14:textId="77777777" w:rsidR="00000000" w:rsidRDefault="00EF48A2">
            <w:pPr>
              <w:pStyle w:val="a3"/>
              <w:spacing w:before="0" w:beforeAutospacing="0" w:after="0" w:afterAutospacing="0"/>
              <w:jc w:val="right"/>
              <w:rPr>
                <w:sz w:val="20"/>
                <w:szCs w:val="20"/>
              </w:rPr>
            </w:pPr>
            <w:r>
              <w:rPr>
                <w:sz w:val="20"/>
                <w:szCs w:val="20"/>
              </w:rPr>
              <w:t>6,59</w:t>
            </w:r>
            <w:r>
              <w:rPr>
                <w:sz w:val="20"/>
                <w:szCs w:val="20"/>
              </w:rPr>
              <w:t>1</w:t>
            </w:r>
          </w:p>
        </w:tc>
        <w:tc>
          <w:tcPr>
            <w:tcW w:w="0" w:type="auto"/>
            <w:noWrap/>
            <w:vAlign w:val="bottom"/>
            <w:hideMark/>
          </w:tcPr>
          <w:p w14:paraId="1605D64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FADE2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B294F0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AC925FF" w14:textId="77777777" w:rsidR="00000000" w:rsidRDefault="00EF48A2">
            <w:pPr>
              <w:pStyle w:val="a3"/>
              <w:spacing w:before="0" w:beforeAutospacing="0" w:after="0" w:afterAutospacing="0"/>
              <w:jc w:val="right"/>
              <w:rPr>
                <w:sz w:val="20"/>
                <w:szCs w:val="20"/>
              </w:rPr>
            </w:pPr>
            <w:r>
              <w:rPr>
                <w:sz w:val="20"/>
                <w:szCs w:val="20"/>
              </w:rPr>
              <w:t>9,36</w:t>
            </w:r>
            <w:r>
              <w:rPr>
                <w:sz w:val="20"/>
                <w:szCs w:val="20"/>
              </w:rPr>
              <w:t>5</w:t>
            </w:r>
          </w:p>
        </w:tc>
        <w:tc>
          <w:tcPr>
            <w:tcW w:w="0" w:type="auto"/>
            <w:noWrap/>
            <w:vAlign w:val="bottom"/>
            <w:hideMark/>
          </w:tcPr>
          <w:p w14:paraId="61C35D6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EE4553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8A5524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9516174" w14:textId="77777777" w:rsidR="00000000" w:rsidRDefault="00EF48A2">
            <w:pPr>
              <w:pStyle w:val="a3"/>
              <w:spacing w:before="0" w:beforeAutospacing="0" w:after="0" w:afterAutospacing="0"/>
              <w:jc w:val="right"/>
              <w:rPr>
                <w:sz w:val="20"/>
                <w:szCs w:val="20"/>
              </w:rPr>
            </w:pPr>
            <w:r>
              <w:rPr>
                <w:sz w:val="20"/>
                <w:szCs w:val="20"/>
              </w:rPr>
              <w:t>4,33</w:t>
            </w:r>
            <w:r>
              <w:rPr>
                <w:sz w:val="20"/>
                <w:szCs w:val="20"/>
              </w:rPr>
              <w:t>2</w:t>
            </w:r>
          </w:p>
        </w:tc>
        <w:tc>
          <w:tcPr>
            <w:tcW w:w="0" w:type="auto"/>
            <w:noWrap/>
            <w:vAlign w:val="bottom"/>
            <w:hideMark/>
          </w:tcPr>
          <w:p w14:paraId="021470D1" w14:textId="77777777" w:rsidR="00000000" w:rsidRDefault="00EF48A2">
            <w:pPr>
              <w:pStyle w:val="a3"/>
              <w:spacing w:before="0" w:beforeAutospacing="0" w:after="0" w:afterAutospacing="0"/>
              <w:rPr>
                <w:sz w:val="20"/>
                <w:szCs w:val="20"/>
              </w:rPr>
            </w:pPr>
            <w:r>
              <w:rPr>
                <w:sz w:val="20"/>
                <w:szCs w:val="20"/>
              </w:rPr>
              <w:t> </w:t>
            </w:r>
          </w:p>
        </w:tc>
      </w:tr>
      <w:tr w:rsidR="00000000" w14:paraId="75F5D9A4" w14:textId="77777777">
        <w:trPr>
          <w:trHeight w:val="200"/>
          <w:tblCellSpacing w:w="15" w:type="dxa"/>
        </w:trPr>
        <w:tc>
          <w:tcPr>
            <w:tcW w:w="0" w:type="auto"/>
            <w:hideMark/>
          </w:tcPr>
          <w:p w14:paraId="4B82C2DE" w14:textId="77777777" w:rsidR="00000000" w:rsidRDefault="00EF48A2">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14:paraId="727AA16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58ED5B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3A8C915" w14:textId="77777777" w:rsidR="00000000" w:rsidRDefault="00EF48A2">
            <w:pPr>
              <w:pStyle w:val="a3"/>
              <w:spacing w:before="0" w:beforeAutospacing="0" w:after="0" w:afterAutospacing="0"/>
              <w:jc w:val="right"/>
              <w:rPr>
                <w:sz w:val="20"/>
                <w:szCs w:val="20"/>
              </w:rPr>
            </w:pPr>
            <w:r>
              <w:rPr>
                <w:sz w:val="20"/>
                <w:szCs w:val="20"/>
              </w:rPr>
              <w:t>72,84</w:t>
            </w:r>
            <w:r>
              <w:rPr>
                <w:sz w:val="20"/>
                <w:szCs w:val="20"/>
              </w:rPr>
              <w:t>2</w:t>
            </w:r>
          </w:p>
        </w:tc>
        <w:tc>
          <w:tcPr>
            <w:tcW w:w="0" w:type="auto"/>
            <w:noWrap/>
            <w:vAlign w:val="bottom"/>
            <w:hideMark/>
          </w:tcPr>
          <w:p w14:paraId="6D37060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2EF9E8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DA256D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EB8627" w14:textId="77777777" w:rsidR="00000000" w:rsidRDefault="00EF48A2">
            <w:pPr>
              <w:pStyle w:val="a3"/>
              <w:spacing w:before="0" w:beforeAutospacing="0" w:after="0" w:afterAutospacing="0"/>
              <w:jc w:val="right"/>
              <w:rPr>
                <w:sz w:val="20"/>
                <w:szCs w:val="20"/>
              </w:rPr>
            </w:pPr>
            <w:r>
              <w:rPr>
                <w:sz w:val="20"/>
                <w:szCs w:val="20"/>
              </w:rPr>
              <w:t>100,64</w:t>
            </w:r>
            <w:r>
              <w:rPr>
                <w:sz w:val="20"/>
                <w:szCs w:val="20"/>
              </w:rPr>
              <w:t>1</w:t>
            </w:r>
          </w:p>
        </w:tc>
        <w:tc>
          <w:tcPr>
            <w:tcW w:w="0" w:type="auto"/>
            <w:noWrap/>
            <w:vAlign w:val="bottom"/>
            <w:hideMark/>
          </w:tcPr>
          <w:p w14:paraId="7186314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1C4F1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D134CD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876ECDB" w14:textId="77777777" w:rsidR="00000000" w:rsidRDefault="00EF48A2">
            <w:pPr>
              <w:pStyle w:val="a3"/>
              <w:spacing w:before="0" w:beforeAutospacing="0" w:after="0" w:afterAutospacing="0"/>
              <w:jc w:val="right"/>
              <w:rPr>
                <w:sz w:val="20"/>
                <w:szCs w:val="20"/>
              </w:rPr>
            </w:pPr>
            <w:r>
              <w:rPr>
                <w:sz w:val="20"/>
                <w:szCs w:val="20"/>
              </w:rPr>
              <w:t>47,70</w:t>
            </w:r>
            <w:r>
              <w:rPr>
                <w:sz w:val="20"/>
                <w:szCs w:val="20"/>
              </w:rPr>
              <w:t>5</w:t>
            </w:r>
          </w:p>
        </w:tc>
        <w:tc>
          <w:tcPr>
            <w:tcW w:w="0" w:type="auto"/>
            <w:noWrap/>
            <w:vAlign w:val="bottom"/>
            <w:hideMark/>
          </w:tcPr>
          <w:p w14:paraId="45695BDC" w14:textId="77777777" w:rsidR="00000000" w:rsidRDefault="00EF48A2">
            <w:pPr>
              <w:pStyle w:val="a3"/>
              <w:spacing w:before="0" w:beforeAutospacing="0" w:after="0" w:afterAutospacing="0"/>
              <w:rPr>
                <w:sz w:val="20"/>
                <w:szCs w:val="20"/>
              </w:rPr>
            </w:pPr>
            <w:r>
              <w:rPr>
                <w:sz w:val="20"/>
                <w:szCs w:val="20"/>
              </w:rPr>
              <w:t> </w:t>
            </w:r>
          </w:p>
        </w:tc>
      </w:tr>
      <w:tr w:rsidR="00000000" w14:paraId="788E0CBF" w14:textId="77777777">
        <w:trPr>
          <w:trHeight w:val="200"/>
          <w:tblCellSpacing w:w="15" w:type="dxa"/>
        </w:trPr>
        <w:tc>
          <w:tcPr>
            <w:tcW w:w="0" w:type="auto"/>
            <w:hideMark/>
          </w:tcPr>
          <w:p w14:paraId="73AB56CB" w14:textId="77777777" w:rsidR="00000000" w:rsidRDefault="00EF48A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14:paraId="0F2DB17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6FD141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5F8A09B" w14:textId="77777777" w:rsidR="00000000" w:rsidRDefault="00EF48A2">
            <w:pPr>
              <w:pStyle w:val="a3"/>
              <w:spacing w:before="0" w:beforeAutospacing="0" w:after="0" w:afterAutospacing="0"/>
              <w:jc w:val="right"/>
              <w:rPr>
                <w:sz w:val="20"/>
                <w:szCs w:val="20"/>
              </w:rPr>
            </w:pPr>
            <w:r>
              <w:rPr>
                <w:sz w:val="20"/>
                <w:szCs w:val="20"/>
              </w:rPr>
              <w:t>36,27</w:t>
            </w:r>
            <w:r>
              <w:rPr>
                <w:sz w:val="20"/>
                <w:szCs w:val="20"/>
              </w:rPr>
              <w:t>0</w:t>
            </w:r>
          </w:p>
        </w:tc>
        <w:tc>
          <w:tcPr>
            <w:tcW w:w="0" w:type="auto"/>
            <w:noWrap/>
            <w:vAlign w:val="bottom"/>
            <w:hideMark/>
          </w:tcPr>
          <w:p w14:paraId="7E36238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FD442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82DB8F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D1E6368" w14:textId="77777777" w:rsidR="00000000" w:rsidRDefault="00EF48A2">
            <w:pPr>
              <w:pStyle w:val="a3"/>
              <w:spacing w:before="0" w:beforeAutospacing="0" w:after="0" w:afterAutospacing="0"/>
              <w:jc w:val="right"/>
              <w:rPr>
                <w:sz w:val="20"/>
                <w:szCs w:val="20"/>
              </w:rPr>
            </w:pPr>
            <w:r>
              <w:rPr>
                <w:sz w:val="20"/>
                <w:szCs w:val="20"/>
              </w:rPr>
              <w:t>34,77</w:t>
            </w:r>
            <w:r>
              <w:rPr>
                <w:sz w:val="20"/>
                <w:szCs w:val="20"/>
              </w:rPr>
              <w:t>0</w:t>
            </w:r>
          </w:p>
        </w:tc>
        <w:tc>
          <w:tcPr>
            <w:tcW w:w="0" w:type="auto"/>
            <w:noWrap/>
            <w:vAlign w:val="bottom"/>
            <w:hideMark/>
          </w:tcPr>
          <w:p w14:paraId="61D847C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14568B7"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ECF17C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9CF612B" w14:textId="77777777" w:rsidR="00000000" w:rsidRDefault="00EF48A2">
            <w:pPr>
              <w:pStyle w:val="a3"/>
              <w:spacing w:before="0" w:beforeAutospacing="0" w:after="0" w:afterAutospacing="0"/>
              <w:jc w:val="right"/>
              <w:rPr>
                <w:sz w:val="20"/>
                <w:szCs w:val="20"/>
              </w:rPr>
            </w:pPr>
            <w:r>
              <w:rPr>
                <w:sz w:val="20"/>
                <w:szCs w:val="20"/>
              </w:rPr>
              <w:t>10,19</w:t>
            </w:r>
            <w:r>
              <w:rPr>
                <w:sz w:val="20"/>
                <w:szCs w:val="20"/>
              </w:rPr>
              <w:t>9</w:t>
            </w:r>
          </w:p>
        </w:tc>
        <w:tc>
          <w:tcPr>
            <w:tcW w:w="0" w:type="auto"/>
            <w:noWrap/>
            <w:vAlign w:val="bottom"/>
            <w:hideMark/>
          </w:tcPr>
          <w:p w14:paraId="73CF737A" w14:textId="77777777" w:rsidR="00000000" w:rsidRDefault="00EF48A2">
            <w:pPr>
              <w:pStyle w:val="a3"/>
              <w:spacing w:before="0" w:beforeAutospacing="0" w:after="0" w:afterAutospacing="0"/>
              <w:rPr>
                <w:sz w:val="20"/>
                <w:szCs w:val="20"/>
              </w:rPr>
            </w:pPr>
            <w:r>
              <w:rPr>
                <w:sz w:val="20"/>
                <w:szCs w:val="20"/>
              </w:rPr>
              <w:t> </w:t>
            </w:r>
          </w:p>
        </w:tc>
      </w:tr>
      <w:tr w:rsidR="00000000" w14:paraId="263DE147" w14:textId="77777777">
        <w:trPr>
          <w:trHeight w:val="200"/>
          <w:tblCellSpacing w:w="15" w:type="dxa"/>
        </w:trPr>
        <w:tc>
          <w:tcPr>
            <w:tcW w:w="0" w:type="auto"/>
            <w:hideMark/>
          </w:tcPr>
          <w:p w14:paraId="7C8BFE48" w14:textId="77777777" w:rsidR="00000000" w:rsidRDefault="00EF48A2">
            <w:pPr>
              <w:pStyle w:val="a3"/>
              <w:spacing w:before="0" w:beforeAutospacing="0" w:after="0" w:afterAutospacing="0"/>
              <w:ind w:left="200"/>
              <w:rPr>
                <w:sz w:val="20"/>
                <w:szCs w:val="20"/>
              </w:rPr>
            </w:pPr>
            <w:r>
              <w:rPr>
                <w:sz w:val="20"/>
                <w:szCs w:val="20"/>
              </w:rPr>
              <w:t>Impairment of goodwil</w:t>
            </w:r>
            <w:r>
              <w:rPr>
                <w:sz w:val="20"/>
                <w:szCs w:val="20"/>
              </w:rPr>
              <w:t>l</w:t>
            </w:r>
          </w:p>
        </w:tc>
        <w:tc>
          <w:tcPr>
            <w:tcW w:w="0" w:type="auto"/>
            <w:vAlign w:val="bottom"/>
            <w:hideMark/>
          </w:tcPr>
          <w:p w14:paraId="21A71CF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30E557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7F0AE9B" w14:textId="77777777" w:rsidR="00000000" w:rsidRDefault="00EF48A2">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6767795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A7541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95149B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E8527F9"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55B746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08D00C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C6309E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E801E03"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440C4849" w14:textId="77777777" w:rsidR="00000000" w:rsidRDefault="00EF48A2">
            <w:pPr>
              <w:pStyle w:val="a3"/>
              <w:spacing w:before="0" w:beforeAutospacing="0" w:after="0" w:afterAutospacing="0"/>
              <w:rPr>
                <w:sz w:val="20"/>
                <w:szCs w:val="20"/>
              </w:rPr>
            </w:pPr>
            <w:r>
              <w:rPr>
                <w:sz w:val="20"/>
                <w:szCs w:val="20"/>
              </w:rPr>
              <w:t> </w:t>
            </w:r>
          </w:p>
        </w:tc>
      </w:tr>
      <w:tr w:rsidR="00000000" w14:paraId="7F8D8683" w14:textId="77777777">
        <w:trPr>
          <w:trHeight w:val="200"/>
          <w:tblCellSpacing w:w="15" w:type="dxa"/>
        </w:trPr>
        <w:tc>
          <w:tcPr>
            <w:tcW w:w="0" w:type="auto"/>
            <w:hideMark/>
          </w:tcPr>
          <w:p w14:paraId="2EF82295" w14:textId="77777777" w:rsidR="00000000" w:rsidRDefault="00EF48A2">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14:paraId="0053740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C97692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7AA5FAD" w14:textId="77777777" w:rsidR="00000000" w:rsidRDefault="00EF48A2">
            <w:pPr>
              <w:pStyle w:val="a3"/>
              <w:spacing w:before="0" w:beforeAutospacing="0" w:after="0" w:afterAutospacing="0"/>
              <w:jc w:val="right"/>
              <w:rPr>
                <w:sz w:val="20"/>
                <w:szCs w:val="20"/>
              </w:rPr>
            </w:pPr>
            <w:r>
              <w:rPr>
                <w:sz w:val="20"/>
                <w:szCs w:val="20"/>
              </w:rPr>
              <w:t>143,49</w:t>
            </w:r>
            <w:r>
              <w:rPr>
                <w:sz w:val="20"/>
                <w:szCs w:val="20"/>
              </w:rPr>
              <w:t>6</w:t>
            </w:r>
          </w:p>
        </w:tc>
        <w:tc>
          <w:tcPr>
            <w:tcW w:w="0" w:type="auto"/>
            <w:noWrap/>
            <w:vAlign w:val="bottom"/>
            <w:hideMark/>
          </w:tcPr>
          <w:p w14:paraId="5E255BE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43375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FAE9B3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8862117" w14:textId="77777777" w:rsidR="00000000" w:rsidRDefault="00EF48A2">
            <w:pPr>
              <w:pStyle w:val="a3"/>
              <w:spacing w:before="0" w:beforeAutospacing="0" w:after="0" w:afterAutospacing="0"/>
              <w:jc w:val="right"/>
              <w:rPr>
                <w:sz w:val="20"/>
                <w:szCs w:val="20"/>
              </w:rPr>
            </w:pPr>
            <w:r>
              <w:rPr>
                <w:sz w:val="20"/>
                <w:szCs w:val="20"/>
              </w:rPr>
              <w:t>160,69</w:t>
            </w:r>
            <w:r>
              <w:rPr>
                <w:sz w:val="20"/>
                <w:szCs w:val="20"/>
              </w:rPr>
              <w:t>5</w:t>
            </w:r>
          </w:p>
        </w:tc>
        <w:tc>
          <w:tcPr>
            <w:tcW w:w="0" w:type="auto"/>
            <w:noWrap/>
            <w:vAlign w:val="bottom"/>
            <w:hideMark/>
          </w:tcPr>
          <w:p w14:paraId="5CB0567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3F19DF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74525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C72D9E" w14:textId="77777777" w:rsidR="00000000" w:rsidRDefault="00EF48A2">
            <w:pPr>
              <w:pStyle w:val="a3"/>
              <w:spacing w:before="0" w:beforeAutospacing="0" w:after="0" w:afterAutospacing="0"/>
              <w:jc w:val="right"/>
              <w:rPr>
                <w:sz w:val="20"/>
                <w:szCs w:val="20"/>
              </w:rPr>
            </w:pPr>
            <w:r>
              <w:rPr>
                <w:sz w:val="20"/>
                <w:szCs w:val="20"/>
              </w:rPr>
              <w:t>71,81</w:t>
            </w:r>
            <w:r>
              <w:rPr>
                <w:sz w:val="20"/>
                <w:szCs w:val="20"/>
              </w:rPr>
              <w:t>9</w:t>
            </w:r>
          </w:p>
        </w:tc>
        <w:tc>
          <w:tcPr>
            <w:tcW w:w="0" w:type="auto"/>
            <w:noWrap/>
            <w:vAlign w:val="bottom"/>
            <w:hideMark/>
          </w:tcPr>
          <w:p w14:paraId="3E2DD692" w14:textId="77777777" w:rsidR="00000000" w:rsidRDefault="00EF48A2">
            <w:pPr>
              <w:pStyle w:val="a3"/>
              <w:spacing w:before="0" w:beforeAutospacing="0" w:after="0" w:afterAutospacing="0"/>
              <w:rPr>
                <w:sz w:val="20"/>
                <w:szCs w:val="20"/>
              </w:rPr>
            </w:pPr>
            <w:r>
              <w:rPr>
                <w:sz w:val="20"/>
                <w:szCs w:val="20"/>
              </w:rPr>
              <w:t> </w:t>
            </w:r>
          </w:p>
        </w:tc>
      </w:tr>
      <w:tr w:rsidR="00000000" w14:paraId="27A35B59" w14:textId="77777777">
        <w:trPr>
          <w:trHeight w:val="200"/>
          <w:tblCellSpacing w:w="15" w:type="dxa"/>
        </w:trPr>
        <w:tc>
          <w:tcPr>
            <w:tcW w:w="0" w:type="auto"/>
            <w:hideMark/>
          </w:tcPr>
          <w:p w14:paraId="736E49DF" w14:textId="77777777" w:rsidR="00000000" w:rsidRDefault="00EF48A2">
            <w:pPr>
              <w:pStyle w:val="a3"/>
              <w:spacing w:before="0" w:beforeAutospacing="0" w:after="0" w:afterAutospacing="0"/>
              <w:rPr>
                <w:sz w:val="20"/>
                <w:szCs w:val="20"/>
              </w:rPr>
            </w:pPr>
            <w:r>
              <w:rPr>
                <w:sz w:val="20"/>
                <w:szCs w:val="20"/>
              </w:rPr>
              <w:t>Operating los</w:t>
            </w:r>
            <w:r>
              <w:rPr>
                <w:sz w:val="20"/>
                <w:szCs w:val="20"/>
              </w:rPr>
              <w:t>s</w:t>
            </w:r>
          </w:p>
        </w:tc>
        <w:tc>
          <w:tcPr>
            <w:tcW w:w="0" w:type="auto"/>
            <w:vAlign w:val="bottom"/>
            <w:hideMark/>
          </w:tcPr>
          <w:p w14:paraId="6914DAA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01464F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972826C" w14:textId="77777777" w:rsidR="00000000" w:rsidRDefault="00EF48A2">
            <w:pPr>
              <w:pStyle w:val="a3"/>
              <w:spacing w:before="0" w:beforeAutospacing="0" w:after="0" w:afterAutospacing="0"/>
              <w:jc w:val="right"/>
              <w:rPr>
                <w:sz w:val="20"/>
                <w:szCs w:val="20"/>
              </w:rPr>
            </w:pPr>
            <w:r>
              <w:rPr>
                <w:sz w:val="20"/>
                <w:szCs w:val="20"/>
              </w:rPr>
              <w:t>(</w:t>
            </w:r>
            <w:r>
              <w:rPr>
                <w:sz w:val="20"/>
                <w:szCs w:val="20"/>
              </w:rPr>
              <w:t>83,15</w:t>
            </w:r>
            <w:r>
              <w:rPr>
                <w:sz w:val="20"/>
                <w:szCs w:val="20"/>
              </w:rPr>
              <w:t>8</w:t>
            </w:r>
          </w:p>
        </w:tc>
        <w:tc>
          <w:tcPr>
            <w:tcW w:w="0" w:type="auto"/>
            <w:noWrap/>
            <w:vAlign w:val="bottom"/>
            <w:hideMark/>
          </w:tcPr>
          <w:p w14:paraId="0902142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FCC928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61E4E3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3AC440A" w14:textId="77777777" w:rsidR="00000000" w:rsidRDefault="00EF48A2">
            <w:pPr>
              <w:pStyle w:val="a3"/>
              <w:spacing w:before="0" w:beforeAutospacing="0" w:after="0" w:afterAutospacing="0"/>
              <w:jc w:val="right"/>
              <w:rPr>
                <w:sz w:val="20"/>
                <w:szCs w:val="20"/>
              </w:rPr>
            </w:pPr>
            <w:r>
              <w:rPr>
                <w:sz w:val="20"/>
                <w:szCs w:val="20"/>
              </w:rPr>
              <w:t>(</w:t>
            </w:r>
            <w:r>
              <w:rPr>
                <w:sz w:val="20"/>
                <w:szCs w:val="20"/>
              </w:rPr>
              <w:t>93,92</w:t>
            </w:r>
            <w:r>
              <w:rPr>
                <w:sz w:val="20"/>
                <w:szCs w:val="20"/>
              </w:rPr>
              <w:t>3</w:t>
            </w:r>
          </w:p>
        </w:tc>
        <w:tc>
          <w:tcPr>
            <w:tcW w:w="0" w:type="auto"/>
            <w:noWrap/>
            <w:vAlign w:val="bottom"/>
            <w:hideMark/>
          </w:tcPr>
          <w:p w14:paraId="62BB113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D90662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7AC246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FDB11A" w14:textId="77777777" w:rsidR="00000000" w:rsidRDefault="00EF48A2">
            <w:pPr>
              <w:pStyle w:val="a3"/>
              <w:spacing w:before="0" w:beforeAutospacing="0" w:after="0" w:afterAutospacing="0"/>
              <w:jc w:val="right"/>
              <w:rPr>
                <w:sz w:val="20"/>
                <w:szCs w:val="20"/>
              </w:rPr>
            </w:pPr>
            <w:r>
              <w:rPr>
                <w:sz w:val="20"/>
                <w:szCs w:val="20"/>
              </w:rPr>
              <w:t>(</w:t>
            </w:r>
            <w:r>
              <w:rPr>
                <w:sz w:val="20"/>
                <w:szCs w:val="20"/>
              </w:rPr>
              <w:t>21,98</w:t>
            </w:r>
            <w:r>
              <w:rPr>
                <w:sz w:val="20"/>
                <w:szCs w:val="20"/>
              </w:rPr>
              <w:t>2</w:t>
            </w:r>
          </w:p>
        </w:tc>
        <w:tc>
          <w:tcPr>
            <w:tcW w:w="0" w:type="auto"/>
            <w:noWrap/>
            <w:vAlign w:val="bottom"/>
            <w:hideMark/>
          </w:tcPr>
          <w:p w14:paraId="0C800DF0" w14:textId="77777777" w:rsidR="00000000" w:rsidRDefault="00EF48A2">
            <w:pPr>
              <w:pStyle w:val="a3"/>
              <w:spacing w:before="0" w:beforeAutospacing="0" w:after="0" w:afterAutospacing="0"/>
              <w:rPr>
                <w:sz w:val="20"/>
                <w:szCs w:val="20"/>
              </w:rPr>
            </w:pPr>
            <w:r>
              <w:rPr>
                <w:sz w:val="20"/>
                <w:szCs w:val="20"/>
              </w:rPr>
              <w:t>)</w:t>
            </w:r>
          </w:p>
        </w:tc>
      </w:tr>
      <w:tr w:rsidR="00000000" w14:paraId="0C7FD873" w14:textId="77777777">
        <w:trPr>
          <w:trHeight w:val="200"/>
          <w:tblCellSpacing w:w="15" w:type="dxa"/>
        </w:trPr>
        <w:tc>
          <w:tcPr>
            <w:tcW w:w="0" w:type="auto"/>
            <w:hideMark/>
          </w:tcPr>
          <w:p w14:paraId="40F430C9" w14:textId="77777777" w:rsidR="00000000" w:rsidRDefault="00EF48A2">
            <w:pPr>
              <w:pStyle w:val="a3"/>
              <w:spacing w:before="0" w:beforeAutospacing="0" w:after="0" w:afterAutospacing="0"/>
              <w:rPr>
                <w:sz w:val="20"/>
                <w:szCs w:val="20"/>
              </w:rPr>
            </w:pPr>
            <w:r>
              <w:rPr>
                <w:sz w:val="20"/>
                <w:szCs w:val="20"/>
              </w:rPr>
              <w:t>Financial (income) expense, ne</w:t>
            </w:r>
            <w:r>
              <w:rPr>
                <w:sz w:val="20"/>
                <w:szCs w:val="20"/>
              </w:rPr>
              <w:t>t</w:t>
            </w:r>
          </w:p>
        </w:tc>
        <w:tc>
          <w:tcPr>
            <w:tcW w:w="0" w:type="auto"/>
            <w:vAlign w:val="bottom"/>
            <w:hideMark/>
          </w:tcPr>
          <w:p w14:paraId="7300657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142376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454B09B" w14:textId="77777777" w:rsidR="00000000" w:rsidRDefault="00EF48A2">
            <w:pPr>
              <w:pStyle w:val="a3"/>
              <w:spacing w:before="0" w:beforeAutospacing="0" w:after="0" w:afterAutospacing="0"/>
              <w:jc w:val="right"/>
              <w:rPr>
                <w:sz w:val="20"/>
                <w:szCs w:val="20"/>
              </w:rPr>
            </w:pPr>
            <w:r>
              <w:rPr>
                <w:sz w:val="20"/>
                <w:szCs w:val="20"/>
              </w:rPr>
              <w:t>(</w:t>
            </w:r>
            <w:r>
              <w:rPr>
                <w:sz w:val="20"/>
                <w:szCs w:val="20"/>
              </w:rPr>
              <w:t>3,74</w:t>
            </w:r>
            <w:r>
              <w:rPr>
                <w:sz w:val="20"/>
                <w:szCs w:val="20"/>
              </w:rPr>
              <w:t>0</w:t>
            </w:r>
          </w:p>
        </w:tc>
        <w:tc>
          <w:tcPr>
            <w:tcW w:w="0" w:type="auto"/>
            <w:noWrap/>
            <w:vAlign w:val="bottom"/>
            <w:hideMark/>
          </w:tcPr>
          <w:p w14:paraId="1007EEB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B5DDC7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ADF8FF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DA36659" w14:textId="77777777" w:rsidR="00000000" w:rsidRDefault="00EF48A2">
            <w:pPr>
              <w:pStyle w:val="a3"/>
              <w:spacing w:before="0" w:beforeAutospacing="0" w:after="0" w:afterAutospacing="0"/>
              <w:jc w:val="right"/>
              <w:rPr>
                <w:sz w:val="20"/>
                <w:szCs w:val="20"/>
              </w:rPr>
            </w:pPr>
            <w:r>
              <w:rPr>
                <w:sz w:val="20"/>
                <w:szCs w:val="20"/>
              </w:rPr>
              <w:t>(</w:t>
            </w:r>
            <w:r>
              <w:rPr>
                <w:sz w:val="20"/>
                <w:szCs w:val="20"/>
              </w:rPr>
              <w:t>31,22</w:t>
            </w:r>
            <w:r>
              <w:rPr>
                <w:sz w:val="20"/>
                <w:szCs w:val="20"/>
              </w:rPr>
              <w:t>8</w:t>
            </w:r>
          </w:p>
        </w:tc>
        <w:tc>
          <w:tcPr>
            <w:tcW w:w="0" w:type="auto"/>
            <w:noWrap/>
            <w:vAlign w:val="bottom"/>
            <w:hideMark/>
          </w:tcPr>
          <w:p w14:paraId="309A605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D6EB4C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B19577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3C18CF" w14:textId="77777777" w:rsidR="00000000" w:rsidRDefault="00EF48A2">
            <w:pPr>
              <w:pStyle w:val="a3"/>
              <w:spacing w:before="0" w:beforeAutospacing="0" w:after="0" w:afterAutospacing="0"/>
              <w:jc w:val="right"/>
              <w:rPr>
                <w:sz w:val="20"/>
                <w:szCs w:val="20"/>
              </w:rPr>
            </w:pPr>
            <w:r>
              <w:rPr>
                <w:sz w:val="20"/>
                <w:szCs w:val="20"/>
              </w:rPr>
              <w:t>36</w:t>
            </w:r>
            <w:r>
              <w:rPr>
                <w:sz w:val="20"/>
                <w:szCs w:val="20"/>
              </w:rPr>
              <w:t>4</w:t>
            </w:r>
          </w:p>
        </w:tc>
        <w:tc>
          <w:tcPr>
            <w:tcW w:w="0" w:type="auto"/>
            <w:noWrap/>
            <w:vAlign w:val="bottom"/>
            <w:hideMark/>
          </w:tcPr>
          <w:p w14:paraId="2A90B516" w14:textId="77777777" w:rsidR="00000000" w:rsidRDefault="00EF48A2">
            <w:pPr>
              <w:pStyle w:val="a3"/>
              <w:spacing w:before="0" w:beforeAutospacing="0" w:after="0" w:afterAutospacing="0"/>
              <w:rPr>
                <w:sz w:val="20"/>
                <w:szCs w:val="20"/>
              </w:rPr>
            </w:pPr>
            <w:r>
              <w:rPr>
                <w:sz w:val="20"/>
                <w:szCs w:val="20"/>
              </w:rPr>
              <w:t> </w:t>
            </w:r>
          </w:p>
        </w:tc>
      </w:tr>
      <w:tr w:rsidR="00000000" w14:paraId="22E59D36" w14:textId="77777777">
        <w:trPr>
          <w:trHeight w:val="200"/>
          <w:tblCellSpacing w:w="15" w:type="dxa"/>
        </w:trPr>
        <w:tc>
          <w:tcPr>
            <w:tcW w:w="0" w:type="auto"/>
            <w:hideMark/>
          </w:tcPr>
          <w:p w14:paraId="1F9F63E2" w14:textId="77777777" w:rsidR="00000000" w:rsidRDefault="00EF48A2">
            <w:pPr>
              <w:pStyle w:val="a3"/>
              <w:spacing w:before="0" w:beforeAutospacing="0" w:after="0" w:afterAutospacing="0"/>
              <w:rPr>
                <w:sz w:val="20"/>
                <w:szCs w:val="20"/>
              </w:rPr>
            </w:pPr>
            <w:r>
              <w:rPr>
                <w:sz w:val="20"/>
                <w:szCs w:val="20"/>
              </w:rPr>
              <w:t>Loss before taxes on incom</w:t>
            </w:r>
            <w:r>
              <w:rPr>
                <w:sz w:val="20"/>
                <w:szCs w:val="20"/>
              </w:rPr>
              <w:t>e</w:t>
            </w:r>
          </w:p>
        </w:tc>
        <w:tc>
          <w:tcPr>
            <w:tcW w:w="0" w:type="auto"/>
            <w:vAlign w:val="bottom"/>
            <w:hideMark/>
          </w:tcPr>
          <w:p w14:paraId="40C7A01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55FED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F1DEEC0"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79,41</w:t>
            </w:r>
            <w:r>
              <w:rPr>
                <w:sz w:val="20"/>
                <w:szCs w:val="20"/>
              </w:rPr>
              <w:t>8</w:t>
            </w:r>
          </w:p>
        </w:tc>
        <w:tc>
          <w:tcPr>
            <w:tcW w:w="0" w:type="auto"/>
            <w:noWrap/>
            <w:vAlign w:val="bottom"/>
            <w:hideMark/>
          </w:tcPr>
          <w:p w14:paraId="0A5CE62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8F6856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46826A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A9F4F32"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62,69</w:t>
            </w:r>
            <w:r>
              <w:rPr>
                <w:sz w:val="20"/>
                <w:szCs w:val="20"/>
              </w:rPr>
              <w:t>5</w:t>
            </w:r>
          </w:p>
        </w:tc>
        <w:tc>
          <w:tcPr>
            <w:tcW w:w="0" w:type="auto"/>
            <w:noWrap/>
            <w:vAlign w:val="bottom"/>
            <w:hideMark/>
          </w:tcPr>
          <w:p w14:paraId="4CAE276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02A662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59E71F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A86CB40"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22,34</w:t>
            </w:r>
            <w:r>
              <w:rPr>
                <w:sz w:val="20"/>
                <w:szCs w:val="20"/>
              </w:rPr>
              <w:t>6</w:t>
            </w:r>
          </w:p>
        </w:tc>
        <w:tc>
          <w:tcPr>
            <w:tcW w:w="0" w:type="auto"/>
            <w:noWrap/>
            <w:vAlign w:val="bottom"/>
            <w:hideMark/>
          </w:tcPr>
          <w:p w14:paraId="10302AC6" w14:textId="77777777" w:rsidR="00000000" w:rsidRDefault="00EF48A2">
            <w:pPr>
              <w:pStyle w:val="a3"/>
              <w:spacing w:before="0" w:beforeAutospacing="0" w:after="0" w:afterAutospacing="0"/>
              <w:rPr>
                <w:sz w:val="20"/>
                <w:szCs w:val="20"/>
              </w:rPr>
            </w:pPr>
            <w:r>
              <w:rPr>
                <w:sz w:val="20"/>
                <w:szCs w:val="20"/>
              </w:rPr>
              <w:t>)</w:t>
            </w:r>
          </w:p>
        </w:tc>
      </w:tr>
      <w:tr w:rsidR="00000000" w14:paraId="19638598" w14:textId="77777777">
        <w:trPr>
          <w:trHeight w:val="200"/>
          <w:tblCellSpacing w:w="15" w:type="dxa"/>
        </w:trPr>
        <w:tc>
          <w:tcPr>
            <w:tcW w:w="0" w:type="auto"/>
            <w:hideMark/>
          </w:tcPr>
          <w:p w14:paraId="5DCCEBB2" w14:textId="77777777" w:rsidR="00000000" w:rsidRDefault="00EF48A2">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14:paraId="197AE5A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AC9174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F8ECFF1" w14:textId="77777777" w:rsidR="00000000" w:rsidRDefault="00EF48A2">
            <w:pPr>
              <w:pStyle w:val="a3"/>
              <w:spacing w:before="0" w:beforeAutospacing="0" w:after="0" w:afterAutospacing="0"/>
              <w:jc w:val="right"/>
              <w:rPr>
                <w:sz w:val="20"/>
                <w:szCs w:val="20"/>
              </w:rPr>
            </w:pPr>
            <w:r>
              <w:rPr>
                <w:sz w:val="20"/>
                <w:szCs w:val="20"/>
              </w:rPr>
              <w:t>25</w:t>
            </w:r>
            <w:r>
              <w:rPr>
                <w:sz w:val="20"/>
                <w:szCs w:val="20"/>
              </w:rPr>
              <w:t>4</w:t>
            </w:r>
          </w:p>
        </w:tc>
        <w:tc>
          <w:tcPr>
            <w:tcW w:w="0" w:type="auto"/>
            <w:noWrap/>
            <w:vAlign w:val="bottom"/>
            <w:hideMark/>
          </w:tcPr>
          <w:p w14:paraId="14CC1F8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5E242C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427AF3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7AC228" w14:textId="77777777" w:rsidR="00000000" w:rsidRDefault="00EF48A2">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14:paraId="5D7729D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F8CBE2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567A11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9B5DF9" w14:textId="77777777" w:rsidR="00000000" w:rsidRDefault="00EF48A2">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3A70EDE7" w14:textId="77777777" w:rsidR="00000000" w:rsidRDefault="00EF48A2">
            <w:pPr>
              <w:pStyle w:val="a3"/>
              <w:spacing w:before="0" w:beforeAutospacing="0" w:after="0" w:afterAutospacing="0"/>
              <w:rPr>
                <w:sz w:val="20"/>
                <w:szCs w:val="20"/>
              </w:rPr>
            </w:pPr>
            <w:r>
              <w:rPr>
                <w:sz w:val="20"/>
                <w:szCs w:val="20"/>
              </w:rPr>
              <w:t> </w:t>
            </w:r>
          </w:p>
        </w:tc>
      </w:tr>
      <w:tr w:rsidR="00000000" w14:paraId="2ADDE951" w14:textId="77777777">
        <w:trPr>
          <w:trHeight w:val="200"/>
          <w:tblCellSpacing w:w="15" w:type="dxa"/>
        </w:trPr>
        <w:tc>
          <w:tcPr>
            <w:tcW w:w="0" w:type="auto"/>
            <w:hideMark/>
          </w:tcPr>
          <w:p w14:paraId="1A08E76C" w14:textId="77777777" w:rsidR="00000000" w:rsidRDefault="00EF48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62A2CD7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AB1F12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77E311A"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79,67</w:t>
            </w:r>
            <w:r>
              <w:rPr>
                <w:sz w:val="20"/>
                <w:szCs w:val="20"/>
              </w:rPr>
              <w:t>2</w:t>
            </w:r>
          </w:p>
        </w:tc>
        <w:tc>
          <w:tcPr>
            <w:tcW w:w="0" w:type="auto"/>
            <w:noWrap/>
            <w:vAlign w:val="bottom"/>
            <w:hideMark/>
          </w:tcPr>
          <w:p w14:paraId="7F2E7F8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5DFF42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A745C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B2CBE8F"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62,74</w:t>
            </w:r>
            <w:r>
              <w:rPr>
                <w:sz w:val="20"/>
                <w:szCs w:val="20"/>
              </w:rPr>
              <w:t>2</w:t>
            </w:r>
          </w:p>
        </w:tc>
        <w:tc>
          <w:tcPr>
            <w:tcW w:w="0" w:type="auto"/>
            <w:noWrap/>
            <w:vAlign w:val="bottom"/>
            <w:hideMark/>
          </w:tcPr>
          <w:p w14:paraId="4E9730B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934C23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80C44E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BC01E0"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22,37</w:t>
            </w:r>
            <w:r>
              <w:rPr>
                <w:sz w:val="20"/>
                <w:szCs w:val="20"/>
              </w:rPr>
              <w:t>0</w:t>
            </w:r>
          </w:p>
        </w:tc>
        <w:tc>
          <w:tcPr>
            <w:tcW w:w="0" w:type="auto"/>
            <w:noWrap/>
            <w:vAlign w:val="bottom"/>
            <w:hideMark/>
          </w:tcPr>
          <w:p w14:paraId="2CA0AB71" w14:textId="77777777" w:rsidR="00000000" w:rsidRDefault="00EF48A2">
            <w:pPr>
              <w:pStyle w:val="a3"/>
              <w:spacing w:before="0" w:beforeAutospacing="0" w:after="0" w:afterAutospacing="0"/>
              <w:rPr>
                <w:sz w:val="20"/>
                <w:szCs w:val="20"/>
              </w:rPr>
            </w:pPr>
            <w:r>
              <w:rPr>
                <w:sz w:val="20"/>
                <w:szCs w:val="20"/>
              </w:rPr>
              <w:t>)</w:t>
            </w:r>
          </w:p>
        </w:tc>
      </w:tr>
      <w:tr w:rsidR="00000000" w14:paraId="0F4E7955" w14:textId="77777777">
        <w:trPr>
          <w:trHeight w:val="200"/>
          <w:tblCellSpacing w:w="15" w:type="dxa"/>
        </w:trPr>
        <w:tc>
          <w:tcPr>
            <w:tcW w:w="0" w:type="auto"/>
            <w:hideMark/>
          </w:tcPr>
          <w:p w14:paraId="1E4C850C" w14:textId="77777777" w:rsidR="00000000" w:rsidRDefault="00EF48A2">
            <w:pPr>
              <w:pStyle w:val="a3"/>
              <w:spacing w:before="0" w:beforeAutospacing="0" w:after="0" w:afterAutospacing="0"/>
              <w:rPr>
                <w:sz w:val="20"/>
                <w:szCs w:val="20"/>
              </w:rPr>
            </w:pPr>
            <w:r>
              <w:rPr>
                <w:sz w:val="20"/>
                <w:szCs w:val="20"/>
              </w:rPr>
              <w:t>Net loss per share</w:t>
            </w:r>
            <w:r>
              <w:rPr>
                <w:sz w:val="20"/>
                <w:szCs w:val="20"/>
              </w:rPr>
              <w:t>:</w:t>
            </w:r>
          </w:p>
        </w:tc>
        <w:tc>
          <w:tcPr>
            <w:tcW w:w="0" w:type="auto"/>
            <w:vAlign w:val="bottom"/>
            <w:hideMark/>
          </w:tcPr>
          <w:p w14:paraId="7898CEC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942D6E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43B57E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3A8EA2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22C9A56"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429B4D9"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F0BE058"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5AA5EF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4092EA0" w14:textId="77777777" w:rsidR="00000000" w:rsidRDefault="00EF48A2">
            <w:pPr>
              <w:pStyle w:val="a3"/>
              <w:spacing w:before="0" w:beforeAutospacing="0" w:after="0" w:afterAutospacing="0"/>
              <w:jc w:val="right"/>
              <w:rPr>
                <w:sz w:val="20"/>
                <w:szCs w:val="20"/>
              </w:rPr>
            </w:pPr>
            <w:r>
              <w:rPr>
                <w:sz w:val="20"/>
                <w:szCs w:val="20"/>
              </w:rPr>
              <w:t> </w:t>
            </w:r>
          </w:p>
        </w:tc>
      </w:tr>
      <w:tr w:rsidR="00000000" w14:paraId="3B6AD09B" w14:textId="77777777">
        <w:trPr>
          <w:trHeight w:val="200"/>
          <w:tblCellSpacing w:w="15" w:type="dxa"/>
        </w:trPr>
        <w:tc>
          <w:tcPr>
            <w:tcW w:w="0" w:type="auto"/>
            <w:hideMark/>
          </w:tcPr>
          <w:p w14:paraId="5091771D" w14:textId="77777777" w:rsidR="00000000" w:rsidRDefault="00EF48A2">
            <w:pPr>
              <w:pStyle w:val="a3"/>
              <w:spacing w:before="0" w:beforeAutospacing="0" w:after="0" w:afterAutospacing="0"/>
              <w:rPr>
                <w:sz w:val="20"/>
                <w:szCs w:val="20"/>
              </w:rPr>
            </w:pPr>
            <w:r>
              <w:rPr>
                <w:sz w:val="20"/>
                <w:szCs w:val="20"/>
              </w:rPr>
              <w:t>Basic and diluted net loss per shar</w:t>
            </w:r>
            <w:r>
              <w:rPr>
                <w:sz w:val="20"/>
                <w:szCs w:val="20"/>
              </w:rPr>
              <w:t>e</w:t>
            </w:r>
          </w:p>
        </w:tc>
        <w:tc>
          <w:tcPr>
            <w:tcW w:w="0" w:type="auto"/>
            <w:vAlign w:val="bottom"/>
            <w:hideMark/>
          </w:tcPr>
          <w:p w14:paraId="7793671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CE6586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BDA8E95" w14:textId="77777777" w:rsidR="00000000" w:rsidRDefault="00EF48A2">
            <w:pPr>
              <w:pStyle w:val="a3"/>
              <w:spacing w:before="0" w:beforeAutospacing="0" w:after="0" w:afterAutospacing="0"/>
              <w:jc w:val="right"/>
              <w:rPr>
                <w:sz w:val="20"/>
                <w:szCs w:val="20"/>
              </w:rPr>
            </w:pPr>
            <w:r>
              <w:rPr>
                <w:sz w:val="20"/>
                <w:szCs w:val="20"/>
              </w:rPr>
              <w:t>(</w:t>
            </w:r>
            <w:r>
              <w:rPr>
                <w:sz w:val="20"/>
                <w:szCs w:val="20"/>
              </w:rPr>
              <w:t>0.5</w:t>
            </w:r>
            <w:r>
              <w:rPr>
                <w:sz w:val="20"/>
                <w:szCs w:val="20"/>
              </w:rPr>
              <w:t>1</w:t>
            </w:r>
          </w:p>
        </w:tc>
        <w:tc>
          <w:tcPr>
            <w:tcW w:w="0" w:type="auto"/>
            <w:noWrap/>
            <w:vAlign w:val="bottom"/>
            <w:hideMark/>
          </w:tcPr>
          <w:p w14:paraId="6A9CCD4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C7B42B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FBBCD0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B5A897" w14:textId="77777777" w:rsidR="00000000" w:rsidRDefault="00EF48A2">
            <w:pPr>
              <w:pStyle w:val="a3"/>
              <w:spacing w:before="0" w:beforeAutospacing="0" w:after="0" w:afterAutospacing="0"/>
              <w:jc w:val="right"/>
              <w:rPr>
                <w:sz w:val="20"/>
                <w:szCs w:val="20"/>
              </w:rPr>
            </w:pPr>
            <w:r>
              <w:rPr>
                <w:sz w:val="20"/>
                <w:szCs w:val="20"/>
              </w:rPr>
              <w:t>(</w:t>
            </w:r>
            <w:r>
              <w:rPr>
                <w:sz w:val="20"/>
                <w:szCs w:val="20"/>
              </w:rPr>
              <w:t>0.7</w:t>
            </w:r>
            <w:r>
              <w:rPr>
                <w:sz w:val="20"/>
                <w:szCs w:val="20"/>
              </w:rPr>
              <w:t>2</w:t>
            </w:r>
          </w:p>
        </w:tc>
        <w:tc>
          <w:tcPr>
            <w:tcW w:w="0" w:type="auto"/>
            <w:noWrap/>
            <w:vAlign w:val="bottom"/>
            <w:hideMark/>
          </w:tcPr>
          <w:p w14:paraId="2E1165E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C7FE9F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240BE9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8DD8B4B" w14:textId="77777777" w:rsidR="00000000" w:rsidRDefault="00EF48A2">
            <w:pPr>
              <w:pStyle w:val="a3"/>
              <w:spacing w:before="0" w:beforeAutospacing="0" w:after="0" w:afterAutospacing="0"/>
              <w:jc w:val="right"/>
              <w:rPr>
                <w:sz w:val="20"/>
                <w:szCs w:val="20"/>
              </w:rPr>
            </w:pPr>
            <w:r>
              <w:rPr>
                <w:sz w:val="20"/>
                <w:szCs w:val="20"/>
              </w:rPr>
              <w:t>(</w:t>
            </w:r>
            <w:r>
              <w:rPr>
                <w:sz w:val="20"/>
                <w:szCs w:val="20"/>
              </w:rPr>
              <w:t>1.6</w:t>
            </w:r>
            <w:r>
              <w:rPr>
                <w:sz w:val="20"/>
                <w:szCs w:val="20"/>
              </w:rPr>
              <w:t>7</w:t>
            </w:r>
          </w:p>
        </w:tc>
        <w:tc>
          <w:tcPr>
            <w:tcW w:w="0" w:type="auto"/>
            <w:noWrap/>
            <w:vAlign w:val="bottom"/>
            <w:hideMark/>
          </w:tcPr>
          <w:p w14:paraId="36357233" w14:textId="77777777" w:rsidR="00000000" w:rsidRDefault="00EF48A2">
            <w:pPr>
              <w:pStyle w:val="a3"/>
              <w:spacing w:before="0" w:beforeAutospacing="0" w:after="0" w:afterAutospacing="0"/>
              <w:rPr>
                <w:sz w:val="20"/>
                <w:szCs w:val="20"/>
              </w:rPr>
            </w:pPr>
            <w:r>
              <w:rPr>
                <w:sz w:val="20"/>
                <w:szCs w:val="20"/>
              </w:rPr>
              <w:t>)</w:t>
            </w:r>
          </w:p>
        </w:tc>
      </w:tr>
      <w:tr w:rsidR="00000000" w14:paraId="6481C853" w14:textId="77777777">
        <w:trPr>
          <w:trHeight w:val="200"/>
          <w:tblCellSpacing w:w="15" w:type="dxa"/>
        </w:trPr>
        <w:tc>
          <w:tcPr>
            <w:tcW w:w="0" w:type="auto"/>
            <w:hideMark/>
          </w:tcPr>
          <w:p w14:paraId="0BD19CCF" w14:textId="77777777" w:rsidR="00000000" w:rsidRDefault="00EF48A2">
            <w:pPr>
              <w:pStyle w:val="a3"/>
              <w:spacing w:before="0" w:beforeAutospacing="0" w:after="0" w:afterAutospacing="0"/>
              <w:rPr>
                <w:sz w:val="20"/>
                <w:szCs w:val="20"/>
              </w:rPr>
            </w:pPr>
            <w:r>
              <w:rPr>
                <w:sz w:val="20"/>
                <w:szCs w:val="20"/>
              </w:rPr>
              <w:t>Weighted average number of common shares used in computing basic and diluted net loss per shar</w:t>
            </w:r>
            <w:r>
              <w:rPr>
                <w:sz w:val="20"/>
                <w:szCs w:val="20"/>
              </w:rPr>
              <w:t>e</w:t>
            </w:r>
          </w:p>
        </w:tc>
        <w:tc>
          <w:tcPr>
            <w:tcW w:w="0" w:type="auto"/>
            <w:vAlign w:val="bottom"/>
            <w:hideMark/>
          </w:tcPr>
          <w:p w14:paraId="0379642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303F36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9E6C79" w14:textId="77777777" w:rsidR="00000000" w:rsidRDefault="00EF48A2">
            <w:pPr>
              <w:pStyle w:val="a3"/>
              <w:spacing w:before="0" w:beforeAutospacing="0" w:after="0" w:afterAutospacing="0"/>
              <w:jc w:val="right"/>
              <w:rPr>
                <w:sz w:val="20"/>
                <w:szCs w:val="20"/>
              </w:rPr>
            </w:pPr>
            <w:r>
              <w:rPr>
                <w:sz w:val="20"/>
                <w:szCs w:val="20"/>
              </w:rPr>
              <w:t>156,885,25</w:t>
            </w:r>
            <w:r>
              <w:rPr>
                <w:sz w:val="20"/>
                <w:szCs w:val="20"/>
              </w:rPr>
              <w:t>6</w:t>
            </w:r>
          </w:p>
        </w:tc>
        <w:tc>
          <w:tcPr>
            <w:tcW w:w="0" w:type="auto"/>
            <w:noWrap/>
            <w:vAlign w:val="bottom"/>
            <w:hideMark/>
          </w:tcPr>
          <w:p w14:paraId="3DB4298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AB375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A7760D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0CA2C0E" w14:textId="77777777" w:rsidR="00000000" w:rsidRDefault="00EF48A2">
            <w:pPr>
              <w:pStyle w:val="a3"/>
              <w:spacing w:before="0" w:beforeAutospacing="0" w:after="0" w:afterAutospacing="0"/>
              <w:jc w:val="right"/>
              <w:rPr>
                <w:sz w:val="20"/>
                <w:szCs w:val="20"/>
              </w:rPr>
            </w:pPr>
            <w:r>
              <w:rPr>
                <w:sz w:val="20"/>
                <w:szCs w:val="20"/>
              </w:rPr>
              <w:t>86,775,94</w:t>
            </w:r>
            <w:r>
              <w:rPr>
                <w:sz w:val="20"/>
                <w:szCs w:val="20"/>
              </w:rPr>
              <w:t>8</w:t>
            </w:r>
          </w:p>
        </w:tc>
        <w:tc>
          <w:tcPr>
            <w:tcW w:w="0" w:type="auto"/>
            <w:noWrap/>
            <w:vAlign w:val="bottom"/>
            <w:hideMark/>
          </w:tcPr>
          <w:p w14:paraId="1709182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EFC4B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35A7DB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94C7A4" w14:textId="77777777" w:rsidR="00000000" w:rsidRDefault="00EF48A2">
            <w:pPr>
              <w:pStyle w:val="a3"/>
              <w:spacing w:before="0" w:beforeAutospacing="0" w:after="0" w:afterAutospacing="0"/>
              <w:jc w:val="right"/>
              <w:rPr>
                <w:sz w:val="20"/>
                <w:szCs w:val="20"/>
              </w:rPr>
            </w:pPr>
            <w:r>
              <w:rPr>
                <w:sz w:val="20"/>
                <w:szCs w:val="20"/>
              </w:rPr>
              <w:t>13,359,35</w:t>
            </w:r>
            <w:r>
              <w:rPr>
                <w:sz w:val="20"/>
                <w:szCs w:val="20"/>
              </w:rPr>
              <w:t>0</w:t>
            </w:r>
          </w:p>
        </w:tc>
        <w:tc>
          <w:tcPr>
            <w:tcW w:w="0" w:type="auto"/>
            <w:noWrap/>
            <w:vAlign w:val="bottom"/>
            <w:hideMark/>
          </w:tcPr>
          <w:p w14:paraId="53BBBE56" w14:textId="77777777" w:rsidR="00000000" w:rsidRDefault="00EF48A2">
            <w:pPr>
              <w:pStyle w:val="a3"/>
              <w:spacing w:before="0" w:beforeAutospacing="0" w:after="0" w:afterAutospacing="0"/>
              <w:rPr>
                <w:sz w:val="20"/>
                <w:szCs w:val="20"/>
              </w:rPr>
            </w:pPr>
            <w:r>
              <w:rPr>
                <w:sz w:val="20"/>
                <w:szCs w:val="20"/>
              </w:rPr>
              <w:t> </w:t>
            </w:r>
          </w:p>
        </w:tc>
      </w:tr>
    </w:tbl>
    <w:p w14:paraId="61EF053F" w14:textId="77777777" w:rsidR="00000000" w:rsidRDefault="00EF48A2">
      <w:pPr>
        <w:pStyle w:val="a3"/>
        <w:spacing w:before="0" w:beforeAutospacing="0" w:after="0" w:afterAutospacing="0"/>
        <w:rPr>
          <w:sz w:val="20"/>
          <w:szCs w:val="20"/>
        </w:rPr>
      </w:pPr>
      <w:r>
        <w:rPr>
          <w:sz w:val="14"/>
          <w:szCs w:val="14"/>
        </w:rPr>
        <w:t> </w:t>
      </w:r>
    </w:p>
    <w:p w14:paraId="29A92DB6" w14:textId="77777777" w:rsidR="00000000" w:rsidRDefault="00EF48A2">
      <w:pPr>
        <w:pStyle w:val="a3"/>
        <w:spacing w:before="0" w:beforeAutospacing="0" w:after="0" w:afterAutospacing="0"/>
        <w:jc w:val="center"/>
        <w:rPr>
          <w:sz w:val="20"/>
          <w:szCs w:val="20"/>
        </w:rPr>
      </w:pPr>
      <w:r>
        <w:t> </w:t>
      </w:r>
    </w:p>
    <w:p w14:paraId="5A4B6134" w14:textId="77777777" w:rsidR="00000000" w:rsidRDefault="00EF48A2">
      <w:pPr>
        <w:pStyle w:val="a3"/>
        <w:spacing w:before="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14:paraId="18DCE9AD" w14:textId="77777777" w:rsidR="00000000" w:rsidRDefault="00EF48A2">
      <w:pPr>
        <w:pStyle w:val="a3"/>
        <w:spacing w:before="0" w:beforeAutospacing="0" w:after="0" w:afterAutospacing="0"/>
        <w:jc w:val="center"/>
        <w:rPr>
          <w:sz w:val="20"/>
          <w:szCs w:val="20"/>
        </w:rPr>
      </w:pPr>
      <w:r>
        <w:rPr>
          <w:sz w:val="20"/>
          <w:szCs w:val="20"/>
        </w:rPr>
        <w:t>6</w:t>
      </w:r>
      <w:r>
        <w:rPr>
          <w:sz w:val="20"/>
          <w:szCs w:val="20"/>
        </w:rPr>
        <w:t>1</w:t>
      </w:r>
    </w:p>
    <w:p w14:paraId="6DFD46E5" w14:textId="77777777" w:rsidR="00000000" w:rsidRDefault="00EF48A2">
      <w:pPr>
        <w:rPr>
          <w:rFonts w:eastAsia="Times New Roman"/>
        </w:rPr>
      </w:pPr>
      <w:r>
        <w:rPr>
          <w:rFonts w:eastAsia="Times New Roman"/>
        </w:rPr>
        <w:pict w14:anchorId="7836C5DF">
          <v:rect id="_x0000_i1088" style="width:0;height:1.5pt" o:hralign="center" o:hrstd="t" o:hr="t" fillcolor="#a0a0a0" stroked="f"/>
        </w:pict>
      </w:r>
    </w:p>
    <w:p w14:paraId="2895B01C"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1191F1D3" w14:textId="77777777" w:rsidR="00000000" w:rsidRDefault="00EF48A2">
      <w:pPr>
        <w:pStyle w:val="a3"/>
        <w:spacing w:before="0" w:beforeAutospacing="0" w:after="0" w:afterAutospacing="0"/>
        <w:jc w:val="center"/>
        <w:rPr>
          <w:sz w:val="20"/>
          <w:szCs w:val="20"/>
        </w:rPr>
      </w:pPr>
      <w:r>
        <w:rPr>
          <w:b/>
          <w:bCs/>
          <w:sz w:val="20"/>
          <w:szCs w:val="20"/>
        </w:rPr>
        <w:t>TALKSPACE, INC</w:t>
      </w:r>
      <w:r>
        <w:rPr>
          <w:b/>
          <w:bCs/>
          <w:sz w:val="20"/>
          <w:szCs w:val="20"/>
        </w:rPr>
        <w:t>.</w:t>
      </w:r>
    </w:p>
    <w:p w14:paraId="26F6E25A" w14:textId="77777777" w:rsidR="00000000" w:rsidRDefault="00EF48A2">
      <w:pPr>
        <w:pStyle w:val="a3"/>
        <w:spacing w:before="0" w:beforeAutospacing="0" w:after="0" w:afterAutospacing="0"/>
        <w:jc w:val="center"/>
        <w:rPr>
          <w:sz w:val="20"/>
          <w:szCs w:val="20"/>
        </w:rPr>
      </w:pPr>
      <w:r>
        <w:rPr>
          <w:b/>
          <w:bCs/>
          <w:sz w:val="20"/>
          <w:szCs w:val="20"/>
        </w:rPr>
        <w:t>CONSOLIDATED STATEMENTS OF CHANGES IN STOCKHOLDERS’ EQUITY (DEFICIT</w:t>
      </w:r>
      <w:r>
        <w:rPr>
          <w:b/>
          <w:bCs/>
          <w:sz w:val="20"/>
          <w:szCs w:val="20"/>
        </w:rPr>
        <w:t>)</w:t>
      </w:r>
    </w:p>
    <w:p w14:paraId="68566119" w14:textId="77777777" w:rsidR="00000000" w:rsidRDefault="00EF48A2">
      <w:pPr>
        <w:pStyle w:val="a3"/>
        <w:spacing w:before="0" w:beforeAutospacing="0" w:after="0" w:afterAutospacing="0"/>
        <w:jc w:val="center"/>
        <w:rPr>
          <w:sz w:val="20"/>
          <w:szCs w:val="20"/>
        </w:rPr>
      </w:pPr>
      <w:r>
        <w:rPr>
          <w:b/>
          <w:bCs/>
          <w:sz w:val="19"/>
          <w:szCs w:val="19"/>
        </w:rPr>
        <w:t>U.S. dollars in thousands (except share and per share data</w:t>
      </w:r>
      <w:r>
        <w:rPr>
          <w:b/>
          <w:bCs/>
          <w:sz w:val="19"/>
          <w:szCs w:val="19"/>
        </w:rPr>
        <w:t>)</w:t>
      </w:r>
      <w:r>
        <w:rPr>
          <w:b/>
          <w:bCs/>
          <w:sz w:val="19"/>
          <w:szCs w:val="19"/>
        </w:rPr>
        <w:t xml:space="preserve"> </w:t>
      </w:r>
    </w:p>
    <w:p w14:paraId="54D7E415" w14:textId="77777777" w:rsidR="00000000" w:rsidRDefault="00EF48A2">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105"/>
        <w:gridCol w:w="105"/>
        <w:gridCol w:w="930"/>
        <w:gridCol w:w="120"/>
        <w:gridCol w:w="105"/>
        <w:gridCol w:w="150"/>
        <w:gridCol w:w="705"/>
        <w:gridCol w:w="120"/>
        <w:gridCol w:w="105"/>
        <w:gridCol w:w="105"/>
        <w:gridCol w:w="105"/>
        <w:gridCol w:w="960"/>
        <w:gridCol w:w="105"/>
        <w:gridCol w:w="105"/>
        <w:gridCol w:w="151"/>
        <w:gridCol w:w="522"/>
        <w:gridCol w:w="105"/>
        <w:gridCol w:w="105"/>
        <w:gridCol w:w="150"/>
        <w:gridCol w:w="645"/>
        <w:gridCol w:w="120"/>
        <w:gridCol w:w="105"/>
        <w:gridCol w:w="151"/>
        <w:gridCol w:w="826"/>
        <w:gridCol w:w="120"/>
        <w:gridCol w:w="105"/>
        <w:gridCol w:w="150"/>
        <w:gridCol w:w="645"/>
        <w:gridCol w:w="135"/>
      </w:tblGrid>
      <w:tr w:rsidR="00000000" w14:paraId="3AF392A7" w14:textId="77777777">
        <w:trPr>
          <w:tblCellSpacing w:w="15" w:type="dxa"/>
        </w:trPr>
        <w:tc>
          <w:tcPr>
            <w:tcW w:w="1508" w:type="pct"/>
            <w:vAlign w:val="center"/>
            <w:hideMark/>
          </w:tcPr>
          <w:p w14:paraId="7955D7F6" w14:textId="77777777" w:rsidR="00000000" w:rsidRDefault="00EF48A2">
            <w:pPr>
              <w:rPr>
                <w:sz w:val="20"/>
                <w:szCs w:val="20"/>
              </w:rPr>
            </w:pPr>
          </w:p>
        </w:tc>
        <w:tc>
          <w:tcPr>
            <w:tcW w:w="44" w:type="pct"/>
            <w:vAlign w:val="center"/>
            <w:hideMark/>
          </w:tcPr>
          <w:p w14:paraId="6D4AEC81" w14:textId="77777777" w:rsidR="00000000" w:rsidRDefault="00EF48A2">
            <w:pPr>
              <w:rPr>
                <w:rFonts w:eastAsia="Times New Roman"/>
                <w:sz w:val="20"/>
                <w:szCs w:val="20"/>
              </w:rPr>
            </w:pPr>
          </w:p>
        </w:tc>
        <w:tc>
          <w:tcPr>
            <w:tcW w:w="50" w:type="pct"/>
            <w:vAlign w:val="center"/>
            <w:hideMark/>
          </w:tcPr>
          <w:p w14:paraId="6E5FFFAE" w14:textId="77777777" w:rsidR="00000000" w:rsidRDefault="00EF48A2">
            <w:pPr>
              <w:rPr>
                <w:rFonts w:eastAsia="Times New Roman"/>
                <w:sz w:val="20"/>
                <w:szCs w:val="20"/>
              </w:rPr>
            </w:pPr>
          </w:p>
        </w:tc>
        <w:tc>
          <w:tcPr>
            <w:tcW w:w="348" w:type="pct"/>
            <w:vAlign w:val="center"/>
            <w:hideMark/>
          </w:tcPr>
          <w:p w14:paraId="73E0A8EC" w14:textId="77777777" w:rsidR="00000000" w:rsidRDefault="00EF48A2">
            <w:pPr>
              <w:rPr>
                <w:rFonts w:eastAsia="Times New Roman"/>
                <w:sz w:val="20"/>
                <w:szCs w:val="20"/>
              </w:rPr>
            </w:pPr>
          </w:p>
        </w:tc>
        <w:tc>
          <w:tcPr>
            <w:tcW w:w="50" w:type="pct"/>
            <w:vAlign w:val="center"/>
            <w:hideMark/>
          </w:tcPr>
          <w:p w14:paraId="0CBD6989" w14:textId="77777777" w:rsidR="00000000" w:rsidRDefault="00EF48A2">
            <w:pPr>
              <w:rPr>
                <w:rFonts w:eastAsia="Times New Roman"/>
                <w:sz w:val="20"/>
                <w:szCs w:val="20"/>
              </w:rPr>
            </w:pPr>
          </w:p>
        </w:tc>
        <w:tc>
          <w:tcPr>
            <w:tcW w:w="44" w:type="pct"/>
            <w:vAlign w:val="center"/>
            <w:hideMark/>
          </w:tcPr>
          <w:p w14:paraId="598673BA" w14:textId="77777777" w:rsidR="00000000" w:rsidRDefault="00EF48A2">
            <w:pPr>
              <w:rPr>
                <w:rFonts w:eastAsia="Times New Roman"/>
                <w:sz w:val="20"/>
                <w:szCs w:val="20"/>
              </w:rPr>
            </w:pPr>
          </w:p>
        </w:tc>
        <w:tc>
          <w:tcPr>
            <w:tcW w:w="50" w:type="pct"/>
            <w:vAlign w:val="center"/>
            <w:hideMark/>
          </w:tcPr>
          <w:p w14:paraId="161280F0" w14:textId="77777777" w:rsidR="00000000" w:rsidRDefault="00EF48A2">
            <w:pPr>
              <w:rPr>
                <w:rFonts w:eastAsia="Times New Roman"/>
                <w:sz w:val="20"/>
                <w:szCs w:val="20"/>
              </w:rPr>
            </w:pPr>
          </w:p>
        </w:tc>
        <w:tc>
          <w:tcPr>
            <w:tcW w:w="286" w:type="pct"/>
            <w:vAlign w:val="center"/>
            <w:hideMark/>
          </w:tcPr>
          <w:p w14:paraId="5EE92CE9" w14:textId="77777777" w:rsidR="00000000" w:rsidRDefault="00EF48A2">
            <w:pPr>
              <w:rPr>
                <w:rFonts w:eastAsia="Times New Roman"/>
                <w:sz w:val="20"/>
                <w:szCs w:val="20"/>
              </w:rPr>
            </w:pPr>
          </w:p>
        </w:tc>
        <w:tc>
          <w:tcPr>
            <w:tcW w:w="50" w:type="pct"/>
            <w:vAlign w:val="center"/>
            <w:hideMark/>
          </w:tcPr>
          <w:p w14:paraId="326CC98D" w14:textId="77777777" w:rsidR="00000000" w:rsidRDefault="00EF48A2">
            <w:pPr>
              <w:rPr>
                <w:rFonts w:eastAsia="Times New Roman"/>
                <w:sz w:val="20"/>
                <w:szCs w:val="20"/>
              </w:rPr>
            </w:pPr>
          </w:p>
        </w:tc>
        <w:tc>
          <w:tcPr>
            <w:tcW w:w="44" w:type="pct"/>
            <w:vAlign w:val="center"/>
            <w:hideMark/>
          </w:tcPr>
          <w:p w14:paraId="127CF713" w14:textId="77777777" w:rsidR="00000000" w:rsidRDefault="00EF48A2">
            <w:pPr>
              <w:rPr>
                <w:rFonts w:eastAsia="Times New Roman"/>
                <w:sz w:val="20"/>
                <w:szCs w:val="20"/>
              </w:rPr>
            </w:pPr>
          </w:p>
        </w:tc>
        <w:tc>
          <w:tcPr>
            <w:tcW w:w="44" w:type="pct"/>
            <w:vAlign w:val="center"/>
            <w:hideMark/>
          </w:tcPr>
          <w:p w14:paraId="5F1F4700" w14:textId="77777777" w:rsidR="00000000" w:rsidRDefault="00EF48A2">
            <w:pPr>
              <w:rPr>
                <w:rFonts w:eastAsia="Times New Roman"/>
                <w:sz w:val="20"/>
                <w:szCs w:val="20"/>
              </w:rPr>
            </w:pPr>
          </w:p>
        </w:tc>
        <w:tc>
          <w:tcPr>
            <w:tcW w:w="50" w:type="pct"/>
            <w:vAlign w:val="center"/>
            <w:hideMark/>
          </w:tcPr>
          <w:p w14:paraId="4DF3C68E" w14:textId="77777777" w:rsidR="00000000" w:rsidRDefault="00EF48A2">
            <w:pPr>
              <w:rPr>
                <w:rFonts w:eastAsia="Times New Roman"/>
                <w:sz w:val="20"/>
                <w:szCs w:val="20"/>
              </w:rPr>
            </w:pPr>
          </w:p>
        </w:tc>
        <w:tc>
          <w:tcPr>
            <w:tcW w:w="346" w:type="pct"/>
            <w:vAlign w:val="center"/>
            <w:hideMark/>
          </w:tcPr>
          <w:p w14:paraId="1C152395" w14:textId="77777777" w:rsidR="00000000" w:rsidRDefault="00EF48A2">
            <w:pPr>
              <w:rPr>
                <w:rFonts w:eastAsia="Times New Roman"/>
                <w:sz w:val="20"/>
                <w:szCs w:val="20"/>
              </w:rPr>
            </w:pPr>
          </w:p>
        </w:tc>
        <w:tc>
          <w:tcPr>
            <w:tcW w:w="50" w:type="pct"/>
            <w:vAlign w:val="center"/>
            <w:hideMark/>
          </w:tcPr>
          <w:p w14:paraId="7202D77A" w14:textId="77777777" w:rsidR="00000000" w:rsidRDefault="00EF48A2">
            <w:pPr>
              <w:rPr>
                <w:rFonts w:eastAsia="Times New Roman"/>
                <w:sz w:val="20"/>
                <w:szCs w:val="20"/>
              </w:rPr>
            </w:pPr>
          </w:p>
        </w:tc>
        <w:tc>
          <w:tcPr>
            <w:tcW w:w="38" w:type="pct"/>
            <w:vAlign w:val="center"/>
            <w:hideMark/>
          </w:tcPr>
          <w:p w14:paraId="7211670B" w14:textId="77777777" w:rsidR="00000000" w:rsidRDefault="00EF48A2">
            <w:pPr>
              <w:rPr>
                <w:rFonts w:eastAsia="Times New Roman"/>
                <w:sz w:val="20"/>
                <w:szCs w:val="20"/>
              </w:rPr>
            </w:pPr>
          </w:p>
        </w:tc>
        <w:tc>
          <w:tcPr>
            <w:tcW w:w="50" w:type="pct"/>
            <w:vAlign w:val="center"/>
            <w:hideMark/>
          </w:tcPr>
          <w:p w14:paraId="20AAF76D" w14:textId="77777777" w:rsidR="00000000" w:rsidRDefault="00EF48A2">
            <w:pPr>
              <w:rPr>
                <w:rFonts w:eastAsia="Times New Roman"/>
                <w:sz w:val="20"/>
                <w:szCs w:val="20"/>
              </w:rPr>
            </w:pPr>
          </w:p>
        </w:tc>
        <w:tc>
          <w:tcPr>
            <w:tcW w:w="361" w:type="pct"/>
            <w:vAlign w:val="center"/>
            <w:hideMark/>
          </w:tcPr>
          <w:p w14:paraId="59E2CFC3" w14:textId="77777777" w:rsidR="00000000" w:rsidRDefault="00EF48A2">
            <w:pPr>
              <w:rPr>
                <w:rFonts w:eastAsia="Times New Roman"/>
                <w:sz w:val="20"/>
                <w:szCs w:val="20"/>
              </w:rPr>
            </w:pPr>
          </w:p>
        </w:tc>
        <w:tc>
          <w:tcPr>
            <w:tcW w:w="50" w:type="pct"/>
            <w:vAlign w:val="center"/>
            <w:hideMark/>
          </w:tcPr>
          <w:p w14:paraId="6D494A66" w14:textId="77777777" w:rsidR="00000000" w:rsidRDefault="00EF48A2">
            <w:pPr>
              <w:rPr>
                <w:rFonts w:eastAsia="Times New Roman"/>
                <w:sz w:val="20"/>
                <w:szCs w:val="20"/>
              </w:rPr>
            </w:pPr>
          </w:p>
        </w:tc>
        <w:tc>
          <w:tcPr>
            <w:tcW w:w="44" w:type="pct"/>
            <w:vAlign w:val="center"/>
            <w:hideMark/>
          </w:tcPr>
          <w:p w14:paraId="2FB80DBD" w14:textId="77777777" w:rsidR="00000000" w:rsidRDefault="00EF48A2">
            <w:pPr>
              <w:rPr>
                <w:rFonts w:eastAsia="Times New Roman"/>
                <w:sz w:val="20"/>
                <w:szCs w:val="20"/>
              </w:rPr>
            </w:pPr>
          </w:p>
        </w:tc>
        <w:tc>
          <w:tcPr>
            <w:tcW w:w="50" w:type="pct"/>
            <w:vAlign w:val="center"/>
            <w:hideMark/>
          </w:tcPr>
          <w:p w14:paraId="42F3C7AE" w14:textId="77777777" w:rsidR="00000000" w:rsidRDefault="00EF48A2">
            <w:pPr>
              <w:rPr>
                <w:rFonts w:eastAsia="Times New Roman"/>
                <w:sz w:val="20"/>
                <w:szCs w:val="20"/>
              </w:rPr>
            </w:pPr>
          </w:p>
        </w:tc>
        <w:tc>
          <w:tcPr>
            <w:tcW w:w="361" w:type="pct"/>
            <w:vAlign w:val="center"/>
            <w:hideMark/>
          </w:tcPr>
          <w:p w14:paraId="1D4024A5" w14:textId="77777777" w:rsidR="00000000" w:rsidRDefault="00EF48A2">
            <w:pPr>
              <w:rPr>
                <w:rFonts w:eastAsia="Times New Roman"/>
                <w:sz w:val="20"/>
                <w:szCs w:val="20"/>
              </w:rPr>
            </w:pPr>
          </w:p>
        </w:tc>
        <w:tc>
          <w:tcPr>
            <w:tcW w:w="50" w:type="pct"/>
            <w:vAlign w:val="center"/>
            <w:hideMark/>
          </w:tcPr>
          <w:p w14:paraId="40CA9DE4" w14:textId="77777777" w:rsidR="00000000" w:rsidRDefault="00EF48A2">
            <w:pPr>
              <w:rPr>
                <w:rFonts w:eastAsia="Times New Roman"/>
                <w:sz w:val="20"/>
                <w:szCs w:val="20"/>
              </w:rPr>
            </w:pPr>
          </w:p>
        </w:tc>
        <w:tc>
          <w:tcPr>
            <w:tcW w:w="45" w:type="pct"/>
            <w:vAlign w:val="center"/>
            <w:hideMark/>
          </w:tcPr>
          <w:p w14:paraId="38180666" w14:textId="77777777" w:rsidR="00000000" w:rsidRDefault="00EF48A2">
            <w:pPr>
              <w:rPr>
                <w:rFonts w:eastAsia="Times New Roman"/>
                <w:sz w:val="20"/>
                <w:szCs w:val="20"/>
              </w:rPr>
            </w:pPr>
          </w:p>
        </w:tc>
        <w:tc>
          <w:tcPr>
            <w:tcW w:w="50" w:type="pct"/>
            <w:vAlign w:val="center"/>
            <w:hideMark/>
          </w:tcPr>
          <w:p w14:paraId="0CBA5757" w14:textId="77777777" w:rsidR="00000000" w:rsidRDefault="00EF48A2">
            <w:pPr>
              <w:rPr>
                <w:rFonts w:eastAsia="Times New Roman"/>
                <w:sz w:val="20"/>
                <w:szCs w:val="20"/>
              </w:rPr>
            </w:pPr>
          </w:p>
        </w:tc>
        <w:tc>
          <w:tcPr>
            <w:tcW w:w="362" w:type="pct"/>
            <w:vAlign w:val="center"/>
            <w:hideMark/>
          </w:tcPr>
          <w:p w14:paraId="63B567BD" w14:textId="77777777" w:rsidR="00000000" w:rsidRDefault="00EF48A2">
            <w:pPr>
              <w:rPr>
                <w:rFonts w:eastAsia="Times New Roman"/>
                <w:sz w:val="20"/>
                <w:szCs w:val="20"/>
              </w:rPr>
            </w:pPr>
          </w:p>
        </w:tc>
        <w:tc>
          <w:tcPr>
            <w:tcW w:w="50" w:type="pct"/>
            <w:vAlign w:val="center"/>
            <w:hideMark/>
          </w:tcPr>
          <w:p w14:paraId="4159B446" w14:textId="77777777" w:rsidR="00000000" w:rsidRDefault="00EF48A2">
            <w:pPr>
              <w:rPr>
                <w:rFonts w:eastAsia="Times New Roman"/>
                <w:sz w:val="20"/>
                <w:szCs w:val="20"/>
              </w:rPr>
            </w:pPr>
          </w:p>
        </w:tc>
        <w:tc>
          <w:tcPr>
            <w:tcW w:w="45" w:type="pct"/>
            <w:vAlign w:val="center"/>
            <w:hideMark/>
          </w:tcPr>
          <w:p w14:paraId="2965A983" w14:textId="77777777" w:rsidR="00000000" w:rsidRDefault="00EF48A2">
            <w:pPr>
              <w:rPr>
                <w:rFonts w:eastAsia="Times New Roman"/>
                <w:sz w:val="20"/>
                <w:szCs w:val="20"/>
              </w:rPr>
            </w:pPr>
          </w:p>
        </w:tc>
        <w:tc>
          <w:tcPr>
            <w:tcW w:w="50" w:type="pct"/>
            <w:vAlign w:val="center"/>
            <w:hideMark/>
          </w:tcPr>
          <w:p w14:paraId="3C24D664" w14:textId="77777777" w:rsidR="00000000" w:rsidRDefault="00EF48A2">
            <w:pPr>
              <w:rPr>
                <w:rFonts w:eastAsia="Times New Roman"/>
                <w:sz w:val="20"/>
                <w:szCs w:val="20"/>
              </w:rPr>
            </w:pPr>
          </w:p>
        </w:tc>
        <w:tc>
          <w:tcPr>
            <w:tcW w:w="370" w:type="pct"/>
            <w:vAlign w:val="center"/>
            <w:hideMark/>
          </w:tcPr>
          <w:p w14:paraId="6C417EF6" w14:textId="77777777" w:rsidR="00000000" w:rsidRDefault="00EF48A2">
            <w:pPr>
              <w:rPr>
                <w:rFonts w:eastAsia="Times New Roman"/>
                <w:sz w:val="20"/>
                <w:szCs w:val="20"/>
              </w:rPr>
            </w:pPr>
          </w:p>
        </w:tc>
        <w:tc>
          <w:tcPr>
            <w:tcW w:w="50" w:type="pct"/>
            <w:vAlign w:val="center"/>
            <w:hideMark/>
          </w:tcPr>
          <w:p w14:paraId="27B08BE5" w14:textId="77777777" w:rsidR="00000000" w:rsidRDefault="00EF48A2">
            <w:pPr>
              <w:rPr>
                <w:rFonts w:eastAsia="Times New Roman"/>
                <w:sz w:val="20"/>
                <w:szCs w:val="20"/>
              </w:rPr>
            </w:pPr>
          </w:p>
        </w:tc>
      </w:tr>
      <w:tr w:rsidR="00000000" w14:paraId="1F42B20C" w14:textId="77777777">
        <w:trPr>
          <w:trHeight w:val="160"/>
          <w:tblCellSpacing w:w="15" w:type="dxa"/>
        </w:trPr>
        <w:tc>
          <w:tcPr>
            <w:tcW w:w="0" w:type="auto"/>
            <w:vAlign w:val="bottom"/>
            <w:hideMark/>
          </w:tcPr>
          <w:p w14:paraId="2D4DEEEE"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21D3E745" w14:textId="77777777" w:rsidR="00000000" w:rsidRDefault="00EF48A2">
            <w:pPr>
              <w:pStyle w:val="a3"/>
              <w:spacing w:before="0" w:beforeAutospacing="0" w:after="0" w:afterAutospacing="0"/>
              <w:rPr>
                <w:sz w:val="16"/>
                <w:szCs w:val="16"/>
              </w:rPr>
            </w:pPr>
            <w:r>
              <w:rPr>
                <w:sz w:val="16"/>
                <w:szCs w:val="16"/>
              </w:rPr>
              <w:t> </w:t>
            </w:r>
          </w:p>
        </w:tc>
        <w:tc>
          <w:tcPr>
            <w:tcW w:w="0" w:type="auto"/>
            <w:gridSpan w:val="6"/>
            <w:vAlign w:val="bottom"/>
            <w:hideMark/>
          </w:tcPr>
          <w:p w14:paraId="595C0E7E" w14:textId="77777777" w:rsidR="00000000" w:rsidRDefault="00EF48A2">
            <w:pPr>
              <w:pStyle w:val="a3"/>
              <w:spacing w:before="0" w:beforeAutospacing="0" w:after="0" w:afterAutospacing="0"/>
              <w:jc w:val="center"/>
              <w:rPr>
                <w:sz w:val="16"/>
                <w:szCs w:val="16"/>
              </w:rPr>
            </w:pPr>
            <w:r>
              <w:rPr>
                <w:b/>
                <w:bCs/>
                <w:sz w:val="16"/>
                <w:szCs w:val="16"/>
              </w:rPr>
              <w:t>Convertible Preferred Stoc</w:t>
            </w:r>
            <w:r>
              <w:rPr>
                <w:b/>
                <w:bCs/>
                <w:sz w:val="16"/>
                <w:szCs w:val="16"/>
              </w:rPr>
              <w:t>k</w:t>
            </w:r>
          </w:p>
        </w:tc>
        <w:tc>
          <w:tcPr>
            <w:tcW w:w="0" w:type="auto"/>
            <w:vAlign w:val="bottom"/>
            <w:hideMark/>
          </w:tcPr>
          <w:p w14:paraId="3BA4DC1A"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E9CB39A"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1CA2F2D7" w14:textId="77777777" w:rsidR="00000000" w:rsidRDefault="00EF48A2">
            <w:pPr>
              <w:pStyle w:val="a3"/>
              <w:spacing w:before="0" w:beforeAutospacing="0" w:after="0" w:afterAutospacing="0"/>
              <w:rPr>
                <w:sz w:val="16"/>
                <w:szCs w:val="16"/>
              </w:rPr>
            </w:pPr>
            <w:r>
              <w:rPr>
                <w:sz w:val="16"/>
                <w:szCs w:val="16"/>
              </w:rPr>
              <w:t> </w:t>
            </w:r>
          </w:p>
        </w:tc>
        <w:tc>
          <w:tcPr>
            <w:tcW w:w="0" w:type="auto"/>
            <w:gridSpan w:val="6"/>
            <w:vAlign w:val="bottom"/>
            <w:hideMark/>
          </w:tcPr>
          <w:p w14:paraId="324AD80E" w14:textId="77777777" w:rsidR="00000000" w:rsidRDefault="00EF48A2">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14:paraId="7C4F628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C83E642"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3B25265A"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B3D234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37E8FA5"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7959594C"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73C3A6D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3E3F459"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4B21D25F"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B9070C2"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17520E1" w14:textId="77777777">
        <w:trPr>
          <w:trHeight w:val="160"/>
          <w:tblCellSpacing w:w="15" w:type="dxa"/>
        </w:trPr>
        <w:tc>
          <w:tcPr>
            <w:tcW w:w="0" w:type="auto"/>
            <w:vAlign w:val="bottom"/>
            <w:hideMark/>
          </w:tcPr>
          <w:p w14:paraId="5CB53BAB"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2FBEE9A3"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4A15D5E0" w14:textId="77777777" w:rsidR="00000000" w:rsidRDefault="00EF48A2">
            <w:pPr>
              <w:pStyle w:val="a3"/>
              <w:spacing w:before="0" w:beforeAutospacing="0" w:after="0" w:afterAutospacing="0"/>
              <w:jc w:val="center"/>
              <w:rPr>
                <w:sz w:val="16"/>
                <w:szCs w:val="16"/>
              </w:rPr>
            </w:pPr>
            <w:r>
              <w:rPr>
                <w:b/>
                <w:bCs/>
                <w:sz w:val="16"/>
                <w:szCs w:val="16"/>
              </w:rPr>
              <w:t>Number of</w:t>
            </w:r>
            <w:r>
              <w:rPr>
                <w:b/>
                <w:bCs/>
                <w:sz w:val="16"/>
                <w:szCs w:val="16"/>
              </w:rPr>
              <w:br/>
              <w:t>Shares</w:t>
            </w:r>
            <w:r>
              <w:rPr>
                <w:b/>
                <w:bCs/>
                <w:sz w:val="16"/>
                <w:szCs w:val="16"/>
              </w:rPr>
              <w:br/>
              <w:t>Outstandin</w:t>
            </w:r>
            <w:r>
              <w:rPr>
                <w:b/>
                <w:bCs/>
                <w:sz w:val="16"/>
                <w:szCs w:val="16"/>
              </w:rPr>
              <w:t>g</w:t>
            </w:r>
          </w:p>
        </w:tc>
        <w:tc>
          <w:tcPr>
            <w:tcW w:w="0" w:type="auto"/>
            <w:vAlign w:val="bottom"/>
            <w:hideMark/>
          </w:tcPr>
          <w:p w14:paraId="42BACD0A"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358CA3C"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0530BDB" w14:textId="77777777" w:rsidR="00000000" w:rsidRDefault="00EF48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14:paraId="1CFAA2E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564869A8"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330A47E5"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2C74EB51" w14:textId="77777777" w:rsidR="00000000" w:rsidRDefault="00EF48A2">
            <w:pPr>
              <w:pStyle w:val="a3"/>
              <w:spacing w:before="0" w:beforeAutospacing="0" w:after="0" w:afterAutospacing="0"/>
              <w:jc w:val="center"/>
              <w:rPr>
                <w:sz w:val="16"/>
                <w:szCs w:val="16"/>
              </w:rPr>
            </w:pPr>
            <w:r>
              <w:rPr>
                <w:b/>
                <w:bCs/>
                <w:sz w:val="16"/>
                <w:szCs w:val="16"/>
              </w:rPr>
              <w:t>Number of</w:t>
            </w:r>
            <w:r>
              <w:rPr>
                <w:b/>
                <w:bCs/>
                <w:sz w:val="16"/>
                <w:szCs w:val="16"/>
              </w:rPr>
              <w:br/>
              <w:t>Shares</w:t>
            </w:r>
            <w:r>
              <w:rPr>
                <w:b/>
                <w:bCs/>
                <w:sz w:val="16"/>
                <w:szCs w:val="16"/>
              </w:rPr>
              <w:br/>
              <w:t>Outstandin</w:t>
            </w:r>
            <w:r>
              <w:rPr>
                <w:b/>
                <w:bCs/>
                <w:sz w:val="16"/>
                <w:szCs w:val="16"/>
              </w:rPr>
              <w:t>g</w:t>
            </w:r>
          </w:p>
        </w:tc>
        <w:tc>
          <w:tcPr>
            <w:tcW w:w="0" w:type="auto"/>
            <w:vAlign w:val="bottom"/>
            <w:hideMark/>
          </w:tcPr>
          <w:p w14:paraId="1C74551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5F07ACB"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65A37CC2" w14:textId="77777777" w:rsidR="00000000" w:rsidRDefault="00EF48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14:paraId="4BF61576"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AA23ACA"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7CB638F0" w14:textId="77777777" w:rsidR="00000000" w:rsidRDefault="00EF48A2">
            <w:pPr>
              <w:pStyle w:val="a3"/>
              <w:spacing w:before="0" w:beforeAutospacing="0" w:after="0" w:afterAutospacing="0"/>
              <w:jc w:val="center"/>
              <w:rPr>
                <w:sz w:val="16"/>
                <w:szCs w:val="16"/>
              </w:rPr>
            </w:pPr>
            <w:r>
              <w:rPr>
                <w:b/>
                <w:bCs/>
                <w:sz w:val="16"/>
                <w:szCs w:val="16"/>
              </w:rPr>
              <w:t>Additional</w:t>
            </w:r>
            <w:r>
              <w:rPr>
                <w:b/>
                <w:bCs/>
                <w:sz w:val="16"/>
                <w:szCs w:val="16"/>
              </w:rPr>
              <w:br/>
              <w:t>paid-in</w:t>
            </w:r>
            <w:r>
              <w:rPr>
                <w:b/>
                <w:bCs/>
                <w:sz w:val="16"/>
                <w:szCs w:val="16"/>
              </w:rPr>
              <w:br/>
              <w:t>capital</w:t>
            </w:r>
            <w:r>
              <w:rPr>
                <w:b/>
                <w:bCs/>
                <w:sz w:val="16"/>
                <w:szCs w:val="16"/>
              </w:rPr>
              <w:t xml:space="preserve"> </w:t>
            </w:r>
            <w:r>
              <w:rPr>
                <w:b/>
                <w:bCs/>
                <w:sz w:val="11"/>
                <w:szCs w:val="11"/>
              </w:rPr>
              <w:t>(1</w:t>
            </w:r>
            <w:r>
              <w:rPr>
                <w:b/>
                <w:bCs/>
                <w:sz w:val="11"/>
                <w:szCs w:val="11"/>
              </w:rPr>
              <w:t>)</w:t>
            </w:r>
          </w:p>
        </w:tc>
        <w:tc>
          <w:tcPr>
            <w:tcW w:w="0" w:type="auto"/>
            <w:vAlign w:val="bottom"/>
            <w:hideMark/>
          </w:tcPr>
          <w:p w14:paraId="75B33C0E"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7813E270"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2DE2DE8C" w14:textId="77777777" w:rsidR="00000000" w:rsidRDefault="00EF48A2">
            <w:pPr>
              <w:pStyle w:val="a3"/>
              <w:spacing w:before="0" w:beforeAutospacing="0" w:after="0" w:afterAutospacing="0"/>
              <w:jc w:val="center"/>
              <w:rPr>
                <w:sz w:val="16"/>
                <w:szCs w:val="16"/>
              </w:rPr>
            </w:pPr>
            <w:r>
              <w:rPr>
                <w:b/>
                <w:bCs/>
                <w:sz w:val="16"/>
                <w:szCs w:val="16"/>
              </w:rPr>
              <w:t>Accumulated</w:t>
            </w:r>
            <w:r>
              <w:rPr>
                <w:b/>
                <w:bCs/>
                <w:sz w:val="16"/>
                <w:szCs w:val="16"/>
              </w:rPr>
              <w:br/>
              <w:t>defici</w:t>
            </w:r>
            <w:r>
              <w:rPr>
                <w:b/>
                <w:bCs/>
                <w:sz w:val="16"/>
                <w:szCs w:val="16"/>
              </w:rPr>
              <w:t>t</w:t>
            </w:r>
          </w:p>
        </w:tc>
        <w:tc>
          <w:tcPr>
            <w:tcW w:w="0" w:type="auto"/>
            <w:vAlign w:val="bottom"/>
            <w:hideMark/>
          </w:tcPr>
          <w:p w14:paraId="73805E1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EA5E81B"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DC6082F" w14:textId="77777777" w:rsidR="00000000" w:rsidRDefault="00EF48A2">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1134CBA5"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618535B" w14:textId="77777777">
        <w:trPr>
          <w:trHeight w:val="180"/>
          <w:tblCellSpacing w:w="15" w:type="dxa"/>
        </w:trPr>
        <w:tc>
          <w:tcPr>
            <w:tcW w:w="0" w:type="auto"/>
            <w:hideMark/>
          </w:tcPr>
          <w:p w14:paraId="757B2A75" w14:textId="77777777" w:rsidR="00000000" w:rsidRDefault="00EF48A2">
            <w:pPr>
              <w:pStyle w:val="a3"/>
              <w:spacing w:before="0" w:beforeAutospacing="0" w:after="0" w:afterAutospacing="0"/>
              <w:rPr>
                <w:sz w:val="18"/>
                <w:szCs w:val="18"/>
              </w:rPr>
            </w:pPr>
            <w:r>
              <w:rPr>
                <w:sz w:val="18"/>
                <w:szCs w:val="18"/>
              </w:rPr>
              <w:t>Balance as of January 1, 202</w:t>
            </w:r>
            <w:r>
              <w:rPr>
                <w:sz w:val="18"/>
                <w:szCs w:val="18"/>
              </w:rPr>
              <w:t>0</w:t>
            </w:r>
          </w:p>
        </w:tc>
        <w:tc>
          <w:tcPr>
            <w:tcW w:w="0" w:type="auto"/>
            <w:vAlign w:val="bottom"/>
            <w:hideMark/>
          </w:tcPr>
          <w:p w14:paraId="1118B8B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C73728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3FDF019" w14:textId="77777777" w:rsidR="00000000" w:rsidRDefault="00EF48A2">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14:paraId="6FF0D28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4C8C6E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25845C20"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61CEEBEC" w14:textId="77777777" w:rsidR="00000000" w:rsidRDefault="00EF48A2">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14:paraId="5A3DB4B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C49E31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999955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402F5F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0A3940B" w14:textId="77777777" w:rsidR="00000000" w:rsidRDefault="00EF48A2">
            <w:pPr>
              <w:pStyle w:val="a3"/>
              <w:spacing w:before="0" w:beforeAutospacing="0" w:after="0" w:afterAutospacing="0"/>
              <w:jc w:val="right"/>
              <w:rPr>
                <w:sz w:val="20"/>
                <w:szCs w:val="20"/>
              </w:rPr>
            </w:pPr>
            <w:r>
              <w:rPr>
                <w:sz w:val="18"/>
                <w:szCs w:val="18"/>
              </w:rPr>
              <w:t>13,223,67</w:t>
            </w:r>
            <w:r>
              <w:rPr>
                <w:sz w:val="18"/>
                <w:szCs w:val="18"/>
              </w:rPr>
              <w:t>2</w:t>
            </w:r>
          </w:p>
        </w:tc>
        <w:tc>
          <w:tcPr>
            <w:tcW w:w="0" w:type="auto"/>
            <w:noWrap/>
            <w:vAlign w:val="bottom"/>
            <w:hideMark/>
          </w:tcPr>
          <w:p w14:paraId="7E735F7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B22EAB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5926FA0"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0DD1397A" w14:textId="77777777" w:rsidR="00000000" w:rsidRDefault="00EF48A2">
            <w:pPr>
              <w:pStyle w:val="a3"/>
              <w:spacing w:before="0" w:beforeAutospacing="0" w:after="0" w:afterAutospacing="0"/>
              <w:jc w:val="right"/>
              <w:rPr>
                <w:sz w:val="20"/>
                <w:szCs w:val="20"/>
              </w:rPr>
            </w:pPr>
            <w:r>
              <w:rPr>
                <w:sz w:val="18"/>
                <w:szCs w:val="18"/>
              </w:rPr>
              <w:t>1</w:t>
            </w:r>
          </w:p>
        </w:tc>
        <w:tc>
          <w:tcPr>
            <w:tcW w:w="0" w:type="auto"/>
            <w:noWrap/>
            <w:vAlign w:val="bottom"/>
            <w:hideMark/>
          </w:tcPr>
          <w:p w14:paraId="2E96A39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40F6A8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E772C4A"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7CEAEBE5" w14:textId="77777777" w:rsidR="00000000" w:rsidRDefault="00EF48A2">
            <w:pPr>
              <w:pStyle w:val="a3"/>
              <w:spacing w:before="0" w:beforeAutospacing="0" w:after="0" w:afterAutospacing="0"/>
              <w:jc w:val="right"/>
              <w:rPr>
                <w:sz w:val="20"/>
                <w:szCs w:val="20"/>
              </w:rPr>
            </w:pPr>
            <w:r>
              <w:rPr>
                <w:sz w:val="18"/>
                <w:szCs w:val="18"/>
              </w:rPr>
              <w:t>6,81</w:t>
            </w:r>
            <w:r>
              <w:rPr>
                <w:sz w:val="18"/>
                <w:szCs w:val="18"/>
              </w:rPr>
              <w:t>8</w:t>
            </w:r>
          </w:p>
        </w:tc>
        <w:tc>
          <w:tcPr>
            <w:tcW w:w="0" w:type="auto"/>
            <w:noWrap/>
            <w:vAlign w:val="bottom"/>
            <w:hideMark/>
          </w:tcPr>
          <w:p w14:paraId="5B68A84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90D726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3EAD0DA"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125B2991" w14:textId="77777777" w:rsidR="00000000" w:rsidRDefault="00EF48A2">
            <w:pPr>
              <w:pStyle w:val="a3"/>
              <w:spacing w:before="0" w:beforeAutospacing="0" w:after="0" w:afterAutospacing="0"/>
              <w:jc w:val="right"/>
              <w:rPr>
                <w:sz w:val="20"/>
                <w:szCs w:val="20"/>
              </w:rPr>
            </w:pPr>
            <w:r>
              <w:rPr>
                <w:sz w:val="18"/>
                <w:szCs w:val="18"/>
              </w:rPr>
              <w:t>(</w:t>
            </w:r>
            <w:r>
              <w:rPr>
                <w:sz w:val="18"/>
                <w:szCs w:val="18"/>
              </w:rPr>
              <w:t>86,41</w:t>
            </w:r>
            <w:r>
              <w:rPr>
                <w:sz w:val="18"/>
                <w:szCs w:val="18"/>
              </w:rPr>
              <w:t>8</w:t>
            </w:r>
          </w:p>
        </w:tc>
        <w:tc>
          <w:tcPr>
            <w:tcW w:w="0" w:type="auto"/>
            <w:noWrap/>
            <w:vAlign w:val="bottom"/>
            <w:hideMark/>
          </w:tcPr>
          <w:p w14:paraId="4E566895"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63F6EBD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2C2EE3A"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5B39ED5A" w14:textId="77777777" w:rsidR="00000000" w:rsidRDefault="00EF48A2">
            <w:pPr>
              <w:pStyle w:val="a3"/>
              <w:spacing w:before="0" w:beforeAutospacing="0" w:after="0" w:afterAutospacing="0"/>
              <w:jc w:val="right"/>
              <w:rPr>
                <w:sz w:val="20"/>
                <w:szCs w:val="20"/>
              </w:rPr>
            </w:pPr>
            <w:r>
              <w:rPr>
                <w:sz w:val="18"/>
                <w:szCs w:val="18"/>
              </w:rPr>
              <w:t>(</w:t>
            </w:r>
            <w:r>
              <w:rPr>
                <w:sz w:val="18"/>
                <w:szCs w:val="18"/>
              </w:rPr>
              <w:t>79,59</w:t>
            </w:r>
            <w:r>
              <w:rPr>
                <w:sz w:val="18"/>
                <w:szCs w:val="18"/>
              </w:rPr>
              <w:t>9</w:t>
            </w:r>
          </w:p>
        </w:tc>
        <w:tc>
          <w:tcPr>
            <w:tcW w:w="0" w:type="auto"/>
            <w:noWrap/>
            <w:vAlign w:val="bottom"/>
            <w:hideMark/>
          </w:tcPr>
          <w:p w14:paraId="58537E12" w14:textId="77777777" w:rsidR="00000000" w:rsidRDefault="00EF48A2">
            <w:pPr>
              <w:pStyle w:val="a3"/>
              <w:spacing w:before="0" w:beforeAutospacing="0" w:after="0" w:afterAutospacing="0"/>
              <w:rPr>
                <w:sz w:val="18"/>
                <w:szCs w:val="18"/>
              </w:rPr>
            </w:pPr>
            <w:r>
              <w:rPr>
                <w:sz w:val="18"/>
                <w:szCs w:val="18"/>
              </w:rPr>
              <w:t>)</w:t>
            </w:r>
          </w:p>
        </w:tc>
      </w:tr>
      <w:tr w:rsidR="00000000" w14:paraId="77980DC0" w14:textId="77777777">
        <w:trPr>
          <w:trHeight w:val="180"/>
          <w:tblCellSpacing w:w="15" w:type="dxa"/>
        </w:trPr>
        <w:tc>
          <w:tcPr>
            <w:tcW w:w="0" w:type="auto"/>
            <w:hideMark/>
          </w:tcPr>
          <w:p w14:paraId="3E42833B" w14:textId="77777777" w:rsidR="00000000" w:rsidRDefault="00EF48A2">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18B1389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1D5B22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E1F86AF"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A7EDA9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F94A5B9"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4A6A68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84ED69D"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38C3BE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5E1B72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F3BFE2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2B92E83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DE3D7C8" w14:textId="77777777" w:rsidR="00000000" w:rsidRDefault="00EF48A2">
            <w:pPr>
              <w:pStyle w:val="a3"/>
              <w:spacing w:before="0" w:beforeAutospacing="0" w:after="0" w:afterAutospacing="0"/>
              <w:jc w:val="right"/>
              <w:rPr>
                <w:sz w:val="20"/>
                <w:szCs w:val="20"/>
              </w:rPr>
            </w:pPr>
            <w:r>
              <w:rPr>
                <w:sz w:val="18"/>
                <w:szCs w:val="18"/>
              </w:rPr>
              <w:t>189,75</w:t>
            </w:r>
            <w:r>
              <w:rPr>
                <w:sz w:val="18"/>
                <w:szCs w:val="18"/>
              </w:rPr>
              <w:t>9</w:t>
            </w:r>
          </w:p>
        </w:tc>
        <w:tc>
          <w:tcPr>
            <w:tcW w:w="0" w:type="auto"/>
            <w:noWrap/>
            <w:vAlign w:val="bottom"/>
            <w:hideMark/>
          </w:tcPr>
          <w:p w14:paraId="68D9DDE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9230DB6"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20D1BF55" w14:textId="77777777" w:rsidR="00000000" w:rsidRDefault="00EF48A2">
            <w:pPr>
              <w:pStyle w:val="a3"/>
              <w:spacing w:before="0" w:beforeAutospacing="0" w:after="0" w:afterAutospacing="0"/>
              <w:jc w:val="right"/>
              <w:rPr>
                <w:sz w:val="18"/>
                <w:szCs w:val="18"/>
              </w:rPr>
            </w:pPr>
            <w:r>
              <w:rPr>
                <w:sz w:val="18"/>
                <w:szCs w:val="18"/>
              </w:rPr>
              <w:t>*</w:t>
            </w:r>
          </w:p>
        </w:tc>
        <w:tc>
          <w:tcPr>
            <w:tcW w:w="0" w:type="auto"/>
            <w:vAlign w:val="bottom"/>
            <w:hideMark/>
          </w:tcPr>
          <w:p w14:paraId="29A5ECE8"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5D7E4FA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1C1BB0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0314986" w14:textId="77777777" w:rsidR="00000000" w:rsidRDefault="00EF48A2">
            <w:pPr>
              <w:pStyle w:val="a3"/>
              <w:spacing w:before="0" w:beforeAutospacing="0" w:after="0" w:afterAutospacing="0"/>
              <w:jc w:val="right"/>
              <w:rPr>
                <w:sz w:val="20"/>
                <w:szCs w:val="20"/>
              </w:rPr>
            </w:pPr>
            <w:r>
              <w:rPr>
                <w:sz w:val="18"/>
                <w:szCs w:val="18"/>
              </w:rPr>
              <w:t>9</w:t>
            </w:r>
            <w:r>
              <w:rPr>
                <w:sz w:val="18"/>
                <w:szCs w:val="18"/>
              </w:rPr>
              <w:t>4</w:t>
            </w:r>
          </w:p>
        </w:tc>
        <w:tc>
          <w:tcPr>
            <w:tcW w:w="0" w:type="auto"/>
            <w:noWrap/>
            <w:vAlign w:val="bottom"/>
            <w:hideMark/>
          </w:tcPr>
          <w:p w14:paraId="4DDE59D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628935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DA990C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D24EFA6"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D0A91B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984EE3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BB3EB5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057E190" w14:textId="77777777" w:rsidR="00000000" w:rsidRDefault="00EF48A2">
            <w:pPr>
              <w:pStyle w:val="a3"/>
              <w:spacing w:before="0" w:beforeAutospacing="0" w:after="0" w:afterAutospacing="0"/>
              <w:jc w:val="right"/>
              <w:rPr>
                <w:sz w:val="20"/>
                <w:szCs w:val="20"/>
              </w:rPr>
            </w:pPr>
            <w:r>
              <w:rPr>
                <w:sz w:val="18"/>
                <w:szCs w:val="18"/>
              </w:rPr>
              <w:t>9</w:t>
            </w:r>
            <w:r>
              <w:rPr>
                <w:sz w:val="18"/>
                <w:szCs w:val="18"/>
              </w:rPr>
              <w:t>4</w:t>
            </w:r>
          </w:p>
        </w:tc>
        <w:tc>
          <w:tcPr>
            <w:tcW w:w="0" w:type="auto"/>
            <w:noWrap/>
            <w:vAlign w:val="bottom"/>
            <w:hideMark/>
          </w:tcPr>
          <w:p w14:paraId="2675284E" w14:textId="77777777" w:rsidR="00000000" w:rsidRDefault="00EF48A2">
            <w:pPr>
              <w:pStyle w:val="a3"/>
              <w:spacing w:before="0" w:beforeAutospacing="0" w:after="0" w:afterAutospacing="0"/>
              <w:rPr>
                <w:sz w:val="18"/>
                <w:szCs w:val="18"/>
              </w:rPr>
            </w:pPr>
            <w:r>
              <w:rPr>
                <w:sz w:val="18"/>
                <w:szCs w:val="18"/>
              </w:rPr>
              <w:t> </w:t>
            </w:r>
          </w:p>
        </w:tc>
      </w:tr>
      <w:tr w:rsidR="00000000" w14:paraId="3E892D2D" w14:textId="77777777">
        <w:trPr>
          <w:trHeight w:val="180"/>
          <w:tblCellSpacing w:w="15" w:type="dxa"/>
        </w:trPr>
        <w:tc>
          <w:tcPr>
            <w:tcW w:w="0" w:type="auto"/>
            <w:hideMark/>
          </w:tcPr>
          <w:p w14:paraId="1F5481A7" w14:textId="77777777" w:rsidR="00000000" w:rsidRDefault="00EF48A2">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07FEA3BC"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EDC226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E20078E"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DCEB96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EAAECE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E4EF68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654F4CF"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440798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882D8B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EC1499C"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831D10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A2D77FF"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D616C2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D7EA09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DE43A2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7975D22"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4DCA3F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F8B009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2A1793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7B50CB4" w14:textId="77777777" w:rsidR="00000000" w:rsidRDefault="00EF48A2">
            <w:pPr>
              <w:pStyle w:val="a3"/>
              <w:spacing w:before="0" w:beforeAutospacing="0" w:after="0" w:afterAutospacing="0"/>
              <w:jc w:val="right"/>
              <w:rPr>
                <w:sz w:val="20"/>
                <w:szCs w:val="20"/>
              </w:rPr>
            </w:pPr>
            <w:r>
              <w:rPr>
                <w:sz w:val="18"/>
                <w:szCs w:val="18"/>
              </w:rPr>
              <w:t>2,97</w:t>
            </w:r>
            <w:r>
              <w:rPr>
                <w:sz w:val="18"/>
                <w:szCs w:val="18"/>
              </w:rPr>
              <w:t>7</w:t>
            </w:r>
          </w:p>
        </w:tc>
        <w:tc>
          <w:tcPr>
            <w:tcW w:w="0" w:type="auto"/>
            <w:noWrap/>
            <w:vAlign w:val="bottom"/>
            <w:hideMark/>
          </w:tcPr>
          <w:p w14:paraId="47B50C5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7A64F5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23F8C7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AFB5C83"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818CD6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A8DC58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BDEF02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2B0FA63" w14:textId="77777777" w:rsidR="00000000" w:rsidRDefault="00EF48A2">
            <w:pPr>
              <w:pStyle w:val="a3"/>
              <w:spacing w:before="0" w:beforeAutospacing="0" w:after="0" w:afterAutospacing="0"/>
              <w:jc w:val="right"/>
              <w:rPr>
                <w:sz w:val="20"/>
                <w:szCs w:val="20"/>
              </w:rPr>
            </w:pPr>
            <w:r>
              <w:rPr>
                <w:sz w:val="18"/>
                <w:szCs w:val="18"/>
              </w:rPr>
              <w:t>2,97</w:t>
            </w:r>
            <w:r>
              <w:rPr>
                <w:sz w:val="18"/>
                <w:szCs w:val="18"/>
              </w:rPr>
              <w:t>7</w:t>
            </w:r>
          </w:p>
        </w:tc>
        <w:tc>
          <w:tcPr>
            <w:tcW w:w="0" w:type="auto"/>
            <w:noWrap/>
            <w:vAlign w:val="bottom"/>
            <w:hideMark/>
          </w:tcPr>
          <w:p w14:paraId="3A829489" w14:textId="77777777" w:rsidR="00000000" w:rsidRDefault="00EF48A2">
            <w:pPr>
              <w:pStyle w:val="a3"/>
              <w:spacing w:before="0" w:beforeAutospacing="0" w:after="0" w:afterAutospacing="0"/>
              <w:rPr>
                <w:sz w:val="18"/>
                <w:szCs w:val="18"/>
              </w:rPr>
            </w:pPr>
            <w:r>
              <w:rPr>
                <w:sz w:val="18"/>
                <w:szCs w:val="18"/>
              </w:rPr>
              <w:t> </w:t>
            </w:r>
          </w:p>
        </w:tc>
      </w:tr>
      <w:tr w:rsidR="00000000" w14:paraId="6E87BBAC" w14:textId="77777777">
        <w:trPr>
          <w:trHeight w:val="180"/>
          <w:tblCellSpacing w:w="15" w:type="dxa"/>
        </w:trPr>
        <w:tc>
          <w:tcPr>
            <w:tcW w:w="0" w:type="auto"/>
            <w:hideMark/>
          </w:tcPr>
          <w:p w14:paraId="2F96F648" w14:textId="77777777" w:rsidR="00000000" w:rsidRDefault="00EF48A2">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4D73075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0EC7C2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B62BF54"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652BBF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F02441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4FAA07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DE9B51E"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9D5FDD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178E97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6A06BF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2359D8D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8E1733C"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C0E97E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6E7606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56AFCB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46D6DB1"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515F32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61DB619"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CDFA6E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B122916"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2BEE39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02D22D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E9D906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DB9AF83" w14:textId="77777777" w:rsidR="00000000" w:rsidRDefault="00EF48A2">
            <w:pPr>
              <w:pStyle w:val="a3"/>
              <w:spacing w:before="0" w:beforeAutospacing="0" w:after="0" w:afterAutospacing="0"/>
              <w:jc w:val="right"/>
              <w:rPr>
                <w:sz w:val="20"/>
                <w:szCs w:val="20"/>
              </w:rPr>
            </w:pPr>
            <w:r>
              <w:rPr>
                <w:sz w:val="18"/>
                <w:szCs w:val="18"/>
              </w:rPr>
              <w:t>(</w:t>
            </w:r>
            <w:r>
              <w:rPr>
                <w:sz w:val="18"/>
                <w:szCs w:val="18"/>
              </w:rPr>
              <w:t>22,37</w:t>
            </w:r>
            <w:r>
              <w:rPr>
                <w:sz w:val="18"/>
                <w:szCs w:val="18"/>
              </w:rPr>
              <w:t>0</w:t>
            </w:r>
          </w:p>
        </w:tc>
        <w:tc>
          <w:tcPr>
            <w:tcW w:w="0" w:type="auto"/>
            <w:noWrap/>
            <w:vAlign w:val="bottom"/>
            <w:hideMark/>
          </w:tcPr>
          <w:p w14:paraId="378F12A0"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06CA5C6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C47411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499FF1A" w14:textId="77777777" w:rsidR="00000000" w:rsidRDefault="00EF48A2">
            <w:pPr>
              <w:pStyle w:val="a3"/>
              <w:spacing w:before="0" w:beforeAutospacing="0" w:after="0" w:afterAutospacing="0"/>
              <w:jc w:val="right"/>
              <w:rPr>
                <w:sz w:val="20"/>
                <w:szCs w:val="20"/>
              </w:rPr>
            </w:pPr>
            <w:r>
              <w:rPr>
                <w:sz w:val="18"/>
                <w:szCs w:val="18"/>
              </w:rPr>
              <w:t>(</w:t>
            </w:r>
            <w:r>
              <w:rPr>
                <w:sz w:val="18"/>
                <w:szCs w:val="18"/>
              </w:rPr>
              <w:t>22,37</w:t>
            </w:r>
            <w:r>
              <w:rPr>
                <w:sz w:val="18"/>
                <w:szCs w:val="18"/>
              </w:rPr>
              <w:t>0</w:t>
            </w:r>
          </w:p>
        </w:tc>
        <w:tc>
          <w:tcPr>
            <w:tcW w:w="0" w:type="auto"/>
            <w:noWrap/>
            <w:vAlign w:val="bottom"/>
            <w:hideMark/>
          </w:tcPr>
          <w:p w14:paraId="52DC752A" w14:textId="77777777" w:rsidR="00000000" w:rsidRDefault="00EF48A2">
            <w:pPr>
              <w:pStyle w:val="a3"/>
              <w:spacing w:before="0" w:beforeAutospacing="0" w:after="0" w:afterAutospacing="0"/>
              <w:rPr>
                <w:sz w:val="18"/>
                <w:szCs w:val="18"/>
              </w:rPr>
            </w:pPr>
            <w:r>
              <w:rPr>
                <w:sz w:val="18"/>
                <w:szCs w:val="18"/>
              </w:rPr>
              <w:t>)</w:t>
            </w:r>
          </w:p>
        </w:tc>
      </w:tr>
      <w:tr w:rsidR="00000000" w14:paraId="69BF455C" w14:textId="77777777">
        <w:trPr>
          <w:trHeight w:val="180"/>
          <w:tblCellSpacing w:w="15" w:type="dxa"/>
        </w:trPr>
        <w:tc>
          <w:tcPr>
            <w:tcW w:w="0" w:type="auto"/>
            <w:hideMark/>
          </w:tcPr>
          <w:p w14:paraId="6837B982" w14:textId="77777777" w:rsidR="00000000" w:rsidRDefault="00EF48A2">
            <w:pPr>
              <w:pStyle w:val="a3"/>
              <w:spacing w:before="0" w:beforeAutospacing="0" w:after="0" w:afterAutospacing="0"/>
              <w:rPr>
                <w:sz w:val="18"/>
                <w:szCs w:val="18"/>
              </w:rPr>
            </w:pPr>
            <w:r>
              <w:rPr>
                <w:sz w:val="18"/>
                <w:szCs w:val="18"/>
              </w:rPr>
              <w:t>Balance as of December 31, 202</w:t>
            </w:r>
            <w:r>
              <w:rPr>
                <w:sz w:val="18"/>
                <w:szCs w:val="18"/>
              </w:rPr>
              <w:t>0</w:t>
            </w:r>
          </w:p>
        </w:tc>
        <w:tc>
          <w:tcPr>
            <w:tcW w:w="0" w:type="auto"/>
            <w:vAlign w:val="bottom"/>
            <w:hideMark/>
          </w:tcPr>
          <w:p w14:paraId="3CD48C2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111FC3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A061628" w14:textId="77777777" w:rsidR="00000000" w:rsidRDefault="00EF48A2">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14:paraId="068CFB9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99D6BE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741941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9DC583C" w14:textId="77777777" w:rsidR="00000000" w:rsidRDefault="00EF48A2">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14:paraId="6531A9A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D46137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465344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993CAF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5DEDFB1" w14:textId="77777777" w:rsidR="00000000" w:rsidRDefault="00EF48A2">
            <w:pPr>
              <w:pStyle w:val="a3"/>
              <w:spacing w:before="0" w:beforeAutospacing="0" w:after="0" w:afterAutospacing="0"/>
              <w:jc w:val="right"/>
              <w:rPr>
                <w:sz w:val="20"/>
                <w:szCs w:val="20"/>
              </w:rPr>
            </w:pPr>
            <w:r>
              <w:rPr>
                <w:sz w:val="18"/>
                <w:szCs w:val="18"/>
              </w:rPr>
              <w:t>13,413,43</w:t>
            </w:r>
            <w:r>
              <w:rPr>
                <w:sz w:val="18"/>
                <w:szCs w:val="18"/>
              </w:rPr>
              <w:t>1</w:t>
            </w:r>
          </w:p>
        </w:tc>
        <w:tc>
          <w:tcPr>
            <w:tcW w:w="0" w:type="auto"/>
            <w:noWrap/>
            <w:vAlign w:val="bottom"/>
            <w:hideMark/>
          </w:tcPr>
          <w:p w14:paraId="4238615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7FB30DC"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A8E0AC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63FC670" w14:textId="77777777" w:rsidR="00000000" w:rsidRDefault="00EF48A2">
            <w:pPr>
              <w:pStyle w:val="a3"/>
              <w:spacing w:before="0" w:beforeAutospacing="0" w:after="0" w:afterAutospacing="0"/>
              <w:jc w:val="right"/>
              <w:rPr>
                <w:sz w:val="20"/>
                <w:szCs w:val="20"/>
              </w:rPr>
            </w:pPr>
            <w:r>
              <w:rPr>
                <w:sz w:val="18"/>
                <w:szCs w:val="18"/>
              </w:rPr>
              <w:t>1</w:t>
            </w:r>
          </w:p>
        </w:tc>
        <w:tc>
          <w:tcPr>
            <w:tcW w:w="0" w:type="auto"/>
            <w:noWrap/>
            <w:vAlign w:val="bottom"/>
            <w:hideMark/>
          </w:tcPr>
          <w:p w14:paraId="17AC8A3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13FE79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BA3F30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BB03533" w14:textId="77777777" w:rsidR="00000000" w:rsidRDefault="00EF48A2">
            <w:pPr>
              <w:pStyle w:val="a3"/>
              <w:spacing w:before="0" w:beforeAutospacing="0" w:after="0" w:afterAutospacing="0"/>
              <w:jc w:val="right"/>
              <w:rPr>
                <w:sz w:val="20"/>
                <w:szCs w:val="20"/>
              </w:rPr>
            </w:pPr>
            <w:r>
              <w:rPr>
                <w:sz w:val="18"/>
                <w:szCs w:val="18"/>
              </w:rPr>
              <w:t>9,88</w:t>
            </w:r>
            <w:r>
              <w:rPr>
                <w:sz w:val="18"/>
                <w:szCs w:val="18"/>
              </w:rPr>
              <w:t>9</w:t>
            </w:r>
          </w:p>
        </w:tc>
        <w:tc>
          <w:tcPr>
            <w:tcW w:w="0" w:type="auto"/>
            <w:noWrap/>
            <w:vAlign w:val="bottom"/>
            <w:hideMark/>
          </w:tcPr>
          <w:p w14:paraId="31F5F2E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374F1E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871A85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B535DD5" w14:textId="77777777" w:rsidR="00000000" w:rsidRDefault="00EF48A2">
            <w:pPr>
              <w:pStyle w:val="a3"/>
              <w:spacing w:before="0" w:beforeAutospacing="0" w:after="0" w:afterAutospacing="0"/>
              <w:jc w:val="right"/>
              <w:rPr>
                <w:sz w:val="20"/>
                <w:szCs w:val="20"/>
              </w:rPr>
            </w:pPr>
            <w:r>
              <w:rPr>
                <w:sz w:val="18"/>
                <w:szCs w:val="18"/>
              </w:rPr>
              <w:t>(</w:t>
            </w:r>
            <w:r>
              <w:rPr>
                <w:sz w:val="18"/>
                <w:szCs w:val="18"/>
              </w:rPr>
              <w:t>108,78</w:t>
            </w:r>
            <w:r>
              <w:rPr>
                <w:sz w:val="18"/>
                <w:szCs w:val="18"/>
              </w:rPr>
              <w:t>8</w:t>
            </w:r>
          </w:p>
        </w:tc>
        <w:tc>
          <w:tcPr>
            <w:tcW w:w="0" w:type="auto"/>
            <w:noWrap/>
            <w:vAlign w:val="bottom"/>
            <w:hideMark/>
          </w:tcPr>
          <w:p w14:paraId="08437A97"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1FC2ADE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A962F7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EA8AD92" w14:textId="77777777" w:rsidR="00000000" w:rsidRDefault="00EF48A2">
            <w:pPr>
              <w:pStyle w:val="a3"/>
              <w:spacing w:before="0" w:beforeAutospacing="0" w:after="0" w:afterAutospacing="0"/>
              <w:jc w:val="right"/>
              <w:rPr>
                <w:sz w:val="20"/>
                <w:szCs w:val="20"/>
              </w:rPr>
            </w:pPr>
            <w:r>
              <w:rPr>
                <w:sz w:val="18"/>
                <w:szCs w:val="18"/>
              </w:rPr>
              <w:t>(</w:t>
            </w:r>
            <w:r>
              <w:rPr>
                <w:sz w:val="18"/>
                <w:szCs w:val="18"/>
              </w:rPr>
              <w:t>98,89</w:t>
            </w:r>
            <w:r>
              <w:rPr>
                <w:sz w:val="18"/>
                <w:szCs w:val="18"/>
              </w:rPr>
              <w:t>8</w:t>
            </w:r>
          </w:p>
        </w:tc>
        <w:tc>
          <w:tcPr>
            <w:tcW w:w="0" w:type="auto"/>
            <w:noWrap/>
            <w:vAlign w:val="bottom"/>
            <w:hideMark/>
          </w:tcPr>
          <w:p w14:paraId="681787BD" w14:textId="77777777" w:rsidR="00000000" w:rsidRDefault="00EF48A2">
            <w:pPr>
              <w:pStyle w:val="a3"/>
              <w:spacing w:before="0" w:beforeAutospacing="0" w:after="0" w:afterAutospacing="0"/>
              <w:rPr>
                <w:sz w:val="18"/>
                <w:szCs w:val="18"/>
              </w:rPr>
            </w:pPr>
            <w:r>
              <w:rPr>
                <w:sz w:val="18"/>
                <w:szCs w:val="18"/>
              </w:rPr>
              <w:t>)</w:t>
            </w:r>
          </w:p>
        </w:tc>
      </w:tr>
      <w:tr w:rsidR="00000000" w14:paraId="3A9E369B" w14:textId="77777777">
        <w:trPr>
          <w:trHeight w:val="180"/>
          <w:tblCellSpacing w:w="15" w:type="dxa"/>
        </w:trPr>
        <w:tc>
          <w:tcPr>
            <w:tcW w:w="0" w:type="auto"/>
            <w:hideMark/>
          </w:tcPr>
          <w:p w14:paraId="69D4C33F" w14:textId="77777777" w:rsidR="00000000" w:rsidRDefault="00EF48A2">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2253262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AEB469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F00C176"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B0AB03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416505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71431A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CC2BC86"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5C7322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5DAE07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8E25C8C"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F05317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5485EF3" w14:textId="77777777" w:rsidR="00000000" w:rsidRDefault="00EF48A2">
            <w:pPr>
              <w:pStyle w:val="a3"/>
              <w:spacing w:before="0" w:beforeAutospacing="0" w:after="0" w:afterAutospacing="0"/>
              <w:jc w:val="right"/>
              <w:rPr>
                <w:sz w:val="20"/>
                <w:szCs w:val="20"/>
              </w:rPr>
            </w:pPr>
            <w:r>
              <w:rPr>
                <w:sz w:val="18"/>
                <w:szCs w:val="18"/>
              </w:rPr>
              <w:t>3,627,12</w:t>
            </w:r>
            <w:r>
              <w:rPr>
                <w:sz w:val="18"/>
                <w:szCs w:val="18"/>
              </w:rPr>
              <w:t>7</w:t>
            </w:r>
          </w:p>
        </w:tc>
        <w:tc>
          <w:tcPr>
            <w:tcW w:w="0" w:type="auto"/>
            <w:noWrap/>
            <w:vAlign w:val="bottom"/>
            <w:hideMark/>
          </w:tcPr>
          <w:p w14:paraId="246F889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5D8BDEF"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46FB5DEE" w14:textId="77777777" w:rsidR="00000000" w:rsidRDefault="00EF48A2">
            <w:pPr>
              <w:pStyle w:val="a3"/>
              <w:spacing w:before="0" w:beforeAutospacing="0" w:after="0" w:afterAutospacing="0"/>
              <w:jc w:val="right"/>
              <w:rPr>
                <w:sz w:val="18"/>
                <w:szCs w:val="18"/>
              </w:rPr>
            </w:pPr>
            <w:r>
              <w:rPr>
                <w:sz w:val="18"/>
                <w:szCs w:val="18"/>
              </w:rPr>
              <w:t>*</w:t>
            </w:r>
          </w:p>
        </w:tc>
        <w:tc>
          <w:tcPr>
            <w:tcW w:w="0" w:type="auto"/>
            <w:vAlign w:val="bottom"/>
            <w:hideMark/>
          </w:tcPr>
          <w:p w14:paraId="344F40B7"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5F726A5F"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36799B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8804409" w14:textId="77777777" w:rsidR="00000000" w:rsidRDefault="00EF48A2">
            <w:pPr>
              <w:pStyle w:val="a3"/>
              <w:spacing w:before="0" w:beforeAutospacing="0" w:after="0" w:afterAutospacing="0"/>
              <w:jc w:val="right"/>
              <w:rPr>
                <w:sz w:val="20"/>
                <w:szCs w:val="20"/>
              </w:rPr>
            </w:pPr>
            <w:r>
              <w:rPr>
                <w:sz w:val="18"/>
                <w:szCs w:val="18"/>
              </w:rPr>
              <w:t>2,09</w:t>
            </w:r>
            <w:r>
              <w:rPr>
                <w:sz w:val="18"/>
                <w:szCs w:val="18"/>
              </w:rPr>
              <w:t>8</w:t>
            </w:r>
          </w:p>
        </w:tc>
        <w:tc>
          <w:tcPr>
            <w:tcW w:w="0" w:type="auto"/>
            <w:noWrap/>
            <w:vAlign w:val="bottom"/>
            <w:hideMark/>
          </w:tcPr>
          <w:p w14:paraId="6BBF0F9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BC5291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5C5EAC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4CC166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484460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18082B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A239B7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30F2CA5" w14:textId="77777777" w:rsidR="00000000" w:rsidRDefault="00EF48A2">
            <w:pPr>
              <w:pStyle w:val="a3"/>
              <w:spacing w:before="0" w:beforeAutospacing="0" w:after="0" w:afterAutospacing="0"/>
              <w:jc w:val="right"/>
              <w:rPr>
                <w:sz w:val="20"/>
                <w:szCs w:val="20"/>
              </w:rPr>
            </w:pPr>
            <w:r>
              <w:rPr>
                <w:sz w:val="18"/>
                <w:szCs w:val="18"/>
              </w:rPr>
              <w:t>2,09</w:t>
            </w:r>
            <w:r>
              <w:rPr>
                <w:sz w:val="18"/>
                <w:szCs w:val="18"/>
              </w:rPr>
              <w:t>8</w:t>
            </w:r>
          </w:p>
        </w:tc>
        <w:tc>
          <w:tcPr>
            <w:tcW w:w="0" w:type="auto"/>
            <w:noWrap/>
            <w:vAlign w:val="bottom"/>
            <w:hideMark/>
          </w:tcPr>
          <w:p w14:paraId="383093AD" w14:textId="77777777" w:rsidR="00000000" w:rsidRDefault="00EF48A2">
            <w:pPr>
              <w:pStyle w:val="a3"/>
              <w:spacing w:before="0" w:beforeAutospacing="0" w:after="0" w:afterAutospacing="0"/>
              <w:rPr>
                <w:sz w:val="18"/>
                <w:szCs w:val="18"/>
              </w:rPr>
            </w:pPr>
            <w:r>
              <w:rPr>
                <w:sz w:val="18"/>
                <w:szCs w:val="18"/>
              </w:rPr>
              <w:t> </w:t>
            </w:r>
          </w:p>
        </w:tc>
      </w:tr>
      <w:tr w:rsidR="00000000" w14:paraId="27D77957" w14:textId="77777777">
        <w:trPr>
          <w:trHeight w:val="180"/>
          <w:tblCellSpacing w:w="15" w:type="dxa"/>
        </w:trPr>
        <w:tc>
          <w:tcPr>
            <w:tcW w:w="0" w:type="auto"/>
            <w:hideMark/>
          </w:tcPr>
          <w:p w14:paraId="62A19B38" w14:textId="77777777" w:rsidR="00000000" w:rsidRDefault="00EF48A2">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14:paraId="6CCC950C"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7F7EE82A"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429D885F"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30857AC1"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0BC31A94"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56DF58C9"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515DF9A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D3E4A7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9BB7AD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863779F" w14:textId="77777777" w:rsidR="00000000" w:rsidRDefault="00EF48A2">
            <w:pPr>
              <w:pStyle w:val="a3"/>
              <w:spacing w:before="0" w:beforeAutospacing="0" w:after="0" w:afterAutospacing="0"/>
              <w:jc w:val="right"/>
              <w:rPr>
                <w:sz w:val="20"/>
                <w:szCs w:val="20"/>
              </w:rPr>
            </w:pPr>
            <w:r>
              <w:rPr>
                <w:sz w:val="18"/>
                <w:szCs w:val="18"/>
              </w:rPr>
              <w:t>282,41</w:t>
            </w:r>
            <w:r>
              <w:rPr>
                <w:sz w:val="18"/>
                <w:szCs w:val="18"/>
              </w:rPr>
              <w:t>5</w:t>
            </w:r>
          </w:p>
        </w:tc>
        <w:tc>
          <w:tcPr>
            <w:tcW w:w="0" w:type="auto"/>
            <w:noWrap/>
            <w:vAlign w:val="bottom"/>
            <w:hideMark/>
          </w:tcPr>
          <w:p w14:paraId="0AF0E48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67CF49A"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12C089B2" w14:textId="77777777" w:rsidR="00000000" w:rsidRDefault="00EF48A2">
            <w:pPr>
              <w:pStyle w:val="a3"/>
              <w:spacing w:before="0" w:beforeAutospacing="0" w:after="0" w:afterAutospacing="0"/>
              <w:jc w:val="right"/>
              <w:rPr>
                <w:sz w:val="18"/>
                <w:szCs w:val="18"/>
              </w:rPr>
            </w:pPr>
            <w:r>
              <w:rPr>
                <w:sz w:val="18"/>
                <w:szCs w:val="18"/>
              </w:rPr>
              <w:t>*</w:t>
            </w:r>
          </w:p>
        </w:tc>
        <w:tc>
          <w:tcPr>
            <w:tcW w:w="0" w:type="auto"/>
            <w:vAlign w:val="bottom"/>
            <w:hideMark/>
          </w:tcPr>
          <w:p w14:paraId="7F6F2BA8"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66EABC7F"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64E46B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3FB36D1" w14:textId="77777777" w:rsidR="00000000" w:rsidRDefault="00EF48A2">
            <w:pPr>
              <w:pStyle w:val="a3"/>
              <w:spacing w:before="0" w:beforeAutospacing="0" w:after="0" w:afterAutospacing="0"/>
              <w:jc w:val="right"/>
              <w:rPr>
                <w:sz w:val="20"/>
                <w:szCs w:val="20"/>
              </w:rPr>
            </w:pPr>
            <w:r>
              <w:rPr>
                <w:sz w:val="18"/>
                <w:szCs w:val="18"/>
              </w:rPr>
              <w:t>(</w:t>
            </w:r>
            <w:r>
              <w:rPr>
                <w:sz w:val="18"/>
                <w:szCs w:val="18"/>
              </w:rPr>
              <w:t>49</w:t>
            </w:r>
            <w:r>
              <w:rPr>
                <w:sz w:val="18"/>
                <w:szCs w:val="18"/>
              </w:rPr>
              <w:t>1</w:t>
            </w:r>
          </w:p>
        </w:tc>
        <w:tc>
          <w:tcPr>
            <w:tcW w:w="0" w:type="auto"/>
            <w:noWrap/>
            <w:vAlign w:val="bottom"/>
            <w:hideMark/>
          </w:tcPr>
          <w:p w14:paraId="2772B815"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770CD46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23D0D9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B3E5CA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275388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6056B6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8F7282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CCBA401" w14:textId="77777777" w:rsidR="00000000" w:rsidRDefault="00EF48A2">
            <w:pPr>
              <w:pStyle w:val="a3"/>
              <w:spacing w:before="0" w:beforeAutospacing="0" w:after="0" w:afterAutospacing="0"/>
              <w:jc w:val="right"/>
              <w:rPr>
                <w:sz w:val="20"/>
                <w:szCs w:val="20"/>
              </w:rPr>
            </w:pPr>
            <w:r>
              <w:rPr>
                <w:sz w:val="18"/>
                <w:szCs w:val="18"/>
              </w:rPr>
              <w:t>(</w:t>
            </w:r>
            <w:r>
              <w:rPr>
                <w:sz w:val="18"/>
                <w:szCs w:val="18"/>
              </w:rPr>
              <w:t>49</w:t>
            </w:r>
            <w:r>
              <w:rPr>
                <w:sz w:val="18"/>
                <w:szCs w:val="18"/>
              </w:rPr>
              <w:t>1</w:t>
            </w:r>
          </w:p>
        </w:tc>
        <w:tc>
          <w:tcPr>
            <w:tcW w:w="0" w:type="auto"/>
            <w:noWrap/>
            <w:vAlign w:val="bottom"/>
            <w:hideMark/>
          </w:tcPr>
          <w:p w14:paraId="4B5F734F" w14:textId="77777777" w:rsidR="00000000" w:rsidRDefault="00EF48A2">
            <w:pPr>
              <w:pStyle w:val="a3"/>
              <w:spacing w:before="0" w:beforeAutospacing="0" w:after="0" w:afterAutospacing="0"/>
              <w:rPr>
                <w:sz w:val="18"/>
                <w:szCs w:val="18"/>
              </w:rPr>
            </w:pPr>
            <w:r>
              <w:rPr>
                <w:sz w:val="18"/>
                <w:szCs w:val="18"/>
              </w:rPr>
              <w:t>)</w:t>
            </w:r>
          </w:p>
        </w:tc>
      </w:tr>
      <w:tr w:rsidR="00000000" w14:paraId="0ADACB64" w14:textId="77777777">
        <w:trPr>
          <w:trHeight w:val="180"/>
          <w:tblCellSpacing w:w="15" w:type="dxa"/>
        </w:trPr>
        <w:tc>
          <w:tcPr>
            <w:tcW w:w="0" w:type="auto"/>
            <w:hideMark/>
          </w:tcPr>
          <w:p w14:paraId="1056B7B4" w14:textId="77777777" w:rsidR="00000000" w:rsidRDefault="00EF48A2">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69D23799"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0ABE62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DA99D38"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F013D8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DA1D86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4F8C7E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718ED5C"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256CE7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73BA89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6BF57F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59F420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9B5CEF5"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1ED1458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D6417B0"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3EDB31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0FD939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B13CDD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1CC7D9C"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CFB8E9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99AAE59" w14:textId="77777777" w:rsidR="00000000" w:rsidRDefault="00EF48A2">
            <w:pPr>
              <w:pStyle w:val="a3"/>
              <w:spacing w:before="0" w:beforeAutospacing="0" w:after="0" w:afterAutospacing="0"/>
              <w:jc w:val="right"/>
              <w:rPr>
                <w:sz w:val="20"/>
                <w:szCs w:val="20"/>
              </w:rPr>
            </w:pPr>
            <w:r>
              <w:rPr>
                <w:sz w:val="18"/>
                <w:szCs w:val="18"/>
              </w:rPr>
              <w:t>27,40</w:t>
            </w:r>
            <w:r>
              <w:rPr>
                <w:sz w:val="18"/>
                <w:szCs w:val="18"/>
              </w:rPr>
              <w:t>5</w:t>
            </w:r>
          </w:p>
        </w:tc>
        <w:tc>
          <w:tcPr>
            <w:tcW w:w="0" w:type="auto"/>
            <w:noWrap/>
            <w:vAlign w:val="bottom"/>
            <w:hideMark/>
          </w:tcPr>
          <w:p w14:paraId="0E1F3E5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FA63C7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76A339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049EE9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F52DC4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8DAD18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DA4708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87D87AA" w14:textId="77777777" w:rsidR="00000000" w:rsidRDefault="00EF48A2">
            <w:pPr>
              <w:pStyle w:val="a3"/>
              <w:spacing w:before="0" w:beforeAutospacing="0" w:after="0" w:afterAutospacing="0"/>
              <w:jc w:val="right"/>
              <w:rPr>
                <w:sz w:val="20"/>
                <w:szCs w:val="20"/>
              </w:rPr>
            </w:pPr>
            <w:r>
              <w:rPr>
                <w:sz w:val="18"/>
                <w:szCs w:val="18"/>
              </w:rPr>
              <w:t>27,40</w:t>
            </w:r>
            <w:r>
              <w:rPr>
                <w:sz w:val="18"/>
                <w:szCs w:val="18"/>
              </w:rPr>
              <w:t>5</w:t>
            </w:r>
          </w:p>
        </w:tc>
        <w:tc>
          <w:tcPr>
            <w:tcW w:w="0" w:type="auto"/>
            <w:noWrap/>
            <w:vAlign w:val="bottom"/>
            <w:hideMark/>
          </w:tcPr>
          <w:p w14:paraId="62CA6D95" w14:textId="77777777" w:rsidR="00000000" w:rsidRDefault="00EF48A2">
            <w:pPr>
              <w:pStyle w:val="a3"/>
              <w:spacing w:before="0" w:beforeAutospacing="0" w:after="0" w:afterAutospacing="0"/>
              <w:rPr>
                <w:sz w:val="18"/>
                <w:szCs w:val="18"/>
              </w:rPr>
            </w:pPr>
            <w:r>
              <w:rPr>
                <w:sz w:val="18"/>
                <w:szCs w:val="18"/>
              </w:rPr>
              <w:t> </w:t>
            </w:r>
          </w:p>
        </w:tc>
      </w:tr>
      <w:tr w:rsidR="00000000" w14:paraId="3A85FFDF" w14:textId="77777777">
        <w:trPr>
          <w:trHeight w:val="180"/>
          <w:tblCellSpacing w:w="15" w:type="dxa"/>
        </w:trPr>
        <w:tc>
          <w:tcPr>
            <w:tcW w:w="0" w:type="auto"/>
            <w:hideMark/>
          </w:tcPr>
          <w:p w14:paraId="06B98224" w14:textId="77777777" w:rsidR="00000000" w:rsidRDefault="00EF48A2">
            <w:pPr>
              <w:pStyle w:val="a3"/>
              <w:spacing w:before="0" w:beforeAutospacing="0" w:after="0" w:afterAutospacing="0"/>
              <w:rPr>
                <w:sz w:val="18"/>
                <w:szCs w:val="18"/>
              </w:rPr>
            </w:pPr>
            <w:r>
              <w:rPr>
                <w:sz w:val="18"/>
                <w:szCs w:val="18"/>
              </w:rPr>
              <w:t>Issuance of warrant</w:t>
            </w:r>
            <w:r>
              <w:rPr>
                <w:sz w:val="18"/>
                <w:szCs w:val="18"/>
              </w:rPr>
              <w:t>s</w:t>
            </w:r>
          </w:p>
        </w:tc>
        <w:tc>
          <w:tcPr>
            <w:tcW w:w="0" w:type="auto"/>
            <w:vAlign w:val="bottom"/>
            <w:hideMark/>
          </w:tcPr>
          <w:p w14:paraId="15C2452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8E35A6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51029F0"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825B41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97A3F93"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1E5E23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B241C7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2364DBD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F51D1E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0EEFAE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B1CB50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75AAFF3"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D1D039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D20DED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1112C6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AE24164"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4F3737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AA189C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22F603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E8A543F" w14:textId="77777777" w:rsidR="00000000" w:rsidRDefault="00EF48A2">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14:paraId="1BCEFF4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F243383"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AD917E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57802AA"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80B219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E14F5B9"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5239FE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2B98D9A" w14:textId="77777777" w:rsidR="00000000" w:rsidRDefault="00EF48A2">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14:paraId="437A0105" w14:textId="77777777" w:rsidR="00000000" w:rsidRDefault="00EF48A2">
            <w:pPr>
              <w:pStyle w:val="a3"/>
              <w:spacing w:before="0" w:beforeAutospacing="0" w:after="0" w:afterAutospacing="0"/>
              <w:rPr>
                <w:sz w:val="18"/>
                <w:szCs w:val="18"/>
              </w:rPr>
            </w:pPr>
            <w:r>
              <w:rPr>
                <w:sz w:val="18"/>
                <w:szCs w:val="18"/>
              </w:rPr>
              <w:t> </w:t>
            </w:r>
          </w:p>
        </w:tc>
      </w:tr>
      <w:tr w:rsidR="00000000" w14:paraId="19F5BAB9" w14:textId="77777777">
        <w:trPr>
          <w:trHeight w:val="180"/>
          <w:tblCellSpacing w:w="15" w:type="dxa"/>
        </w:trPr>
        <w:tc>
          <w:tcPr>
            <w:tcW w:w="0" w:type="auto"/>
            <w:hideMark/>
          </w:tcPr>
          <w:p w14:paraId="41B5ECCC" w14:textId="77777777" w:rsidR="00000000" w:rsidRDefault="00EF48A2">
            <w:pPr>
              <w:pStyle w:val="a3"/>
              <w:spacing w:before="0" w:beforeAutospacing="0" w:after="0" w:afterAutospacing="0"/>
              <w:rPr>
                <w:sz w:val="18"/>
                <w:szCs w:val="18"/>
              </w:rPr>
            </w:pPr>
            <w:r>
              <w:rPr>
                <w:sz w:val="18"/>
                <w:szCs w:val="18"/>
              </w:rPr>
              <w:t>Common stock issued related to exercise of warrant</w:t>
            </w:r>
            <w:r>
              <w:rPr>
                <w:sz w:val="18"/>
                <w:szCs w:val="18"/>
              </w:rPr>
              <w:t>s</w:t>
            </w:r>
          </w:p>
        </w:tc>
        <w:tc>
          <w:tcPr>
            <w:tcW w:w="0" w:type="auto"/>
            <w:vAlign w:val="bottom"/>
            <w:hideMark/>
          </w:tcPr>
          <w:p w14:paraId="7B4A1F5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5A0D5D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637C050"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3D9B3E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1D75B8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DDFA6E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813E496"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E35061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33771A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10FF09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B8D409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4F3F776" w14:textId="77777777" w:rsidR="00000000" w:rsidRDefault="00EF48A2">
            <w:pPr>
              <w:pStyle w:val="a3"/>
              <w:spacing w:before="0" w:beforeAutospacing="0" w:after="0" w:afterAutospacing="0"/>
              <w:jc w:val="right"/>
              <w:rPr>
                <w:sz w:val="20"/>
                <w:szCs w:val="20"/>
              </w:rPr>
            </w:pPr>
            <w:r>
              <w:rPr>
                <w:sz w:val="18"/>
                <w:szCs w:val="18"/>
              </w:rPr>
              <w:t>98,87</w:t>
            </w:r>
            <w:r>
              <w:rPr>
                <w:sz w:val="18"/>
                <w:szCs w:val="18"/>
              </w:rPr>
              <w:t>1</w:t>
            </w:r>
          </w:p>
        </w:tc>
        <w:tc>
          <w:tcPr>
            <w:tcW w:w="0" w:type="auto"/>
            <w:noWrap/>
            <w:vAlign w:val="bottom"/>
            <w:hideMark/>
          </w:tcPr>
          <w:p w14:paraId="0E69477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7E701F5"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74430584" w14:textId="77777777" w:rsidR="00000000" w:rsidRDefault="00EF48A2">
            <w:pPr>
              <w:pStyle w:val="a3"/>
              <w:spacing w:before="0" w:beforeAutospacing="0" w:after="0" w:afterAutospacing="0"/>
              <w:jc w:val="right"/>
              <w:rPr>
                <w:sz w:val="18"/>
                <w:szCs w:val="18"/>
              </w:rPr>
            </w:pPr>
            <w:r>
              <w:rPr>
                <w:sz w:val="18"/>
                <w:szCs w:val="18"/>
              </w:rPr>
              <w:t>*</w:t>
            </w:r>
          </w:p>
        </w:tc>
        <w:tc>
          <w:tcPr>
            <w:tcW w:w="0" w:type="auto"/>
            <w:vAlign w:val="bottom"/>
            <w:hideMark/>
          </w:tcPr>
          <w:p w14:paraId="4A37A059"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530F58D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ED0EAA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FC6F6BC" w14:textId="77777777" w:rsidR="00000000" w:rsidRDefault="00EF48A2">
            <w:pPr>
              <w:pStyle w:val="a3"/>
              <w:spacing w:before="0" w:beforeAutospacing="0" w:after="0" w:afterAutospacing="0"/>
              <w:jc w:val="right"/>
              <w:rPr>
                <w:sz w:val="20"/>
                <w:szCs w:val="20"/>
              </w:rPr>
            </w:pPr>
            <w:r>
              <w:rPr>
                <w:sz w:val="18"/>
                <w:szCs w:val="18"/>
              </w:rPr>
              <w:t>60</w:t>
            </w:r>
            <w:r>
              <w:rPr>
                <w:sz w:val="18"/>
                <w:szCs w:val="18"/>
              </w:rPr>
              <w:t>9</w:t>
            </w:r>
          </w:p>
        </w:tc>
        <w:tc>
          <w:tcPr>
            <w:tcW w:w="0" w:type="auto"/>
            <w:noWrap/>
            <w:vAlign w:val="bottom"/>
            <w:hideMark/>
          </w:tcPr>
          <w:p w14:paraId="0EF483F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5780D6C"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9A7CEE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5B8AE76"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909B02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3B8508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0F5AB3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BB595CC" w14:textId="77777777" w:rsidR="00000000" w:rsidRDefault="00EF48A2">
            <w:pPr>
              <w:pStyle w:val="a3"/>
              <w:spacing w:before="0" w:beforeAutospacing="0" w:after="0" w:afterAutospacing="0"/>
              <w:jc w:val="right"/>
              <w:rPr>
                <w:sz w:val="20"/>
                <w:szCs w:val="20"/>
              </w:rPr>
            </w:pPr>
            <w:r>
              <w:rPr>
                <w:sz w:val="18"/>
                <w:szCs w:val="18"/>
              </w:rPr>
              <w:t>60</w:t>
            </w:r>
            <w:r>
              <w:rPr>
                <w:sz w:val="18"/>
                <w:szCs w:val="18"/>
              </w:rPr>
              <w:t>9</w:t>
            </w:r>
          </w:p>
        </w:tc>
        <w:tc>
          <w:tcPr>
            <w:tcW w:w="0" w:type="auto"/>
            <w:noWrap/>
            <w:vAlign w:val="bottom"/>
            <w:hideMark/>
          </w:tcPr>
          <w:p w14:paraId="10409DE3" w14:textId="77777777" w:rsidR="00000000" w:rsidRDefault="00EF48A2">
            <w:pPr>
              <w:pStyle w:val="a3"/>
              <w:spacing w:before="0" w:beforeAutospacing="0" w:after="0" w:afterAutospacing="0"/>
              <w:rPr>
                <w:sz w:val="18"/>
                <w:szCs w:val="18"/>
              </w:rPr>
            </w:pPr>
            <w:r>
              <w:rPr>
                <w:sz w:val="18"/>
                <w:szCs w:val="18"/>
              </w:rPr>
              <w:t> </w:t>
            </w:r>
          </w:p>
        </w:tc>
      </w:tr>
      <w:tr w:rsidR="00000000" w14:paraId="4A8B62E5" w14:textId="77777777">
        <w:trPr>
          <w:trHeight w:val="180"/>
          <w:tblCellSpacing w:w="15" w:type="dxa"/>
        </w:trPr>
        <w:tc>
          <w:tcPr>
            <w:tcW w:w="0" w:type="auto"/>
            <w:hideMark/>
          </w:tcPr>
          <w:p w14:paraId="030919F6" w14:textId="77777777" w:rsidR="00000000" w:rsidRDefault="00EF48A2">
            <w:pPr>
              <w:pStyle w:val="a3"/>
              <w:spacing w:before="0" w:beforeAutospacing="0" w:after="0" w:afterAutospacing="0"/>
              <w:rPr>
                <w:sz w:val="18"/>
                <w:szCs w:val="18"/>
              </w:rPr>
            </w:pPr>
            <w:r>
              <w:rPr>
                <w:sz w:val="18"/>
                <w:szCs w:val="18"/>
              </w:rPr>
              <w:t>Acquisition of warrant</w:t>
            </w:r>
            <w:r>
              <w:rPr>
                <w:sz w:val="18"/>
                <w:szCs w:val="18"/>
              </w:rPr>
              <w:t>s</w:t>
            </w:r>
          </w:p>
        </w:tc>
        <w:tc>
          <w:tcPr>
            <w:tcW w:w="0" w:type="auto"/>
            <w:vAlign w:val="bottom"/>
            <w:hideMark/>
          </w:tcPr>
          <w:p w14:paraId="0F35A22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79B477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B120DD4"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EA9572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1825F6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1927DD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BF1390D"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20269EA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4A1E9D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29520F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E1E9C9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76A262C"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E472D3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B9F736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F1ADBC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46F602D"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FC97F6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0288EB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EF7103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735E7D2" w14:textId="77777777" w:rsidR="00000000" w:rsidRDefault="00EF48A2">
            <w:pPr>
              <w:pStyle w:val="a3"/>
              <w:spacing w:before="0" w:beforeAutospacing="0" w:after="0" w:afterAutospacing="0"/>
              <w:jc w:val="right"/>
              <w:rPr>
                <w:sz w:val="20"/>
                <w:szCs w:val="20"/>
              </w:rPr>
            </w:pPr>
            <w:r>
              <w:rPr>
                <w:sz w:val="18"/>
                <w:szCs w:val="18"/>
              </w:rPr>
              <w:t>27,94</w:t>
            </w:r>
            <w:r>
              <w:rPr>
                <w:sz w:val="18"/>
                <w:szCs w:val="18"/>
              </w:rPr>
              <w:t>5</w:t>
            </w:r>
          </w:p>
        </w:tc>
        <w:tc>
          <w:tcPr>
            <w:tcW w:w="0" w:type="auto"/>
            <w:noWrap/>
            <w:vAlign w:val="bottom"/>
            <w:hideMark/>
          </w:tcPr>
          <w:p w14:paraId="7A0B34F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AFB9AC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16CD2C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6DEEF05"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184345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7D79BF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586D70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0F30268" w14:textId="77777777" w:rsidR="00000000" w:rsidRDefault="00EF48A2">
            <w:pPr>
              <w:pStyle w:val="a3"/>
              <w:spacing w:before="0" w:beforeAutospacing="0" w:after="0" w:afterAutospacing="0"/>
              <w:jc w:val="right"/>
              <w:rPr>
                <w:sz w:val="20"/>
                <w:szCs w:val="20"/>
              </w:rPr>
            </w:pPr>
            <w:r>
              <w:rPr>
                <w:sz w:val="18"/>
                <w:szCs w:val="18"/>
              </w:rPr>
              <w:t>27,94</w:t>
            </w:r>
            <w:r>
              <w:rPr>
                <w:sz w:val="18"/>
                <w:szCs w:val="18"/>
              </w:rPr>
              <w:t>5</w:t>
            </w:r>
          </w:p>
        </w:tc>
        <w:tc>
          <w:tcPr>
            <w:tcW w:w="0" w:type="auto"/>
            <w:noWrap/>
            <w:vAlign w:val="bottom"/>
            <w:hideMark/>
          </w:tcPr>
          <w:p w14:paraId="05AFF660" w14:textId="77777777" w:rsidR="00000000" w:rsidRDefault="00EF48A2">
            <w:pPr>
              <w:pStyle w:val="a3"/>
              <w:spacing w:before="0" w:beforeAutospacing="0" w:after="0" w:afterAutospacing="0"/>
              <w:rPr>
                <w:sz w:val="18"/>
                <w:szCs w:val="18"/>
              </w:rPr>
            </w:pPr>
            <w:r>
              <w:rPr>
                <w:sz w:val="18"/>
                <w:szCs w:val="18"/>
              </w:rPr>
              <w:t> </w:t>
            </w:r>
          </w:p>
        </w:tc>
      </w:tr>
      <w:tr w:rsidR="00000000" w14:paraId="425625EB" w14:textId="77777777">
        <w:trPr>
          <w:trHeight w:val="180"/>
          <w:tblCellSpacing w:w="15" w:type="dxa"/>
        </w:trPr>
        <w:tc>
          <w:tcPr>
            <w:tcW w:w="0" w:type="auto"/>
            <w:hideMark/>
          </w:tcPr>
          <w:p w14:paraId="605DBBFF" w14:textId="77777777" w:rsidR="00000000" w:rsidRDefault="00EF48A2">
            <w:pPr>
              <w:pStyle w:val="a3"/>
              <w:spacing w:before="0" w:beforeAutospacing="0" w:after="0" w:afterAutospacing="0"/>
              <w:rPr>
                <w:sz w:val="18"/>
                <w:szCs w:val="18"/>
              </w:rPr>
            </w:pPr>
            <w:r>
              <w:rPr>
                <w:sz w:val="18"/>
                <w:szCs w:val="18"/>
              </w:rPr>
              <w:t>Preferred stock conversio</w:t>
            </w:r>
            <w:r>
              <w:rPr>
                <w:sz w:val="18"/>
                <w:szCs w:val="18"/>
              </w:rPr>
              <w:t>n</w:t>
            </w:r>
          </w:p>
        </w:tc>
        <w:tc>
          <w:tcPr>
            <w:tcW w:w="0" w:type="auto"/>
            <w:vAlign w:val="bottom"/>
            <w:hideMark/>
          </w:tcPr>
          <w:p w14:paraId="0702073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3DACFA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C5DD067" w14:textId="77777777" w:rsidR="00000000" w:rsidRDefault="00EF48A2">
            <w:pPr>
              <w:pStyle w:val="a3"/>
              <w:spacing w:before="0" w:beforeAutospacing="0" w:after="0" w:afterAutospacing="0"/>
              <w:jc w:val="right"/>
              <w:rPr>
                <w:sz w:val="20"/>
                <w:szCs w:val="20"/>
              </w:rPr>
            </w:pPr>
            <w:r>
              <w:rPr>
                <w:sz w:val="18"/>
                <w:szCs w:val="18"/>
              </w:rPr>
              <w:t>(</w:t>
            </w:r>
            <w:r>
              <w:rPr>
                <w:sz w:val="18"/>
                <w:szCs w:val="18"/>
              </w:rPr>
              <w:t>94,582,55</w:t>
            </w:r>
            <w:r>
              <w:rPr>
                <w:sz w:val="18"/>
                <w:szCs w:val="18"/>
              </w:rPr>
              <w:t>0</w:t>
            </w:r>
          </w:p>
        </w:tc>
        <w:tc>
          <w:tcPr>
            <w:tcW w:w="0" w:type="auto"/>
            <w:noWrap/>
            <w:vAlign w:val="bottom"/>
            <w:hideMark/>
          </w:tcPr>
          <w:p w14:paraId="2610CDDF"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6DB69E4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1E3FC5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2536B24" w14:textId="77777777" w:rsidR="00000000" w:rsidRDefault="00EF48A2">
            <w:pPr>
              <w:pStyle w:val="a3"/>
              <w:spacing w:before="0" w:beforeAutospacing="0" w:after="0" w:afterAutospacing="0"/>
              <w:jc w:val="right"/>
              <w:rPr>
                <w:sz w:val="20"/>
                <w:szCs w:val="20"/>
              </w:rPr>
            </w:pPr>
            <w:r>
              <w:rPr>
                <w:sz w:val="18"/>
                <w:szCs w:val="18"/>
              </w:rPr>
              <w:t>(</w:t>
            </w:r>
            <w:r>
              <w:rPr>
                <w:sz w:val="18"/>
                <w:szCs w:val="18"/>
              </w:rPr>
              <w:t>111,28</w:t>
            </w:r>
            <w:r>
              <w:rPr>
                <w:sz w:val="18"/>
                <w:szCs w:val="18"/>
              </w:rPr>
              <w:t>2</w:t>
            </w:r>
          </w:p>
        </w:tc>
        <w:tc>
          <w:tcPr>
            <w:tcW w:w="0" w:type="auto"/>
            <w:noWrap/>
            <w:vAlign w:val="bottom"/>
            <w:hideMark/>
          </w:tcPr>
          <w:p w14:paraId="05423B5E"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58EC3F3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A42186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4AF88E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D22E8A4" w14:textId="77777777" w:rsidR="00000000" w:rsidRDefault="00EF48A2">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14:paraId="6F43D1A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7CF4AC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674EDB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ED15B01" w14:textId="77777777" w:rsidR="00000000" w:rsidRDefault="00EF48A2">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14:paraId="509D0C0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3E454FF"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99D814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A75FF1A" w14:textId="77777777" w:rsidR="00000000" w:rsidRDefault="00EF48A2">
            <w:pPr>
              <w:pStyle w:val="a3"/>
              <w:spacing w:before="0" w:beforeAutospacing="0" w:after="0" w:afterAutospacing="0"/>
              <w:jc w:val="right"/>
              <w:rPr>
                <w:sz w:val="20"/>
                <w:szCs w:val="20"/>
              </w:rPr>
            </w:pPr>
            <w:r>
              <w:rPr>
                <w:sz w:val="18"/>
                <w:szCs w:val="18"/>
              </w:rPr>
              <w:t>111,27</w:t>
            </w:r>
            <w:r>
              <w:rPr>
                <w:sz w:val="18"/>
                <w:szCs w:val="18"/>
              </w:rPr>
              <w:t>2</w:t>
            </w:r>
          </w:p>
        </w:tc>
        <w:tc>
          <w:tcPr>
            <w:tcW w:w="0" w:type="auto"/>
            <w:noWrap/>
            <w:vAlign w:val="bottom"/>
            <w:hideMark/>
          </w:tcPr>
          <w:p w14:paraId="6BC84EA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E7E3E1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C203DD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BF119FB"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B7E607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A487EF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A3C991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1CAA1EA" w14:textId="77777777" w:rsidR="00000000" w:rsidRDefault="00EF48A2">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14:paraId="25B24036" w14:textId="77777777" w:rsidR="00000000" w:rsidRDefault="00EF48A2">
            <w:pPr>
              <w:pStyle w:val="a3"/>
              <w:spacing w:before="0" w:beforeAutospacing="0" w:after="0" w:afterAutospacing="0"/>
              <w:rPr>
                <w:sz w:val="18"/>
                <w:szCs w:val="18"/>
              </w:rPr>
            </w:pPr>
            <w:r>
              <w:rPr>
                <w:sz w:val="18"/>
                <w:szCs w:val="18"/>
              </w:rPr>
              <w:t> </w:t>
            </w:r>
          </w:p>
        </w:tc>
      </w:tr>
      <w:tr w:rsidR="00000000" w14:paraId="51380AF9" w14:textId="77777777">
        <w:trPr>
          <w:trHeight w:val="180"/>
          <w:tblCellSpacing w:w="15" w:type="dxa"/>
        </w:trPr>
        <w:tc>
          <w:tcPr>
            <w:tcW w:w="0" w:type="auto"/>
            <w:hideMark/>
          </w:tcPr>
          <w:p w14:paraId="7DF97B17" w14:textId="77777777" w:rsidR="00000000" w:rsidRDefault="00EF48A2">
            <w:pPr>
              <w:pStyle w:val="a3"/>
              <w:spacing w:before="0" w:beforeAutospacing="0" w:after="0" w:afterAutospacing="0"/>
              <w:rPr>
                <w:sz w:val="18"/>
                <w:szCs w:val="18"/>
              </w:rPr>
            </w:pPr>
            <w:r>
              <w:rPr>
                <w:sz w:val="18"/>
                <w:szCs w:val="18"/>
              </w:rPr>
              <w:t>Issuance of common stock in connection with</w:t>
            </w:r>
            <w:r>
              <w:rPr>
                <w:sz w:val="18"/>
                <w:szCs w:val="18"/>
              </w:rPr>
              <w:br/>
            </w:r>
            <w:r>
              <w:rPr>
                <w:sz w:val="18"/>
                <w:szCs w:val="18"/>
              </w:rPr>
              <w:t>Business Combination and PIPE offering, net of</w:t>
            </w:r>
            <w:r>
              <w:rPr>
                <w:sz w:val="18"/>
                <w:szCs w:val="18"/>
              </w:rPr>
              <w:br/>
              <w:t>issuance cost</w:t>
            </w:r>
            <w:r>
              <w:rPr>
                <w:sz w:val="18"/>
                <w:szCs w:val="18"/>
              </w:rPr>
              <w:t>s</w:t>
            </w:r>
          </w:p>
        </w:tc>
        <w:tc>
          <w:tcPr>
            <w:tcW w:w="0" w:type="auto"/>
            <w:vAlign w:val="bottom"/>
            <w:hideMark/>
          </w:tcPr>
          <w:p w14:paraId="66F40F93"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C065BB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AFA1343"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6C1D49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506A51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AF8283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D2B9D0C"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D34B1B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993C4C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4F1D333"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C40267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41176E2" w14:textId="77777777" w:rsidR="00000000" w:rsidRDefault="00EF48A2">
            <w:pPr>
              <w:pStyle w:val="a3"/>
              <w:spacing w:before="0" w:beforeAutospacing="0" w:after="0" w:afterAutospacing="0"/>
              <w:jc w:val="right"/>
              <w:rPr>
                <w:sz w:val="20"/>
                <w:szCs w:val="20"/>
              </w:rPr>
            </w:pPr>
            <w:r>
              <w:rPr>
                <w:sz w:val="18"/>
                <w:szCs w:val="18"/>
              </w:rPr>
              <w:t>40,858,05</w:t>
            </w:r>
            <w:r>
              <w:rPr>
                <w:sz w:val="18"/>
                <w:szCs w:val="18"/>
              </w:rPr>
              <w:t>3</w:t>
            </w:r>
          </w:p>
        </w:tc>
        <w:tc>
          <w:tcPr>
            <w:tcW w:w="0" w:type="auto"/>
            <w:noWrap/>
            <w:vAlign w:val="bottom"/>
            <w:hideMark/>
          </w:tcPr>
          <w:p w14:paraId="4D0A7E0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692197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DE840F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211809F" w14:textId="77777777" w:rsidR="00000000" w:rsidRDefault="00EF48A2">
            <w:pPr>
              <w:pStyle w:val="a3"/>
              <w:spacing w:before="0" w:beforeAutospacing="0" w:after="0" w:afterAutospacing="0"/>
              <w:jc w:val="right"/>
              <w:rPr>
                <w:sz w:val="20"/>
                <w:szCs w:val="20"/>
              </w:rPr>
            </w:pPr>
            <w:r>
              <w:rPr>
                <w:sz w:val="18"/>
                <w:szCs w:val="18"/>
              </w:rPr>
              <w:t>4</w:t>
            </w:r>
          </w:p>
        </w:tc>
        <w:tc>
          <w:tcPr>
            <w:tcW w:w="0" w:type="auto"/>
            <w:noWrap/>
            <w:vAlign w:val="bottom"/>
            <w:hideMark/>
          </w:tcPr>
          <w:p w14:paraId="548050B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9A661F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F090B8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90B5EB4" w14:textId="77777777" w:rsidR="00000000" w:rsidRDefault="00EF48A2">
            <w:pPr>
              <w:pStyle w:val="a3"/>
              <w:spacing w:before="0" w:beforeAutospacing="0" w:after="0" w:afterAutospacing="0"/>
              <w:jc w:val="right"/>
              <w:rPr>
                <w:sz w:val="20"/>
                <w:szCs w:val="20"/>
              </w:rPr>
            </w:pPr>
            <w:r>
              <w:rPr>
                <w:sz w:val="18"/>
                <w:szCs w:val="18"/>
              </w:rPr>
              <w:t>184,93</w:t>
            </w:r>
            <w:r>
              <w:rPr>
                <w:sz w:val="18"/>
                <w:szCs w:val="18"/>
              </w:rPr>
              <w:t>6</w:t>
            </w:r>
          </w:p>
        </w:tc>
        <w:tc>
          <w:tcPr>
            <w:tcW w:w="0" w:type="auto"/>
            <w:noWrap/>
            <w:vAlign w:val="bottom"/>
            <w:hideMark/>
          </w:tcPr>
          <w:p w14:paraId="443D0F7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587D7B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76AA4B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13E3E20"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BE2214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D23577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FE0472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A177158" w14:textId="77777777" w:rsidR="00000000" w:rsidRDefault="00EF48A2">
            <w:pPr>
              <w:pStyle w:val="a3"/>
              <w:spacing w:before="0" w:beforeAutospacing="0" w:after="0" w:afterAutospacing="0"/>
              <w:jc w:val="right"/>
              <w:rPr>
                <w:sz w:val="20"/>
                <w:szCs w:val="20"/>
              </w:rPr>
            </w:pPr>
            <w:r>
              <w:rPr>
                <w:sz w:val="18"/>
                <w:szCs w:val="18"/>
              </w:rPr>
              <w:t>184,94</w:t>
            </w:r>
            <w:r>
              <w:rPr>
                <w:sz w:val="18"/>
                <w:szCs w:val="18"/>
              </w:rPr>
              <w:t>0</w:t>
            </w:r>
          </w:p>
        </w:tc>
        <w:tc>
          <w:tcPr>
            <w:tcW w:w="0" w:type="auto"/>
            <w:noWrap/>
            <w:vAlign w:val="bottom"/>
            <w:hideMark/>
          </w:tcPr>
          <w:p w14:paraId="706441AA" w14:textId="77777777" w:rsidR="00000000" w:rsidRDefault="00EF48A2">
            <w:pPr>
              <w:pStyle w:val="a3"/>
              <w:spacing w:before="0" w:beforeAutospacing="0" w:after="0" w:afterAutospacing="0"/>
              <w:rPr>
                <w:sz w:val="18"/>
                <w:szCs w:val="18"/>
              </w:rPr>
            </w:pPr>
            <w:r>
              <w:rPr>
                <w:sz w:val="18"/>
                <w:szCs w:val="18"/>
              </w:rPr>
              <w:t> </w:t>
            </w:r>
          </w:p>
        </w:tc>
      </w:tr>
      <w:tr w:rsidR="00000000" w14:paraId="23A5F107" w14:textId="77777777">
        <w:trPr>
          <w:trHeight w:val="180"/>
          <w:tblCellSpacing w:w="15" w:type="dxa"/>
        </w:trPr>
        <w:tc>
          <w:tcPr>
            <w:tcW w:w="0" w:type="auto"/>
            <w:hideMark/>
          </w:tcPr>
          <w:p w14:paraId="6E09C1CE" w14:textId="77777777" w:rsidR="00000000" w:rsidRDefault="00EF48A2">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075CE36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18C280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8E77C70"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39DB8D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4C9F0DF"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22A54C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D035838"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45C34D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063BD1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D5958BF"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7AE5ED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77A4F6D"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A45EE3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7D0000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19EF7A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A8F57A0"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821511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12FDF00"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48AFD6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3295DAB"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14FB5AD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9D99FF0"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CD970E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CCC7EDF" w14:textId="77777777" w:rsidR="00000000" w:rsidRDefault="00EF48A2">
            <w:pPr>
              <w:pStyle w:val="a3"/>
              <w:spacing w:before="0" w:beforeAutospacing="0" w:after="0" w:afterAutospacing="0"/>
              <w:jc w:val="right"/>
              <w:rPr>
                <w:sz w:val="20"/>
                <w:szCs w:val="20"/>
              </w:rPr>
            </w:pPr>
            <w:r>
              <w:rPr>
                <w:sz w:val="18"/>
                <w:szCs w:val="18"/>
              </w:rPr>
              <w:t>(</w:t>
            </w:r>
            <w:r>
              <w:rPr>
                <w:sz w:val="18"/>
                <w:szCs w:val="18"/>
              </w:rPr>
              <w:t>62,74</w:t>
            </w:r>
            <w:r>
              <w:rPr>
                <w:sz w:val="18"/>
                <w:szCs w:val="18"/>
              </w:rPr>
              <w:t>2</w:t>
            </w:r>
          </w:p>
        </w:tc>
        <w:tc>
          <w:tcPr>
            <w:tcW w:w="0" w:type="auto"/>
            <w:noWrap/>
            <w:vAlign w:val="bottom"/>
            <w:hideMark/>
          </w:tcPr>
          <w:p w14:paraId="0C2BF2BA"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0D0B8883"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E80D33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F34E090" w14:textId="77777777" w:rsidR="00000000" w:rsidRDefault="00EF48A2">
            <w:pPr>
              <w:pStyle w:val="a3"/>
              <w:spacing w:before="0" w:beforeAutospacing="0" w:after="0" w:afterAutospacing="0"/>
              <w:jc w:val="right"/>
              <w:rPr>
                <w:sz w:val="20"/>
                <w:szCs w:val="20"/>
              </w:rPr>
            </w:pPr>
            <w:r>
              <w:rPr>
                <w:sz w:val="18"/>
                <w:szCs w:val="18"/>
              </w:rPr>
              <w:t>(</w:t>
            </w:r>
            <w:r>
              <w:rPr>
                <w:sz w:val="18"/>
                <w:szCs w:val="18"/>
              </w:rPr>
              <w:t>62,74</w:t>
            </w:r>
            <w:r>
              <w:rPr>
                <w:sz w:val="18"/>
                <w:szCs w:val="18"/>
              </w:rPr>
              <w:t>2</w:t>
            </w:r>
          </w:p>
        </w:tc>
        <w:tc>
          <w:tcPr>
            <w:tcW w:w="0" w:type="auto"/>
            <w:noWrap/>
            <w:vAlign w:val="bottom"/>
            <w:hideMark/>
          </w:tcPr>
          <w:p w14:paraId="2A97FBDC" w14:textId="77777777" w:rsidR="00000000" w:rsidRDefault="00EF48A2">
            <w:pPr>
              <w:pStyle w:val="a3"/>
              <w:spacing w:before="0" w:beforeAutospacing="0" w:after="0" w:afterAutospacing="0"/>
              <w:rPr>
                <w:sz w:val="18"/>
                <w:szCs w:val="18"/>
              </w:rPr>
            </w:pPr>
            <w:r>
              <w:rPr>
                <w:sz w:val="18"/>
                <w:szCs w:val="18"/>
              </w:rPr>
              <w:t>)</w:t>
            </w:r>
          </w:p>
        </w:tc>
      </w:tr>
      <w:tr w:rsidR="00000000" w14:paraId="2D28F876" w14:textId="77777777">
        <w:trPr>
          <w:trHeight w:val="180"/>
          <w:tblCellSpacing w:w="15" w:type="dxa"/>
        </w:trPr>
        <w:tc>
          <w:tcPr>
            <w:tcW w:w="0" w:type="auto"/>
            <w:hideMark/>
          </w:tcPr>
          <w:p w14:paraId="301C65AC" w14:textId="77777777" w:rsidR="00000000" w:rsidRDefault="00EF48A2">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14:paraId="4C753FF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922CCD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718B768" w14:textId="77777777" w:rsidR="00000000" w:rsidRDefault="00EF48A2">
            <w:pPr>
              <w:pStyle w:val="a3"/>
              <w:spacing w:before="0" w:beforeAutospacing="0" w:after="0" w:afterAutospacing="0"/>
              <w:jc w:val="right"/>
              <w:rPr>
                <w:sz w:val="20"/>
                <w:szCs w:val="20"/>
              </w:rPr>
            </w:pPr>
            <w:r>
              <w:rPr>
                <w:sz w:val="18"/>
                <w:szCs w:val="18"/>
              </w:rPr>
              <w:t>—</w:t>
            </w:r>
          </w:p>
        </w:tc>
        <w:tc>
          <w:tcPr>
            <w:tcW w:w="0" w:type="auto"/>
            <w:noWrap/>
            <w:vAlign w:val="bottom"/>
            <w:hideMark/>
          </w:tcPr>
          <w:p w14:paraId="6A40FB2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9F0EADA"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A6E908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EAC4584" w14:textId="77777777" w:rsidR="00000000" w:rsidRDefault="00EF48A2">
            <w:pPr>
              <w:pStyle w:val="a3"/>
              <w:spacing w:before="0" w:beforeAutospacing="0" w:after="0" w:afterAutospacing="0"/>
              <w:jc w:val="right"/>
              <w:rPr>
                <w:sz w:val="20"/>
                <w:szCs w:val="20"/>
              </w:rPr>
            </w:pPr>
            <w:r>
              <w:rPr>
                <w:sz w:val="18"/>
                <w:szCs w:val="18"/>
              </w:rPr>
              <w:t>—</w:t>
            </w:r>
          </w:p>
        </w:tc>
        <w:tc>
          <w:tcPr>
            <w:tcW w:w="0" w:type="auto"/>
            <w:noWrap/>
            <w:vAlign w:val="bottom"/>
            <w:hideMark/>
          </w:tcPr>
          <w:p w14:paraId="41F3C00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F1BB08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45003E9"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2CB2C57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14DDBBD" w14:textId="77777777" w:rsidR="00000000" w:rsidRDefault="00EF48A2">
            <w:pPr>
              <w:pStyle w:val="a3"/>
              <w:spacing w:before="0" w:beforeAutospacing="0" w:after="0" w:afterAutospacing="0"/>
              <w:jc w:val="right"/>
              <w:rPr>
                <w:sz w:val="20"/>
                <w:szCs w:val="20"/>
              </w:rPr>
            </w:pPr>
            <w:r>
              <w:rPr>
                <w:sz w:val="18"/>
                <w:szCs w:val="18"/>
              </w:rPr>
              <w:t>152,862,44</w:t>
            </w:r>
            <w:r>
              <w:rPr>
                <w:sz w:val="18"/>
                <w:szCs w:val="18"/>
              </w:rPr>
              <w:t>7</w:t>
            </w:r>
          </w:p>
        </w:tc>
        <w:tc>
          <w:tcPr>
            <w:tcW w:w="0" w:type="auto"/>
            <w:noWrap/>
            <w:vAlign w:val="bottom"/>
            <w:hideMark/>
          </w:tcPr>
          <w:p w14:paraId="02F3D16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EB4496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5710C7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CF77750" w14:textId="77777777" w:rsidR="00000000" w:rsidRDefault="00EF48A2">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14:paraId="5CA9023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AC7D79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FA7B31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F8E92BC" w14:textId="77777777" w:rsidR="00000000" w:rsidRDefault="00EF48A2">
            <w:pPr>
              <w:pStyle w:val="a3"/>
              <w:spacing w:before="0" w:beforeAutospacing="0" w:after="0" w:afterAutospacing="0"/>
              <w:jc w:val="right"/>
              <w:rPr>
                <w:sz w:val="20"/>
                <w:szCs w:val="20"/>
              </w:rPr>
            </w:pPr>
            <w:r>
              <w:rPr>
                <w:sz w:val="18"/>
                <w:szCs w:val="18"/>
              </w:rPr>
              <w:t>363,78</w:t>
            </w:r>
            <w:r>
              <w:rPr>
                <w:sz w:val="18"/>
                <w:szCs w:val="18"/>
              </w:rPr>
              <w:t>8</w:t>
            </w:r>
          </w:p>
        </w:tc>
        <w:tc>
          <w:tcPr>
            <w:tcW w:w="0" w:type="auto"/>
            <w:noWrap/>
            <w:vAlign w:val="bottom"/>
            <w:hideMark/>
          </w:tcPr>
          <w:p w14:paraId="3BA0092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58C8C6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BF3978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B08C16D" w14:textId="77777777" w:rsidR="00000000" w:rsidRDefault="00EF48A2">
            <w:pPr>
              <w:pStyle w:val="a3"/>
              <w:spacing w:before="0" w:beforeAutospacing="0" w:after="0" w:afterAutospacing="0"/>
              <w:jc w:val="right"/>
              <w:rPr>
                <w:sz w:val="20"/>
                <w:szCs w:val="20"/>
              </w:rPr>
            </w:pPr>
            <w:r>
              <w:rPr>
                <w:sz w:val="18"/>
                <w:szCs w:val="18"/>
              </w:rPr>
              <w:t>(</w:t>
            </w:r>
            <w:r>
              <w:rPr>
                <w:sz w:val="18"/>
                <w:szCs w:val="18"/>
              </w:rPr>
              <w:t>171,53</w:t>
            </w:r>
            <w:r>
              <w:rPr>
                <w:sz w:val="18"/>
                <w:szCs w:val="18"/>
              </w:rPr>
              <w:t>0</w:t>
            </w:r>
          </w:p>
        </w:tc>
        <w:tc>
          <w:tcPr>
            <w:tcW w:w="0" w:type="auto"/>
            <w:noWrap/>
            <w:vAlign w:val="bottom"/>
            <w:hideMark/>
          </w:tcPr>
          <w:p w14:paraId="29F15308"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2A0B2AF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97CA73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E26CBA2" w14:textId="77777777" w:rsidR="00000000" w:rsidRDefault="00EF48A2">
            <w:pPr>
              <w:pStyle w:val="a3"/>
              <w:spacing w:before="0" w:beforeAutospacing="0" w:after="0" w:afterAutospacing="0"/>
              <w:jc w:val="right"/>
              <w:rPr>
                <w:sz w:val="20"/>
                <w:szCs w:val="20"/>
              </w:rPr>
            </w:pPr>
            <w:r>
              <w:rPr>
                <w:sz w:val="18"/>
                <w:szCs w:val="18"/>
              </w:rPr>
              <w:t>192,27</w:t>
            </w:r>
            <w:r>
              <w:rPr>
                <w:sz w:val="18"/>
                <w:szCs w:val="18"/>
              </w:rPr>
              <w:t>3</w:t>
            </w:r>
          </w:p>
        </w:tc>
        <w:tc>
          <w:tcPr>
            <w:tcW w:w="0" w:type="auto"/>
            <w:noWrap/>
            <w:vAlign w:val="bottom"/>
            <w:hideMark/>
          </w:tcPr>
          <w:p w14:paraId="015ECE9C" w14:textId="77777777" w:rsidR="00000000" w:rsidRDefault="00EF48A2">
            <w:pPr>
              <w:pStyle w:val="a3"/>
              <w:spacing w:before="0" w:beforeAutospacing="0" w:after="0" w:afterAutospacing="0"/>
              <w:rPr>
                <w:sz w:val="18"/>
                <w:szCs w:val="18"/>
              </w:rPr>
            </w:pPr>
            <w:r>
              <w:rPr>
                <w:sz w:val="18"/>
                <w:szCs w:val="18"/>
              </w:rPr>
              <w:t> </w:t>
            </w:r>
          </w:p>
        </w:tc>
      </w:tr>
      <w:tr w:rsidR="00000000" w14:paraId="082DC173" w14:textId="77777777">
        <w:trPr>
          <w:trHeight w:val="180"/>
          <w:tblCellSpacing w:w="15" w:type="dxa"/>
        </w:trPr>
        <w:tc>
          <w:tcPr>
            <w:tcW w:w="0" w:type="auto"/>
            <w:hideMark/>
          </w:tcPr>
          <w:p w14:paraId="17D08CC7" w14:textId="77777777" w:rsidR="00000000" w:rsidRDefault="00EF48A2">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36B57F5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BE2913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DE9EF74"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294146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5DE7B9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33946F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76396FE"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2A4696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86BE70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E8A351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7233C0D"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DC374E5" w14:textId="77777777" w:rsidR="00000000" w:rsidRDefault="00EF48A2">
            <w:pPr>
              <w:pStyle w:val="a3"/>
              <w:spacing w:before="0" w:beforeAutospacing="0" w:after="0" w:afterAutospacing="0"/>
              <w:jc w:val="right"/>
              <w:rPr>
                <w:sz w:val="20"/>
                <w:szCs w:val="20"/>
              </w:rPr>
            </w:pPr>
            <w:r>
              <w:rPr>
                <w:sz w:val="18"/>
                <w:szCs w:val="18"/>
              </w:rPr>
              <w:t>5,331,63</w:t>
            </w:r>
            <w:r>
              <w:rPr>
                <w:sz w:val="18"/>
                <w:szCs w:val="18"/>
              </w:rPr>
              <w:t>4</w:t>
            </w:r>
          </w:p>
        </w:tc>
        <w:tc>
          <w:tcPr>
            <w:tcW w:w="0" w:type="auto"/>
            <w:noWrap/>
            <w:vAlign w:val="bottom"/>
            <w:hideMark/>
          </w:tcPr>
          <w:p w14:paraId="7E685B8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48CC22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270055B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2E50C45" w14:textId="77777777" w:rsidR="00000000" w:rsidRDefault="00EF48A2">
            <w:pPr>
              <w:pStyle w:val="a3"/>
              <w:spacing w:before="0" w:beforeAutospacing="0" w:after="0" w:afterAutospacing="0"/>
              <w:jc w:val="right"/>
              <w:rPr>
                <w:sz w:val="20"/>
                <w:szCs w:val="20"/>
              </w:rPr>
            </w:pPr>
            <w:r>
              <w:rPr>
                <w:sz w:val="18"/>
                <w:szCs w:val="18"/>
              </w:rPr>
              <w:t>1</w:t>
            </w:r>
          </w:p>
        </w:tc>
        <w:tc>
          <w:tcPr>
            <w:tcW w:w="0" w:type="auto"/>
            <w:noWrap/>
            <w:vAlign w:val="bottom"/>
            <w:hideMark/>
          </w:tcPr>
          <w:p w14:paraId="3814952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8AAA3B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557F70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AABB26F" w14:textId="77777777" w:rsidR="00000000" w:rsidRDefault="00EF48A2">
            <w:pPr>
              <w:pStyle w:val="a3"/>
              <w:spacing w:before="0" w:beforeAutospacing="0" w:after="0" w:afterAutospacing="0"/>
              <w:jc w:val="right"/>
              <w:rPr>
                <w:sz w:val="20"/>
                <w:szCs w:val="20"/>
              </w:rPr>
            </w:pPr>
            <w:r>
              <w:rPr>
                <w:sz w:val="18"/>
                <w:szCs w:val="18"/>
              </w:rPr>
              <w:t>3,18</w:t>
            </w:r>
            <w:r>
              <w:rPr>
                <w:sz w:val="18"/>
                <w:szCs w:val="18"/>
              </w:rPr>
              <w:t>0</w:t>
            </w:r>
          </w:p>
        </w:tc>
        <w:tc>
          <w:tcPr>
            <w:tcW w:w="0" w:type="auto"/>
            <w:noWrap/>
            <w:vAlign w:val="bottom"/>
            <w:hideMark/>
          </w:tcPr>
          <w:p w14:paraId="57E93AB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97D877F"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FC3DBE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7D7A1FB"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166DE01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03ABE4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8A18CA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89E59C9" w14:textId="77777777" w:rsidR="00000000" w:rsidRDefault="00EF48A2">
            <w:pPr>
              <w:pStyle w:val="a3"/>
              <w:spacing w:before="0" w:beforeAutospacing="0" w:after="0" w:afterAutospacing="0"/>
              <w:jc w:val="right"/>
              <w:rPr>
                <w:sz w:val="20"/>
                <w:szCs w:val="20"/>
              </w:rPr>
            </w:pPr>
            <w:r>
              <w:rPr>
                <w:sz w:val="18"/>
                <w:szCs w:val="18"/>
              </w:rPr>
              <w:t>3,18</w:t>
            </w:r>
            <w:r>
              <w:rPr>
                <w:sz w:val="18"/>
                <w:szCs w:val="18"/>
              </w:rPr>
              <w:t>1</w:t>
            </w:r>
          </w:p>
        </w:tc>
        <w:tc>
          <w:tcPr>
            <w:tcW w:w="0" w:type="auto"/>
            <w:noWrap/>
            <w:vAlign w:val="bottom"/>
            <w:hideMark/>
          </w:tcPr>
          <w:p w14:paraId="5DE72971" w14:textId="77777777" w:rsidR="00000000" w:rsidRDefault="00EF48A2">
            <w:pPr>
              <w:pStyle w:val="a3"/>
              <w:spacing w:before="0" w:beforeAutospacing="0" w:after="0" w:afterAutospacing="0"/>
              <w:rPr>
                <w:sz w:val="18"/>
                <w:szCs w:val="18"/>
              </w:rPr>
            </w:pPr>
            <w:r>
              <w:rPr>
                <w:sz w:val="18"/>
                <w:szCs w:val="18"/>
              </w:rPr>
              <w:t> </w:t>
            </w:r>
          </w:p>
        </w:tc>
      </w:tr>
      <w:tr w:rsidR="00000000" w14:paraId="2680AC42" w14:textId="77777777">
        <w:trPr>
          <w:trHeight w:val="180"/>
          <w:tblCellSpacing w:w="15" w:type="dxa"/>
        </w:trPr>
        <w:tc>
          <w:tcPr>
            <w:tcW w:w="0" w:type="auto"/>
            <w:hideMark/>
          </w:tcPr>
          <w:p w14:paraId="5E6313BF" w14:textId="77777777" w:rsidR="00000000" w:rsidRDefault="00EF48A2">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14:paraId="19F95E5B"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0EA585FB"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7F119525"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609397AA"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192E2BE7"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1B56F9EA"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72BE33F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5DB654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CC99F5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DF20C04" w14:textId="77777777" w:rsidR="00000000" w:rsidRDefault="00EF48A2">
            <w:pPr>
              <w:pStyle w:val="a3"/>
              <w:spacing w:before="0" w:beforeAutospacing="0" w:after="0" w:afterAutospacing="0"/>
              <w:jc w:val="right"/>
              <w:rPr>
                <w:sz w:val="20"/>
                <w:szCs w:val="20"/>
              </w:rPr>
            </w:pPr>
            <w:r>
              <w:rPr>
                <w:sz w:val="18"/>
                <w:szCs w:val="18"/>
              </w:rPr>
              <w:t>2,960,94</w:t>
            </w:r>
            <w:r>
              <w:rPr>
                <w:sz w:val="18"/>
                <w:szCs w:val="18"/>
              </w:rPr>
              <w:t>9</w:t>
            </w:r>
          </w:p>
        </w:tc>
        <w:tc>
          <w:tcPr>
            <w:tcW w:w="0" w:type="auto"/>
            <w:noWrap/>
            <w:vAlign w:val="bottom"/>
            <w:hideMark/>
          </w:tcPr>
          <w:p w14:paraId="79C3DFA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A66E5CC" w14:textId="77777777" w:rsidR="00000000" w:rsidRDefault="00EF48A2">
            <w:pPr>
              <w:pStyle w:val="a3"/>
              <w:spacing w:before="0" w:beforeAutospacing="0" w:after="0" w:afterAutospacing="0"/>
              <w:rPr>
                <w:sz w:val="18"/>
                <w:szCs w:val="18"/>
              </w:rPr>
            </w:pPr>
            <w:r>
              <w:rPr>
                <w:sz w:val="18"/>
                <w:szCs w:val="18"/>
              </w:rPr>
              <w:t> </w:t>
            </w:r>
          </w:p>
        </w:tc>
        <w:tc>
          <w:tcPr>
            <w:tcW w:w="0" w:type="auto"/>
            <w:gridSpan w:val="2"/>
            <w:vAlign w:val="bottom"/>
            <w:hideMark/>
          </w:tcPr>
          <w:p w14:paraId="088AB9E0" w14:textId="77777777" w:rsidR="00000000" w:rsidRDefault="00EF48A2">
            <w:pPr>
              <w:pStyle w:val="a3"/>
              <w:spacing w:before="0" w:beforeAutospacing="0" w:after="0" w:afterAutospacing="0"/>
              <w:jc w:val="right"/>
              <w:rPr>
                <w:sz w:val="18"/>
                <w:szCs w:val="18"/>
              </w:rPr>
            </w:pPr>
            <w:r>
              <w:rPr>
                <w:sz w:val="18"/>
                <w:szCs w:val="18"/>
              </w:rPr>
              <w:t>*</w:t>
            </w:r>
          </w:p>
        </w:tc>
        <w:tc>
          <w:tcPr>
            <w:tcW w:w="0" w:type="auto"/>
            <w:vAlign w:val="bottom"/>
            <w:hideMark/>
          </w:tcPr>
          <w:p w14:paraId="4D097607" w14:textId="77777777" w:rsidR="00000000" w:rsidRDefault="00EF48A2">
            <w:pPr>
              <w:pStyle w:val="a3"/>
              <w:spacing w:before="0" w:beforeAutospacing="0" w:after="0" w:afterAutospacing="0"/>
              <w:jc w:val="right"/>
              <w:rPr>
                <w:sz w:val="18"/>
                <w:szCs w:val="18"/>
              </w:rPr>
            </w:pPr>
            <w:r>
              <w:rPr>
                <w:sz w:val="18"/>
                <w:szCs w:val="18"/>
              </w:rPr>
              <w:t> </w:t>
            </w:r>
          </w:p>
        </w:tc>
        <w:tc>
          <w:tcPr>
            <w:tcW w:w="0" w:type="auto"/>
            <w:vAlign w:val="bottom"/>
            <w:hideMark/>
          </w:tcPr>
          <w:p w14:paraId="7F01D87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4DA129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D08F2AB" w14:textId="77777777" w:rsidR="00000000" w:rsidRDefault="00EF48A2">
            <w:pPr>
              <w:pStyle w:val="a3"/>
              <w:spacing w:before="0" w:beforeAutospacing="0" w:after="0" w:afterAutospacing="0"/>
              <w:jc w:val="right"/>
              <w:rPr>
                <w:sz w:val="20"/>
                <w:szCs w:val="20"/>
              </w:rPr>
            </w:pPr>
            <w:r>
              <w:rPr>
                <w:sz w:val="18"/>
                <w:szCs w:val="18"/>
              </w:rPr>
              <w:t>(</w:t>
            </w:r>
            <w:r>
              <w:rPr>
                <w:sz w:val="18"/>
                <w:szCs w:val="18"/>
              </w:rPr>
              <w:t>36</w:t>
            </w:r>
            <w:r>
              <w:rPr>
                <w:sz w:val="18"/>
                <w:szCs w:val="18"/>
              </w:rPr>
              <w:t>2</w:t>
            </w:r>
          </w:p>
        </w:tc>
        <w:tc>
          <w:tcPr>
            <w:tcW w:w="0" w:type="auto"/>
            <w:noWrap/>
            <w:vAlign w:val="bottom"/>
            <w:hideMark/>
          </w:tcPr>
          <w:p w14:paraId="1B525799"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40F75B61"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C79670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873ADF4"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58E514B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758E80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8CB3BA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7BD267B" w14:textId="77777777" w:rsidR="00000000" w:rsidRDefault="00EF48A2">
            <w:pPr>
              <w:pStyle w:val="a3"/>
              <w:spacing w:before="0" w:beforeAutospacing="0" w:after="0" w:afterAutospacing="0"/>
              <w:jc w:val="right"/>
              <w:rPr>
                <w:sz w:val="20"/>
                <w:szCs w:val="20"/>
              </w:rPr>
            </w:pPr>
            <w:r>
              <w:rPr>
                <w:sz w:val="18"/>
                <w:szCs w:val="18"/>
              </w:rPr>
              <w:t>(</w:t>
            </w:r>
            <w:r>
              <w:rPr>
                <w:sz w:val="18"/>
                <w:szCs w:val="18"/>
              </w:rPr>
              <w:t>36</w:t>
            </w:r>
            <w:r>
              <w:rPr>
                <w:sz w:val="18"/>
                <w:szCs w:val="18"/>
              </w:rPr>
              <w:t>2</w:t>
            </w:r>
          </w:p>
        </w:tc>
        <w:tc>
          <w:tcPr>
            <w:tcW w:w="0" w:type="auto"/>
            <w:noWrap/>
            <w:vAlign w:val="bottom"/>
            <w:hideMark/>
          </w:tcPr>
          <w:p w14:paraId="7E79ECDC" w14:textId="77777777" w:rsidR="00000000" w:rsidRDefault="00EF48A2">
            <w:pPr>
              <w:pStyle w:val="a3"/>
              <w:spacing w:before="0" w:beforeAutospacing="0" w:after="0" w:afterAutospacing="0"/>
              <w:rPr>
                <w:sz w:val="18"/>
                <w:szCs w:val="18"/>
              </w:rPr>
            </w:pPr>
            <w:r>
              <w:rPr>
                <w:sz w:val="18"/>
                <w:szCs w:val="18"/>
              </w:rPr>
              <w:t>)</w:t>
            </w:r>
          </w:p>
        </w:tc>
      </w:tr>
      <w:tr w:rsidR="00000000" w14:paraId="5F0616F1" w14:textId="77777777">
        <w:trPr>
          <w:trHeight w:val="180"/>
          <w:tblCellSpacing w:w="15" w:type="dxa"/>
        </w:trPr>
        <w:tc>
          <w:tcPr>
            <w:tcW w:w="0" w:type="auto"/>
            <w:hideMark/>
          </w:tcPr>
          <w:p w14:paraId="315D2F07" w14:textId="77777777" w:rsidR="00000000" w:rsidRDefault="00EF48A2">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5EE1EB3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C09AEB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A80877C"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6FDA743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AA854F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6D0679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421E55D"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336909C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FA843A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5390269"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71E69B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4C93BDC"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270A463C"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035211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21428F0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174B63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57F0CD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61C31B4"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2AB969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BBBF9CA" w14:textId="77777777" w:rsidR="00000000" w:rsidRDefault="00EF48A2">
            <w:pPr>
              <w:pStyle w:val="a3"/>
              <w:spacing w:before="0" w:beforeAutospacing="0" w:after="0" w:afterAutospacing="0"/>
              <w:jc w:val="right"/>
              <w:rPr>
                <w:sz w:val="20"/>
                <w:szCs w:val="20"/>
              </w:rPr>
            </w:pPr>
            <w:r>
              <w:rPr>
                <w:sz w:val="18"/>
                <w:szCs w:val="18"/>
              </w:rPr>
              <w:t>12,11</w:t>
            </w:r>
            <w:r>
              <w:rPr>
                <w:sz w:val="18"/>
                <w:szCs w:val="18"/>
              </w:rPr>
              <w:t>6</w:t>
            </w:r>
          </w:p>
        </w:tc>
        <w:tc>
          <w:tcPr>
            <w:tcW w:w="0" w:type="auto"/>
            <w:noWrap/>
            <w:vAlign w:val="bottom"/>
            <w:hideMark/>
          </w:tcPr>
          <w:p w14:paraId="356A8E61"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3E4EA7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003BF29"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AC938E5"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1498A17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E76A72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68F725A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C6BA6F8" w14:textId="77777777" w:rsidR="00000000" w:rsidRDefault="00EF48A2">
            <w:pPr>
              <w:pStyle w:val="a3"/>
              <w:spacing w:before="0" w:beforeAutospacing="0" w:after="0" w:afterAutospacing="0"/>
              <w:jc w:val="right"/>
              <w:rPr>
                <w:sz w:val="20"/>
                <w:szCs w:val="20"/>
              </w:rPr>
            </w:pPr>
            <w:r>
              <w:rPr>
                <w:sz w:val="18"/>
                <w:szCs w:val="18"/>
              </w:rPr>
              <w:t>12,11</w:t>
            </w:r>
            <w:r>
              <w:rPr>
                <w:sz w:val="18"/>
                <w:szCs w:val="18"/>
              </w:rPr>
              <w:t>6</w:t>
            </w:r>
          </w:p>
        </w:tc>
        <w:tc>
          <w:tcPr>
            <w:tcW w:w="0" w:type="auto"/>
            <w:noWrap/>
            <w:vAlign w:val="bottom"/>
            <w:hideMark/>
          </w:tcPr>
          <w:p w14:paraId="78F1603E" w14:textId="77777777" w:rsidR="00000000" w:rsidRDefault="00EF48A2">
            <w:pPr>
              <w:pStyle w:val="a3"/>
              <w:spacing w:before="0" w:beforeAutospacing="0" w:after="0" w:afterAutospacing="0"/>
              <w:rPr>
                <w:sz w:val="18"/>
                <w:szCs w:val="18"/>
              </w:rPr>
            </w:pPr>
            <w:r>
              <w:rPr>
                <w:sz w:val="18"/>
                <w:szCs w:val="18"/>
              </w:rPr>
              <w:t> </w:t>
            </w:r>
          </w:p>
        </w:tc>
      </w:tr>
      <w:tr w:rsidR="00000000" w14:paraId="6B3F7ECA" w14:textId="77777777">
        <w:trPr>
          <w:trHeight w:val="180"/>
          <w:tblCellSpacing w:w="15" w:type="dxa"/>
        </w:trPr>
        <w:tc>
          <w:tcPr>
            <w:tcW w:w="0" w:type="auto"/>
            <w:hideMark/>
          </w:tcPr>
          <w:p w14:paraId="07AB1576" w14:textId="77777777" w:rsidR="00000000" w:rsidRDefault="00EF48A2">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496317A6"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98F159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13C3D5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F09F344"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BC66E8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68B8CA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29FF1C7"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7D0B5CF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7F9A148"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EAD1A40"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1D4F3F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719F7DED"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0EAEE656"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6C720D2"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042FF3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546B708"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24E868A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303A01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3D226362"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B4B8131" w14:textId="77777777" w:rsidR="00000000" w:rsidRDefault="00EF48A2">
            <w:pPr>
              <w:pStyle w:val="a3"/>
              <w:spacing w:before="0" w:beforeAutospacing="0" w:after="0" w:afterAutospacing="0"/>
              <w:jc w:val="right"/>
              <w:rPr>
                <w:sz w:val="18"/>
                <w:szCs w:val="18"/>
              </w:rPr>
            </w:pPr>
            <w:r>
              <w:rPr>
                <w:sz w:val="18"/>
                <w:szCs w:val="18"/>
              </w:rPr>
              <w:t>—</w:t>
            </w:r>
          </w:p>
        </w:tc>
        <w:tc>
          <w:tcPr>
            <w:tcW w:w="0" w:type="auto"/>
            <w:noWrap/>
            <w:vAlign w:val="bottom"/>
            <w:hideMark/>
          </w:tcPr>
          <w:p w14:paraId="4AA8166F"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D716DE0"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3910423"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D58A3C9" w14:textId="77777777" w:rsidR="00000000" w:rsidRDefault="00EF48A2">
            <w:pPr>
              <w:pStyle w:val="a3"/>
              <w:spacing w:before="0" w:beforeAutospacing="0" w:after="0" w:afterAutospacing="0"/>
              <w:jc w:val="right"/>
              <w:rPr>
                <w:sz w:val="20"/>
                <w:szCs w:val="20"/>
              </w:rPr>
            </w:pPr>
            <w:r>
              <w:rPr>
                <w:sz w:val="18"/>
                <w:szCs w:val="18"/>
              </w:rPr>
              <w:t>(</w:t>
            </w:r>
            <w:r>
              <w:rPr>
                <w:sz w:val="18"/>
                <w:szCs w:val="18"/>
              </w:rPr>
              <w:t>79,67</w:t>
            </w:r>
            <w:r>
              <w:rPr>
                <w:sz w:val="18"/>
                <w:szCs w:val="18"/>
              </w:rPr>
              <w:t>2</w:t>
            </w:r>
          </w:p>
        </w:tc>
        <w:tc>
          <w:tcPr>
            <w:tcW w:w="0" w:type="auto"/>
            <w:noWrap/>
            <w:vAlign w:val="bottom"/>
            <w:hideMark/>
          </w:tcPr>
          <w:p w14:paraId="6C900D3D"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6D58D85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4707320"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68FD4D4B" w14:textId="77777777" w:rsidR="00000000" w:rsidRDefault="00EF48A2">
            <w:pPr>
              <w:pStyle w:val="a3"/>
              <w:spacing w:before="0" w:beforeAutospacing="0" w:after="0" w:afterAutospacing="0"/>
              <w:jc w:val="right"/>
              <w:rPr>
                <w:sz w:val="20"/>
                <w:szCs w:val="20"/>
              </w:rPr>
            </w:pPr>
            <w:r>
              <w:rPr>
                <w:sz w:val="18"/>
                <w:szCs w:val="18"/>
              </w:rPr>
              <w:t>(</w:t>
            </w:r>
            <w:r>
              <w:rPr>
                <w:sz w:val="18"/>
                <w:szCs w:val="18"/>
              </w:rPr>
              <w:t>79,67</w:t>
            </w:r>
            <w:r>
              <w:rPr>
                <w:sz w:val="18"/>
                <w:szCs w:val="18"/>
              </w:rPr>
              <w:t>2</w:t>
            </w:r>
          </w:p>
        </w:tc>
        <w:tc>
          <w:tcPr>
            <w:tcW w:w="0" w:type="auto"/>
            <w:noWrap/>
            <w:vAlign w:val="bottom"/>
            <w:hideMark/>
          </w:tcPr>
          <w:p w14:paraId="588B18B3" w14:textId="77777777" w:rsidR="00000000" w:rsidRDefault="00EF48A2">
            <w:pPr>
              <w:pStyle w:val="a3"/>
              <w:spacing w:before="0" w:beforeAutospacing="0" w:after="0" w:afterAutospacing="0"/>
              <w:rPr>
                <w:sz w:val="18"/>
                <w:szCs w:val="18"/>
              </w:rPr>
            </w:pPr>
            <w:r>
              <w:rPr>
                <w:sz w:val="18"/>
                <w:szCs w:val="18"/>
              </w:rPr>
              <w:t>)</w:t>
            </w:r>
          </w:p>
        </w:tc>
      </w:tr>
      <w:tr w:rsidR="00000000" w14:paraId="5EF2A332" w14:textId="77777777">
        <w:trPr>
          <w:trHeight w:val="180"/>
          <w:tblCellSpacing w:w="15" w:type="dxa"/>
        </w:trPr>
        <w:tc>
          <w:tcPr>
            <w:tcW w:w="0" w:type="auto"/>
            <w:hideMark/>
          </w:tcPr>
          <w:p w14:paraId="7DEFFD92" w14:textId="77777777" w:rsidR="00000000" w:rsidRDefault="00EF48A2">
            <w:pPr>
              <w:pStyle w:val="a3"/>
              <w:spacing w:before="0" w:beforeAutospacing="0" w:after="0" w:afterAutospacing="0"/>
              <w:rPr>
                <w:sz w:val="18"/>
                <w:szCs w:val="18"/>
              </w:rPr>
            </w:pPr>
            <w:r>
              <w:rPr>
                <w:sz w:val="18"/>
                <w:szCs w:val="18"/>
              </w:rPr>
              <w:t>Balance as of December 31, 202</w:t>
            </w:r>
            <w:r>
              <w:rPr>
                <w:sz w:val="18"/>
                <w:szCs w:val="18"/>
              </w:rPr>
              <w:t>2</w:t>
            </w:r>
          </w:p>
        </w:tc>
        <w:tc>
          <w:tcPr>
            <w:tcW w:w="0" w:type="auto"/>
            <w:vAlign w:val="bottom"/>
            <w:hideMark/>
          </w:tcPr>
          <w:p w14:paraId="7ADFC358"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75560A2A"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0D0EF90" w14:textId="77777777" w:rsidR="00000000" w:rsidRDefault="00EF48A2">
            <w:pPr>
              <w:pStyle w:val="a3"/>
              <w:spacing w:before="0" w:beforeAutospacing="0" w:after="0" w:afterAutospacing="0"/>
              <w:jc w:val="right"/>
              <w:rPr>
                <w:sz w:val="20"/>
                <w:szCs w:val="20"/>
              </w:rPr>
            </w:pPr>
            <w:r>
              <w:rPr>
                <w:sz w:val="18"/>
                <w:szCs w:val="18"/>
              </w:rPr>
              <w:t>—</w:t>
            </w:r>
          </w:p>
        </w:tc>
        <w:tc>
          <w:tcPr>
            <w:tcW w:w="0" w:type="auto"/>
            <w:noWrap/>
            <w:vAlign w:val="bottom"/>
            <w:hideMark/>
          </w:tcPr>
          <w:p w14:paraId="6A8315F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1EF9155"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1EA749F0"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12CC50C9" w14:textId="77777777" w:rsidR="00000000" w:rsidRDefault="00EF48A2">
            <w:pPr>
              <w:pStyle w:val="a3"/>
              <w:spacing w:before="0" w:beforeAutospacing="0" w:after="0" w:afterAutospacing="0"/>
              <w:jc w:val="right"/>
              <w:rPr>
                <w:sz w:val="20"/>
                <w:szCs w:val="20"/>
              </w:rPr>
            </w:pPr>
            <w:r>
              <w:rPr>
                <w:sz w:val="18"/>
                <w:szCs w:val="18"/>
              </w:rPr>
              <w:t>—</w:t>
            </w:r>
          </w:p>
        </w:tc>
        <w:tc>
          <w:tcPr>
            <w:tcW w:w="0" w:type="auto"/>
            <w:noWrap/>
            <w:vAlign w:val="bottom"/>
            <w:hideMark/>
          </w:tcPr>
          <w:p w14:paraId="4343E54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1EBF4F0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2C47738B"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C287795"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47807209" w14:textId="77777777" w:rsidR="00000000" w:rsidRDefault="00EF48A2">
            <w:pPr>
              <w:pStyle w:val="a3"/>
              <w:spacing w:before="0" w:beforeAutospacing="0" w:after="0" w:afterAutospacing="0"/>
              <w:jc w:val="right"/>
              <w:rPr>
                <w:sz w:val="20"/>
                <w:szCs w:val="20"/>
              </w:rPr>
            </w:pPr>
            <w:r>
              <w:rPr>
                <w:sz w:val="18"/>
                <w:szCs w:val="18"/>
              </w:rPr>
              <w:t>161,155,03</w:t>
            </w:r>
            <w:r>
              <w:rPr>
                <w:sz w:val="18"/>
                <w:szCs w:val="18"/>
              </w:rPr>
              <w:t>0</w:t>
            </w:r>
          </w:p>
        </w:tc>
        <w:tc>
          <w:tcPr>
            <w:tcW w:w="0" w:type="auto"/>
            <w:noWrap/>
            <w:vAlign w:val="bottom"/>
            <w:hideMark/>
          </w:tcPr>
          <w:p w14:paraId="25A3941E"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0F761C5E"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412AF0FB"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276B94D1" w14:textId="77777777" w:rsidR="00000000" w:rsidRDefault="00EF48A2">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14:paraId="6538E247"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524D9B27"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6460D73"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487EA5EE" w14:textId="77777777" w:rsidR="00000000" w:rsidRDefault="00EF48A2">
            <w:pPr>
              <w:pStyle w:val="a3"/>
              <w:spacing w:before="0" w:beforeAutospacing="0" w:after="0" w:afterAutospacing="0"/>
              <w:jc w:val="right"/>
              <w:rPr>
                <w:sz w:val="20"/>
                <w:szCs w:val="20"/>
              </w:rPr>
            </w:pPr>
            <w:r>
              <w:rPr>
                <w:sz w:val="18"/>
                <w:szCs w:val="18"/>
              </w:rPr>
              <w:t>378,72</w:t>
            </w:r>
            <w:r>
              <w:rPr>
                <w:sz w:val="18"/>
                <w:szCs w:val="18"/>
              </w:rPr>
              <w:t>2</w:t>
            </w:r>
          </w:p>
        </w:tc>
        <w:tc>
          <w:tcPr>
            <w:tcW w:w="0" w:type="auto"/>
            <w:noWrap/>
            <w:vAlign w:val="bottom"/>
            <w:hideMark/>
          </w:tcPr>
          <w:p w14:paraId="3DB07B4B" w14:textId="77777777" w:rsidR="00000000" w:rsidRDefault="00EF48A2">
            <w:pPr>
              <w:pStyle w:val="a3"/>
              <w:spacing w:before="0" w:beforeAutospacing="0" w:after="0" w:afterAutospacing="0"/>
              <w:rPr>
                <w:sz w:val="18"/>
                <w:szCs w:val="18"/>
              </w:rPr>
            </w:pPr>
            <w:r>
              <w:rPr>
                <w:sz w:val="18"/>
                <w:szCs w:val="18"/>
              </w:rPr>
              <w:t> </w:t>
            </w:r>
          </w:p>
        </w:tc>
        <w:tc>
          <w:tcPr>
            <w:tcW w:w="0" w:type="auto"/>
            <w:vAlign w:val="bottom"/>
            <w:hideMark/>
          </w:tcPr>
          <w:p w14:paraId="3676D24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076E9696"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3893BE53" w14:textId="77777777" w:rsidR="00000000" w:rsidRDefault="00EF48A2">
            <w:pPr>
              <w:pStyle w:val="a3"/>
              <w:spacing w:before="0" w:beforeAutospacing="0" w:after="0" w:afterAutospacing="0"/>
              <w:jc w:val="right"/>
              <w:rPr>
                <w:sz w:val="20"/>
                <w:szCs w:val="20"/>
              </w:rPr>
            </w:pPr>
            <w:r>
              <w:rPr>
                <w:sz w:val="18"/>
                <w:szCs w:val="18"/>
              </w:rPr>
              <w:t>(</w:t>
            </w:r>
            <w:r>
              <w:rPr>
                <w:sz w:val="18"/>
                <w:szCs w:val="18"/>
              </w:rPr>
              <w:t>251,20</w:t>
            </w:r>
            <w:r>
              <w:rPr>
                <w:sz w:val="18"/>
                <w:szCs w:val="18"/>
              </w:rPr>
              <w:t>2</w:t>
            </w:r>
          </w:p>
        </w:tc>
        <w:tc>
          <w:tcPr>
            <w:tcW w:w="0" w:type="auto"/>
            <w:noWrap/>
            <w:vAlign w:val="bottom"/>
            <w:hideMark/>
          </w:tcPr>
          <w:p w14:paraId="16F95B15"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772801CD" w14:textId="77777777" w:rsidR="00000000" w:rsidRDefault="00EF48A2">
            <w:pPr>
              <w:pStyle w:val="a3"/>
              <w:spacing w:before="0" w:beforeAutospacing="0" w:after="0" w:afterAutospacing="0"/>
              <w:rPr>
                <w:sz w:val="18"/>
                <w:szCs w:val="18"/>
              </w:rPr>
            </w:pPr>
            <w:r>
              <w:rPr>
                <w:sz w:val="18"/>
                <w:szCs w:val="18"/>
              </w:rPr>
              <w:t> </w:t>
            </w:r>
          </w:p>
        </w:tc>
        <w:tc>
          <w:tcPr>
            <w:tcW w:w="0" w:type="auto"/>
            <w:noWrap/>
            <w:vAlign w:val="bottom"/>
            <w:hideMark/>
          </w:tcPr>
          <w:p w14:paraId="54DA191F" w14:textId="77777777" w:rsidR="00000000" w:rsidRDefault="00EF48A2">
            <w:pPr>
              <w:pStyle w:val="a3"/>
              <w:spacing w:before="0" w:beforeAutospacing="0" w:after="0" w:afterAutospacing="0"/>
              <w:rPr>
                <w:sz w:val="18"/>
                <w:szCs w:val="18"/>
              </w:rPr>
            </w:pPr>
            <w:r>
              <w:rPr>
                <w:sz w:val="18"/>
                <w:szCs w:val="18"/>
              </w:rPr>
              <w:t>$</w:t>
            </w:r>
          </w:p>
        </w:tc>
        <w:tc>
          <w:tcPr>
            <w:tcW w:w="0" w:type="auto"/>
            <w:vAlign w:val="bottom"/>
            <w:hideMark/>
          </w:tcPr>
          <w:p w14:paraId="4E0299A5" w14:textId="77777777" w:rsidR="00000000" w:rsidRDefault="00EF48A2">
            <w:pPr>
              <w:pStyle w:val="a3"/>
              <w:spacing w:before="0" w:beforeAutospacing="0" w:after="0" w:afterAutospacing="0"/>
              <w:jc w:val="right"/>
              <w:rPr>
                <w:sz w:val="20"/>
                <w:szCs w:val="20"/>
              </w:rPr>
            </w:pPr>
            <w:r>
              <w:rPr>
                <w:sz w:val="18"/>
                <w:szCs w:val="18"/>
              </w:rPr>
              <w:t>127,53</w:t>
            </w:r>
            <w:r>
              <w:rPr>
                <w:sz w:val="18"/>
                <w:szCs w:val="18"/>
              </w:rPr>
              <w:t>6</w:t>
            </w:r>
          </w:p>
        </w:tc>
        <w:tc>
          <w:tcPr>
            <w:tcW w:w="0" w:type="auto"/>
            <w:noWrap/>
            <w:vAlign w:val="bottom"/>
            <w:hideMark/>
          </w:tcPr>
          <w:p w14:paraId="54CD318C" w14:textId="77777777" w:rsidR="00000000" w:rsidRDefault="00EF48A2">
            <w:pPr>
              <w:pStyle w:val="a3"/>
              <w:spacing w:before="0" w:beforeAutospacing="0" w:after="0" w:afterAutospacing="0"/>
              <w:rPr>
                <w:sz w:val="18"/>
                <w:szCs w:val="18"/>
              </w:rPr>
            </w:pPr>
            <w:r>
              <w:rPr>
                <w:sz w:val="18"/>
                <w:szCs w:val="18"/>
              </w:rPr>
              <w:t> </w:t>
            </w:r>
          </w:p>
        </w:tc>
      </w:tr>
    </w:tbl>
    <w:p w14:paraId="1D6B9F1D" w14:textId="77777777" w:rsidR="00000000" w:rsidRDefault="00EF48A2">
      <w:pPr>
        <w:pStyle w:val="a3"/>
        <w:spacing w:before="0" w:beforeAutospacing="0" w:after="0" w:afterAutospacing="0"/>
        <w:rPr>
          <w:sz w:val="20"/>
          <w:szCs w:val="20"/>
        </w:rPr>
      </w:pPr>
      <w:r>
        <w:t> </w:t>
      </w:r>
    </w:p>
    <w:p w14:paraId="44C3EF3B" w14:textId="77777777" w:rsidR="00000000" w:rsidRDefault="00EF48A2">
      <w:pPr>
        <w:pStyle w:val="a3"/>
        <w:spacing w:before="0" w:beforeAutospacing="0" w:after="0" w:afterAutospacing="0"/>
        <w:rPr>
          <w:sz w:val="20"/>
          <w:szCs w:val="20"/>
        </w:rPr>
      </w:pPr>
      <w:r>
        <w:rPr>
          <w:sz w:val="18"/>
          <w:szCs w:val="18"/>
        </w:rPr>
        <w:t>* Represents an amount lower than $</w:t>
      </w:r>
      <w:r>
        <w:rPr>
          <w:sz w:val="18"/>
          <w:szCs w:val="18"/>
        </w:rPr>
        <w:t>1</w:t>
      </w:r>
      <w:r>
        <w:rPr>
          <w:sz w:val="18"/>
          <w:szCs w:val="18"/>
        </w:rPr>
        <w:t xml:space="preserve"> </w:t>
      </w:r>
    </w:p>
    <w:p w14:paraId="2BBD8027" w14:textId="77777777" w:rsidR="00000000" w:rsidRDefault="00EF48A2">
      <w:pPr>
        <w:pStyle w:val="a3"/>
        <w:spacing w:before="2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14:paraId="1FEA2A37" w14:textId="77777777" w:rsidR="00000000" w:rsidRDefault="00EF48A2">
      <w:pPr>
        <w:pStyle w:val="a3"/>
        <w:spacing w:before="0" w:beforeAutospacing="0" w:after="0" w:afterAutospacing="0"/>
        <w:jc w:val="center"/>
        <w:rPr>
          <w:sz w:val="20"/>
          <w:szCs w:val="20"/>
        </w:rPr>
      </w:pPr>
      <w:r>
        <w:rPr>
          <w:sz w:val="20"/>
          <w:szCs w:val="20"/>
        </w:rPr>
        <w:t>6</w:t>
      </w:r>
      <w:r>
        <w:rPr>
          <w:sz w:val="20"/>
          <w:szCs w:val="20"/>
        </w:rPr>
        <w:t>2</w:t>
      </w:r>
    </w:p>
    <w:p w14:paraId="756255D8" w14:textId="77777777" w:rsidR="00000000" w:rsidRDefault="00EF48A2">
      <w:pPr>
        <w:rPr>
          <w:rFonts w:eastAsia="Times New Roman"/>
        </w:rPr>
      </w:pPr>
      <w:r>
        <w:rPr>
          <w:rFonts w:eastAsia="Times New Roman"/>
        </w:rPr>
        <w:pict w14:anchorId="68520009">
          <v:rect id="_x0000_i1089" style="width:0;height:1.5pt" o:hralign="center" o:hrstd="t" o:hr="t" fillcolor="#a0a0a0" stroked="f"/>
        </w:pict>
      </w:r>
    </w:p>
    <w:p w14:paraId="588445D0"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57730A0" w14:textId="77777777" w:rsidR="00000000" w:rsidRDefault="00EF48A2">
      <w:pPr>
        <w:pStyle w:val="a3"/>
        <w:spacing w:before="0" w:beforeAutospacing="0" w:after="0" w:afterAutospacing="0"/>
        <w:jc w:val="center"/>
        <w:rPr>
          <w:sz w:val="20"/>
          <w:szCs w:val="20"/>
        </w:rPr>
      </w:pPr>
      <w:r>
        <w:rPr>
          <w:b/>
          <w:bCs/>
          <w:sz w:val="20"/>
          <w:szCs w:val="20"/>
        </w:rPr>
        <w:t>TALKSPACE, INC</w:t>
      </w:r>
      <w:r>
        <w:rPr>
          <w:b/>
          <w:bCs/>
          <w:sz w:val="20"/>
          <w:szCs w:val="20"/>
        </w:rPr>
        <w:t>.</w:t>
      </w:r>
    </w:p>
    <w:p w14:paraId="289151D4" w14:textId="77777777" w:rsidR="00000000" w:rsidRDefault="00EF48A2">
      <w:pPr>
        <w:pStyle w:val="a3"/>
        <w:spacing w:before="0" w:beforeAutospacing="0" w:after="0" w:afterAutospacing="0"/>
        <w:jc w:val="center"/>
        <w:rPr>
          <w:sz w:val="20"/>
          <w:szCs w:val="20"/>
        </w:rPr>
      </w:pPr>
      <w:r>
        <w:rPr>
          <w:b/>
          <w:bCs/>
          <w:sz w:val="20"/>
          <w:szCs w:val="20"/>
        </w:rPr>
        <w:t>CONSOLIDATED STATEMENTS OF CASH FLOW</w:t>
      </w:r>
      <w:r>
        <w:rPr>
          <w:b/>
          <w:bCs/>
          <w:sz w:val="20"/>
          <w:szCs w:val="20"/>
        </w:rPr>
        <w:t>S</w:t>
      </w:r>
    </w:p>
    <w:p w14:paraId="69FCF47A" w14:textId="77777777" w:rsidR="00000000" w:rsidRDefault="00EF48A2">
      <w:pPr>
        <w:pStyle w:val="a3"/>
        <w:spacing w:before="0" w:beforeAutospacing="0" w:after="0" w:afterAutospacing="0"/>
        <w:jc w:val="center"/>
        <w:rPr>
          <w:sz w:val="20"/>
          <w:szCs w:val="20"/>
        </w:rPr>
      </w:pPr>
      <w:r>
        <w:rPr>
          <w:b/>
          <w:bCs/>
          <w:sz w:val="19"/>
          <w:szCs w:val="19"/>
        </w:rPr>
        <w:t>U.S. dollars in thousand</w:t>
      </w:r>
      <w:r>
        <w:rPr>
          <w:b/>
          <w:bCs/>
          <w:sz w:val="19"/>
          <w:szCs w:val="19"/>
        </w:rPr>
        <w:t>s</w:t>
      </w:r>
    </w:p>
    <w:p w14:paraId="283BCA95" w14:textId="77777777" w:rsidR="00000000" w:rsidRDefault="00EF48A2">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42"/>
        <w:gridCol w:w="110"/>
        <w:gridCol w:w="160"/>
        <w:gridCol w:w="882"/>
        <w:gridCol w:w="127"/>
        <w:gridCol w:w="110"/>
        <w:gridCol w:w="160"/>
        <w:gridCol w:w="882"/>
        <w:gridCol w:w="127"/>
        <w:gridCol w:w="110"/>
        <w:gridCol w:w="160"/>
        <w:gridCol w:w="894"/>
        <w:gridCol w:w="142"/>
      </w:tblGrid>
      <w:tr w:rsidR="00000000" w14:paraId="2F044B25" w14:textId="77777777">
        <w:trPr>
          <w:tblCellSpacing w:w="15" w:type="dxa"/>
        </w:trPr>
        <w:tc>
          <w:tcPr>
            <w:tcW w:w="2804" w:type="pct"/>
            <w:vAlign w:val="center"/>
            <w:hideMark/>
          </w:tcPr>
          <w:p w14:paraId="18D77CF0" w14:textId="77777777" w:rsidR="00000000" w:rsidRDefault="00EF48A2">
            <w:pPr>
              <w:rPr>
                <w:sz w:val="20"/>
                <w:szCs w:val="20"/>
              </w:rPr>
            </w:pPr>
          </w:p>
        </w:tc>
        <w:tc>
          <w:tcPr>
            <w:tcW w:w="62" w:type="pct"/>
            <w:vAlign w:val="center"/>
            <w:hideMark/>
          </w:tcPr>
          <w:p w14:paraId="1DE0CF9E" w14:textId="77777777" w:rsidR="00000000" w:rsidRDefault="00EF48A2">
            <w:pPr>
              <w:rPr>
                <w:rFonts w:eastAsia="Times New Roman"/>
                <w:sz w:val="20"/>
                <w:szCs w:val="20"/>
              </w:rPr>
            </w:pPr>
          </w:p>
        </w:tc>
        <w:tc>
          <w:tcPr>
            <w:tcW w:w="50" w:type="pct"/>
            <w:vAlign w:val="center"/>
            <w:hideMark/>
          </w:tcPr>
          <w:p w14:paraId="54899E5D" w14:textId="77777777" w:rsidR="00000000" w:rsidRDefault="00EF48A2">
            <w:pPr>
              <w:rPr>
                <w:rFonts w:eastAsia="Times New Roman"/>
                <w:sz w:val="20"/>
                <w:szCs w:val="20"/>
              </w:rPr>
            </w:pPr>
          </w:p>
        </w:tc>
        <w:tc>
          <w:tcPr>
            <w:tcW w:w="566" w:type="pct"/>
            <w:vAlign w:val="center"/>
            <w:hideMark/>
          </w:tcPr>
          <w:p w14:paraId="3E8D37F1" w14:textId="77777777" w:rsidR="00000000" w:rsidRDefault="00EF48A2">
            <w:pPr>
              <w:rPr>
                <w:rFonts w:eastAsia="Times New Roman"/>
                <w:sz w:val="20"/>
                <w:szCs w:val="20"/>
              </w:rPr>
            </w:pPr>
          </w:p>
        </w:tc>
        <w:tc>
          <w:tcPr>
            <w:tcW w:w="50" w:type="pct"/>
            <w:vAlign w:val="center"/>
            <w:hideMark/>
          </w:tcPr>
          <w:p w14:paraId="4AA7F071" w14:textId="77777777" w:rsidR="00000000" w:rsidRDefault="00EF48A2">
            <w:pPr>
              <w:rPr>
                <w:rFonts w:eastAsia="Times New Roman"/>
                <w:sz w:val="20"/>
                <w:szCs w:val="20"/>
              </w:rPr>
            </w:pPr>
          </w:p>
        </w:tc>
        <w:tc>
          <w:tcPr>
            <w:tcW w:w="62" w:type="pct"/>
            <w:vAlign w:val="center"/>
            <w:hideMark/>
          </w:tcPr>
          <w:p w14:paraId="27BFFB5D" w14:textId="77777777" w:rsidR="00000000" w:rsidRDefault="00EF48A2">
            <w:pPr>
              <w:rPr>
                <w:rFonts w:eastAsia="Times New Roman"/>
                <w:sz w:val="20"/>
                <w:szCs w:val="20"/>
              </w:rPr>
            </w:pPr>
          </w:p>
        </w:tc>
        <w:tc>
          <w:tcPr>
            <w:tcW w:w="50" w:type="pct"/>
            <w:vAlign w:val="center"/>
            <w:hideMark/>
          </w:tcPr>
          <w:p w14:paraId="0B1AF03C" w14:textId="77777777" w:rsidR="00000000" w:rsidRDefault="00EF48A2">
            <w:pPr>
              <w:rPr>
                <w:rFonts w:eastAsia="Times New Roman"/>
                <w:sz w:val="20"/>
                <w:szCs w:val="20"/>
              </w:rPr>
            </w:pPr>
          </w:p>
        </w:tc>
        <w:tc>
          <w:tcPr>
            <w:tcW w:w="566" w:type="pct"/>
            <w:vAlign w:val="center"/>
            <w:hideMark/>
          </w:tcPr>
          <w:p w14:paraId="237EF249" w14:textId="77777777" w:rsidR="00000000" w:rsidRDefault="00EF48A2">
            <w:pPr>
              <w:rPr>
                <w:rFonts w:eastAsia="Times New Roman"/>
                <w:sz w:val="20"/>
                <w:szCs w:val="20"/>
              </w:rPr>
            </w:pPr>
          </w:p>
        </w:tc>
        <w:tc>
          <w:tcPr>
            <w:tcW w:w="50" w:type="pct"/>
            <w:vAlign w:val="center"/>
            <w:hideMark/>
          </w:tcPr>
          <w:p w14:paraId="58218EBE" w14:textId="77777777" w:rsidR="00000000" w:rsidRDefault="00EF48A2">
            <w:pPr>
              <w:rPr>
                <w:rFonts w:eastAsia="Times New Roman"/>
                <w:sz w:val="20"/>
                <w:szCs w:val="20"/>
              </w:rPr>
            </w:pPr>
          </w:p>
        </w:tc>
        <w:tc>
          <w:tcPr>
            <w:tcW w:w="62" w:type="pct"/>
            <w:vAlign w:val="center"/>
            <w:hideMark/>
          </w:tcPr>
          <w:p w14:paraId="1A6E0005" w14:textId="77777777" w:rsidR="00000000" w:rsidRDefault="00EF48A2">
            <w:pPr>
              <w:rPr>
                <w:rFonts w:eastAsia="Times New Roman"/>
                <w:sz w:val="20"/>
                <w:szCs w:val="20"/>
              </w:rPr>
            </w:pPr>
          </w:p>
        </w:tc>
        <w:tc>
          <w:tcPr>
            <w:tcW w:w="50" w:type="pct"/>
            <w:vAlign w:val="center"/>
            <w:hideMark/>
          </w:tcPr>
          <w:p w14:paraId="09037000" w14:textId="77777777" w:rsidR="00000000" w:rsidRDefault="00EF48A2">
            <w:pPr>
              <w:rPr>
                <w:rFonts w:eastAsia="Times New Roman"/>
                <w:sz w:val="20"/>
                <w:szCs w:val="20"/>
              </w:rPr>
            </w:pPr>
          </w:p>
        </w:tc>
        <w:tc>
          <w:tcPr>
            <w:tcW w:w="573" w:type="pct"/>
            <w:vAlign w:val="center"/>
            <w:hideMark/>
          </w:tcPr>
          <w:p w14:paraId="63EC5B9B" w14:textId="77777777" w:rsidR="00000000" w:rsidRDefault="00EF48A2">
            <w:pPr>
              <w:rPr>
                <w:rFonts w:eastAsia="Times New Roman"/>
                <w:sz w:val="20"/>
                <w:szCs w:val="20"/>
              </w:rPr>
            </w:pPr>
          </w:p>
        </w:tc>
        <w:tc>
          <w:tcPr>
            <w:tcW w:w="50" w:type="pct"/>
            <w:vAlign w:val="center"/>
            <w:hideMark/>
          </w:tcPr>
          <w:p w14:paraId="7D833E91" w14:textId="77777777" w:rsidR="00000000" w:rsidRDefault="00EF48A2">
            <w:pPr>
              <w:rPr>
                <w:rFonts w:eastAsia="Times New Roman"/>
                <w:sz w:val="20"/>
                <w:szCs w:val="20"/>
              </w:rPr>
            </w:pPr>
          </w:p>
        </w:tc>
      </w:tr>
      <w:tr w:rsidR="00000000" w14:paraId="7C990F7C" w14:textId="77777777">
        <w:trPr>
          <w:trHeight w:val="160"/>
          <w:tblCellSpacing w:w="15" w:type="dxa"/>
        </w:trPr>
        <w:tc>
          <w:tcPr>
            <w:tcW w:w="0" w:type="auto"/>
            <w:vAlign w:val="bottom"/>
            <w:hideMark/>
          </w:tcPr>
          <w:p w14:paraId="52C397B1"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349F458E" w14:textId="77777777" w:rsidR="00000000" w:rsidRDefault="00EF48A2">
            <w:pPr>
              <w:pStyle w:val="a3"/>
              <w:spacing w:before="0" w:beforeAutospacing="0" w:after="0" w:afterAutospacing="0"/>
              <w:rPr>
                <w:sz w:val="16"/>
                <w:szCs w:val="16"/>
              </w:rPr>
            </w:pPr>
            <w:r>
              <w:rPr>
                <w:sz w:val="16"/>
                <w:szCs w:val="16"/>
              </w:rPr>
              <w:t> </w:t>
            </w:r>
          </w:p>
        </w:tc>
        <w:tc>
          <w:tcPr>
            <w:tcW w:w="0" w:type="auto"/>
            <w:gridSpan w:val="10"/>
            <w:vAlign w:val="bottom"/>
            <w:hideMark/>
          </w:tcPr>
          <w:p w14:paraId="5D3C33C6"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 31</w:t>
            </w:r>
            <w:r>
              <w:rPr>
                <w:b/>
                <w:bCs/>
                <w:sz w:val="16"/>
                <w:szCs w:val="16"/>
              </w:rPr>
              <w:t>,</w:t>
            </w:r>
          </w:p>
        </w:tc>
        <w:tc>
          <w:tcPr>
            <w:tcW w:w="0" w:type="auto"/>
            <w:vAlign w:val="bottom"/>
            <w:hideMark/>
          </w:tcPr>
          <w:p w14:paraId="699B0EF0"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F522CCB" w14:textId="77777777">
        <w:trPr>
          <w:trHeight w:val="160"/>
          <w:tblCellSpacing w:w="15" w:type="dxa"/>
        </w:trPr>
        <w:tc>
          <w:tcPr>
            <w:tcW w:w="0" w:type="auto"/>
            <w:vAlign w:val="bottom"/>
            <w:hideMark/>
          </w:tcPr>
          <w:p w14:paraId="16F40362"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2A32797B"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6D6B23F8"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24FDB74"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CA2BC72"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A2429F2"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869FC29"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54FB832A"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4FE3CD08"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13D7F86"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BFDAEA9" w14:textId="77777777">
        <w:trPr>
          <w:trHeight w:val="200"/>
          <w:tblCellSpacing w:w="15" w:type="dxa"/>
        </w:trPr>
        <w:tc>
          <w:tcPr>
            <w:tcW w:w="0" w:type="auto"/>
            <w:hideMark/>
          </w:tcPr>
          <w:p w14:paraId="6E8D3DFC" w14:textId="77777777" w:rsidR="00000000" w:rsidRDefault="00EF48A2">
            <w:pPr>
              <w:pStyle w:val="a3"/>
              <w:spacing w:before="0" w:beforeAutospacing="0" w:after="0" w:afterAutospacing="0"/>
              <w:rPr>
                <w:sz w:val="20"/>
                <w:szCs w:val="20"/>
              </w:rPr>
            </w:pPr>
            <w:r>
              <w:rPr>
                <w:b/>
                <w:bCs/>
                <w:sz w:val="20"/>
                <w:szCs w:val="20"/>
                <w:u w:val="single"/>
              </w:rPr>
              <w:t>Cash flows from operating activities</w:t>
            </w:r>
            <w:r>
              <w:rPr>
                <w:b/>
                <w:bCs/>
                <w:sz w:val="20"/>
                <w:szCs w:val="20"/>
                <w:u w:val="single"/>
              </w:rPr>
              <w:t>:</w:t>
            </w:r>
          </w:p>
        </w:tc>
        <w:tc>
          <w:tcPr>
            <w:tcW w:w="0" w:type="auto"/>
            <w:vAlign w:val="bottom"/>
            <w:hideMark/>
          </w:tcPr>
          <w:p w14:paraId="3B8FEF5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BDEEF0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85698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32EA63A"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FABE9C5"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133F73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19FF237"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01BFDC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CE36DF2" w14:textId="77777777" w:rsidR="00000000" w:rsidRDefault="00EF48A2">
            <w:pPr>
              <w:pStyle w:val="a3"/>
              <w:spacing w:before="0" w:beforeAutospacing="0" w:after="0" w:afterAutospacing="0"/>
              <w:jc w:val="right"/>
              <w:rPr>
                <w:sz w:val="20"/>
                <w:szCs w:val="20"/>
              </w:rPr>
            </w:pPr>
            <w:r>
              <w:rPr>
                <w:sz w:val="20"/>
                <w:szCs w:val="20"/>
              </w:rPr>
              <w:t> </w:t>
            </w:r>
          </w:p>
        </w:tc>
      </w:tr>
      <w:tr w:rsidR="00000000" w14:paraId="2B6DB42F" w14:textId="77777777">
        <w:trPr>
          <w:trHeight w:val="200"/>
          <w:tblCellSpacing w:w="15" w:type="dxa"/>
        </w:trPr>
        <w:tc>
          <w:tcPr>
            <w:tcW w:w="0" w:type="auto"/>
            <w:hideMark/>
          </w:tcPr>
          <w:p w14:paraId="5E227823" w14:textId="77777777" w:rsidR="00000000" w:rsidRDefault="00EF48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6B67C26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6992A7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CFF7458"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79,67</w:t>
            </w:r>
            <w:r>
              <w:rPr>
                <w:sz w:val="20"/>
                <w:szCs w:val="20"/>
              </w:rPr>
              <w:t>2</w:t>
            </w:r>
          </w:p>
        </w:tc>
        <w:tc>
          <w:tcPr>
            <w:tcW w:w="0" w:type="auto"/>
            <w:noWrap/>
            <w:vAlign w:val="bottom"/>
            <w:hideMark/>
          </w:tcPr>
          <w:p w14:paraId="2F1F2EA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A4CCE7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F98E43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7774AE0"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62,74</w:t>
            </w:r>
            <w:r>
              <w:rPr>
                <w:sz w:val="20"/>
                <w:szCs w:val="20"/>
              </w:rPr>
              <w:t>2</w:t>
            </w:r>
          </w:p>
        </w:tc>
        <w:tc>
          <w:tcPr>
            <w:tcW w:w="0" w:type="auto"/>
            <w:noWrap/>
            <w:vAlign w:val="bottom"/>
            <w:hideMark/>
          </w:tcPr>
          <w:p w14:paraId="76803EC0"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0F4419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85F33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ED11E6A"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22,37</w:t>
            </w:r>
            <w:r>
              <w:rPr>
                <w:sz w:val="20"/>
                <w:szCs w:val="20"/>
              </w:rPr>
              <w:t>0</w:t>
            </w:r>
          </w:p>
        </w:tc>
        <w:tc>
          <w:tcPr>
            <w:tcW w:w="0" w:type="auto"/>
            <w:noWrap/>
            <w:vAlign w:val="bottom"/>
            <w:hideMark/>
          </w:tcPr>
          <w:p w14:paraId="57888546" w14:textId="77777777" w:rsidR="00000000" w:rsidRDefault="00EF48A2">
            <w:pPr>
              <w:pStyle w:val="a3"/>
              <w:spacing w:before="0" w:beforeAutospacing="0" w:after="0" w:afterAutospacing="0"/>
              <w:rPr>
                <w:sz w:val="20"/>
                <w:szCs w:val="20"/>
              </w:rPr>
            </w:pPr>
            <w:r>
              <w:rPr>
                <w:sz w:val="20"/>
                <w:szCs w:val="20"/>
              </w:rPr>
              <w:t>)</w:t>
            </w:r>
          </w:p>
        </w:tc>
      </w:tr>
      <w:tr w:rsidR="00000000" w14:paraId="09EB500D" w14:textId="77777777">
        <w:trPr>
          <w:trHeight w:val="200"/>
          <w:tblCellSpacing w:w="15" w:type="dxa"/>
        </w:trPr>
        <w:tc>
          <w:tcPr>
            <w:tcW w:w="0" w:type="auto"/>
            <w:hideMark/>
          </w:tcPr>
          <w:p w14:paraId="2AA63C2D" w14:textId="77777777" w:rsidR="00000000" w:rsidRDefault="00EF48A2">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14:paraId="465F60AA"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40C3D3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49435B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4DCF701"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BFCDF9E"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F1B8CC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EF4D370"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160300E"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2203DAF" w14:textId="77777777" w:rsidR="00000000" w:rsidRDefault="00EF48A2">
            <w:pPr>
              <w:pStyle w:val="a3"/>
              <w:spacing w:before="0" w:beforeAutospacing="0" w:after="0" w:afterAutospacing="0"/>
              <w:jc w:val="right"/>
              <w:rPr>
                <w:sz w:val="20"/>
                <w:szCs w:val="20"/>
              </w:rPr>
            </w:pPr>
            <w:r>
              <w:rPr>
                <w:sz w:val="20"/>
                <w:szCs w:val="20"/>
              </w:rPr>
              <w:t> </w:t>
            </w:r>
          </w:p>
        </w:tc>
      </w:tr>
      <w:tr w:rsidR="00000000" w14:paraId="511375B7" w14:textId="77777777">
        <w:trPr>
          <w:trHeight w:val="200"/>
          <w:tblCellSpacing w:w="15" w:type="dxa"/>
        </w:trPr>
        <w:tc>
          <w:tcPr>
            <w:tcW w:w="0" w:type="auto"/>
            <w:hideMark/>
          </w:tcPr>
          <w:p w14:paraId="236AA9C3" w14:textId="77777777" w:rsidR="00000000" w:rsidRDefault="00EF48A2">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14:paraId="4DFF69A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A85981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27A0F0" w14:textId="77777777" w:rsidR="00000000" w:rsidRDefault="00EF48A2">
            <w:pPr>
              <w:pStyle w:val="a3"/>
              <w:spacing w:before="0" w:beforeAutospacing="0" w:after="0" w:afterAutospacing="0"/>
              <w:jc w:val="right"/>
              <w:rPr>
                <w:sz w:val="20"/>
                <w:szCs w:val="20"/>
              </w:rPr>
            </w:pPr>
            <w:r>
              <w:rPr>
                <w:sz w:val="20"/>
                <w:szCs w:val="20"/>
              </w:rPr>
              <w:t>1,35</w:t>
            </w:r>
            <w:r>
              <w:rPr>
                <w:sz w:val="20"/>
                <w:szCs w:val="20"/>
              </w:rPr>
              <w:t>7</w:t>
            </w:r>
          </w:p>
        </w:tc>
        <w:tc>
          <w:tcPr>
            <w:tcW w:w="0" w:type="auto"/>
            <w:noWrap/>
            <w:vAlign w:val="bottom"/>
            <w:hideMark/>
          </w:tcPr>
          <w:p w14:paraId="5555EC1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C4EB3C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252A99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840BB5B" w14:textId="77777777" w:rsidR="00000000" w:rsidRDefault="00EF48A2">
            <w:pPr>
              <w:pStyle w:val="a3"/>
              <w:spacing w:before="0" w:beforeAutospacing="0" w:after="0" w:afterAutospacing="0"/>
              <w:jc w:val="right"/>
              <w:rPr>
                <w:sz w:val="20"/>
                <w:szCs w:val="20"/>
              </w:rPr>
            </w:pPr>
            <w:r>
              <w:rPr>
                <w:sz w:val="20"/>
                <w:szCs w:val="20"/>
              </w:rPr>
              <w:t>1,97</w:t>
            </w:r>
            <w:r>
              <w:rPr>
                <w:sz w:val="20"/>
                <w:szCs w:val="20"/>
              </w:rPr>
              <w:t>3</w:t>
            </w:r>
          </w:p>
        </w:tc>
        <w:tc>
          <w:tcPr>
            <w:tcW w:w="0" w:type="auto"/>
            <w:noWrap/>
            <w:vAlign w:val="bottom"/>
            <w:hideMark/>
          </w:tcPr>
          <w:p w14:paraId="7660600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51FCA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656B7B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7D3870F" w14:textId="77777777" w:rsidR="00000000" w:rsidRDefault="00EF48A2">
            <w:pPr>
              <w:pStyle w:val="a3"/>
              <w:spacing w:before="0" w:beforeAutospacing="0" w:after="0" w:afterAutospacing="0"/>
              <w:jc w:val="right"/>
              <w:rPr>
                <w:sz w:val="20"/>
                <w:szCs w:val="20"/>
              </w:rPr>
            </w:pPr>
            <w:r>
              <w:rPr>
                <w:sz w:val="20"/>
                <w:szCs w:val="20"/>
              </w:rPr>
              <w:t>37</w:t>
            </w:r>
            <w:r>
              <w:rPr>
                <w:sz w:val="20"/>
                <w:szCs w:val="20"/>
              </w:rPr>
              <w:t>9</w:t>
            </w:r>
          </w:p>
        </w:tc>
        <w:tc>
          <w:tcPr>
            <w:tcW w:w="0" w:type="auto"/>
            <w:noWrap/>
            <w:vAlign w:val="bottom"/>
            <w:hideMark/>
          </w:tcPr>
          <w:p w14:paraId="78F1032B" w14:textId="77777777" w:rsidR="00000000" w:rsidRDefault="00EF48A2">
            <w:pPr>
              <w:pStyle w:val="a3"/>
              <w:spacing w:before="0" w:beforeAutospacing="0" w:after="0" w:afterAutospacing="0"/>
              <w:rPr>
                <w:sz w:val="20"/>
                <w:szCs w:val="20"/>
              </w:rPr>
            </w:pPr>
            <w:r>
              <w:rPr>
                <w:sz w:val="20"/>
                <w:szCs w:val="20"/>
              </w:rPr>
              <w:t> </w:t>
            </w:r>
          </w:p>
        </w:tc>
      </w:tr>
      <w:tr w:rsidR="00000000" w14:paraId="767D016F" w14:textId="77777777">
        <w:trPr>
          <w:trHeight w:val="200"/>
          <w:tblCellSpacing w:w="15" w:type="dxa"/>
        </w:trPr>
        <w:tc>
          <w:tcPr>
            <w:tcW w:w="0" w:type="auto"/>
            <w:hideMark/>
          </w:tcPr>
          <w:p w14:paraId="7297D94D" w14:textId="77777777" w:rsidR="00000000" w:rsidRDefault="00EF48A2">
            <w:pPr>
              <w:pStyle w:val="a3"/>
              <w:spacing w:before="0" w:beforeAutospacing="0" w:after="0" w:afterAutospacing="0"/>
              <w:ind w:left="200"/>
              <w:rPr>
                <w:sz w:val="20"/>
                <w:szCs w:val="20"/>
              </w:rPr>
            </w:pPr>
            <w:r>
              <w:rPr>
                <w:sz w:val="20"/>
                <w:szCs w:val="20"/>
              </w:rPr>
              <w:t>Amortization of debt issuance cost</w:t>
            </w:r>
            <w:r>
              <w:rPr>
                <w:sz w:val="20"/>
                <w:szCs w:val="20"/>
              </w:rPr>
              <w:t>s</w:t>
            </w:r>
          </w:p>
        </w:tc>
        <w:tc>
          <w:tcPr>
            <w:tcW w:w="0" w:type="auto"/>
            <w:vAlign w:val="bottom"/>
            <w:hideMark/>
          </w:tcPr>
          <w:p w14:paraId="4678476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F58DC2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F03209B"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1606C2F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C730DD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4E7F31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64787D" w14:textId="77777777" w:rsidR="00000000" w:rsidRDefault="00EF48A2">
            <w:pPr>
              <w:pStyle w:val="a3"/>
              <w:spacing w:before="0" w:beforeAutospacing="0" w:after="0" w:afterAutospacing="0"/>
              <w:jc w:val="right"/>
              <w:rPr>
                <w:sz w:val="20"/>
                <w:szCs w:val="20"/>
              </w:rPr>
            </w:pPr>
            <w:r>
              <w:rPr>
                <w:sz w:val="20"/>
                <w:szCs w:val="20"/>
              </w:rPr>
              <w:t>17</w:t>
            </w:r>
            <w:r>
              <w:rPr>
                <w:sz w:val="20"/>
                <w:szCs w:val="20"/>
              </w:rPr>
              <w:t>5</w:t>
            </w:r>
          </w:p>
        </w:tc>
        <w:tc>
          <w:tcPr>
            <w:tcW w:w="0" w:type="auto"/>
            <w:noWrap/>
            <w:vAlign w:val="bottom"/>
            <w:hideMark/>
          </w:tcPr>
          <w:p w14:paraId="166F3EC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C863A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6A41E8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1346D4B"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0351DC4C" w14:textId="77777777" w:rsidR="00000000" w:rsidRDefault="00EF48A2">
            <w:pPr>
              <w:pStyle w:val="a3"/>
              <w:spacing w:before="0" w:beforeAutospacing="0" w:after="0" w:afterAutospacing="0"/>
              <w:rPr>
                <w:sz w:val="20"/>
                <w:szCs w:val="20"/>
              </w:rPr>
            </w:pPr>
            <w:r>
              <w:rPr>
                <w:sz w:val="20"/>
                <w:szCs w:val="20"/>
              </w:rPr>
              <w:t> </w:t>
            </w:r>
          </w:p>
        </w:tc>
      </w:tr>
      <w:tr w:rsidR="00000000" w14:paraId="2C5441FA" w14:textId="77777777">
        <w:trPr>
          <w:trHeight w:val="200"/>
          <w:tblCellSpacing w:w="15" w:type="dxa"/>
        </w:trPr>
        <w:tc>
          <w:tcPr>
            <w:tcW w:w="0" w:type="auto"/>
            <w:hideMark/>
          </w:tcPr>
          <w:p w14:paraId="34ACF783" w14:textId="77777777" w:rsidR="00000000" w:rsidRDefault="00EF48A2">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14:paraId="6AA034A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F0FEEB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14691DE" w14:textId="77777777" w:rsidR="00000000" w:rsidRDefault="00EF48A2">
            <w:pPr>
              <w:pStyle w:val="a3"/>
              <w:spacing w:before="0" w:beforeAutospacing="0" w:after="0" w:afterAutospacing="0"/>
              <w:jc w:val="right"/>
              <w:rPr>
                <w:sz w:val="20"/>
                <w:szCs w:val="20"/>
              </w:rPr>
            </w:pPr>
            <w:r>
              <w:rPr>
                <w:sz w:val="20"/>
                <w:szCs w:val="20"/>
              </w:rPr>
              <w:t>12,11</w:t>
            </w:r>
            <w:r>
              <w:rPr>
                <w:sz w:val="20"/>
                <w:szCs w:val="20"/>
              </w:rPr>
              <w:t>6</w:t>
            </w:r>
          </w:p>
        </w:tc>
        <w:tc>
          <w:tcPr>
            <w:tcW w:w="0" w:type="auto"/>
            <w:noWrap/>
            <w:vAlign w:val="bottom"/>
            <w:hideMark/>
          </w:tcPr>
          <w:p w14:paraId="4B56B6E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B2CF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ED4DB1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6E5B548" w14:textId="77777777" w:rsidR="00000000" w:rsidRDefault="00EF48A2">
            <w:pPr>
              <w:pStyle w:val="a3"/>
              <w:spacing w:before="0" w:beforeAutospacing="0" w:after="0" w:afterAutospacing="0"/>
              <w:jc w:val="right"/>
              <w:rPr>
                <w:sz w:val="20"/>
                <w:szCs w:val="20"/>
              </w:rPr>
            </w:pPr>
            <w:r>
              <w:rPr>
                <w:sz w:val="20"/>
                <w:szCs w:val="20"/>
              </w:rPr>
              <w:t>27,40</w:t>
            </w:r>
            <w:r>
              <w:rPr>
                <w:sz w:val="20"/>
                <w:szCs w:val="20"/>
              </w:rPr>
              <w:t>5</w:t>
            </w:r>
          </w:p>
        </w:tc>
        <w:tc>
          <w:tcPr>
            <w:tcW w:w="0" w:type="auto"/>
            <w:noWrap/>
            <w:vAlign w:val="bottom"/>
            <w:hideMark/>
          </w:tcPr>
          <w:p w14:paraId="5568604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042447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9490CF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283AFCE" w14:textId="77777777" w:rsidR="00000000" w:rsidRDefault="00EF48A2">
            <w:pPr>
              <w:pStyle w:val="a3"/>
              <w:spacing w:before="0" w:beforeAutospacing="0" w:after="0" w:afterAutospacing="0"/>
              <w:jc w:val="right"/>
              <w:rPr>
                <w:sz w:val="20"/>
                <w:szCs w:val="20"/>
              </w:rPr>
            </w:pPr>
            <w:r>
              <w:rPr>
                <w:sz w:val="20"/>
                <w:szCs w:val="20"/>
              </w:rPr>
              <w:t>2,97</w:t>
            </w:r>
            <w:r>
              <w:rPr>
                <w:sz w:val="20"/>
                <w:szCs w:val="20"/>
              </w:rPr>
              <w:t>7</w:t>
            </w:r>
          </w:p>
        </w:tc>
        <w:tc>
          <w:tcPr>
            <w:tcW w:w="0" w:type="auto"/>
            <w:noWrap/>
            <w:vAlign w:val="bottom"/>
            <w:hideMark/>
          </w:tcPr>
          <w:p w14:paraId="40FC5BA3" w14:textId="77777777" w:rsidR="00000000" w:rsidRDefault="00EF48A2">
            <w:pPr>
              <w:pStyle w:val="a3"/>
              <w:spacing w:before="0" w:beforeAutospacing="0" w:after="0" w:afterAutospacing="0"/>
              <w:rPr>
                <w:sz w:val="20"/>
                <w:szCs w:val="20"/>
              </w:rPr>
            </w:pPr>
            <w:r>
              <w:rPr>
                <w:sz w:val="20"/>
                <w:szCs w:val="20"/>
              </w:rPr>
              <w:t> </w:t>
            </w:r>
          </w:p>
        </w:tc>
      </w:tr>
      <w:tr w:rsidR="00000000" w14:paraId="42A3EC6A" w14:textId="77777777">
        <w:trPr>
          <w:trHeight w:val="200"/>
          <w:tblCellSpacing w:w="15" w:type="dxa"/>
        </w:trPr>
        <w:tc>
          <w:tcPr>
            <w:tcW w:w="0" w:type="auto"/>
            <w:hideMark/>
          </w:tcPr>
          <w:p w14:paraId="3773CB6B" w14:textId="77777777" w:rsidR="00000000" w:rsidRDefault="00EF48A2">
            <w:pPr>
              <w:pStyle w:val="a3"/>
              <w:spacing w:before="0" w:beforeAutospacing="0" w:after="0" w:afterAutospacing="0"/>
              <w:ind w:left="200"/>
              <w:rPr>
                <w:sz w:val="20"/>
                <w:szCs w:val="20"/>
              </w:rPr>
            </w:pPr>
            <w:r>
              <w:rPr>
                <w:sz w:val="20"/>
                <w:szCs w:val="20"/>
              </w:rPr>
              <w:t>Remeasurement of warrant liabilitie</w:t>
            </w:r>
            <w:r>
              <w:rPr>
                <w:sz w:val="20"/>
                <w:szCs w:val="20"/>
              </w:rPr>
              <w:t>s</w:t>
            </w:r>
          </w:p>
        </w:tc>
        <w:tc>
          <w:tcPr>
            <w:tcW w:w="0" w:type="auto"/>
            <w:vAlign w:val="bottom"/>
            <w:hideMark/>
          </w:tcPr>
          <w:p w14:paraId="704F992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8B3E38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82CBB3C" w14:textId="77777777" w:rsidR="00000000" w:rsidRDefault="00EF48A2">
            <w:pPr>
              <w:pStyle w:val="a3"/>
              <w:spacing w:before="0" w:beforeAutospacing="0" w:after="0" w:afterAutospacing="0"/>
              <w:jc w:val="right"/>
              <w:rPr>
                <w:sz w:val="20"/>
                <w:szCs w:val="20"/>
              </w:rPr>
            </w:pPr>
            <w:r>
              <w:rPr>
                <w:sz w:val="20"/>
                <w:szCs w:val="20"/>
              </w:rPr>
              <w:t>(</w:t>
            </w:r>
            <w:r>
              <w:rPr>
                <w:sz w:val="20"/>
                <w:szCs w:val="20"/>
              </w:rPr>
              <w:t>3,13</w:t>
            </w:r>
            <w:r>
              <w:rPr>
                <w:sz w:val="20"/>
                <w:szCs w:val="20"/>
              </w:rPr>
              <w:t>1</w:t>
            </w:r>
          </w:p>
        </w:tc>
        <w:tc>
          <w:tcPr>
            <w:tcW w:w="0" w:type="auto"/>
            <w:noWrap/>
            <w:vAlign w:val="bottom"/>
            <w:hideMark/>
          </w:tcPr>
          <w:p w14:paraId="1717DD0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987A63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400872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34E216A" w14:textId="77777777" w:rsidR="00000000" w:rsidRDefault="00EF48A2">
            <w:pPr>
              <w:pStyle w:val="a3"/>
              <w:spacing w:before="0" w:beforeAutospacing="0" w:after="0" w:afterAutospacing="0"/>
              <w:jc w:val="right"/>
              <w:rPr>
                <w:sz w:val="20"/>
                <w:szCs w:val="20"/>
              </w:rPr>
            </w:pPr>
            <w:r>
              <w:rPr>
                <w:sz w:val="20"/>
                <w:szCs w:val="20"/>
              </w:rPr>
              <w:t>(</w:t>
            </w:r>
            <w:r>
              <w:rPr>
                <w:sz w:val="20"/>
                <w:szCs w:val="20"/>
              </w:rPr>
              <w:t>31,78</w:t>
            </w:r>
            <w:r>
              <w:rPr>
                <w:sz w:val="20"/>
                <w:szCs w:val="20"/>
              </w:rPr>
              <w:t>4</w:t>
            </w:r>
          </w:p>
        </w:tc>
        <w:tc>
          <w:tcPr>
            <w:tcW w:w="0" w:type="auto"/>
            <w:noWrap/>
            <w:vAlign w:val="bottom"/>
            <w:hideMark/>
          </w:tcPr>
          <w:p w14:paraId="37649A1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978B2E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6754C5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CFEBDC9"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43C39E7D" w14:textId="77777777" w:rsidR="00000000" w:rsidRDefault="00EF48A2">
            <w:pPr>
              <w:pStyle w:val="a3"/>
              <w:spacing w:before="0" w:beforeAutospacing="0" w:after="0" w:afterAutospacing="0"/>
              <w:rPr>
                <w:sz w:val="20"/>
                <w:szCs w:val="20"/>
              </w:rPr>
            </w:pPr>
            <w:r>
              <w:rPr>
                <w:sz w:val="20"/>
                <w:szCs w:val="20"/>
              </w:rPr>
              <w:t> </w:t>
            </w:r>
          </w:p>
        </w:tc>
      </w:tr>
      <w:tr w:rsidR="00000000" w14:paraId="704B0A38" w14:textId="77777777">
        <w:trPr>
          <w:trHeight w:val="200"/>
          <w:tblCellSpacing w:w="15" w:type="dxa"/>
        </w:trPr>
        <w:tc>
          <w:tcPr>
            <w:tcW w:w="0" w:type="auto"/>
            <w:hideMark/>
          </w:tcPr>
          <w:p w14:paraId="25B17188" w14:textId="77777777" w:rsidR="00000000" w:rsidRDefault="00EF48A2">
            <w:pPr>
              <w:pStyle w:val="a3"/>
              <w:spacing w:before="0" w:beforeAutospacing="0" w:after="0" w:afterAutospacing="0"/>
              <w:ind w:left="200"/>
              <w:rPr>
                <w:sz w:val="20"/>
                <w:szCs w:val="20"/>
              </w:rPr>
            </w:pPr>
            <w:r>
              <w:rPr>
                <w:sz w:val="20"/>
                <w:szCs w:val="20"/>
              </w:rPr>
              <w:t>Impairment of goodwil</w:t>
            </w:r>
            <w:r>
              <w:rPr>
                <w:sz w:val="20"/>
                <w:szCs w:val="20"/>
              </w:rPr>
              <w:t>l</w:t>
            </w:r>
          </w:p>
        </w:tc>
        <w:tc>
          <w:tcPr>
            <w:tcW w:w="0" w:type="auto"/>
            <w:vAlign w:val="bottom"/>
            <w:hideMark/>
          </w:tcPr>
          <w:p w14:paraId="235D2BC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8651BB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9E49AE2" w14:textId="77777777" w:rsidR="00000000" w:rsidRDefault="00EF48A2">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0216CFC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02DF2E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DCCCAE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49022B4"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890551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41D3D6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0C88CE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8D24B85"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06A7D961" w14:textId="77777777" w:rsidR="00000000" w:rsidRDefault="00EF48A2">
            <w:pPr>
              <w:pStyle w:val="a3"/>
              <w:spacing w:before="0" w:beforeAutospacing="0" w:after="0" w:afterAutospacing="0"/>
              <w:rPr>
                <w:sz w:val="20"/>
                <w:szCs w:val="20"/>
              </w:rPr>
            </w:pPr>
            <w:r>
              <w:rPr>
                <w:sz w:val="20"/>
                <w:szCs w:val="20"/>
              </w:rPr>
              <w:t> </w:t>
            </w:r>
          </w:p>
        </w:tc>
      </w:tr>
      <w:tr w:rsidR="00000000" w14:paraId="4E432FDA" w14:textId="77777777">
        <w:trPr>
          <w:trHeight w:val="200"/>
          <w:tblCellSpacing w:w="15" w:type="dxa"/>
        </w:trPr>
        <w:tc>
          <w:tcPr>
            <w:tcW w:w="0" w:type="auto"/>
            <w:hideMark/>
          </w:tcPr>
          <w:p w14:paraId="09D3F817" w14:textId="77777777" w:rsidR="00000000" w:rsidRDefault="00EF48A2">
            <w:pPr>
              <w:pStyle w:val="a3"/>
              <w:spacing w:before="0" w:beforeAutospacing="0" w:after="0" w:afterAutospacing="0"/>
              <w:ind w:left="200"/>
              <w:rPr>
                <w:sz w:val="20"/>
                <w:szCs w:val="20"/>
              </w:rPr>
            </w:pPr>
            <w:r>
              <w:rPr>
                <w:sz w:val="20"/>
                <w:szCs w:val="20"/>
              </w:rPr>
              <w:t>(Increase) decrease in accounts receivabl</w:t>
            </w:r>
            <w:r>
              <w:rPr>
                <w:sz w:val="20"/>
                <w:szCs w:val="20"/>
              </w:rPr>
              <w:t>e</w:t>
            </w:r>
          </w:p>
        </w:tc>
        <w:tc>
          <w:tcPr>
            <w:tcW w:w="0" w:type="auto"/>
            <w:vAlign w:val="bottom"/>
            <w:hideMark/>
          </w:tcPr>
          <w:p w14:paraId="23E133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186F7A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D718FC" w14:textId="77777777" w:rsidR="00000000" w:rsidRDefault="00EF48A2">
            <w:pPr>
              <w:pStyle w:val="a3"/>
              <w:spacing w:before="0" w:beforeAutospacing="0" w:after="0" w:afterAutospacing="0"/>
              <w:jc w:val="right"/>
              <w:rPr>
                <w:sz w:val="20"/>
                <w:szCs w:val="20"/>
              </w:rPr>
            </w:pPr>
            <w:r>
              <w:rPr>
                <w:sz w:val="20"/>
                <w:szCs w:val="20"/>
              </w:rPr>
              <w:t>(</w:t>
            </w:r>
            <w:r>
              <w:rPr>
                <w:sz w:val="20"/>
                <w:szCs w:val="20"/>
              </w:rPr>
              <w:t>4,12</w:t>
            </w:r>
            <w:r>
              <w:rPr>
                <w:sz w:val="20"/>
                <w:szCs w:val="20"/>
              </w:rPr>
              <w:t>6</w:t>
            </w:r>
          </w:p>
        </w:tc>
        <w:tc>
          <w:tcPr>
            <w:tcW w:w="0" w:type="auto"/>
            <w:noWrap/>
            <w:vAlign w:val="bottom"/>
            <w:hideMark/>
          </w:tcPr>
          <w:p w14:paraId="33E63D2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C6126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3BD2AE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B248557" w14:textId="77777777" w:rsidR="00000000" w:rsidRDefault="00EF48A2">
            <w:pPr>
              <w:pStyle w:val="a3"/>
              <w:spacing w:before="0" w:beforeAutospacing="0" w:after="0" w:afterAutospacing="0"/>
              <w:jc w:val="right"/>
              <w:rPr>
                <w:sz w:val="20"/>
                <w:szCs w:val="20"/>
              </w:rPr>
            </w:pPr>
            <w:r>
              <w:rPr>
                <w:sz w:val="20"/>
                <w:szCs w:val="20"/>
              </w:rPr>
              <w:t>40</w:t>
            </w:r>
            <w:r>
              <w:rPr>
                <w:sz w:val="20"/>
                <w:szCs w:val="20"/>
              </w:rPr>
              <w:t>2</w:t>
            </w:r>
          </w:p>
        </w:tc>
        <w:tc>
          <w:tcPr>
            <w:tcW w:w="0" w:type="auto"/>
            <w:noWrap/>
            <w:vAlign w:val="bottom"/>
            <w:hideMark/>
          </w:tcPr>
          <w:p w14:paraId="331C19C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15792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AD4A34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89C9A4" w14:textId="77777777" w:rsidR="00000000" w:rsidRDefault="00EF48A2">
            <w:pPr>
              <w:pStyle w:val="a3"/>
              <w:spacing w:before="0" w:beforeAutospacing="0" w:after="0" w:afterAutospacing="0"/>
              <w:jc w:val="right"/>
              <w:rPr>
                <w:sz w:val="20"/>
                <w:szCs w:val="20"/>
              </w:rPr>
            </w:pPr>
            <w:r>
              <w:rPr>
                <w:sz w:val="20"/>
                <w:szCs w:val="20"/>
              </w:rPr>
              <w:t>(</w:t>
            </w:r>
            <w:r>
              <w:rPr>
                <w:sz w:val="20"/>
                <w:szCs w:val="20"/>
              </w:rPr>
              <w:t>5,01</w:t>
            </w:r>
            <w:r>
              <w:rPr>
                <w:sz w:val="20"/>
                <w:szCs w:val="20"/>
              </w:rPr>
              <w:t>7</w:t>
            </w:r>
          </w:p>
        </w:tc>
        <w:tc>
          <w:tcPr>
            <w:tcW w:w="0" w:type="auto"/>
            <w:noWrap/>
            <w:vAlign w:val="bottom"/>
            <w:hideMark/>
          </w:tcPr>
          <w:p w14:paraId="73097E67" w14:textId="77777777" w:rsidR="00000000" w:rsidRDefault="00EF48A2">
            <w:pPr>
              <w:pStyle w:val="a3"/>
              <w:spacing w:before="0" w:beforeAutospacing="0" w:after="0" w:afterAutospacing="0"/>
              <w:rPr>
                <w:sz w:val="20"/>
                <w:szCs w:val="20"/>
              </w:rPr>
            </w:pPr>
            <w:r>
              <w:rPr>
                <w:sz w:val="20"/>
                <w:szCs w:val="20"/>
              </w:rPr>
              <w:t>)</w:t>
            </w:r>
          </w:p>
        </w:tc>
      </w:tr>
      <w:tr w:rsidR="00000000" w14:paraId="3A30DC58" w14:textId="77777777">
        <w:trPr>
          <w:trHeight w:val="200"/>
          <w:tblCellSpacing w:w="15" w:type="dxa"/>
        </w:trPr>
        <w:tc>
          <w:tcPr>
            <w:tcW w:w="0" w:type="auto"/>
            <w:hideMark/>
          </w:tcPr>
          <w:p w14:paraId="028F908C" w14:textId="77777777" w:rsidR="00000000" w:rsidRDefault="00EF48A2">
            <w:pPr>
              <w:pStyle w:val="a3"/>
              <w:spacing w:before="0" w:beforeAutospacing="0" w:after="0" w:afterAutospacing="0"/>
              <w:ind w:left="200"/>
              <w:rPr>
                <w:sz w:val="20"/>
                <w:szCs w:val="20"/>
              </w:rPr>
            </w:pPr>
            <w:r>
              <w:rPr>
                <w:sz w:val="20"/>
                <w:szCs w:val="20"/>
              </w:rPr>
              <w:t>Decrease (increase) in other current asset</w:t>
            </w:r>
            <w:r>
              <w:rPr>
                <w:sz w:val="20"/>
                <w:szCs w:val="20"/>
              </w:rPr>
              <w:t>s</w:t>
            </w:r>
          </w:p>
        </w:tc>
        <w:tc>
          <w:tcPr>
            <w:tcW w:w="0" w:type="auto"/>
            <w:vAlign w:val="bottom"/>
            <w:hideMark/>
          </w:tcPr>
          <w:p w14:paraId="58A8EFD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40733E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5DFE82" w14:textId="77777777" w:rsidR="00000000" w:rsidRDefault="00EF48A2">
            <w:pPr>
              <w:pStyle w:val="a3"/>
              <w:spacing w:before="0" w:beforeAutospacing="0" w:after="0" w:afterAutospacing="0"/>
              <w:jc w:val="right"/>
              <w:rPr>
                <w:sz w:val="20"/>
                <w:szCs w:val="20"/>
              </w:rPr>
            </w:pPr>
            <w:r>
              <w:rPr>
                <w:sz w:val="20"/>
                <w:szCs w:val="20"/>
              </w:rPr>
              <w:t>5,08</w:t>
            </w:r>
            <w:r>
              <w:rPr>
                <w:sz w:val="20"/>
                <w:szCs w:val="20"/>
              </w:rPr>
              <w:t>0</w:t>
            </w:r>
          </w:p>
        </w:tc>
        <w:tc>
          <w:tcPr>
            <w:tcW w:w="0" w:type="auto"/>
            <w:noWrap/>
            <w:vAlign w:val="bottom"/>
            <w:hideMark/>
          </w:tcPr>
          <w:p w14:paraId="47F9647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58F2B2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0764FE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5E5271D" w14:textId="77777777" w:rsidR="00000000" w:rsidRDefault="00EF48A2">
            <w:pPr>
              <w:pStyle w:val="a3"/>
              <w:spacing w:before="0" w:beforeAutospacing="0" w:after="0" w:afterAutospacing="0"/>
              <w:jc w:val="right"/>
              <w:rPr>
                <w:sz w:val="20"/>
                <w:szCs w:val="20"/>
              </w:rPr>
            </w:pPr>
            <w:r>
              <w:rPr>
                <w:sz w:val="20"/>
                <w:szCs w:val="20"/>
              </w:rPr>
              <w:t>(</w:t>
            </w:r>
            <w:r>
              <w:rPr>
                <w:sz w:val="20"/>
                <w:szCs w:val="20"/>
              </w:rPr>
              <w:t>8,05</w:t>
            </w:r>
            <w:r>
              <w:rPr>
                <w:sz w:val="20"/>
                <w:szCs w:val="20"/>
              </w:rPr>
              <w:t>3</w:t>
            </w:r>
          </w:p>
        </w:tc>
        <w:tc>
          <w:tcPr>
            <w:tcW w:w="0" w:type="auto"/>
            <w:noWrap/>
            <w:vAlign w:val="bottom"/>
            <w:hideMark/>
          </w:tcPr>
          <w:p w14:paraId="731A729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8AA791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F48C2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6B06B83" w14:textId="77777777" w:rsidR="00000000" w:rsidRDefault="00EF48A2">
            <w:pPr>
              <w:pStyle w:val="a3"/>
              <w:spacing w:before="0" w:beforeAutospacing="0" w:after="0" w:afterAutospacing="0"/>
              <w:jc w:val="right"/>
              <w:rPr>
                <w:sz w:val="20"/>
                <w:szCs w:val="20"/>
              </w:rPr>
            </w:pPr>
            <w:r>
              <w:rPr>
                <w:sz w:val="20"/>
                <w:szCs w:val="20"/>
              </w:rPr>
              <w:t>(</w:t>
            </w:r>
            <w:r>
              <w:rPr>
                <w:sz w:val="20"/>
                <w:szCs w:val="20"/>
              </w:rPr>
              <w:t>69</w:t>
            </w:r>
            <w:r>
              <w:rPr>
                <w:sz w:val="20"/>
                <w:szCs w:val="20"/>
              </w:rPr>
              <w:t>5</w:t>
            </w:r>
          </w:p>
        </w:tc>
        <w:tc>
          <w:tcPr>
            <w:tcW w:w="0" w:type="auto"/>
            <w:noWrap/>
            <w:vAlign w:val="bottom"/>
            <w:hideMark/>
          </w:tcPr>
          <w:p w14:paraId="591949CB" w14:textId="77777777" w:rsidR="00000000" w:rsidRDefault="00EF48A2">
            <w:pPr>
              <w:pStyle w:val="a3"/>
              <w:spacing w:before="0" w:beforeAutospacing="0" w:after="0" w:afterAutospacing="0"/>
              <w:rPr>
                <w:sz w:val="20"/>
                <w:szCs w:val="20"/>
              </w:rPr>
            </w:pPr>
            <w:r>
              <w:rPr>
                <w:sz w:val="20"/>
                <w:szCs w:val="20"/>
              </w:rPr>
              <w:t>)</w:t>
            </w:r>
          </w:p>
        </w:tc>
      </w:tr>
      <w:tr w:rsidR="00000000" w14:paraId="422155D7" w14:textId="77777777">
        <w:trPr>
          <w:trHeight w:val="200"/>
          <w:tblCellSpacing w:w="15" w:type="dxa"/>
        </w:trPr>
        <w:tc>
          <w:tcPr>
            <w:tcW w:w="0" w:type="auto"/>
            <w:hideMark/>
          </w:tcPr>
          <w:p w14:paraId="7F81EF83" w14:textId="77777777" w:rsidR="00000000" w:rsidRDefault="00EF48A2">
            <w:pPr>
              <w:pStyle w:val="a3"/>
              <w:spacing w:before="0" w:beforeAutospacing="0" w:after="0" w:afterAutospacing="0"/>
              <w:ind w:left="200"/>
              <w:rPr>
                <w:sz w:val="20"/>
                <w:szCs w:val="20"/>
              </w:rPr>
            </w:pPr>
            <w:r>
              <w:rPr>
                <w:sz w:val="20"/>
                <w:szCs w:val="20"/>
              </w:rPr>
              <w:t>(Decrease) increase in accounts payabl</w:t>
            </w:r>
            <w:r>
              <w:rPr>
                <w:sz w:val="20"/>
                <w:szCs w:val="20"/>
              </w:rPr>
              <w:t>e</w:t>
            </w:r>
          </w:p>
        </w:tc>
        <w:tc>
          <w:tcPr>
            <w:tcW w:w="0" w:type="auto"/>
            <w:vAlign w:val="bottom"/>
            <w:hideMark/>
          </w:tcPr>
          <w:p w14:paraId="36CE62B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6AEA0B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4592F5B" w14:textId="77777777" w:rsidR="00000000" w:rsidRDefault="00EF48A2">
            <w:pPr>
              <w:pStyle w:val="a3"/>
              <w:spacing w:before="0" w:beforeAutospacing="0" w:after="0" w:afterAutospacing="0"/>
              <w:jc w:val="right"/>
              <w:rPr>
                <w:sz w:val="20"/>
                <w:szCs w:val="20"/>
              </w:rPr>
            </w:pPr>
            <w:r>
              <w:rPr>
                <w:sz w:val="20"/>
                <w:szCs w:val="20"/>
              </w:rPr>
              <w:t>(</w:t>
            </w:r>
            <w:r>
              <w:rPr>
                <w:sz w:val="20"/>
                <w:szCs w:val="20"/>
              </w:rPr>
              <w:t>96</w:t>
            </w:r>
            <w:r>
              <w:rPr>
                <w:sz w:val="20"/>
                <w:szCs w:val="20"/>
              </w:rPr>
              <w:t>8</w:t>
            </w:r>
          </w:p>
        </w:tc>
        <w:tc>
          <w:tcPr>
            <w:tcW w:w="0" w:type="auto"/>
            <w:noWrap/>
            <w:vAlign w:val="bottom"/>
            <w:hideMark/>
          </w:tcPr>
          <w:p w14:paraId="3C7A6E7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FED35E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A39DB3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89C00A8" w14:textId="77777777" w:rsidR="00000000" w:rsidRDefault="00EF48A2">
            <w:pPr>
              <w:pStyle w:val="a3"/>
              <w:spacing w:before="0" w:beforeAutospacing="0" w:after="0" w:afterAutospacing="0"/>
              <w:jc w:val="right"/>
              <w:rPr>
                <w:sz w:val="20"/>
                <w:szCs w:val="20"/>
              </w:rPr>
            </w:pPr>
            <w:r>
              <w:rPr>
                <w:sz w:val="20"/>
                <w:szCs w:val="20"/>
              </w:rPr>
              <w:t>50</w:t>
            </w:r>
            <w:r>
              <w:rPr>
                <w:sz w:val="20"/>
                <w:szCs w:val="20"/>
              </w:rPr>
              <w:t>3</w:t>
            </w:r>
          </w:p>
        </w:tc>
        <w:tc>
          <w:tcPr>
            <w:tcW w:w="0" w:type="auto"/>
            <w:noWrap/>
            <w:vAlign w:val="bottom"/>
            <w:hideMark/>
          </w:tcPr>
          <w:p w14:paraId="43D21CE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EAB84A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0D30D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616B1A5" w14:textId="77777777" w:rsidR="00000000" w:rsidRDefault="00EF48A2">
            <w:pPr>
              <w:pStyle w:val="a3"/>
              <w:spacing w:before="0" w:beforeAutospacing="0" w:after="0" w:afterAutospacing="0"/>
              <w:jc w:val="right"/>
              <w:rPr>
                <w:sz w:val="20"/>
                <w:szCs w:val="20"/>
              </w:rPr>
            </w:pPr>
            <w:r>
              <w:rPr>
                <w:sz w:val="20"/>
                <w:szCs w:val="20"/>
              </w:rPr>
              <w:t>2,56</w:t>
            </w:r>
            <w:r>
              <w:rPr>
                <w:sz w:val="20"/>
                <w:szCs w:val="20"/>
              </w:rPr>
              <w:t>1</w:t>
            </w:r>
          </w:p>
        </w:tc>
        <w:tc>
          <w:tcPr>
            <w:tcW w:w="0" w:type="auto"/>
            <w:noWrap/>
            <w:vAlign w:val="bottom"/>
            <w:hideMark/>
          </w:tcPr>
          <w:p w14:paraId="4FA9DA1C" w14:textId="77777777" w:rsidR="00000000" w:rsidRDefault="00EF48A2">
            <w:pPr>
              <w:pStyle w:val="a3"/>
              <w:spacing w:before="0" w:beforeAutospacing="0" w:after="0" w:afterAutospacing="0"/>
              <w:rPr>
                <w:sz w:val="20"/>
                <w:szCs w:val="20"/>
              </w:rPr>
            </w:pPr>
            <w:r>
              <w:rPr>
                <w:sz w:val="20"/>
                <w:szCs w:val="20"/>
              </w:rPr>
              <w:t> </w:t>
            </w:r>
          </w:p>
        </w:tc>
      </w:tr>
      <w:tr w:rsidR="00000000" w14:paraId="496442FB" w14:textId="77777777">
        <w:trPr>
          <w:trHeight w:val="200"/>
          <w:tblCellSpacing w:w="15" w:type="dxa"/>
        </w:trPr>
        <w:tc>
          <w:tcPr>
            <w:tcW w:w="0" w:type="auto"/>
            <w:hideMark/>
          </w:tcPr>
          <w:p w14:paraId="13E6E1A4" w14:textId="77777777" w:rsidR="00000000" w:rsidRDefault="00EF48A2">
            <w:pPr>
              <w:pStyle w:val="a3"/>
              <w:spacing w:before="0" w:beforeAutospacing="0" w:after="0" w:afterAutospacing="0"/>
              <w:ind w:left="200"/>
              <w:rPr>
                <w:sz w:val="20"/>
                <w:szCs w:val="20"/>
              </w:rPr>
            </w:pPr>
            <w:r>
              <w:rPr>
                <w:sz w:val="20"/>
                <w:szCs w:val="20"/>
              </w:rPr>
              <w:t>(Decrease) increase in deferred revenue</w:t>
            </w:r>
            <w:r>
              <w:rPr>
                <w:sz w:val="20"/>
                <w:szCs w:val="20"/>
              </w:rPr>
              <w:t>s</w:t>
            </w:r>
          </w:p>
        </w:tc>
        <w:tc>
          <w:tcPr>
            <w:tcW w:w="0" w:type="auto"/>
            <w:vAlign w:val="bottom"/>
            <w:hideMark/>
          </w:tcPr>
          <w:p w14:paraId="1B6AFD7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28A6A2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16AB7D" w14:textId="77777777" w:rsidR="00000000" w:rsidRDefault="00EF48A2">
            <w:pPr>
              <w:pStyle w:val="a3"/>
              <w:spacing w:before="0" w:beforeAutospacing="0" w:after="0" w:afterAutospacing="0"/>
              <w:jc w:val="right"/>
              <w:rPr>
                <w:sz w:val="20"/>
                <w:szCs w:val="20"/>
              </w:rPr>
            </w:pPr>
            <w:r>
              <w:rPr>
                <w:sz w:val="20"/>
                <w:szCs w:val="20"/>
              </w:rPr>
              <w:t>(</w:t>
            </w:r>
            <w:r>
              <w:rPr>
                <w:sz w:val="20"/>
                <w:szCs w:val="20"/>
              </w:rPr>
              <w:t>2,83</w:t>
            </w:r>
            <w:r>
              <w:rPr>
                <w:sz w:val="20"/>
                <w:szCs w:val="20"/>
              </w:rPr>
              <w:t>1</w:t>
            </w:r>
          </w:p>
        </w:tc>
        <w:tc>
          <w:tcPr>
            <w:tcW w:w="0" w:type="auto"/>
            <w:noWrap/>
            <w:vAlign w:val="bottom"/>
            <w:hideMark/>
          </w:tcPr>
          <w:p w14:paraId="57BDAE1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CD178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10C681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021039" w14:textId="77777777" w:rsidR="00000000" w:rsidRDefault="00EF48A2">
            <w:pPr>
              <w:pStyle w:val="a3"/>
              <w:spacing w:before="0" w:beforeAutospacing="0" w:after="0" w:afterAutospacing="0"/>
              <w:jc w:val="right"/>
              <w:rPr>
                <w:sz w:val="20"/>
                <w:szCs w:val="20"/>
              </w:rPr>
            </w:pPr>
            <w:r>
              <w:rPr>
                <w:sz w:val="20"/>
                <w:szCs w:val="20"/>
              </w:rPr>
              <w:t>2,01</w:t>
            </w:r>
            <w:r>
              <w:rPr>
                <w:sz w:val="20"/>
                <w:szCs w:val="20"/>
              </w:rPr>
              <w:t>4</w:t>
            </w:r>
          </w:p>
        </w:tc>
        <w:tc>
          <w:tcPr>
            <w:tcW w:w="0" w:type="auto"/>
            <w:noWrap/>
            <w:vAlign w:val="bottom"/>
            <w:hideMark/>
          </w:tcPr>
          <w:p w14:paraId="1E353AB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B1965E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86815D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C1A5309" w14:textId="77777777" w:rsidR="00000000" w:rsidRDefault="00EF48A2">
            <w:pPr>
              <w:pStyle w:val="a3"/>
              <w:spacing w:before="0" w:beforeAutospacing="0" w:after="0" w:afterAutospacing="0"/>
              <w:jc w:val="right"/>
              <w:rPr>
                <w:sz w:val="20"/>
                <w:szCs w:val="20"/>
              </w:rPr>
            </w:pPr>
            <w:r>
              <w:rPr>
                <w:sz w:val="20"/>
                <w:szCs w:val="20"/>
              </w:rPr>
              <w:t>2,02</w:t>
            </w:r>
            <w:r>
              <w:rPr>
                <w:sz w:val="20"/>
                <w:szCs w:val="20"/>
              </w:rPr>
              <w:t>8</w:t>
            </w:r>
          </w:p>
        </w:tc>
        <w:tc>
          <w:tcPr>
            <w:tcW w:w="0" w:type="auto"/>
            <w:noWrap/>
            <w:vAlign w:val="bottom"/>
            <w:hideMark/>
          </w:tcPr>
          <w:p w14:paraId="48F0651F" w14:textId="77777777" w:rsidR="00000000" w:rsidRDefault="00EF48A2">
            <w:pPr>
              <w:pStyle w:val="a3"/>
              <w:spacing w:before="0" w:beforeAutospacing="0" w:after="0" w:afterAutospacing="0"/>
              <w:rPr>
                <w:sz w:val="20"/>
                <w:szCs w:val="20"/>
              </w:rPr>
            </w:pPr>
            <w:r>
              <w:rPr>
                <w:sz w:val="20"/>
                <w:szCs w:val="20"/>
              </w:rPr>
              <w:t> </w:t>
            </w:r>
          </w:p>
        </w:tc>
      </w:tr>
      <w:tr w:rsidR="00000000" w14:paraId="3695ED67" w14:textId="77777777">
        <w:trPr>
          <w:trHeight w:val="200"/>
          <w:tblCellSpacing w:w="15" w:type="dxa"/>
        </w:trPr>
        <w:tc>
          <w:tcPr>
            <w:tcW w:w="0" w:type="auto"/>
            <w:hideMark/>
          </w:tcPr>
          <w:p w14:paraId="266A8687" w14:textId="77777777" w:rsidR="00000000" w:rsidRDefault="00EF48A2">
            <w:pPr>
              <w:pStyle w:val="a3"/>
              <w:spacing w:before="0" w:beforeAutospacing="0" w:after="0" w:afterAutospacing="0"/>
              <w:ind w:left="200"/>
              <w:rPr>
                <w:sz w:val="20"/>
                <w:szCs w:val="20"/>
              </w:rPr>
            </w:pPr>
            <w:r>
              <w:rPr>
                <w:sz w:val="20"/>
                <w:szCs w:val="20"/>
              </w:rPr>
              <w:t>Increase in accrued expenses and other current liabilitie</w:t>
            </w:r>
            <w:r>
              <w:rPr>
                <w:sz w:val="20"/>
                <w:szCs w:val="20"/>
              </w:rPr>
              <w:t>s</w:t>
            </w:r>
          </w:p>
        </w:tc>
        <w:tc>
          <w:tcPr>
            <w:tcW w:w="0" w:type="auto"/>
            <w:vAlign w:val="bottom"/>
            <w:hideMark/>
          </w:tcPr>
          <w:p w14:paraId="5FB7BFB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7436F3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10E0AE9" w14:textId="77777777" w:rsidR="00000000" w:rsidRDefault="00EF48A2">
            <w:pPr>
              <w:pStyle w:val="a3"/>
              <w:spacing w:before="0" w:beforeAutospacing="0" w:after="0" w:afterAutospacing="0"/>
              <w:jc w:val="right"/>
              <w:rPr>
                <w:sz w:val="20"/>
                <w:szCs w:val="20"/>
              </w:rPr>
            </w:pPr>
            <w:r>
              <w:rPr>
                <w:sz w:val="20"/>
                <w:szCs w:val="20"/>
              </w:rPr>
              <w:t>4,86</w:t>
            </w:r>
            <w:r>
              <w:rPr>
                <w:sz w:val="20"/>
                <w:szCs w:val="20"/>
              </w:rPr>
              <w:t>2</w:t>
            </w:r>
          </w:p>
        </w:tc>
        <w:tc>
          <w:tcPr>
            <w:tcW w:w="0" w:type="auto"/>
            <w:noWrap/>
            <w:vAlign w:val="bottom"/>
            <w:hideMark/>
          </w:tcPr>
          <w:p w14:paraId="72C5717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A001B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46E5E3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92209B2" w14:textId="77777777" w:rsidR="00000000" w:rsidRDefault="00EF48A2">
            <w:pPr>
              <w:pStyle w:val="a3"/>
              <w:spacing w:before="0" w:beforeAutospacing="0" w:after="0" w:afterAutospacing="0"/>
              <w:jc w:val="right"/>
              <w:rPr>
                <w:sz w:val="20"/>
                <w:szCs w:val="20"/>
              </w:rPr>
            </w:pPr>
            <w:r>
              <w:rPr>
                <w:sz w:val="20"/>
                <w:szCs w:val="20"/>
              </w:rPr>
              <w:t>4,39</w:t>
            </w:r>
            <w:r>
              <w:rPr>
                <w:sz w:val="20"/>
                <w:szCs w:val="20"/>
              </w:rPr>
              <w:t>6</w:t>
            </w:r>
          </w:p>
        </w:tc>
        <w:tc>
          <w:tcPr>
            <w:tcW w:w="0" w:type="auto"/>
            <w:noWrap/>
            <w:vAlign w:val="bottom"/>
            <w:hideMark/>
          </w:tcPr>
          <w:p w14:paraId="29DAF31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FABA15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658D84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96ED213" w14:textId="77777777" w:rsidR="00000000" w:rsidRDefault="00EF48A2">
            <w:pPr>
              <w:pStyle w:val="a3"/>
              <w:spacing w:before="0" w:beforeAutospacing="0" w:after="0" w:afterAutospacing="0"/>
              <w:jc w:val="right"/>
              <w:rPr>
                <w:sz w:val="20"/>
                <w:szCs w:val="20"/>
              </w:rPr>
            </w:pPr>
            <w:r>
              <w:rPr>
                <w:sz w:val="20"/>
                <w:szCs w:val="20"/>
              </w:rPr>
              <w:t>4,96</w:t>
            </w:r>
            <w:r>
              <w:rPr>
                <w:sz w:val="20"/>
                <w:szCs w:val="20"/>
              </w:rPr>
              <w:t>2</w:t>
            </w:r>
          </w:p>
        </w:tc>
        <w:tc>
          <w:tcPr>
            <w:tcW w:w="0" w:type="auto"/>
            <w:noWrap/>
            <w:vAlign w:val="bottom"/>
            <w:hideMark/>
          </w:tcPr>
          <w:p w14:paraId="4B7DDD0C" w14:textId="77777777" w:rsidR="00000000" w:rsidRDefault="00EF48A2">
            <w:pPr>
              <w:pStyle w:val="a3"/>
              <w:spacing w:before="0" w:beforeAutospacing="0" w:after="0" w:afterAutospacing="0"/>
              <w:rPr>
                <w:sz w:val="20"/>
                <w:szCs w:val="20"/>
              </w:rPr>
            </w:pPr>
            <w:r>
              <w:rPr>
                <w:sz w:val="20"/>
                <w:szCs w:val="20"/>
              </w:rPr>
              <w:t> </w:t>
            </w:r>
          </w:p>
        </w:tc>
      </w:tr>
      <w:tr w:rsidR="00000000" w14:paraId="599F687B" w14:textId="77777777">
        <w:trPr>
          <w:trHeight w:val="200"/>
          <w:tblCellSpacing w:w="15" w:type="dxa"/>
        </w:trPr>
        <w:tc>
          <w:tcPr>
            <w:tcW w:w="0" w:type="auto"/>
            <w:hideMark/>
          </w:tcPr>
          <w:p w14:paraId="30C14C4E" w14:textId="77777777" w:rsidR="00000000" w:rsidRDefault="00EF48A2">
            <w:pPr>
              <w:pStyle w:val="a3"/>
              <w:spacing w:before="0" w:beforeAutospacing="0" w:after="0" w:afterAutospacing="0"/>
              <w:ind w:left="200"/>
              <w:rPr>
                <w:sz w:val="20"/>
                <w:szCs w:val="20"/>
              </w:rPr>
            </w:pPr>
            <w:r>
              <w:rPr>
                <w:sz w:val="20"/>
                <w:szCs w:val="20"/>
              </w:rPr>
              <w:t>Increase in other liabilitie</w:t>
            </w:r>
            <w:r>
              <w:rPr>
                <w:sz w:val="20"/>
                <w:szCs w:val="20"/>
              </w:rPr>
              <w:t>s</w:t>
            </w:r>
          </w:p>
        </w:tc>
        <w:tc>
          <w:tcPr>
            <w:tcW w:w="0" w:type="auto"/>
            <w:vAlign w:val="bottom"/>
            <w:hideMark/>
          </w:tcPr>
          <w:p w14:paraId="0299158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DC3AB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CC5EB7C" w14:textId="77777777" w:rsidR="00000000" w:rsidRDefault="00EF48A2">
            <w:pPr>
              <w:pStyle w:val="a3"/>
              <w:spacing w:before="0" w:beforeAutospacing="0" w:after="0" w:afterAutospacing="0"/>
              <w:jc w:val="right"/>
              <w:rPr>
                <w:sz w:val="20"/>
                <w:szCs w:val="20"/>
              </w:rPr>
            </w:pPr>
            <w:r>
              <w:rPr>
                <w:sz w:val="20"/>
                <w:szCs w:val="20"/>
              </w:rPr>
              <w:t>10</w:t>
            </w:r>
            <w:r>
              <w:rPr>
                <w:sz w:val="20"/>
                <w:szCs w:val="20"/>
              </w:rPr>
              <w:t>2</w:t>
            </w:r>
          </w:p>
        </w:tc>
        <w:tc>
          <w:tcPr>
            <w:tcW w:w="0" w:type="auto"/>
            <w:noWrap/>
            <w:vAlign w:val="bottom"/>
            <w:hideMark/>
          </w:tcPr>
          <w:p w14:paraId="3FE7AC7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5D048D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2864FD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5B2DE9A"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7A12837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349B3E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D86CE8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7ADDA53"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39D6E5B" w14:textId="77777777" w:rsidR="00000000" w:rsidRDefault="00EF48A2">
            <w:pPr>
              <w:pStyle w:val="a3"/>
              <w:spacing w:before="0" w:beforeAutospacing="0" w:after="0" w:afterAutospacing="0"/>
              <w:rPr>
                <w:sz w:val="20"/>
                <w:szCs w:val="20"/>
              </w:rPr>
            </w:pPr>
            <w:r>
              <w:rPr>
                <w:sz w:val="20"/>
                <w:szCs w:val="20"/>
              </w:rPr>
              <w:t> </w:t>
            </w:r>
          </w:p>
        </w:tc>
      </w:tr>
      <w:tr w:rsidR="00000000" w14:paraId="2F778602" w14:textId="77777777">
        <w:trPr>
          <w:trHeight w:val="200"/>
          <w:tblCellSpacing w:w="15" w:type="dxa"/>
        </w:trPr>
        <w:tc>
          <w:tcPr>
            <w:tcW w:w="0" w:type="auto"/>
            <w:hideMark/>
          </w:tcPr>
          <w:p w14:paraId="53782534" w14:textId="77777777" w:rsidR="00000000" w:rsidRDefault="00EF48A2">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14:paraId="433812A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9309DE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926B62E" w14:textId="77777777" w:rsidR="00000000" w:rsidRDefault="00EF48A2">
            <w:pPr>
              <w:pStyle w:val="a3"/>
              <w:spacing w:before="0" w:beforeAutospacing="0" w:after="0" w:afterAutospacing="0"/>
              <w:jc w:val="right"/>
              <w:rPr>
                <w:sz w:val="20"/>
                <w:szCs w:val="20"/>
              </w:rPr>
            </w:pPr>
            <w:r>
              <w:rPr>
                <w:sz w:val="20"/>
                <w:szCs w:val="20"/>
              </w:rPr>
              <w:t>(</w:t>
            </w:r>
            <w:r>
              <w:rPr>
                <w:sz w:val="20"/>
                <w:szCs w:val="20"/>
              </w:rPr>
              <w:t>61,07</w:t>
            </w:r>
            <w:r>
              <w:rPr>
                <w:sz w:val="20"/>
                <w:szCs w:val="20"/>
              </w:rPr>
              <w:t>7</w:t>
            </w:r>
          </w:p>
        </w:tc>
        <w:tc>
          <w:tcPr>
            <w:tcW w:w="0" w:type="auto"/>
            <w:noWrap/>
            <w:vAlign w:val="bottom"/>
            <w:hideMark/>
          </w:tcPr>
          <w:p w14:paraId="1D27E7F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EF9CB3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FF6AFF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5C9512C" w14:textId="77777777" w:rsidR="00000000" w:rsidRDefault="00EF48A2">
            <w:pPr>
              <w:pStyle w:val="a3"/>
              <w:spacing w:before="0" w:beforeAutospacing="0" w:after="0" w:afterAutospacing="0"/>
              <w:jc w:val="right"/>
              <w:rPr>
                <w:sz w:val="20"/>
                <w:szCs w:val="20"/>
              </w:rPr>
            </w:pPr>
            <w:r>
              <w:rPr>
                <w:sz w:val="20"/>
                <w:szCs w:val="20"/>
              </w:rPr>
              <w:t>(</w:t>
            </w:r>
            <w:r>
              <w:rPr>
                <w:sz w:val="20"/>
                <w:szCs w:val="20"/>
              </w:rPr>
              <w:t>65,71</w:t>
            </w:r>
            <w:r>
              <w:rPr>
                <w:sz w:val="20"/>
                <w:szCs w:val="20"/>
              </w:rPr>
              <w:t>1</w:t>
            </w:r>
          </w:p>
        </w:tc>
        <w:tc>
          <w:tcPr>
            <w:tcW w:w="0" w:type="auto"/>
            <w:noWrap/>
            <w:vAlign w:val="bottom"/>
            <w:hideMark/>
          </w:tcPr>
          <w:p w14:paraId="773BF8E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2C8695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D7D39A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193406" w14:textId="77777777" w:rsidR="00000000" w:rsidRDefault="00EF48A2">
            <w:pPr>
              <w:pStyle w:val="a3"/>
              <w:spacing w:before="0" w:beforeAutospacing="0" w:after="0" w:afterAutospacing="0"/>
              <w:jc w:val="right"/>
              <w:rPr>
                <w:sz w:val="20"/>
                <w:szCs w:val="20"/>
              </w:rPr>
            </w:pPr>
            <w:r>
              <w:rPr>
                <w:sz w:val="20"/>
                <w:szCs w:val="20"/>
              </w:rPr>
              <w:t>(</w:t>
            </w:r>
            <w:r>
              <w:rPr>
                <w:sz w:val="20"/>
                <w:szCs w:val="20"/>
              </w:rPr>
              <w:t>15,17</w:t>
            </w:r>
            <w:r>
              <w:rPr>
                <w:sz w:val="20"/>
                <w:szCs w:val="20"/>
              </w:rPr>
              <w:t>5</w:t>
            </w:r>
          </w:p>
        </w:tc>
        <w:tc>
          <w:tcPr>
            <w:tcW w:w="0" w:type="auto"/>
            <w:noWrap/>
            <w:vAlign w:val="bottom"/>
            <w:hideMark/>
          </w:tcPr>
          <w:p w14:paraId="79EDB64C" w14:textId="77777777" w:rsidR="00000000" w:rsidRDefault="00EF48A2">
            <w:pPr>
              <w:pStyle w:val="a3"/>
              <w:spacing w:before="0" w:beforeAutospacing="0" w:after="0" w:afterAutospacing="0"/>
              <w:rPr>
                <w:sz w:val="20"/>
                <w:szCs w:val="20"/>
              </w:rPr>
            </w:pPr>
            <w:r>
              <w:rPr>
                <w:sz w:val="20"/>
                <w:szCs w:val="20"/>
              </w:rPr>
              <w:t>)</w:t>
            </w:r>
          </w:p>
        </w:tc>
      </w:tr>
      <w:tr w:rsidR="00000000" w14:paraId="69D2D7EC" w14:textId="77777777">
        <w:trPr>
          <w:trHeight w:val="200"/>
          <w:tblCellSpacing w:w="15" w:type="dxa"/>
        </w:trPr>
        <w:tc>
          <w:tcPr>
            <w:tcW w:w="0" w:type="auto"/>
            <w:hideMark/>
          </w:tcPr>
          <w:p w14:paraId="175CD312" w14:textId="77777777" w:rsidR="00000000" w:rsidRDefault="00EF48A2">
            <w:pPr>
              <w:pStyle w:val="a3"/>
              <w:spacing w:before="0" w:beforeAutospacing="0" w:after="0" w:afterAutospacing="0"/>
              <w:rPr>
                <w:sz w:val="20"/>
                <w:szCs w:val="20"/>
              </w:rPr>
            </w:pPr>
            <w:r>
              <w:rPr>
                <w:b/>
                <w:bCs/>
                <w:sz w:val="20"/>
                <w:szCs w:val="20"/>
                <w:u w:val="single"/>
              </w:rPr>
              <w:t>Cash flows from investing activities</w:t>
            </w:r>
            <w:r>
              <w:rPr>
                <w:b/>
                <w:bCs/>
                <w:sz w:val="20"/>
                <w:szCs w:val="20"/>
                <w:u w:val="single"/>
              </w:rPr>
              <w:t>:</w:t>
            </w:r>
          </w:p>
        </w:tc>
        <w:tc>
          <w:tcPr>
            <w:tcW w:w="0" w:type="auto"/>
            <w:vAlign w:val="bottom"/>
            <w:hideMark/>
          </w:tcPr>
          <w:p w14:paraId="5F1A12E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65539E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9B666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AB35CB2"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4DF8011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E4F977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E72999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D7AAB7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60FDE60"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A6C697D" w14:textId="77777777">
        <w:trPr>
          <w:trHeight w:val="200"/>
          <w:tblCellSpacing w:w="15" w:type="dxa"/>
        </w:trPr>
        <w:tc>
          <w:tcPr>
            <w:tcW w:w="0" w:type="auto"/>
            <w:hideMark/>
          </w:tcPr>
          <w:p w14:paraId="58B26AC6" w14:textId="77777777" w:rsidR="00000000" w:rsidRDefault="00EF48A2">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14:paraId="4FB7194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E5283F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E9DE1F6" w14:textId="77777777" w:rsidR="00000000" w:rsidRDefault="00EF48A2">
            <w:pPr>
              <w:pStyle w:val="a3"/>
              <w:spacing w:before="0" w:beforeAutospacing="0" w:after="0" w:afterAutospacing="0"/>
              <w:jc w:val="right"/>
              <w:rPr>
                <w:sz w:val="20"/>
                <w:szCs w:val="20"/>
              </w:rPr>
            </w:pPr>
            <w:r>
              <w:rPr>
                <w:sz w:val="20"/>
                <w:szCs w:val="20"/>
              </w:rPr>
              <w:t>(</w:t>
            </w:r>
            <w:r>
              <w:rPr>
                <w:sz w:val="20"/>
                <w:szCs w:val="20"/>
              </w:rPr>
              <w:t>35</w:t>
            </w:r>
            <w:r>
              <w:rPr>
                <w:sz w:val="20"/>
                <w:szCs w:val="20"/>
              </w:rPr>
              <w:t>0</w:t>
            </w:r>
          </w:p>
        </w:tc>
        <w:tc>
          <w:tcPr>
            <w:tcW w:w="0" w:type="auto"/>
            <w:noWrap/>
            <w:vAlign w:val="bottom"/>
            <w:hideMark/>
          </w:tcPr>
          <w:p w14:paraId="09F299E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B06C60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DE7BA3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DE05269" w14:textId="77777777" w:rsidR="00000000" w:rsidRDefault="00EF48A2">
            <w:pPr>
              <w:pStyle w:val="a3"/>
              <w:spacing w:before="0" w:beforeAutospacing="0" w:after="0" w:afterAutospacing="0"/>
              <w:jc w:val="right"/>
              <w:rPr>
                <w:sz w:val="20"/>
                <w:szCs w:val="20"/>
              </w:rPr>
            </w:pPr>
            <w:r>
              <w:rPr>
                <w:sz w:val="20"/>
                <w:szCs w:val="20"/>
              </w:rPr>
              <w:t>(</w:t>
            </w:r>
            <w:r>
              <w:rPr>
                <w:sz w:val="20"/>
                <w:szCs w:val="20"/>
              </w:rPr>
              <w:t>66</w:t>
            </w:r>
            <w:r>
              <w:rPr>
                <w:sz w:val="20"/>
                <w:szCs w:val="20"/>
              </w:rPr>
              <w:t>3</w:t>
            </w:r>
          </w:p>
        </w:tc>
        <w:tc>
          <w:tcPr>
            <w:tcW w:w="0" w:type="auto"/>
            <w:noWrap/>
            <w:vAlign w:val="bottom"/>
            <w:hideMark/>
          </w:tcPr>
          <w:p w14:paraId="71C64BF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F5D9AB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06850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6293542" w14:textId="77777777" w:rsidR="00000000" w:rsidRDefault="00EF48A2">
            <w:pPr>
              <w:pStyle w:val="a3"/>
              <w:spacing w:before="0" w:beforeAutospacing="0" w:after="0" w:afterAutospacing="0"/>
              <w:jc w:val="right"/>
              <w:rPr>
                <w:sz w:val="20"/>
                <w:szCs w:val="20"/>
              </w:rPr>
            </w:pPr>
            <w:r>
              <w:rPr>
                <w:sz w:val="20"/>
                <w:szCs w:val="20"/>
              </w:rPr>
              <w:t>(</w:t>
            </w:r>
            <w:r>
              <w:rPr>
                <w:sz w:val="20"/>
                <w:szCs w:val="20"/>
              </w:rPr>
              <w:t>12</w:t>
            </w:r>
            <w:r>
              <w:rPr>
                <w:sz w:val="20"/>
                <w:szCs w:val="20"/>
              </w:rPr>
              <w:t>6</w:t>
            </w:r>
          </w:p>
        </w:tc>
        <w:tc>
          <w:tcPr>
            <w:tcW w:w="0" w:type="auto"/>
            <w:noWrap/>
            <w:vAlign w:val="bottom"/>
            <w:hideMark/>
          </w:tcPr>
          <w:p w14:paraId="75ECD9CC" w14:textId="77777777" w:rsidR="00000000" w:rsidRDefault="00EF48A2">
            <w:pPr>
              <w:pStyle w:val="a3"/>
              <w:spacing w:before="0" w:beforeAutospacing="0" w:after="0" w:afterAutospacing="0"/>
              <w:rPr>
                <w:sz w:val="20"/>
                <w:szCs w:val="20"/>
              </w:rPr>
            </w:pPr>
            <w:r>
              <w:rPr>
                <w:sz w:val="20"/>
                <w:szCs w:val="20"/>
              </w:rPr>
              <w:t>)</w:t>
            </w:r>
          </w:p>
        </w:tc>
      </w:tr>
      <w:tr w:rsidR="00000000" w14:paraId="294A9285" w14:textId="77777777">
        <w:trPr>
          <w:trHeight w:val="200"/>
          <w:tblCellSpacing w:w="15" w:type="dxa"/>
        </w:trPr>
        <w:tc>
          <w:tcPr>
            <w:tcW w:w="0" w:type="auto"/>
            <w:hideMark/>
          </w:tcPr>
          <w:p w14:paraId="4C1795FC" w14:textId="77777777" w:rsidR="00000000" w:rsidRDefault="00EF48A2">
            <w:pPr>
              <w:pStyle w:val="a3"/>
              <w:spacing w:before="0" w:beforeAutospacing="0" w:after="0" w:afterAutospacing="0"/>
              <w:ind w:left="200"/>
              <w:rPr>
                <w:sz w:val="20"/>
                <w:szCs w:val="20"/>
              </w:rPr>
            </w:pPr>
            <w:r>
              <w:rPr>
                <w:sz w:val="20"/>
                <w:szCs w:val="20"/>
              </w:rPr>
              <w:t>Proceeds from sale of property and equipmen</w:t>
            </w:r>
            <w:r>
              <w:rPr>
                <w:sz w:val="20"/>
                <w:szCs w:val="20"/>
              </w:rPr>
              <w:t>t</w:t>
            </w:r>
          </w:p>
        </w:tc>
        <w:tc>
          <w:tcPr>
            <w:tcW w:w="0" w:type="auto"/>
            <w:vAlign w:val="bottom"/>
            <w:hideMark/>
          </w:tcPr>
          <w:p w14:paraId="3FE1B98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196D60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9E3CB7" w14:textId="77777777" w:rsidR="00000000" w:rsidRDefault="00EF48A2">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14:paraId="2B8BEE5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243E38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17CEDB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0B945DF"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3EBA708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17BAFD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115281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3B0C10B"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1EEA9B0A" w14:textId="77777777" w:rsidR="00000000" w:rsidRDefault="00EF48A2">
            <w:pPr>
              <w:pStyle w:val="a3"/>
              <w:spacing w:before="0" w:beforeAutospacing="0" w:after="0" w:afterAutospacing="0"/>
              <w:rPr>
                <w:sz w:val="20"/>
                <w:szCs w:val="20"/>
              </w:rPr>
            </w:pPr>
            <w:r>
              <w:rPr>
                <w:sz w:val="20"/>
                <w:szCs w:val="20"/>
              </w:rPr>
              <w:t> </w:t>
            </w:r>
          </w:p>
        </w:tc>
      </w:tr>
      <w:tr w:rsidR="00000000" w14:paraId="46055FC5" w14:textId="77777777">
        <w:trPr>
          <w:trHeight w:val="200"/>
          <w:tblCellSpacing w:w="15" w:type="dxa"/>
        </w:trPr>
        <w:tc>
          <w:tcPr>
            <w:tcW w:w="0" w:type="auto"/>
            <w:hideMark/>
          </w:tcPr>
          <w:p w14:paraId="2CE3C186" w14:textId="77777777" w:rsidR="00000000" w:rsidRDefault="00EF48A2">
            <w:pPr>
              <w:pStyle w:val="a3"/>
              <w:spacing w:before="0" w:beforeAutospacing="0" w:after="0" w:afterAutospacing="0"/>
              <w:ind w:left="200"/>
              <w:rPr>
                <w:sz w:val="20"/>
                <w:szCs w:val="20"/>
              </w:rPr>
            </w:pPr>
            <w:r>
              <w:rPr>
                <w:sz w:val="20"/>
                <w:szCs w:val="20"/>
              </w:rPr>
              <w:t>Acquisition of busines</w:t>
            </w:r>
            <w:r>
              <w:rPr>
                <w:sz w:val="20"/>
                <w:szCs w:val="20"/>
              </w:rPr>
              <w:t>s</w:t>
            </w:r>
          </w:p>
        </w:tc>
        <w:tc>
          <w:tcPr>
            <w:tcW w:w="0" w:type="auto"/>
            <w:vAlign w:val="bottom"/>
            <w:hideMark/>
          </w:tcPr>
          <w:p w14:paraId="3883F6E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9A4428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D9A095D"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4966357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11CDEE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B9F4BB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2937A7"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D48B8B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9E417E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75F2A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DEBB70F" w14:textId="77777777" w:rsidR="00000000" w:rsidRDefault="00EF48A2">
            <w:pPr>
              <w:pStyle w:val="a3"/>
              <w:spacing w:before="0" w:beforeAutospacing="0" w:after="0" w:afterAutospacing="0"/>
              <w:jc w:val="right"/>
              <w:rPr>
                <w:sz w:val="20"/>
                <w:szCs w:val="20"/>
              </w:rPr>
            </w:pPr>
            <w:r>
              <w:rPr>
                <w:sz w:val="20"/>
                <w:szCs w:val="20"/>
              </w:rPr>
              <w:t>(</w:t>
            </w:r>
            <w:r>
              <w:rPr>
                <w:sz w:val="20"/>
                <w:szCs w:val="20"/>
              </w:rPr>
              <w:t>10,68</w:t>
            </w:r>
            <w:r>
              <w:rPr>
                <w:sz w:val="20"/>
                <w:szCs w:val="20"/>
              </w:rPr>
              <w:t>5</w:t>
            </w:r>
          </w:p>
        </w:tc>
        <w:tc>
          <w:tcPr>
            <w:tcW w:w="0" w:type="auto"/>
            <w:noWrap/>
            <w:vAlign w:val="bottom"/>
            <w:hideMark/>
          </w:tcPr>
          <w:p w14:paraId="46DA769E" w14:textId="77777777" w:rsidR="00000000" w:rsidRDefault="00EF48A2">
            <w:pPr>
              <w:pStyle w:val="a3"/>
              <w:spacing w:before="0" w:beforeAutospacing="0" w:after="0" w:afterAutospacing="0"/>
              <w:rPr>
                <w:sz w:val="20"/>
                <w:szCs w:val="20"/>
              </w:rPr>
            </w:pPr>
            <w:r>
              <w:rPr>
                <w:sz w:val="20"/>
                <w:szCs w:val="20"/>
              </w:rPr>
              <w:t>)</w:t>
            </w:r>
          </w:p>
        </w:tc>
      </w:tr>
      <w:tr w:rsidR="00000000" w14:paraId="56312CAC" w14:textId="77777777">
        <w:trPr>
          <w:trHeight w:val="200"/>
          <w:tblCellSpacing w:w="15" w:type="dxa"/>
        </w:trPr>
        <w:tc>
          <w:tcPr>
            <w:tcW w:w="0" w:type="auto"/>
            <w:hideMark/>
          </w:tcPr>
          <w:p w14:paraId="5737D046" w14:textId="77777777" w:rsidR="00000000" w:rsidRDefault="00EF48A2">
            <w:pPr>
              <w:pStyle w:val="a3"/>
              <w:spacing w:before="0" w:beforeAutospacing="0" w:after="0" w:afterAutospacing="0"/>
              <w:ind w:left="200"/>
              <w:rPr>
                <w:sz w:val="20"/>
                <w:szCs w:val="20"/>
              </w:rPr>
            </w:pPr>
            <w:r>
              <w:rPr>
                <w:sz w:val="20"/>
                <w:szCs w:val="20"/>
              </w:rPr>
              <w:t>Purchase of an intangible asse</w:t>
            </w:r>
            <w:r>
              <w:rPr>
                <w:sz w:val="20"/>
                <w:szCs w:val="20"/>
              </w:rPr>
              <w:t>t</w:t>
            </w:r>
          </w:p>
        </w:tc>
        <w:tc>
          <w:tcPr>
            <w:tcW w:w="0" w:type="auto"/>
            <w:vAlign w:val="bottom"/>
            <w:hideMark/>
          </w:tcPr>
          <w:p w14:paraId="133DE0C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7E3FEF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0BA1691"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4E00664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061AFE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EA6FF0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792608D"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358EBB2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FAE3D9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A7D270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E4E8C89" w14:textId="77777777" w:rsidR="00000000" w:rsidRDefault="00EF48A2">
            <w:pPr>
              <w:pStyle w:val="a3"/>
              <w:spacing w:before="0" w:beforeAutospacing="0" w:after="0" w:afterAutospacing="0"/>
              <w:jc w:val="right"/>
              <w:rPr>
                <w:sz w:val="20"/>
                <w:szCs w:val="20"/>
              </w:rPr>
            </w:pPr>
            <w:r>
              <w:rPr>
                <w:sz w:val="20"/>
                <w:szCs w:val="20"/>
              </w:rPr>
              <w:t>(</w:t>
            </w:r>
            <w:r>
              <w:rPr>
                <w:sz w:val="20"/>
                <w:szCs w:val="20"/>
              </w:rPr>
              <w:t>93</w:t>
            </w:r>
            <w:r>
              <w:rPr>
                <w:sz w:val="20"/>
                <w:szCs w:val="20"/>
              </w:rPr>
              <w:t>9</w:t>
            </w:r>
          </w:p>
        </w:tc>
        <w:tc>
          <w:tcPr>
            <w:tcW w:w="0" w:type="auto"/>
            <w:noWrap/>
            <w:vAlign w:val="bottom"/>
            <w:hideMark/>
          </w:tcPr>
          <w:p w14:paraId="36723392" w14:textId="77777777" w:rsidR="00000000" w:rsidRDefault="00EF48A2">
            <w:pPr>
              <w:pStyle w:val="a3"/>
              <w:spacing w:before="0" w:beforeAutospacing="0" w:after="0" w:afterAutospacing="0"/>
              <w:rPr>
                <w:sz w:val="20"/>
                <w:szCs w:val="20"/>
              </w:rPr>
            </w:pPr>
            <w:r>
              <w:rPr>
                <w:sz w:val="20"/>
                <w:szCs w:val="20"/>
              </w:rPr>
              <w:t>)</w:t>
            </w:r>
          </w:p>
        </w:tc>
      </w:tr>
      <w:tr w:rsidR="00000000" w14:paraId="162F057E" w14:textId="77777777">
        <w:trPr>
          <w:trHeight w:val="200"/>
          <w:tblCellSpacing w:w="15" w:type="dxa"/>
        </w:trPr>
        <w:tc>
          <w:tcPr>
            <w:tcW w:w="0" w:type="auto"/>
            <w:hideMark/>
          </w:tcPr>
          <w:p w14:paraId="378BAB03" w14:textId="77777777" w:rsidR="00000000" w:rsidRDefault="00EF48A2">
            <w:pPr>
              <w:pStyle w:val="a3"/>
              <w:spacing w:before="0" w:beforeAutospacing="0" w:after="0" w:afterAutospacing="0"/>
              <w:ind w:left="200"/>
              <w:rPr>
                <w:sz w:val="20"/>
                <w:szCs w:val="20"/>
              </w:rPr>
            </w:pPr>
            <w:r>
              <w:rPr>
                <w:sz w:val="20"/>
                <w:szCs w:val="20"/>
              </w:rPr>
              <w:t>Proceeds from restricted long-term bank deposi</w:t>
            </w:r>
            <w:r>
              <w:rPr>
                <w:sz w:val="20"/>
                <w:szCs w:val="20"/>
              </w:rPr>
              <w:t>t</w:t>
            </w:r>
          </w:p>
        </w:tc>
        <w:tc>
          <w:tcPr>
            <w:tcW w:w="0" w:type="auto"/>
            <w:vAlign w:val="bottom"/>
            <w:hideMark/>
          </w:tcPr>
          <w:p w14:paraId="042C547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3B1A39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0DE88F7"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343937C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21DDB8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7ADAA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220224"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35B90D0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7347E6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3E1571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6D6A689" w14:textId="77777777" w:rsidR="00000000" w:rsidRDefault="00EF48A2">
            <w:pPr>
              <w:pStyle w:val="a3"/>
              <w:spacing w:before="0" w:beforeAutospacing="0" w:after="0" w:afterAutospacing="0"/>
              <w:jc w:val="right"/>
              <w:rPr>
                <w:sz w:val="20"/>
                <w:szCs w:val="20"/>
              </w:rPr>
            </w:pPr>
            <w:r>
              <w:rPr>
                <w:sz w:val="20"/>
                <w:szCs w:val="20"/>
              </w:rPr>
              <w:t>44</w:t>
            </w:r>
            <w:r>
              <w:rPr>
                <w:sz w:val="20"/>
                <w:szCs w:val="20"/>
              </w:rPr>
              <w:t>7</w:t>
            </w:r>
          </w:p>
        </w:tc>
        <w:tc>
          <w:tcPr>
            <w:tcW w:w="0" w:type="auto"/>
            <w:noWrap/>
            <w:vAlign w:val="bottom"/>
            <w:hideMark/>
          </w:tcPr>
          <w:p w14:paraId="73BF8A71" w14:textId="77777777" w:rsidR="00000000" w:rsidRDefault="00EF48A2">
            <w:pPr>
              <w:pStyle w:val="a3"/>
              <w:spacing w:before="0" w:beforeAutospacing="0" w:after="0" w:afterAutospacing="0"/>
              <w:rPr>
                <w:sz w:val="20"/>
                <w:szCs w:val="20"/>
              </w:rPr>
            </w:pPr>
            <w:r>
              <w:rPr>
                <w:sz w:val="20"/>
                <w:szCs w:val="20"/>
              </w:rPr>
              <w:t> </w:t>
            </w:r>
          </w:p>
        </w:tc>
      </w:tr>
      <w:tr w:rsidR="00000000" w14:paraId="2F4E93B2" w14:textId="77777777">
        <w:trPr>
          <w:trHeight w:val="200"/>
          <w:tblCellSpacing w:w="15" w:type="dxa"/>
        </w:trPr>
        <w:tc>
          <w:tcPr>
            <w:tcW w:w="0" w:type="auto"/>
            <w:hideMark/>
          </w:tcPr>
          <w:p w14:paraId="24F270BE" w14:textId="77777777" w:rsidR="00000000" w:rsidRDefault="00EF48A2">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14:paraId="03DBE4D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E5FDD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47173E" w14:textId="77777777" w:rsidR="00000000" w:rsidRDefault="00EF48A2">
            <w:pPr>
              <w:pStyle w:val="a3"/>
              <w:spacing w:before="0" w:beforeAutospacing="0" w:after="0" w:afterAutospacing="0"/>
              <w:jc w:val="right"/>
              <w:rPr>
                <w:sz w:val="20"/>
                <w:szCs w:val="20"/>
              </w:rPr>
            </w:pPr>
            <w:r>
              <w:rPr>
                <w:sz w:val="20"/>
                <w:szCs w:val="20"/>
              </w:rPr>
              <w:t>(</w:t>
            </w:r>
            <w:r>
              <w:rPr>
                <w:sz w:val="20"/>
                <w:szCs w:val="20"/>
              </w:rPr>
              <w:t>31</w:t>
            </w:r>
            <w:r>
              <w:rPr>
                <w:sz w:val="20"/>
                <w:szCs w:val="20"/>
              </w:rPr>
              <w:t>7</w:t>
            </w:r>
          </w:p>
        </w:tc>
        <w:tc>
          <w:tcPr>
            <w:tcW w:w="0" w:type="auto"/>
            <w:noWrap/>
            <w:vAlign w:val="bottom"/>
            <w:hideMark/>
          </w:tcPr>
          <w:p w14:paraId="5953509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C48352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92C312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655A31" w14:textId="77777777" w:rsidR="00000000" w:rsidRDefault="00EF48A2">
            <w:pPr>
              <w:pStyle w:val="a3"/>
              <w:spacing w:before="0" w:beforeAutospacing="0" w:after="0" w:afterAutospacing="0"/>
              <w:jc w:val="right"/>
              <w:rPr>
                <w:sz w:val="20"/>
                <w:szCs w:val="20"/>
              </w:rPr>
            </w:pPr>
            <w:r>
              <w:rPr>
                <w:sz w:val="20"/>
                <w:szCs w:val="20"/>
              </w:rPr>
              <w:t>(</w:t>
            </w:r>
            <w:r>
              <w:rPr>
                <w:sz w:val="20"/>
                <w:szCs w:val="20"/>
              </w:rPr>
              <w:t>66</w:t>
            </w:r>
            <w:r>
              <w:rPr>
                <w:sz w:val="20"/>
                <w:szCs w:val="20"/>
              </w:rPr>
              <w:t>3</w:t>
            </w:r>
          </w:p>
        </w:tc>
        <w:tc>
          <w:tcPr>
            <w:tcW w:w="0" w:type="auto"/>
            <w:noWrap/>
            <w:vAlign w:val="bottom"/>
            <w:hideMark/>
          </w:tcPr>
          <w:p w14:paraId="0E41BAC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AA842B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414EE3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2040F4B" w14:textId="77777777" w:rsidR="00000000" w:rsidRDefault="00EF48A2">
            <w:pPr>
              <w:pStyle w:val="a3"/>
              <w:spacing w:before="0" w:beforeAutospacing="0" w:after="0" w:afterAutospacing="0"/>
              <w:jc w:val="right"/>
              <w:rPr>
                <w:sz w:val="20"/>
                <w:szCs w:val="20"/>
              </w:rPr>
            </w:pPr>
            <w:r>
              <w:rPr>
                <w:sz w:val="20"/>
                <w:szCs w:val="20"/>
              </w:rPr>
              <w:t>(</w:t>
            </w:r>
            <w:r>
              <w:rPr>
                <w:sz w:val="20"/>
                <w:szCs w:val="20"/>
              </w:rPr>
              <w:t>11,30</w:t>
            </w:r>
            <w:r>
              <w:rPr>
                <w:sz w:val="20"/>
                <w:szCs w:val="20"/>
              </w:rPr>
              <w:t>3</w:t>
            </w:r>
          </w:p>
        </w:tc>
        <w:tc>
          <w:tcPr>
            <w:tcW w:w="0" w:type="auto"/>
            <w:noWrap/>
            <w:vAlign w:val="bottom"/>
            <w:hideMark/>
          </w:tcPr>
          <w:p w14:paraId="50CBA38F" w14:textId="77777777" w:rsidR="00000000" w:rsidRDefault="00EF48A2">
            <w:pPr>
              <w:pStyle w:val="a3"/>
              <w:spacing w:before="0" w:beforeAutospacing="0" w:after="0" w:afterAutospacing="0"/>
              <w:rPr>
                <w:sz w:val="20"/>
                <w:szCs w:val="20"/>
              </w:rPr>
            </w:pPr>
            <w:r>
              <w:rPr>
                <w:sz w:val="20"/>
                <w:szCs w:val="20"/>
              </w:rPr>
              <w:t>)</w:t>
            </w:r>
          </w:p>
        </w:tc>
      </w:tr>
      <w:tr w:rsidR="00000000" w14:paraId="1CF60953" w14:textId="77777777">
        <w:trPr>
          <w:trHeight w:val="200"/>
          <w:tblCellSpacing w:w="15" w:type="dxa"/>
        </w:trPr>
        <w:tc>
          <w:tcPr>
            <w:tcW w:w="0" w:type="auto"/>
            <w:hideMark/>
          </w:tcPr>
          <w:p w14:paraId="7484D8F8" w14:textId="77777777" w:rsidR="00000000" w:rsidRDefault="00EF48A2">
            <w:pPr>
              <w:pStyle w:val="a3"/>
              <w:spacing w:before="0" w:beforeAutospacing="0" w:after="0" w:afterAutospacing="0"/>
              <w:rPr>
                <w:sz w:val="20"/>
                <w:szCs w:val="20"/>
              </w:rPr>
            </w:pPr>
            <w:r>
              <w:rPr>
                <w:b/>
                <w:bCs/>
                <w:sz w:val="20"/>
                <w:szCs w:val="20"/>
                <w:u w:val="single"/>
              </w:rPr>
              <w:t>Cash flows from financing activities</w:t>
            </w:r>
            <w:r>
              <w:rPr>
                <w:b/>
                <w:bCs/>
                <w:sz w:val="20"/>
                <w:szCs w:val="20"/>
                <w:u w:val="single"/>
              </w:rPr>
              <w:t>:</w:t>
            </w:r>
          </w:p>
        </w:tc>
        <w:tc>
          <w:tcPr>
            <w:tcW w:w="0" w:type="auto"/>
            <w:vAlign w:val="bottom"/>
            <w:hideMark/>
          </w:tcPr>
          <w:p w14:paraId="2784A2F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66CEE1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F7CF9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CE298E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C10F512"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1965F8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0DB6310"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B7405F2"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D1515E7"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FC23693" w14:textId="77777777">
        <w:trPr>
          <w:trHeight w:val="200"/>
          <w:tblCellSpacing w:w="15" w:type="dxa"/>
        </w:trPr>
        <w:tc>
          <w:tcPr>
            <w:tcW w:w="0" w:type="auto"/>
            <w:hideMark/>
          </w:tcPr>
          <w:p w14:paraId="25D076CB" w14:textId="77777777" w:rsidR="00000000" w:rsidRDefault="00EF48A2">
            <w:pPr>
              <w:pStyle w:val="a3"/>
              <w:spacing w:before="0" w:beforeAutospacing="0" w:after="0" w:afterAutospacing="0"/>
              <w:ind w:left="200"/>
              <w:rPr>
                <w:sz w:val="20"/>
                <w:szCs w:val="20"/>
              </w:rPr>
            </w:pPr>
            <w:r>
              <w:rPr>
                <w:sz w:val="20"/>
                <w:szCs w:val="20"/>
              </w:rPr>
              <w:t>(Payments) proceeds from reverse capitalization, net of transaction cost</w:t>
            </w:r>
            <w:r>
              <w:rPr>
                <w:sz w:val="20"/>
                <w:szCs w:val="20"/>
              </w:rPr>
              <w:t>s</w:t>
            </w:r>
          </w:p>
        </w:tc>
        <w:tc>
          <w:tcPr>
            <w:tcW w:w="0" w:type="auto"/>
            <w:vAlign w:val="bottom"/>
            <w:hideMark/>
          </w:tcPr>
          <w:p w14:paraId="496A01B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2D0BDA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074512" w14:textId="77777777" w:rsidR="00000000" w:rsidRDefault="00EF48A2">
            <w:pPr>
              <w:pStyle w:val="a3"/>
              <w:spacing w:before="0" w:beforeAutospacing="0" w:after="0" w:afterAutospacing="0"/>
              <w:jc w:val="right"/>
              <w:rPr>
                <w:sz w:val="20"/>
                <w:szCs w:val="20"/>
              </w:rPr>
            </w:pPr>
            <w:r>
              <w:rPr>
                <w:sz w:val="20"/>
                <w:szCs w:val="20"/>
              </w:rPr>
              <w:t>(</w:t>
            </w:r>
            <w:r>
              <w:rPr>
                <w:sz w:val="20"/>
                <w:szCs w:val="20"/>
              </w:rPr>
              <w:t>64</w:t>
            </w:r>
            <w:r>
              <w:rPr>
                <w:sz w:val="20"/>
                <w:szCs w:val="20"/>
              </w:rPr>
              <w:t>5</w:t>
            </w:r>
          </w:p>
        </w:tc>
        <w:tc>
          <w:tcPr>
            <w:tcW w:w="0" w:type="auto"/>
            <w:noWrap/>
            <w:vAlign w:val="bottom"/>
            <w:hideMark/>
          </w:tcPr>
          <w:p w14:paraId="3AF181E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E108A6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B99657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6D61884" w14:textId="77777777" w:rsidR="00000000" w:rsidRDefault="00EF48A2">
            <w:pPr>
              <w:pStyle w:val="a3"/>
              <w:spacing w:before="0" w:beforeAutospacing="0" w:after="0" w:afterAutospacing="0"/>
              <w:jc w:val="right"/>
              <w:rPr>
                <w:sz w:val="20"/>
                <w:szCs w:val="20"/>
              </w:rPr>
            </w:pPr>
            <w:r>
              <w:rPr>
                <w:sz w:val="20"/>
                <w:szCs w:val="20"/>
              </w:rPr>
              <w:t>249,33</w:t>
            </w:r>
            <w:r>
              <w:rPr>
                <w:sz w:val="20"/>
                <w:szCs w:val="20"/>
              </w:rPr>
              <w:t>4</w:t>
            </w:r>
          </w:p>
        </w:tc>
        <w:tc>
          <w:tcPr>
            <w:tcW w:w="0" w:type="auto"/>
            <w:noWrap/>
            <w:vAlign w:val="bottom"/>
            <w:hideMark/>
          </w:tcPr>
          <w:p w14:paraId="5E773FB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D43F6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C91FA5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73C8E00"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69208604" w14:textId="77777777" w:rsidR="00000000" w:rsidRDefault="00EF48A2">
            <w:pPr>
              <w:pStyle w:val="a3"/>
              <w:spacing w:before="0" w:beforeAutospacing="0" w:after="0" w:afterAutospacing="0"/>
              <w:rPr>
                <w:sz w:val="20"/>
                <w:szCs w:val="20"/>
              </w:rPr>
            </w:pPr>
            <w:r>
              <w:rPr>
                <w:sz w:val="20"/>
                <w:szCs w:val="20"/>
              </w:rPr>
              <w:t> </w:t>
            </w:r>
          </w:p>
        </w:tc>
      </w:tr>
      <w:tr w:rsidR="00000000" w14:paraId="4E952C1A" w14:textId="77777777">
        <w:trPr>
          <w:trHeight w:val="200"/>
          <w:tblCellSpacing w:w="15" w:type="dxa"/>
        </w:trPr>
        <w:tc>
          <w:tcPr>
            <w:tcW w:w="0" w:type="auto"/>
            <w:hideMark/>
          </w:tcPr>
          <w:p w14:paraId="78B46730" w14:textId="77777777" w:rsidR="00000000" w:rsidRDefault="00EF48A2">
            <w:pPr>
              <w:pStyle w:val="a3"/>
              <w:spacing w:before="0" w:beforeAutospacing="0" w:after="0" w:afterAutospacing="0"/>
              <w:ind w:left="200"/>
              <w:rPr>
                <w:sz w:val="20"/>
                <w:szCs w:val="20"/>
              </w:rPr>
            </w:pPr>
            <w:r>
              <w:rPr>
                <w:sz w:val="20"/>
                <w:szCs w:val="20"/>
              </w:rPr>
              <w:t>Proceeds from exercise of stock option</w:t>
            </w:r>
            <w:r>
              <w:rPr>
                <w:sz w:val="20"/>
                <w:szCs w:val="20"/>
              </w:rPr>
              <w:t>s</w:t>
            </w:r>
          </w:p>
        </w:tc>
        <w:tc>
          <w:tcPr>
            <w:tcW w:w="0" w:type="auto"/>
            <w:vAlign w:val="bottom"/>
            <w:hideMark/>
          </w:tcPr>
          <w:p w14:paraId="3BE788B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C7473B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887698" w14:textId="77777777" w:rsidR="00000000" w:rsidRDefault="00EF48A2">
            <w:pPr>
              <w:pStyle w:val="a3"/>
              <w:spacing w:before="0" w:beforeAutospacing="0" w:after="0" w:afterAutospacing="0"/>
              <w:jc w:val="right"/>
              <w:rPr>
                <w:sz w:val="20"/>
                <w:szCs w:val="20"/>
              </w:rPr>
            </w:pPr>
            <w:r>
              <w:rPr>
                <w:sz w:val="20"/>
                <w:szCs w:val="20"/>
              </w:rPr>
              <w:t>3,18</w:t>
            </w:r>
            <w:r>
              <w:rPr>
                <w:sz w:val="20"/>
                <w:szCs w:val="20"/>
              </w:rPr>
              <w:t>1</w:t>
            </w:r>
          </w:p>
        </w:tc>
        <w:tc>
          <w:tcPr>
            <w:tcW w:w="0" w:type="auto"/>
            <w:noWrap/>
            <w:vAlign w:val="bottom"/>
            <w:hideMark/>
          </w:tcPr>
          <w:p w14:paraId="403A7EC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1DB4A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1A7BB1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AC12E15" w14:textId="77777777" w:rsidR="00000000" w:rsidRDefault="00EF48A2">
            <w:pPr>
              <w:pStyle w:val="a3"/>
              <w:spacing w:before="0" w:beforeAutospacing="0" w:after="0" w:afterAutospacing="0"/>
              <w:jc w:val="right"/>
              <w:rPr>
                <w:sz w:val="20"/>
                <w:szCs w:val="20"/>
              </w:rPr>
            </w:pPr>
            <w:r>
              <w:rPr>
                <w:sz w:val="20"/>
                <w:szCs w:val="20"/>
              </w:rPr>
              <w:t>2,09</w:t>
            </w:r>
            <w:r>
              <w:rPr>
                <w:sz w:val="20"/>
                <w:szCs w:val="20"/>
              </w:rPr>
              <w:t>8</w:t>
            </w:r>
          </w:p>
        </w:tc>
        <w:tc>
          <w:tcPr>
            <w:tcW w:w="0" w:type="auto"/>
            <w:noWrap/>
            <w:vAlign w:val="bottom"/>
            <w:hideMark/>
          </w:tcPr>
          <w:p w14:paraId="5011B57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6B8E4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33DA01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E3386F1" w14:textId="77777777" w:rsidR="00000000" w:rsidRDefault="00EF48A2">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14:paraId="49CCBDAB" w14:textId="77777777" w:rsidR="00000000" w:rsidRDefault="00EF48A2">
            <w:pPr>
              <w:pStyle w:val="a3"/>
              <w:spacing w:before="0" w:beforeAutospacing="0" w:after="0" w:afterAutospacing="0"/>
              <w:rPr>
                <w:sz w:val="20"/>
                <w:szCs w:val="20"/>
              </w:rPr>
            </w:pPr>
            <w:r>
              <w:rPr>
                <w:sz w:val="20"/>
                <w:szCs w:val="20"/>
              </w:rPr>
              <w:t> </w:t>
            </w:r>
          </w:p>
        </w:tc>
      </w:tr>
      <w:tr w:rsidR="00000000" w14:paraId="571C0562" w14:textId="77777777">
        <w:trPr>
          <w:trHeight w:val="200"/>
          <w:tblCellSpacing w:w="15" w:type="dxa"/>
        </w:trPr>
        <w:tc>
          <w:tcPr>
            <w:tcW w:w="0" w:type="auto"/>
            <w:hideMark/>
          </w:tcPr>
          <w:p w14:paraId="4BC9B943" w14:textId="77777777" w:rsidR="00000000" w:rsidRDefault="00EF48A2">
            <w:pPr>
              <w:pStyle w:val="a3"/>
              <w:spacing w:before="0" w:beforeAutospacing="0" w:after="0" w:afterAutospacing="0"/>
              <w:ind w:left="200"/>
              <w:rPr>
                <w:sz w:val="20"/>
                <w:szCs w:val="20"/>
              </w:rPr>
            </w:pPr>
            <w:r>
              <w:rPr>
                <w:sz w:val="20"/>
                <w:szCs w:val="20"/>
              </w:rPr>
              <w:t>Payments for employee taxes withheld related to vested stock-based award</w:t>
            </w:r>
            <w:r>
              <w:rPr>
                <w:sz w:val="20"/>
                <w:szCs w:val="20"/>
              </w:rPr>
              <w:t>s</w:t>
            </w:r>
          </w:p>
        </w:tc>
        <w:tc>
          <w:tcPr>
            <w:tcW w:w="0" w:type="auto"/>
            <w:vAlign w:val="bottom"/>
            <w:hideMark/>
          </w:tcPr>
          <w:p w14:paraId="14D514B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D87532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B8D768D" w14:textId="77777777" w:rsidR="00000000" w:rsidRDefault="00EF48A2">
            <w:pPr>
              <w:pStyle w:val="a3"/>
              <w:spacing w:before="0" w:beforeAutospacing="0" w:after="0" w:afterAutospacing="0"/>
              <w:jc w:val="right"/>
              <w:rPr>
                <w:sz w:val="20"/>
                <w:szCs w:val="20"/>
              </w:rPr>
            </w:pPr>
            <w:r>
              <w:rPr>
                <w:sz w:val="20"/>
                <w:szCs w:val="20"/>
              </w:rPr>
              <w:t>(</w:t>
            </w:r>
            <w:r>
              <w:rPr>
                <w:sz w:val="20"/>
                <w:szCs w:val="20"/>
              </w:rPr>
              <w:t>85</w:t>
            </w:r>
            <w:r>
              <w:rPr>
                <w:sz w:val="20"/>
                <w:szCs w:val="20"/>
              </w:rPr>
              <w:t>3</w:t>
            </w:r>
          </w:p>
        </w:tc>
        <w:tc>
          <w:tcPr>
            <w:tcW w:w="0" w:type="auto"/>
            <w:noWrap/>
            <w:vAlign w:val="bottom"/>
            <w:hideMark/>
          </w:tcPr>
          <w:p w14:paraId="5D09DD5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E7CE51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86E5E3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D20D479"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F83E8D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2896E5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D5B6D8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84BC9D"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1A44A935" w14:textId="77777777" w:rsidR="00000000" w:rsidRDefault="00EF48A2">
            <w:pPr>
              <w:pStyle w:val="a3"/>
              <w:spacing w:before="0" w:beforeAutospacing="0" w:after="0" w:afterAutospacing="0"/>
              <w:rPr>
                <w:sz w:val="20"/>
                <w:szCs w:val="20"/>
              </w:rPr>
            </w:pPr>
            <w:r>
              <w:rPr>
                <w:sz w:val="20"/>
                <w:szCs w:val="20"/>
              </w:rPr>
              <w:t> </w:t>
            </w:r>
          </w:p>
        </w:tc>
      </w:tr>
      <w:tr w:rsidR="00000000" w14:paraId="7D8E2391" w14:textId="77777777">
        <w:trPr>
          <w:trHeight w:val="200"/>
          <w:tblCellSpacing w:w="15" w:type="dxa"/>
        </w:trPr>
        <w:tc>
          <w:tcPr>
            <w:tcW w:w="0" w:type="auto"/>
            <w:hideMark/>
          </w:tcPr>
          <w:p w14:paraId="6907641B" w14:textId="77777777" w:rsidR="00000000" w:rsidRDefault="00EF48A2">
            <w:pPr>
              <w:pStyle w:val="a3"/>
              <w:spacing w:before="0" w:beforeAutospacing="0" w:after="0" w:afterAutospacing="0"/>
              <w:ind w:left="200"/>
              <w:rPr>
                <w:sz w:val="20"/>
                <w:szCs w:val="20"/>
              </w:rPr>
            </w:pPr>
            <w:r>
              <w:rPr>
                <w:sz w:val="20"/>
                <w:szCs w:val="20"/>
              </w:rPr>
              <w:t>Proceeds from borrowing</w:t>
            </w:r>
            <w:r>
              <w:rPr>
                <w:sz w:val="20"/>
                <w:szCs w:val="20"/>
              </w:rPr>
              <w:t>s</w:t>
            </w:r>
          </w:p>
        </w:tc>
        <w:tc>
          <w:tcPr>
            <w:tcW w:w="0" w:type="auto"/>
            <w:vAlign w:val="bottom"/>
            <w:hideMark/>
          </w:tcPr>
          <w:p w14:paraId="5B98420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B2A587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91B1F7"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4A6522A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4EE426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376EB1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425EAF5" w14:textId="77777777" w:rsidR="00000000" w:rsidRDefault="00EF48A2">
            <w:pPr>
              <w:pStyle w:val="a3"/>
              <w:spacing w:before="0" w:beforeAutospacing="0" w:after="0" w:afterAutospacing="0"/>
              <w:jc w:val="right"/>
              <w:rPr>
                <w:sz w:val="20"/>
                <w:szCs w:val="20"/>
              </w:rPr>
            </w:pPr>
            <w:r>
              <w:rPr>
                <w:sz w:val="20"/>
                <w:szCs w:val="20"/>
              </w:rPr>
              <w:t>6,00</w:t>
            </w:r>
            <w:r>
              <w:rPr>
                <w:sz w:val="20"/>
                <w:szCs w:val="20"/>
              </w:rPr>
              <w:t>0</w:t>
            </w:r>
          </w:p>
        </w:tc>
        <w:tc>
          <w:tcPr>
            <w:tcW w:w="0" w:type="auto"/>
            <w:noWrap/>
            <w:vAlign w:val="bottom"/>
            <w:hideMark/>
          </w:tcPr>
          <w:p w14:paraId="1DB3A0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F2BE21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18D402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2E21F89"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77E093AC" w14:textId="77777777" w:rsidR="00000000" w:rsidRDefault="00EF48A2">
            <w:pPr>
              <w:pStyle w:val="a3"/>
              <w:spacing w:before="0" w:beforeAutospacing="0" w:after="0" w:afterAutospacing="0"/>
              <w:rPr>
                <w:sz w:val="20"/>
                <w:szCs w:val="20"/>
              </w:rPr>
            </w:pPr>
            <w:r>
              <w:rPr>
                <w:sz w:val="20"/>
                <w:szCs w:val="20"/>
              </w:rPr>
              <w:t> </w:t>
            </w:r>
          </w:p>
        </w:tc>
      </w:tr>
      <w:tr w:rsidR="00000000" w14:paraId="07745191" w14:textId="77777777">
        <w:trPr>
          <w:trHeight w:val="200"/>
          <w:tblCellSpacing w:w="15" w:type="dxa"/>
        </w:trPr>
        <w:tc>
          <w:tcPr>
            <w:tcW w:w="0" w:type="auto"/>
            <w:hideMark/>
          </w:tcPr>
          <w:p w14:paraId="50F77C11" w14:textId="77777777" w:rsidR="00000000" w:rsidRDefault="00EF48A2">
            <w:pPr>
              <w:pStyle w:val="a3"/>
              <w:spacing w:before="0" w:beforeAutospacing="0" w:after="0" w:afterAutospacing="0"/>
              <w:ind w:left="200"/>
              <w:rPr>
                <w:sz w:val="20"/>
                <w:szCs w:val="20"/>
              </w:rPr>
            </w:pPr>
            <w:r>
              <w:rPr>
                <w:sz w:val="20"/>
                <w:szCs w:val="20"/>
              </w:rPr>
              <w:t>Repayment of borrowing</w:t>
            </w:r>
            <w:r>
              <w:rPr>
                <w:sz w:val="20"/>
                <w:szCs w:val="20"/>
              </w:rPr>
              <w:t>s</w:t>
            </w:r>
          </w:p>
        </w:tc>
        <w:tc>
          <w:tcPr>
            <w:tcW w:w="0" w:type="auto"/>
            <w:vAlign w:val="bottom"/>
            <w:hideMark/>
          </w:tcPr>
          <w:p w14:paraId="415F84E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87A348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33E4276"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168888C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F400F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1D54F2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F499190" w14:textId="77777777" w:rsidR="00000000" w:rsidRDefault="00EF48A2">
            <w:pPr>
              <w:pStyle w:val="a3"/>
              <w:spacing w:before="0" w:beforeAutospacing="0" w:after="0" w:afterAutospacing="0"/>
              <w:jc w:val="right"/>
              <w:rPr>
                <w:sz w:val="20"/>
                <w:szCs w:val="20"/>
              </w:rPr>
            </w:pPr>
            <w:r>
              <w:rPr>
                <w:sz w:val="20"/>
                <w:szCs w:val="20"/>
              </w:rPr>
              <w:t>(</w:t>
            </w:r>
            <w:r>
              <w:rPr>
                <w:sz w:val="20"/>
                <w:szCs w:val="20"/>
              </w:rPr>
              <w:t>6,00</w:t>
            </w:r>
            <w:r>
              <w:rPr>
                <w:sz w:val="20"/>
                <w:szCs w:val="20"/>
              </w:rPr>
              <w:t>0</w:t>
            </w:r>
          </w:p>
        </w:tc>
        <w:tc>
          <w:tcPr>
            <w:tcW w:w="0" w:type="auto"/>
            <w:noWrap/>
            <w:vAlign w:val="bottom"/>
            <w:hideMark/>
          </w:tcPr>
          <w:p w14:paraId="3461FC5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E1B0DF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EF4A86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EE7806"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97F65E1" w14:textId="77777777" w:rsidR="00000000" w:rsidRDefault="00EF48A2">
            <w:pPr>
              <w:pStyle w:val="a3"/>
              <w:spacing w:before="0" w:beforeAutospacing="0" w:after="0" w:afterAutospacing="0"/>
              <w:rPr>
                <w:sz w:val="20"/>
                <w:szCs w:val="20"/>
              </w:rPr>
            </w:pPr>
            <w:r>
              <w:rPr>
                <w:sz w:val="20"/>
                <w:szCs w:val="20"/>
              </w:rPr>
              <w:t> </w:t>
            </w:r>
          </w:p>
        </w:tc>
      </w:tr>
      <w:tr w:rsidR="00000000" w14:paraId="385A0061" w14:textId="77777777">
        <w:trPr>
          <w:trHeight w:val="200"/>
          <w:tblCellSpacing w:w="15" w:type="dxa"/>
        </w:trPr>
        <w:tc>
          <w:tcPr>
            <w:tcW w:w="0" w:type="auto"/>
            <w:hideMark/>
          </w:tcPr>
          <w:p w14:paraId="1469DF93" w14:textId="77777777" w:rsidR="00000000" w:rsidRDefault="00EF48A2">
            <w:pPr>
              <w:pStyle w:val="a3"/>
              <w:spacing w:before="0" w:beforeAutospacing="0" w:after="0" w:afterAutospacing="0"/>
              <w:ind w:left="200"/>
              <w:rPr>
                <w:sz w:val="20"/>
                <w:szCs w:val="20"/>
              </w:rPr>
            </w:pPr>
            <w:r>
              <w:rPr>
                <w:sz w:val="20"/>
                <w:szCs w:val="20"/>
              </w:rPr>
              <w:t>Payment of debt issuance cost</w:t>
            </w:r>
            <w:r>
              <w:rPr>
                <w:sz w:val="20"/>
                <w:szCs w:val="20"/>
              </w:rPr>
              <w:t>s</w:t>
            </w:r>
          </w:p>
        </w:tc>
        <w:tc>
          <w:tcPr>
            <w:tcW w:w="0" w:type="auto"/>
            <w:vAlign w:val="bottom"/>
            <w:hideMark/>
          </w:tcPr>
          <w:p w14:paraId="3CB2D13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310D10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7307754"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095E8D5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B5FE79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944682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5D0B11" w14:textId="77777777" w:rsidR="00000000" w:rsidRDefault="00EF48A2">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noWrap/>
            <w:vAlign w:val="bottom"/>
            <w:hideMark/>
          </w:tcPr>
          <w:p w14:paraId="1C7E761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A857EA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E58201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D3C2EA"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7E93319" w14:textId="77777777" w:rsidR="00000000" w:rsidRDefault="00EF48A2">
            <w:pPr>
              <w:pStyle w:val="a3"/>
              <w:spacing w:before="0" w:beforeAutospacing="0" w:after="0" w:afterAutospacing="0"/>
              <w:rPr>
                <w:sz w:val="20"/>
                <w:szCs w:val="20"/>
              </w:rPr>
            </w:pPr>
            <w:r>
              <w:rPr>
                <w:sz w:val="20"/>
                <w:szCs w:val="20"/>
              </w:rPr>
              <w:t> </w:t>
            </w:r>
          </w:p>
        </w:tc>
      </w:tr>
      <w:tr w:rsidR="00000000" w14:paraId="7B386130" w14:textId="77777777">
        <w:trPr>
          <w:trHeight w:val="200"/>
          <w:tblCellSpacing w:w="15" w:type="dxa"/>
        </w:trPr>
        <w:tc>
          <w:tcPr>
            <w:tcW w:w="0" w:type="auto"/>
            <w:hideMark/>
          </w:tcPr>
          <w:p w14:paraId="6FCD48DA" w14:textId="77777777" w:rsidR="00000000" w:rsidRDefault="00EF48A2">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14:paraId="3170B53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BE455D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1BE2407" w14:textId="77777777" w:rsidR="00000000" w:rsidRDefault="00EF48A2">
            <w:pPr>
              <w:pStyle w:val="a3"/>
              <w:spacing w:before="0" w:beforeAutospacing="0" w:after="0" w:afterAutospacing="0"/>
              <w:jc w:val="right"/>
              <w:rPr>
                <w:sz w:val="20"/>
                <w:szCs w:val="20"/>
              </w:rPr>
            </w:pPr>
            <w:r>
              <w:rPr>
                <w:sz w:val="20"/>
                <w:szCs w:val="20"/>
              </w:rPr>
              <w:t>1,68</w:t>
            </w:r>
            <w:r>
              <w:rPr>
                <w:sz w:val="20"/>
                <w:szCs w:val="20"/>
              </w:rPr>
              <w:t>3</w:t>
            </w:r>
          </w:p>
        </w:tc>
        <w:tc>
          <w:tcPr>
            <w:tcW w:w="0" w:type="auto"/>
            <w:noWrap/>
            <w:vAlign w:val="bottom"/>
            <w:hideMark/>
          </w:tcPr>
          <w:p w14:paraId="4678CAE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30BE54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A673F2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EE0EF7" w14:textId="77777777" w:rsidR="00000000" w:rsidRDefault="00EF48A2">
            <w:pPr>
              <w:pStyle w:val="a3"/>
              <w:spacing w:before="0" w:beforeAutospacing="0" w:after="0" w:afterAutospacing="0"/>
              <w:jc w:val="right"/>
              <w:rPr>
                <w:sz w:val="20"/>
                <w:szCs w:val="20"/>
              </w:rPr>
            </w:pPr>
            <w:r>
              <w:rPr>
                <w:sz w:val="20"/>
                <w:szCs w:val="20"/>
              </w:rPr>
              <w:t>251,38</w:t>
            </w:r>
            <w:r>
              <w:rPr>
                <w:sz w:val="20"/>
                <w:szCs w:val="20"/>
              </w:rPr>
              <w:t>2</w:t>
            </w:r>
          </w:p>
        </w:tc>
        <w:tc>
          <w:tcPr>
            <w:tcW w:w="0" w:type="auto"/>
            <w:noWrap/>
            <w:vAlign w:val="bottom"/>
            <w:hideMark/>
          </w:tcPr>
          <w:p w14:paraId="18C0C6C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696070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49939E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54EB432" w14:textId="77777777" w:rsidR="00000000" w:rsidRDefault="00EF48A2">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14:paraId="6763D03B" w14:textId="77777777" w:rsidR="00000000" w:rsidRDefault="00EF48A2">
            <w:pPr>
              <w:pStyle w:val="a3"/>
              <w:spacing w:before="0" w:beforeAutospacing="0" w:after="0" w:afterAutospacing="0"/>
              <w:rPr>
                <w:sz w:val="20"/>
                <w:szCs w:val="20"/>
              </w:rPr>
            </w:pPr>
            <w:r>
              <w:rPr>
                <w:sz w:val="20"/>
                <w:szCs w:val="20"/>
              </w:rPr>
              <w:t> </w:t>
            </w:r>
          </w:p>
        </w:tc>
      </w:tr>
      <w:tr w:rsidR="00000000" w14:paraId="272E75B5" w14:textId="77777777">
        <w:trPr>
          <w:trHeight w:val="200"/>
          <w:tblCellSpacing w:w="15" w:type="dxa"/>
        </w:trPr>
        <w:tc>
          <w:tcPr>
            <w:tcW w:w="0" w:type="auto"/>
            <w:hideMark/>
          </w:tcPr>
          <w:p w14:paraId="3CF57502" w14:textId="77777777" w:rsidR="00000000" w:rsidRDefault="00EF48A2">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14:paraId="2F96B04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2F4A85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EEB260A" w14:textId="77777777" w:rsidR="00000000" w:rsidRDefault="00EF48A2">
            <w:pPr>
              <w:pStyle w:val="a3"/>
              <w:spacing w:before="0" w:beforeAutospacing="0" w:after="0" w:afterAutospacing="0"/>
              <w:jc w:val="right"/>
              <w:rPr>
                <w:sz w:val="20"/>
                <w:szCs w:val="20"/>
              </w:rPr>
            </w:pPr>
            <w:r>
              <w:rPr>
                <w:sz w:val="20"/>
                <w:szCs w:val="20"/>
              </w:rPr>
              <w:t>(</w:t>
            </w:r>
            <w:r>
              <w:rPr>
                <w:sz w:val="20"/>
                <w:szCs w:val="20"/>
              </w:rPr>
              <w:t>59,71</w:t>
            </w:r>
            <w:r>
              <w:rPr>
                <w:sz w:val="20"/>
                <w:szCs w:val="20"/>
              </w:rPr>
              <w:t>1</w:t>
            </w:r>
          </w:p>
        </w:tc>
        <w:tc>
          <w:tcPr>
            <w:tcW w:w="0" w:type="auto"/>
            <w:noWrap/>
            <w:vAlign w:val="bottom"/>
            <w:hideMark/>
          </w:tcPr>
          <w:p w14:paraId="5E1F20F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B4009E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2C7E36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96B477A" w14:textId="77777777" w:rsidR="00000000" w:rsidRDefault="00EF48A2">
            <w:pPr>
              <w:pStyle w:val="a3"/>
              <w:spacing w:before="0" w:beforeAutospacing="0" w:after="0" w:afterAutospacing="0"/>
              <w:jc w:val="right"/>
              <w:rPr>
                <w:sz w:val="20"/>
                <w:szCs w:val="20"/>
              </w:rPr>
            </w:pPr>
            <w:r>
              <w:rPr>
                <w:sz w:val="20"/>
                <w:szCs w:val="20"/>
              </w:rPr>
              <w:t>185,00</w:t>
            </w:r>
            <w:r>
              <w:rPr>
                <w:sz w:val="20"/>
                <w:szCs w:val="20"/>
              </w:rPr>
              <w:t>8</w:t>
            </w:r>
          </w:p>
        </w:tc>
        <w:tc>
          <w:tcPr>
            <w:tcW w:w="0" w:type="auto"/>
            <w:noWrap/>
            <w:vAlign w:val="bottom"/>
            <w:hideMark/>
          </w:tcPr>
          <w:p w14:paraId="43A1C61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03A72F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D58860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1AABC2" w14:textId="77777777" w:rsidR="00000000" w:rsidRDefault="00EF48A2">
            <w:pPr>
              <w:pStyle w:val="a3"/>
              <w:spacing w:before="0" w:beforeAutospacing="0" w:after="0" w:afterAutospacing="0"/>
              <w:jc w:val="right"/>
              <w:rPr>
                <w:sz w:val="20"/>
                <w:szCs w:val="20"/>
              </w:rPr>
            </w:pPr>
            <w:r>
              <w:rPr>
                <w:sz w:val="20"/>
                <w:szCs w:val="20"/>
              </w:rPr>
              <w:t>(</w:t>
            </w:r>
            <w:r>
              <w:rPr>
                <w:sz w:val="20"/>
                <w:szCs w:val="20"/>
              </w:rPr>
              <w:t>26,38</w:t>
            </w:r>
            <w:r>
              <w:rPr>
                <w:sz w:val="20"/>
                <w:szCs w:val="20"/>
              </w:rPr>
              <w:t>4</w:t>
            </w:r>
          </w:p>
        </w:tc>
        <w:tc>
          <w:tcPr>
            <w:tcW w:w="0" w:type="auto"/>
            <w:noWrap/>
            <w:vAlign w:val="bottom"/>
            <w:hideMark/>
          </w:tcPr>
          <w:p w14:paraId="123C1CED" w14:textId="77777777" w:rsidR="00000000" w:rsidRDefault="00EF48A2">
            <w:pPr>
              <w:pStyle w:val="a3"/>
              <w:spacing w:before="0" w:beforeAutospacing="0" w:after="0" w:afterAutospacing="0"/>
              <w:rPr>
                <w:sz w:val="20"/>
                <w:szCs w:val="20"/>
              </w:rPr>
            </w:pPr>
            <w:r>
              <w:rPr>
                <w:sz w:val="20"/>
                <w:szCs w:val="20"/>
              </w:rPr>
              <w:t>)</w:t>
            </w:r>
          </w:p>
        </w:tc>
      </w:tr>
      <w:tr w:rsidR="00000000" w14:paraId="6D85050D" w14:textId="77777777">
        <w:trPr>
          <w:trHeight w:val="200"/>
          <w:tblCellSpacing w:w="15" w:type="dxa"/>
        </w:trPr>
        <w:tc>
          <w:tcPr>
            <w:tcW w:w="0" w:type="auto"/>
            <w:hideMark/>
          </w:tcPr>
          <w:p w14:paraId="3C6670C7" w14:textId="77777777" w:rsidR="00000000" w:rsidRDefault="00EF48A2">
            <w:pPr>
              <w:pStyle w:val="a3"/>
              <w:spacing w:before="0" w:beforeAutospacing="0" w:after="0" w:afterAutospacing="0"/>
              <w:rPr>
                <w:sz w:val="20"/>
                <w:szCs w:val="20"/>
              </w:rPr>
            </w:pPr>
            <w:r>
              <w:rPr>
                <w:sz w:val="20"/>
                <w:szCs w:val="20"/>
              </w:rPr>
              <w:t>Cash and cash equivalents at the beginning of the yea</w:t>
            </w:r>
            <w:r>
              <w:rPr>
                <w:sz w:val="20"/>
                <w:szCs w:val="20"/>
              </w:rPr>
              <w:t>r</w:t>
            </w:r>
          </w:p>
        </w:tc>
        <w:tc>
          <w:tcPr>
            <w:tcW w:w="0" w:type="auto"/>
            <w:vAlign w:val="bottom"/>
            <w:hideMark/>
          </w:tcPr>
          <w:p w14:paraId="41015BD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C2CD68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F2F5603" w14:textId="77777777" w:rsidR="00000000" w:rsidRDefault="00EF48A2">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14:paraId="2603578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941B6D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91096C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C73F727" w14:textId="77777777" w:rsidR="00000000" w:rsidRDefault="00EF48A2">
            <w:pPr>
              <w:pStyle w:val="a3"/>
              <w:spacing w:before="0" w:beforeAutospacing="0" w:after="0" w:afterAutospacing="0"/>
              <w:jc w:val="right"/>
              <w:rPr>
                <w:sz w:val="20"/>
                <w:szCs w:val="20"/>
              </w:rPr>
            </w:pPr>
            <w:r>
              <w:rPr>
                <w:sz w:val="20"/>
                <w:szCs w:val="20"/>
              </w:rPr>
              <w:t>13,24</w:t>
            </w:r>
            <w:r>
              <w:rPr>
                <w:sz w:val="20"/>
                <w:szCs w:val="20"/>
              </w:rPr>
              <w:t>8</w:t>
            </w:r>
          </w:p>
        </w:tc>
        <w:tc>
          <w:tcPr>
            <w:tcW w:w="0" w:type="auto"/>
            <w:noWrap/>
            <w:vAlign w:val="bottom"/>
            <w:hideMark/>
          </w:tcPr>
          <w:p w14:paraId="77DD5DD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267118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7180F8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18A3B0" w14:textId="77777777" w:rsidR="00000000" w:rsidRDefault="00EF48A2">
            <w:pPr>
              <w:pStyle w:val="a3"/>
              <w:spacing w:before="0" w:beforeAutospacing="0" w:after="0" w:afterAutospacing="0"/>
              <w:jc w:val="right"/>
              <w:rPr>
                <w:sz w:val="20"/>
                <w:szCs w:val="20"/>
              </w:rPr>
            </w:pPr>
            <w:r>
              <w:rPr>
                <w:sz w:val="20"/>
                <w:szCs w:val="20"/>
              </w:rPr>
              <w:t>39,63</w:t>
            </w:r>
            <w:r>
              <w:rPr>
                <w:sz w:val="20"/>
                <w:szCs w:val="20"/>
              </w:rPr>
              <w:t>2</w:t>
            </w:r>
          </w:p>
        </w:tc>
        <w:tc>
          <w:tcPr>
            <w:tcW w:w="0" w:type="auto"/>
            <w:noWrap/>
            <w:vAlign w:val="bottom"/>
            <w:hideMark/>
          </w:tcPr>
          <w:p w14:paraId="294C41CC" w14:textId="77777777" w:rsidR="00000000" w:rsidRDefault="00EF48A2">
            <w:pPr>
              <w:pStyle w:val="a3"/>
              <w:spacing w:before="0" w:beforeAutospacing="0" w:after="0" w:afterAutospacing="0"/>
              <w:rPr>
                <w:sz w:val="20"/>
                <w:szCs w:val="20"/>
              </w:rPr>
            </w:pPr>
            <w:r>
              <w:rPr>
                <w:sz w:val="20"/>
                <w:szCs w:val="20"/>
              </w:rPr>
              <w:t> </w:t>
            </w:r>
          </w:p>
        </w:tc>
      </w:tr>
      <w:tr w:rsidR="00000000" w14:paraId="4031C930" w14:textId="77777777">
        <w:trPr>
          <w:trHeight w:val="200"/>
          <w:tblCellSpacing w:w="15" w:type="dxa"/>
        </w:trPr>
        <w:tc>
          <w:tcPr>
            <w:tcW w:w="0" w:type="auto"/>
            <w:hideMark/>
          </w:tcPr>
          <w:p w14:paraId="231FB62D" w14:textId="77777777" w:rsidR="00000000" w:rsidRDefault="00EF48A2">
            <w:pPr>
              <w:pStyle w:val="a3"/>
              <w:spacing w:before="0" w:beforeAutospacing="0" w:after="0" w:afterAutospacing="0"/>
              <w:rPr>
                <w:sz w:val="20"/>
                <w:szCs w:val="20"/>
              </w:rPr>
            </w:pPr>
            <w:r>
              <w:rPr>
                <w:sz w:val="20"/>
                <w:szCs w:val="20"/>
              </w:rPr>
              <w:t>Cash and cash equivalents at the end of the yea</w:t>
            </w:r>
            <w:r>
              <w:rPr>
                <w:sz w:val="20"/>
                <w:szCs w:val="20"/>
              </w:rPr>
              <w:t>r</w:t>
            </w:r>
          </w:p>
        </w:tc>
        <w:tc>
          <w:tcPr>
            <w:tcW w:w="0" w:type="auto"/>
            <w:vAlign w:val="bottom"/>
            <w:hideMark/>
          </w:tcPr>
          <w:p w14:paraId="129CB48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0C6E3F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923EEF8" w14:textId="77777777" w:rsidR="00000000" w:rsidRDefault="00EF48A2">
            <w:pPr>
              <w:pStyle w:val="a3"/>
              <w:spacing w:before="0" w:beforeAutospacing="0" w:after="0" w:afterAutospacing="0"/>
              <w:jc w:val="right"/>
              <w:rPr>
                <w:sz w:val="20"/>
                <w:szCs w:val="20"/>
              </w:rPr>
            </w:pPr>
            <w:r>
              <w:rPr>
                <w:sz w:val="20"/>
                <w:szCs w:val="20"/>
              </w:rPr>
              <w:t>138,54</w:t>
            </w:r>
            <w:r>
              <w:rPr>
                <w:sz w:val="20"/>
                <w:szCs w:val="20"/>
              </w:rPr>
              <w:t>5</w:t>
            </w:r>
          </w:p>
        </w:tc>
        <w:tc>
          <w:tcPr>
            <w:tcW w:w="0" w:type="auto"/>
            <w:noWrap/>
            <w:vAlign w:val="bottom"/>
            <w:hideMark/>
          </w:tcPr>
          <w:p w14:paraId="4293661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BBFD9C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A121F7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44F4F89" w14:textId="77777777" w:rsidR="00000000" w:rsidRDefault="00EF48A2">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14:paraId="11AB131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B08F8E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242A18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13C3EAA" w14:textId="77777777" w:rsidR="00000000" w:rsidRDefault="00EF48A2">
            <w:pPr>
              <w:pStyle w:val="a3"/>
              <w:spacing w:before="0" w:beforeAutospacing="0" w:after="0" w:afterAutospacing="0"/>
              <w:jc w:val="right"/>
              <w:rPr>
                <w:sz w:val="20"/>
                <w:szCs w:val="20"/>
              </w:rPr>
            </w:pPr>
            <w:r>
              <w:rPr>
                <w:sz w:val="20"/>
                <w:szCs w:val="20"/>
              </w:rPr>
              <w:t>13,24</w:t>
            </w:r>
            <w:r>
              <w:rPr>
                <w:sz w:val="20"/>
                <w:szCs w:val="20"/>
              </w:rPr>
              <w:t>8</w:t>
            </w:r>
          </w:p>
        </w:tc>
        <w:tc>
          <w:tcPr>
            <w:tcW w:w="0" w:type="auto"/>
            <w:noWrap/>
            <w:vAlign w:val="bottom"/>
            <w:hideMark/>
          </w:tcPr>
          <w:p w14:paraId="5F3CF28C" w14:textId="77777777" w:rsidR="00000000" w:rsidRDefault="00EF48A2">
            <w:pPr>
              <w:pStyle w:val="a3"/>
              <w:spacing w:before="0" w:beforeAutospacing="0" w:after="0" w:afterAutospacing="0"/>
              <w:rPr>
                <w:sz w:val="20"/>
                <w:szCs w:val="20"/>
              </w:rPr>
            </w:pPr>
            <w:r>
              <w:rPr>
                <w:sz w:val="20"/>
                <w:szCs w:val="20"/>
              </w:rPr>
              <w:t> </w:t>
            </w:r>
          </w:p>
        </w:tc>
      </w:tr>
      <w:tr w:rsidR="00000000" w14:paraId="1629CC03" w14:textId="77777777">
        <w:trPr>
          <w:tblCellSpacing w:w="15" w:type="dxa"/>
        </w:trPr>
        <w:tc>
          <w:tcPr>
            <w:tcW w:w="0" w:type="auto"/>
            <w:vAlign w:val="bottom"/>
            <w:hideMark/>
          </w:tcPr>
          <w:p w14:paraId="5100189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BBC571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366A97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480CB7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C0B8B9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1F82D59"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8F0A06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2464691"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D0DF68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BB76852" w14:textId="77777777" w:rsidR="00000000" w:rsidRDefault="00EF48A2">
            <w:pPr>
              <w:pStyle w:val="a3"/>
              <w:spacing w:before="0" w:beforeAutospacing="0" w:after="0" w:afterAutospacing="0"/>
              <w:jc w:val="right"/>
              <w:rPr>
                <w:sz w:val="20"/>
                <w:szCs w:val="20"/>
              </w:rPr>
            </w:pPr>
            <w:r>
              <w:rPr>
                <w:sz w:val="20"/>
                <w:szCs w:val="20"/>
              </w:rPr>
              <w:t> </w:t>
            </w:r>
          </w:p>
        </w:tc>
      </w:tr>
      <w:tr w:rsidR="00000000" w14:paraId="064A8293" w14:textId="77777777">
        <w:trPr>
          <w:trHeight w:val="200"/>
          <w:tblCellSpacing w:w="15" w:type="dxa"/>
        </w:trPr>
        <w:tc>
          <w:tcPr>
            <w:tcW w:w="0" w:type="auto"/>
            <w:hideMark/>
          </w:tcPr>
          <w:p w14:paraId="5C8447BC" w14:textId="77777777" w:rsidR="00000000" w:rsidRDefault="00EF48A2">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14:paraId="59C0DD6C"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6FB682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D86E6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B110A8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7CE19C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8C0230F"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E0DFDF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9D5E9B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E74EA3A"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C26DD87" w14:textId="77777777">
        <w:trPr>
          <w:trHeight w:val="200"/>
          <w:tblCellSpacing w:w="15" w:type="dxa"/>
        </w:trPr>
        <w:tc>
          <w:tcPr>
            <w:tcW w:w="0" w:type="auto"/>
            <w:hideMark/>
          </w:tcPr>
          <w:p w14:paraId="737FEA29" w14:textId="77777777" w:rsidR="00000000" w:rsidRDefault="00EF48A2">
            <w:pPr>
              <w:pStyle w:val="a3"/>
              <w:spacing w:before="0" w:beforeAutospacing="0" w:after="0" w:afterAutospacing="0"/>
              <w:rPr>
                <w:sz w:val="20"/>
                <w:szCs w:val="20"/>
              </w:rPr>
            </w:pPr>
            <w:r>
              <w:rPr>
                <w:sz w:val="20"/>
                <w:szCs w:val="20"/>
              </w:rPr>
              <w:t>Cash paid during the year for interes</w:t>
            </w:r>
            <w:r>
              <w:rPr>
                <w:sz w:val="20"/>
                <w:szCs w:val="20"/>
              </w:rPr>
              <w:t>t</w:t>
            </w:r>
          </w:p>
        </w:tc>
        <w:tc>
          <w:tcPr>
            <w:tcW w:w="0" w:type="auto"/>
            <w:vAlign w:val="bottom"/>
            <w:hideMark/>
          </w:tcPr>
          <w:p w14:paraId="0D471FE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C9FC83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8D1DEDF" w14:textId="77777777" w:rsidR="00000000" w:rsidRDefault="00EF48A2">
            <w:pPr>
              <w:pStyle w:val="a3"/>
              <w:spacing w:before="0" w:beforeAutospacing="0" w:after="0" w:afterAutospacing="0"/>
              <w:jc w:val="right"/>
              <w:rPr>
                <w:sz w:val="20"/>
                <w:szCs w:val="20"/>
              </w:rPr>
            </w:pPr>
            <w:r>
              <w:rPr>
                <w:sz w:val="20"/>
                <w:szCs w:val="20"/>
              </w:rPr>
              <w:t>6</w:t>
            </w:r>
            <w:r>
              <w:rPr>
                <w:sz w:val="20"/>
                <w:szCs w:val="20"/>
              </w:rPr>
              <w:t>8</w:t>
            </w:r>
          </w:p>
        </w:tc>
        <w:tc>
          <w:tcPr>
            <w:tcW w:w="0" w:type="auto"/>
            <w:noWrap/>
            <w:vAlign w:val="bottom"/>
            <w:hideMark/>
          </w:tcPr>
          <w:p w14:paraId="465FDDA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C795A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1C4174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ABDFE2C" w14:textId="77777777" w:rsidR="00000000" w:rsidRDefault="00EF48A2">
            <w:pPr>
              <w:pStyle w:val="a3"/>
              <w:spacing w:before="0" w:beforeAutospacing="0" w:after="0" w:afterAutospacing="0"/>
              <w:jc w:val="right"/>
              <w:rPr>
                <w:sz w:val="20"/>
                <w:szCs w:val="20"/>
              </w:rPr>
            </w:pPr>
            <w:r>
              <w:rPr>
                <w:sz w:val="20"/>
                <w:szCs w:val="20"/>
              </w:rPr>
              <w:t>53</w:t>
            </w:r>
            <w:r>
              <w:rPr>
                <w:sz w:val="20"/>
                <w:szCs w:val="20"/>
              </w:rPr>
              <w:t>8</w:t>
            </w:r>
          </w:p>
        </w:tc>
        <w:tc>
          <w:tcPr>
            <w:tcW w:w="0" w:type="auto"/>
            <w:noWrap/>
            <w:vAlign w:val="bottom"/>
            <w:hideMark/>
          </w:tcPr>
          <w:p w14:paraId="55CCAFB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87E794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6FFFC5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580D4D2" w14:textId="77777777" w:rsidR="00000000" w:rsidRDefault="00EF48A2">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14:paraId="6A716B1B" w14:textId="77777777" w:rsidR="00000000" w:rsidRDefault="00EF48A2">
            <w:pPr>
              <w:pStyle w:val="a3"/>
              <w:spacing w:before="0" w:beforeAutospacing="0" w:after="0" w:afterAutospacing="0"/>
              <w:rPr>
                <w:sz w:val="20"/>
                <w:szCs w:val="20"/>
              </w:rPr>
            </w:pPr>
            <w:r>
              <w:rPr>
                <w:sz w:val="20"/>
                <w:szCs w:val="20"/>
              </w:rPr>
              <w:t> </w:t>
            </w:r>
          </w:p>
        </w:tc>
      </w:tr>
      <w:tr w:rsidR="00000000" w14:paraId="3C56A870" w14:textId="77777777">
        <w:trPr>
          <w:trHeight w:val="200"/>
          <w:tblCellSpacing w:w="15" w:type="dxa"/>
        </w:trPr>
        <w:tc>
          <w:tcPr>
            <w:tcW w:w="0" w:type="auto"/>
            <w:hideMark/>
          </w:tcPr>
          <w:p w14:paraId="1A0D3B0B" w14:textId="77777777" w:rsidR="00000000" w:rsidRDefault="00EF48A2">
            <w:pPr>
              <w:pStyle w:val="a3"/>
              <w:spacing w:before="0" w:beforeAutospacing="0" w:after="0" w:afterAutospacing="0"/>
              <w:rPr>
                <w:sz w:val="20"/>
                <w:szCs w:val="20"/>
              </w:rPr>
            </w:pPr>
            <w:r>
              <w:rPr>
                <w:sz w:val="20"/>
                <w:szCs w:val="20"/>
              </w:rPr>
              <w:t>Cash paid during the year for income taxe</w:t>
            </w:r>
            <w:r>
              <w:rPr>
                <w:sz w:val="20"/>
                <w:szCs w:val="20"/>
              </w:rPr>
              <w:t>s</w:t>
            </w:r>
          </w:p>
        </w:tc>
        <w:tc>
          <w:tcPr>
            <w:tcW w:w="0" w:type="auto"/>
            <w:vAlign w:val="bottom"/>
            <w:hideMark/>
          </w:tcPr>
          <w:p w14:paraId="089ED4E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05AC62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570F2BA" w14:textId="77777777" w:rsidR="00000000" w:rsidRDefault="00EF48A2">
            <w:pPr>
              <w:pStyle w:val="a3"/>
              <w:spacing w:before="0" w:beforeAutospacing="0" w:after="0" w:afterAutospacing="0"/>
              <w:jc w:val="right"/>
              <w:rPr>
                <w:sz w:val="20"/>
                <w:szCs w:val="20"/>
              </w:rPr>
            </w:pPr>
            <w:r>
              <w:rPr>
                <w:sz w:val="20"/>
                <w:szCs w:val="20"/>
              </w:rPr>
              <w:t>12</w:t>
            </w:r>
            <w:r>
              <w:rPr>
                <w:sz w:val="20"/>
                <w:szCs w:val="20"/>
              </w:rPr>
              <w:t>2</w:t>
            </w:r>
          </w:p>
        </w:tc>
        <w:tc>
          <w:tcPr>
            <w:tcW w:w="0" w:type="auto"/>
            <w:noWrap/>
            <w:vAlign w:val="bottom"/>
            <w:hideMark/>
          </w:tcPr>
          <w:p w14:paraId="191CAFA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C8A4FB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121CB7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88885B3"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87E179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5AF2F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427A6A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032167D"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6C957281" w14:textId="77777777" w:rsidR="00000000" w:rsidRDefault="00EF48A2">
            <w:pPr>
              <w:pStyle w:val="a3"/>
              <w:spacing w:before="0" w:beforeAutospacing="0" w:after="0" w:afterAutospacing="0"/>
              <w:rPr>
                <w:sz w:val="20"/>
                <w:szCs w:val="20"/>
              </w:rPr>
            </w:pPr>
            <w:r>
              <w:rPr>
                <w:sz w:val="20"/>
                <w:szCs w:val="20"/>
              </w:rPr>
              <w:t> </w:t>
            </w:r>
          </w:p>
        </w:tc>
      </w:tr>
      <w:tr w:rsidR="00000000" w14:paraId="3E4BD1E8" w14:textId="77777777">
        <w:trPr>
          <w:trHeight w:val="200"/>
          <w:tblCellSpacing w:w="15" w:type="dxa"/>
        </w:trPr>
        <w:tc>
          <w:tcPr>
            <w:tcW w:w="0" w:type="auto"/>
            <w:hideMark/>
          </w:tcPr>
          <w:p w14:paraId="6388A7FA" w14:textId="77777777" w:rsidR="00000000" w:rsidRDefault="00EF48A2">
            <w:pPr>
              <w:pStyle w:val="a3"/>
              <w:spacing w:before="0" w:beforeAutospacing="0" w:after="0" w:afterAutospacing="0"/>
              <w:rPr>
                <w:sz w:val="20"/>
                <w:szCs w:val="20"/>
              </w:rPr>
            </w:pPr>
            <w:r>
              <w:rPr>
                <w:sz w:val="20"/>
                <w:szCs w:val="20"/>
                <w:u w:val="single"/>
              </w:rPr>
              <w:t>Non-cash investing activity</w:t>
            </w:r>
            <w:r>
              <w:rPr>
                <w:sz w:val="20"/>
                <w:szCs w:val="20"/>
                <w:u w:val="single"/>
              </w:rPr>
              <w:t>:</w:t>
            </w:r>
          </w:p>
        </w:tc>
        <w:tc>
          <w:tcPr>
            <w:tcW w:w="0" w:type="auto"/>
            <w:vAlign w:val="bottom"/>
            <w:hideMark/>
          </w:tcPr>
          <w:p w14:paraId="0CA1131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A670B9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E34615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A873D5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14A153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21DBA0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97745F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FC4B66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8966FCC" w14:textId="77777777" w:rsidR="00000000" w:rsidRDefault="00EF48A2">
            <w:pPr>
              <w:pStyle w:val="a3"/>
              <w:spacing w:before="0" w:beforeAutospacing="0" w:after="0" w:afterAutospacing="0"/>
              <w:jc w:val="right"/>
              <w:rPr>
                <w:sz w:val="20"/>
                <w:szCs w:val="20"/>
              </w:rPr>
            </w:pPr>
            <w:r>
              <w:rPr>
                <w:sz w:val="20"/>
                <w:szCs w:val="20"/>
              </w:rPr>
              <w:t> </w:t>
            </w:r>
          </w:p>
        </w:tc>
      </w:tr>
      <w:tr w:rsidR="00000000" w14:paraId="699BAF2B" w14:textId="77777777">
        <w:trPr>
          <w:trHeight w:val="200"/>
          <w:tblCellSpacing w:w="15" w:type="dxa"/>
        </w:trPr>
        <w:tc>
          <w:tcPr>
            <w:tcW w:w="0" w:type="auto"/>
            <w:hideMark/>
          </w:tcPr>
          <w:p w14:paraId="7DC0813A" w14:textId="77777777" w:rsidR="00000000" w:rsidRDefault="00EF48A2">
            <w:pPr>
              <w:pStyle w:val="a3"/>
              <w:spacing w:before="0" w:beforeAutospacing="0" w:after="0" w:afterAutospacing="0"/>
              <w:rPr>
                <w:sz w:val="20"/>
                <w:szCs w:val="20"/>
              </w:rPr>
            </w:pPr>
            <w:r>
              <w:rPr>
                <w:sz w:val="20"/>
                <w:szCs w:val="20"/>
              </w:rPr>
              <w:t>Lease liabilities arising from obtaining right-of-use asset</w:t>
            </w:r>
            <w:r>
              <w:rPr>
                <w:sz w:val="20"/>
                <w:szCs w:val="20"/>
              </w:rPr>
              <w:t>s</w:t>
            </w:r>
          </w:p>
        </w:tc>
        <w:tc>
          <w:tcPr>
            <w:tcW w:w="0" w:type="auto"/>
            <w:vAlign w:val="bottom"/>
            <w:hideMark/>
          </w:tcPr>
          <w:p w14:paraId="5D2A870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38A11C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D9902F" w14:textId="77777777" w:rsidR="00000000" w:rsidRDefault="00EF48A2">
            <w:pPr>
              <w:pStyle w:val="a3"/>
              <w:spacing w:before="0" w:beforeAutospacing="0" w:after="0" w:afterAutospacing="0"/>
              <w:jc w:val="right"/>
              <w:rPr>
                <w:sz w:val="20"/>
                <w:szCs w:val="20"/>
              </w:rPr>
            </w:pPr>
            <w:r>
              <w:rPr>
                <w:sz w:val="20"/>
                <w:szCs w:val="20"/>
              </w:rPr>
              <w:t>46</w:t>
            </w:r>
            <w:r>
              <w:rPr>
                <w:sz w:val="20"/>
                <w:szCs w:val="20"/>
              </w:rPr>
              <w:t>6</w:t>
            </w:r>
          </w:p>
        </w:tc>
        <w:tc>
          <w:tcPr>
            <w:tcW w:w="0" w:type="auto"/>
            <w:noWrap/>
            <w:vAlign w:val="bottom"/>
            <w:hideMark/>
          </w:tcPr>
          <w:p w14:paraId="0F7D231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EB7A57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653689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8E183E9"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7E8E6E1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92155B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EE26210"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DD8E111"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643F4089" w14:textId="77777777" w:rsidR="00000000" w:rsidRDefault="00EF48A2">
            <w:pPr>
              <w:pStyle w:val="a3"/>
              <w:spacing w:before="0" w:beforeAutospacing="0" w:after="0" w:afterAutospacing="0"/>
              <w:rPr>
                <w:sz w:val="20"/>
                <w:szCs w:val="20"/>
              </w:rPr>
            </w:pPr>
            <w:r>
              <w:rPr>
                <w:sz w:val="20"/>
                <w:szCs w:val="20"/>
              </w:rPr>
              <w:t> </w:t>
            </w:r>
          </w:p>
        </w:tc>
      </w:tr>
      <w:tr w:rsidR="00000000" w14:paraId="4500A132" w14:textId="77777777">
        <w:trPr>
          <w:trHeight w:val="200"/>
          <w:tblCellSpacing w:w="15" w:type="dxa"/>
        </w:trPr>
        <w:tc>
          <w:tcPr>
            <w:tcW w:w="0" w:type="auto"/>
            <w:hideMark/>
          </w:tcPr>
          <w:p w14:paraId="149BF7F0" w14:textId="77777777" w:rsidR="00000000" w:rsidRDefault="00EF48A2">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14:paraId="3E837A92"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501F85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A148D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174707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B0C6C7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6A8D64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63180F0"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42C6FE5"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7CD9603" w14:textId="77777777" w:rsidR="00000000" w:rsidRDefault="00EF48A2">
            <w:pPr>
              <w:pStyle w:val="a3"/>
              <w:spacing w:before="0" w:beforeAutospacing="0" w:after="0" w:afterAutospacing="0"/>
              <w:jc w:val="right"/>
              <w:rPr>
                <w:sz w:val="20"/>
                <w:szCs w:val="20"/>
              </w:rPr>
            </w:pPr>
            <w:r>
              <w:rPr>
                <w:sz w:val="20"/>
                <w:szCs w:val="20"/>
              </w:rPr>
              <w:t> </w:t>
            </w:r>
          </w:p>
        </w:tc>
      </w:tr>
      <w:tr w:rsidR="00000000" w14:paraId="6CEE7477" w14:textId="77777777">
        <w:trPr>
          <w:trHeight w:val="200"/>
          <w:tblCellSpacing w:w="15" w:type="dxa"/>
        </w:trPr>
        <w:tc>
          <w:tcPr>
            <w:tcW w:w="0" w:type="auto"/>
            <w:hideMark/>
          </w:tcPr>
          <w:p w14:paraId="4434C62B" w14:textId="77777777" w:rsidR="00000000" w:rsidRDefault="00EF48A2">
            <w:pPr>
              <w:pStyle w:val="a3"/>
              <w:spacing w:before="0" w:beforeAutospacing="0" w:after="0" w:afterAutospacing="0"/>
              <w:rPr>
                <w:sz w:val="20"/>
                <w:szCs w:val="20"/>
              </w:rPr>
            </w:pPr>
            <w:r>
              <w:rPr>
                <w:sz w:val="20"/>
                <w:szCs w:val="20"/>
              </w:rPr>
              <w:t>Employee taxes withheld related to restricted stock units veste</w:t>
            </w:r>
            <w:r>
              <w:rPr>
                <w:sz w:val="20"/>
                <w:szCs w:val="20"/>
              </w:rPr>
              <w:t>d</w:t>
            </w:r>
          </w:p>
        </w:tc>
        <w:tc>
          <w:tcPr>
            <w:tcW w:w="0" w:type="auto"/>
            <w:vAlign w:val="bottom"/>
            <w:hideMark/>
          </w:tcPr>
          <w:p w14:paraId="37A332A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ADAA150"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06B247A"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963087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48237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585124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D1A72E6" w14:textId="77777777" w:rsidR="00000000" w:rsidRDefault="00EF48A2">
            <w:pPr>
              <w:pStyle w:val="a3"/>
              <w:spacing w:before="0" w:beforeAutospacing="0" w:after="0" w:afterAutospacing="0"/>
              <w:jc w:val="right"/>
              <w:rPr>
                <w:sz w:val="20"/>
                <w:szCs w:val="20"/>
              </w:rPr>
            </w:pPr>
            <w:r>
              <w:rPr>
                <w:sz w:val="20"/>
                <w:szCs w:val="20"/>
              </w:rPr>
              <w:t>49</w:t>
            </w:r>
            <w:r>
              <w:rPr>
                <w:sz w:val="20"/>
                <w:szCs w:val="20"/>
              </w:rPr>
              <w:t>1</w:t>
            </w:r>
          </w:p>
        </w:tc>
        <w:tc>
          <w:tcPr>
            <w:tcW w:w="0" w:type="auto"/>
            <w:noWrap/>
            <w:vAlign w:val="bottom"/>
            <w:hideMark/>
          </w:tcPr>
          <w:p w14:paraId="5AB6C43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093141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5770F4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391C481"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A2C34B2" w14:textId="77777777" w:rsidR="00000000" w:rsidRDefault="00EF48A2">
            <w:pPr>
              <w:pStyle w:val="a3"/>
              <w:spacing w:before="0" w:beforeAutospacing="0" w:after="0" w:afterAutospacing="0"/>
              <w:rPr>
                <w:sz w:val="20"/>
                <w:szCs w:val="20"/>
              </w:rPr>
            </w:pPr>
            <w:r>
              <w:rPr>
                <w:sz w:val="20"/>
                <w:szCs w:val="20"/>
              </w:rPr>
              <w:t> </w:t>
            </w:r>
          </w:p>
        </w:tc>
      </w:tr>
      <w:tr w:rsidR="00000000" w14:paraId="75E9786C" w14:textId="77777777">
        <w:trPr>
          <w:trHeight w:val="200"/>
          <w:tblCellSpacing w:w="15" w:type="dxa"/>
        </w:trPr>
        <w:tc>
          <w:tcPr>
            <w:tcW w:w="0" w:type="auto"/>
            <w:hideMark/>
          </w:tcPr>
          <w:p w14:paraId="12F6F756" w14:textId="77777777" w:rsidR="00000000" w:rsidRDefault="00EF48A2">
            <w:pPr>
              <w:pStyle w:val="a3"/>
              <w:spacing w:before="0" w:beforeAutospacing="0" w:after="0" w:afterAutospacing="0"/>
              <w:rPr>
                <w:sz w:val="20"/>
                <w:szCs w:val="20"/>
              </w:rPr>
            </w:pPr>
            <w:r>
              <w:rPr>
                <w:sz w:val="20"/>
                <w:szCs w:val="20"/>
              </w:rPr>
              <w:t>Deferred issuance cost on credi</w:t>
            </w:r>
            <w:r>
              <w:rPr>
                <w:sz w:val="20"/>
                <w:szCs w:val="20"/>
              </w:rPr>
              <w:t>t</w:t>
            </w:r>
          </w:p>
        </w:tc>
        <w:tc>
          <w:tcPr>
            <w:tcW w:w="0" w:type="auto"/>
            <w:vAlign w:val="bottom"/>
            <w:hideMark/>
          </w:tcPr>
          <w:p w14:paraId="277B6CB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05A2F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44976FC"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11665D3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11EAC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D67D2A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309BAD1"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0750D5D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27905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FDA06A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A3EA184" w14:textId="77777777" w:rsidR="00000000" w:rsidRDefault="00EF48A2">
            <w:pPr>
              <w:pStyle w:val="a3"/>
              <w:spacing w:before="0" w:beforeAutospacing="0" w:after="0" w:afterAutospacing="0"/>
              <w:jc w:val="right"/>
              <w:rPr>
                <w:sz w:val="20"/>
                <w:szCs w:val="20"/>
              </w:rPr>
            </w:pPr>
            <w:r>
              <w:rPr>
                <w:sz w:val="20"/>
                <w:szCs w:val="20"/>
              </w:rPr>
              <w:t>69</w:t>
            </w:r>
            <w:r>
              <w:rPr>
                <w:sz w:val="20"/>
                <w:szCs w:val="20"/>
              </w:rPr>
              <w:t>2</w:t>
            </w:r>
          </w:p>
        </w:tc>
        <w:tc>
          <w:tcPr>
            <w:tcW w:w="0" w:type="auto"/>
            <w:noWrap/>
            <w:vAlign w:val="bottom"/>
            <w:hideMark/>
          </w:tcPr>
          <w:p w14:paraId="5FC72529" w14:textId="77777777" w:rsidR="00000000" w:rsidRDefault="00EF48A2">
            <w:pPr>
              <w:pStyle w:val="a3"/>
              <w:spacing w:before="0" w:beforeAutospacing="0" w:after="0" w:afterAutospacing="0"/>
              <w:rPr>
                <w:sz w:val="20"/>
                <w:szCs w:val="20"/>
              </w:rPr>
            </w:pPr>
            <w:r>
              <w:rPr>
                <w:sz w:val="20"/>
                <w:szCs w:val="20"/>
              </w:rPr>
              <w:t> </w:t>
            </w:r>
          </w:p>
        </w:tc>
      </w:tr>
      <w:tr w:rsidR="00000000" w14:paraId="5571DF3B" w14:textId="77777777">
        <w:trPr>
          <w:trHeight w:val="200"/>
          <w:tblCellSpacing w:w="15" w:type="dxa"/>
        </w:trPr>
        <w:tc>
          <w:tcPr>
            <w:tcW w:w="0" w:type="auto"/>
            <w:hideMark/>
          </w:tcPr>
          <w:p w14:paraId="18BDC1F8" w14:textId="77777777" w:rsidR="00000000" w:rsidRDefault="00EF48A2">
            <w:pPr>
              <w:pStyle w:val="a3"/>
              <w:spacing w:before="0" w:beforeAutospacing="0" w:after="0" w:afterAutospacing="0"/>
              <w:rPr>
                <w:sz w:val="20"/>
                <w:szCs w:val="20"/>
              </w:rPr>
            </w:pPr>
            <w:r>
              <w:rPr>
                <w:sz w:val="20"/>
                <w:szCs w:val="20"/>
              </w:rPr>
              <w:t>Conversion of preferred stock to common stoc</w:t>
            </w:r>
            <w:r>
              <w:rPr>
                <w:sz w:val="20"/>
                <w:szCs w:val="20"/>
              </w:rPr>
              <w:t>k</w:t>
            </w:r>
          </w:p>
        </w:tc>
        <w:tc>
          <w:tcPr>
            <w:tcW w:w="0" w:type="auto"/>
            <w:vAlign w:val="bottom"/>
            <w:hideMark/>
          </w:tcPr>
          <w:p w14:paraId="42C70EF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995618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CB95C5"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773D679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9BC724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D783CC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8C12A63" w14:textId="77777777" w:rsidR="00000000" w:rsidRDefault="00EF48A2">
            <w:pPr>
              <w:pStyle w:val="a3"/>
              <w:spacing w:before="0" w:beforeAutospacing="0" w:after="0" w:afterAutospacing="0"/>
              <w:jc w:val="right"/>
              <w:rPr>
                <w:sz w:val="20"/>
                <w:szCs w:val="20"/>
              </w:rPr>
            </w:pPr>
            <w:r>
              <w:rPr>
                <w:sz w:val="20"/>
                <w:szCs w:val="20"/>
              </w:rPr>
              <w:t>111,28</w:t>
            </w:r>
            <w:r>
              <w:rPr>
                <w:sz w:val="20"/>
                <w:szCs w:val="20"/>
              </w:rPr>
              <w:t>2</w:t>
            </w:r>
          </w:p>
        </w:tc>
        <w:tc>
          <w:tcPr>
            <w:tcW w:w="0" w:type="auto"/>
            <w:noWrap/>
            <w:vAlign w:val="bottom"/>
            <w:hideMark/>
          </w:tcPr>
          <w:p w14:paraId="1583EE5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5C037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1FD76A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3BD7B4C"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072FF25F" w14:textId="77777777" w:rsidR="00000000" w:rsidRDefault="00EF48A2">
            <w:pPr>
              <w:pStyle w:val="a3"/>
              <w:spacing w:before="0" w:beforeAutospacing="0" w:after="0" w:afterAutospacing="0"/>
              <w:rPr>
                <w:sz w:val="20"/>
                <w:szCs w:val="20"/>
              </w:rPr>
            </w:pPr>
            <w:r>
              <w:rPr>
                <w:sz w:val="20"/>
                <w:szCs w:val="20"/>
              </w:rPr>
              <w:t> </w:t>
            </w:r>
          </w:p>
        </w:tc>
      </w:tr>
    </w:tbl>
    <w:p w14:paraId="0C8DC788" w14:textId="77777777" w:rsidR="00000000" w:rsidRDefault="00EF48A2">
      <w:pPr>
        <w:pStyle w:val="a3"/>
        <w:spacing w:before="36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14:paraId="362C71DE" w14:textId="77777777" w:rsidR="00000000" w:rsidRDefault="00EF48A2">
      <w:pPr>
        <w:pStyle w:val="a3"/>
        <w:spacing w:before="0" w:beforeAutospacing="0" w:after="0" w:afterAutospacing="0"/>
        <w:jc w:val="center"/>
        <w:rPr>
          <w:sz w:val="20"/>
          <w:szCs w:val="20"/>
        </w:rPr>
      </w:pPr>
      <w:r>
        <w:rPr>
          <w:sz w:val="20"/>
          <w:szCs w:val="20"/>
        </w:rPr>
        <w:t>6</w:t>
      </w:r>
      <w:r>
        <w:rPr>
          <w:sz w:val="20"/>
          <w:szCs w:val="20"/>
        </w:rPr>
        <w:t>3</w:t>
      </w:r>
    </w:p>
    <w:p w14:paraId="621913BC" w14:textId="77777777" w:rsidR="00000000" w:rsidRDefault="00EF48A2">
      <w:pPr>
        <w:rPr>
          <w:rFonts w:eastAsia="Times New Roman"/>
        </w:rPr>
      </w:pPr>
      <w:r>
        <w:rPr>
          <w:rFonts w:eastAsia="Times New Roman"/>
        </w:rPr>
        <w:pict w14:anchorId="2CD83535">
          <v:rect id="_x0000_i1090" style="width:0;height:1.5pt" o:hralign="center" o:hrstd="t" o:hr="t" fillcolor="#a0a0a0" stroked="f"/>
        </w:pict>
      </w:r>
    </w:p>
    <w:p w14:paraId="7716F513"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46C4DBAE" w14:textId="77777777" w:rsidR="00000000" w:rsidRDefault="00EF48A2">
      <w:pPr>
        <w:pStyle w:val="a3"/>
        <w:spacing w:before="0" w:beforeAutospacing="0" w:after="0" w:afterAutospacing="0"/>
        <w:jc w:val="center"/>
        <w:rPr>
          <w:sz w:val="20"/>
          <w:szCs w:val="20"/>
        </w:rPr>
      </w:pPr>
      <w:r>
        <w:rPr>
          <w:b/>
          <w:bCs/>
          <w:sz w:val="20"/>
          <w:szCs w:val="20"/>
        </w:rPr>
        <w:t>TALKSPACE, INC</w:t>
      </w:r>
      <w:r>
        <w:rPr>
          <w:b/>
          <w:bCs/>
          <w:sz w:val="20"/>
          <w:szCs w:val="20"/>
        </w:rPr>
        <w:t>.</w:t>
      </w:r>
    </w:p>
    <w:p w14:paraId="092C6CC5" w14:textId="77777777" w:rsidR="00000000" w:rsidRDefault="00EF48A2">
      <w:pPr>
        <w:pStyle w:val="a3"/>
        <w:spacing w:before="0" w:beforeAutospacing="0" w:after="0" w:afterAutospacing="0"/>
        <w:jc w:val="center"/>
        <w:rPr>
          <w:sz w:val="20"/>
          <w:szCs w:val="20"/>
        </w:rPr>
      </w:pPr>
      <w:r>
        <w:rPr>
          <w:b/>
          <w:bCs/>
          <w:sz w:val="20"/>
          <w:szCs w:val="20"/>
        </w:rPr>
        <w:t>Notes to Consolidated Financial Statement</w:t>
      </w:r>
      <w:r>
        <w:rPr>
          <w:b/>
          <w:bCs/>
          <w:sz w:val="20"/>
          <w:szCs w:val="20"/>
        </w:rPr>
        <w:t>s</w:t>
      </w:r>
      <w:r>
        <w:rPr>
          <w:b/>
          <w:bCs/>
          <w:sz w:val="20"/>
          <w:szCs w:val="20"/>
        </w:rPr>
        <w:t xml:space="preserve"> </w:t>
      </w:r>
    </w:p>
    <w:p w14:paraId="08556AC8" w14:textId="77777777" w:rsidR="00000000" w:rsidRDefault="00EF48A2">
      <w:pPr>
        <w:pStyle w:val="a3"/>
        <w:spacing w:before="360" w:beforeAutospacing="0" w:after="0" w:afterAutospacing="0"/>
        <w:divId w:val="1151680523"/>
        <w:rPr>
          <w:sz w:val="20"/>
          <w:szCs w:val="20"/>
        </w:rPr>
      </w:pPr>
      <w:r>
        <w:rPr>
          <w:b/>
          <w:bCs/>
          <w:sz w:val="20"/>
          <w:szCs w:val="20"/>
        </w:rPr>
        <w:t>NOTE 1. DESCRIPTION OF ORGANIZATION AND BUSINESS OPERATION</w:t>
      </w:r>
      <w:r>
        <w:rPr>
          <w:b/>
          <w:bCs/>
          <w:sz w:val="20"/>
          <w:szCs w:val="20"/>
        </w:rPr>
        <w:t>S</w:t>
      </w:r>
    </w:p>
    <w:p w14:paraId="4FEE2A63" w14:textId="77777777" w:rsidR="00000000" w:rsidRDefault="00EF48A2">
      <w:pPr>
        <w:pStyle w:val="a3"/>
        <w:spacing w:before="180" w:beforeAutospacing="0" w:after="0" w:afterAutospacing="0"/>
        <w:jc w:val="both"/>
        <w:divId w:val="1151680523"/>
        <w:rPr>
          <w:sz w:val="20"/>
          <w:szCs w:val="20"/>
        </w:rPr>
      </w:pPr>
      <w:r>
        <w:rPr>
          <w:sz w:val="20"/>
          <w:szCs w:val="20"/>
        </w:rPr>
        <w:t>Talkspace, Inc. (together with its consolidated subsidiaries, the “Company” or “Talkspace”) is a leading behavioral healthcare company enabled by a purpose-built technology platform. Talkspace pro</w:t>
      </w:r>
      <w:r>
        <w:rPr>
          <w:sz w:val="20"/>
          <w:szCs w:val="20"/>
        </w:rPr>
        <w:t>vides individuals and licensed therapists, psychologists and psychiatrists with an online platform for one-on-one therapy delivered via messaging, audio and video. The Company offers convenient and affordable access to a fully credentialed network of highl</w:t>
      </w:r>
      <w:r>
        <w:rPr>
          <w:sz w:val="20"/>
          <w:szCs w:val="20"/>
        </w:rPr>
        <w:t>y qualified providers. Since Talkspace’s founding in 2012, the Company has connected millions of patients with licensed behavioral health providers across a wide and growing spectrum of care through virtual counseling, psychotherapy, and psychiatry. Throug</w:t>
      </w:r>
      <w:r>
        <w:rPr>
          <w:sz w:val="20"/>
          <w:szCs w:val="20"/>
        </w:rPr>
        <w:t>h its platform, Talkspace serves its business-to-business ("B2B") channel, comprised of large enterprise clients, large health plans and employee assistance programs who offer their employees and insured members access to the Company's platform while their</w:t>
      </w:r>
      <w:r>
        <w:rPr>
          <w:sz w:val="20"/>
          <w:szCs w:val="20"/>
        </w:rPr>
        <w:t xml:space="preserve"> employer is under an active contract with Talkspace, or at in-network reimbursement rates, where applicable, and its business-to-consumer ("B2C") channel, comprised of individual consumers who subscribe directly to the Company's platform</w:t>
      </w:r>
      <w:r>
        <w:rPr>
          <w:sz w:val="20"/>
          <w:szCs w:val="20"/>
        </w:rPr>
        <w:t>.</w:t>
      </w:r>
    </w:p>
    <w:p w14:paraId="7EDCE67C" w14:textId="77777777" w:rsidR="00000000" w:rsidRDefault="00EF48A2">
      <w:pPr>
        <w:pStyle w:val="a3"/>
        <w:spacing w:before="180" w:beforeAutospacing="0" w:after="0" w:afterAutospacing="0"/>
        <w:jc w:val="both"/>
        <w:divId w:val="1151680523"/>
        <w:rPr>
          <w:sz w:val="20"/>
          <w:szCs w:val="20"/>
        </w:rPr>
      </w:pPr>
      <w:r>
        <w:rPr>
          <w:sz w:val="20"/>
          <w:szCs w:val="20"/>
        </w:rPr>
        <w:t>Talkspace was or</w:t>
      </w:r>
      <w:r>
        <w:rPr>
          <w:sz w:val="20"/>
          <w:szCs w:val="20"/>
        </w:rPr>
        <w:t xml:space="preserve">iginally incorporated as Hudson Executive Investment Corp. (“HEC”), a special purpose acquisition company, for the purpose of entering into a merger, share exchange, asset acquisition, stock purchase, recapitalization or other similar business combination </w:t>
      </w:r>
      <w:r>
        <w:rPr>
          <w:sz w:val="20"/>
          <w:szCs w:val="20"/>
        </w:rPr>
        <w:t>with one or more businesses or entities. On January 12, 2021, HEC, entered into an Agreement and Plan of Merger, dated as of January 12, 2021 (the “Merger Agreement”), with Groop Internet Platform, Inc. (“Old Talkspace”), Tailwind Merger Sub I, Inc., a Del</w:t>
      </w:r>
      <w:r>
        <w:rPr>
          <w:sz w:val="20"/>
          <w:szCs w:val="20"/>
        </w:rPr>
        <w:t>aware corporation and a direct wholly owned subsidiary of HEC (“First Merger Sub”), and Tailwind Merger Sub II, LLC, a Delaware limited liability company (“Second Merger Sub”). On June 22, 2021, as contemplated by the Merger Agreement, First Merger Sub mer</w:t>
      </w:r>
      <w:r>
        <w:rPr>
          <w:sz w:val="20"/>
          <w:szCs w:val="20"/>
        </w:rPr>
        <w:t>ged with and into Old Talkspace (the “First Merger”) with Old Talkspace surviving the First Merger, and immediately following the First Merger and as part of the same overall transaction as the First Merger, Old Talkspace merged with and into Second Merger</w:t>
      </w:r>
      <w:r>
        <w:rPr>
          <w:sz w:val="20"/>
          <w:szCs w:val="20"/>
        </w:rPr>
        <w:t xml:space="preserve"> Sub, with Second Merger Sub surviving the merger as a wholly owned subsidiary of HEC. The Company refers to this transaction as the Business Combination. In connection with the Business Combination, HEC filed the Certificate of Incorporation and changed i</w:t>
      </w:r>
      <w:r>
        <w:rPr>
          <w:sz w:val="20"/>
          <w:szCs w:val="20"/>
        </w:rPr>
        <w:t>ts name to “Talkspace, Inc.</w:t>
      </w:r>
      <w:r>
        <w:rPr>
          <w:sz w:val="20"/>
          <w:szCs w:val="20"/>
        </w:rPr>
        <w:t>”</w:t>
      </w:r>
    </w:p>
    <w:p w14:paraId="7B833108" w14:textId="77777777" w:rsidR="00000000" w:rsidRDefault="00EF48A2">
      <w:pPr>
        <w:pStyle w:val="a3"/>
        <w:spacing w:before="180" w:beforeAutospacing="0" w:after="0" w:afterAutospacing="0"/>
        <w:jc w:val="both"/>
        <w:divId w:val="1151680523"/>
        <w:rPr>
          <w:sz w:val="20"/>
          <w:szCs w:val="20"/>
        </w:rPr>
      </w:pPr>
      <w:r>
        <w:rPr>
          <w:sz w:val="20"/>
          <w:szCs w:val="20"/>
        </w:rPr>
        <w:t>The Company's principal executive office is located in New York, NY. The Company has three wholly owned subsidiaries, Talkspace LLC, Talkspace Network LLC and Groop Internet Platform LTD. In addition, the Company holds a variab</w:t>
      </w:r>
      <w:r>
        <w:rPr>
          <w:sz w:val="20"/>
          <w:szCs w:val="20"/>
        </w:rPr>
        <w:t>le interest in one professional association and six professional corporations, which have been established pursuant to the requirements of their respective domestic jurisdiction governing the corporate practice of medicine.</w:t>
      </w:r>
      <w:r>
        <w:rPr>
          <w:sz w:val="20"/>
          <w:szCs w:val="20"/>
        </w:rPr>
        <w:t xml:space="preserve"> </w:t>
      </w:r>
      <w:r>
        <w:rPr>
          <w:sz w:val="20"/>
          <w:szCs w:val="20"/>
        </w:rPr>
        <w:t xml:space="preserve">See Note 15, “Variable Interest </w:t>
      </w:r>
      <w:r>
        <w:rPr>
          <w:sz w:val="20"/>
          <w:szCs w:val="20"/>
        </w:rPr>
        <w:t>Entities,” in the notes to the consolidated financial statements for further details</w:t>
      </w:r>
      <w:r>
        <w:rPr>
          <w:sz w:val="20"/>
          <w:szCs w:val="20"/>
        </w:rPr>
        <w:t>.</w:t>
      </w:r>
    </w:p>
    <w:p w14:paraId="72FD0833" w14:textId="77777777" w:rsidR="00000000" w:rsidRDefault="00EF48A2">
      <w:pPr>
        <w:pStyle w:val="a3"/>
        <w:spacing w:before="360" w:beforeAutospacing="0" w:after="0" w:afterAutospacing="0"/>
        <w:divId w:val="1007291856"/>
        <w:rPr>
          <w:sz w:val="20"/>
          <w:szCs w:val="20"/>
        </w:rPr>
      </w:pPr>
      <w:r>
        <w:rPr>
          <w:b/>
          <w:bCs/>
          <w:sz w:val="20"/>
          <w:szCs w:val="20"/>
        </w:rPr>
        <w:t>NOTE 2. SUMMARY OF SIGNIFICANT ACCOUNTING POLICIES AND ESTIMATE</w:t>
      </w:r>
      <w:r>
        <w:rPr>
          <w:b/>
          <w:bCs/>
          <w:sz w:val="20"/>
          <w:szCs w:val="20"/>
        </w:rPr>
        <w:t>S</w:t>
      </w:r>
    </w:p>
    <w:p w14:paraId="703075F3" w14:textId="77777777" w:rsidR="00000000" w:rsidRDefault="00EF48A2">
      <w:pPr>
        <w:pStyle w:val="a3"/>
        <w:spacing w:before="240" w:beforeAutospacing="0" w:after="0" w:afterAutospacing="0"/>
        <w:divId w:val="249239375"/>
        <w:rPr>
          <w:sz w:val="20"/>
          <w:szCs w:val="20"/>
        </w:rPr>
      </w:pPr>
      <w:r>
        <w:rPr>
          <w:b/>
          <w:bCs/>
          <w:i/>
          <w:iCs/>
          <w:sz w:val="20"/>
          <w:szCs w:val="20"/>
        </w:rPr>
        <w:t>Basis of Presentatio</w:t>
      </w:r>
      <w:r>
        <w:rPr>
          <w:b/>
          <w:bCs/>
          <w:i/>
          <w:iCs/>
          <w:sz w:val="20"/>
          <w:szCs w:val="20"/>
        </w:rPr>
        <w:t>n</w:t>
      </w:r>
    </w:p>
    <w:p w14:paraId="0E29DB00" w14:textId="77777777" w:rsidR="00000000" w:rsidRDefault="00EF48A2">
      <w:pPr>
        <w:pStyle w:val="a3"/>
        <w:spacing w:before="180" w:beforeAutospacing="0" w:after="0" w:afterAutospacing="0"/>
        <w:jc w:val="both"/>
        <w:divId w:val="249239375"/>
        <w:rPr>
          <w:sz w:val="20"/>
          <w:szCs w:val="20"/>
        </w:rPr>
      </w:pPr>
      <w:r>
        <w:rPr>
          <w:sz w:val="20"/>
          <w:szCs w:val="20"/>
        </w:rPr>
        <w:t>The consolidated financial statements have been prepared in conformity with general</w:t>
      </w:r>
      <w:r>
        <w:rPr>
          <w:sz w:val="20"/>
          <w:szCs w:val="20"/>
        </w:rPr>
        <w:t>ly accepted accounting principles in the United States of America (“U.S. GAAP”). The consolidated financial statements include the accounts of the Company and its wholly owned subsidiaries and variable interest entities (“VIEs”) for which the Company is th</w:t>
      </w:r>
      <w:r>
        <w:rPr>
          <w:sz w:val="20"/>
          <w:szCs w:val="20"/>
        </w:rPr>
        <w:t>e primary beneficiary. Intercompany transactions and balances have been eliminated in the preparation of the consolidated financial statements</w:t>
      </w:r>
      <w:r>
        <w:rPr>
          <w:sz w:val="20"/>
          <w:szCs w:val="20"/>
        </w:rPr>
        <w:t>.</w:t>
      </w:r>
    </w:p>
    <w:p w14:paraId="76C33BE1" w14:textId="77777777" w:rsidR="00000000" w:rsidRDefault="00EF48A2">
      <w:pPr>
        <w:pStyle w:val="a3"/>
        <w:spacing w:before="240" w:beforeAutospacing="0" w:after="0" w:afterAutospacing="0"/>
        <w:divId w:val="1231698613"/>
        <w:rPr>
          <w:sz w:val="20"/>
          <w:szCs w:val="20"/>
        </w:rPr>
      </w:pPr>
      <w:r>
        <w:rPr>
          <w:b/>
          <w:bCs/>
          <w:i/>
          <w:iCs/>
          <w:sz w:val="20"/>
          <w:szCs w:val="20"/>
        </w:rPr>
        <w:t>Use of Estimate</w:t>
      </w:r>
      <w:r>
        <w:rPr>
          <w:b/>
          <w:bCs/>
          <w:i/>
          <w:iCs/>
          <w:sz w:val="20"/>
          <w:szCs w:val="20"/>
        </w:rPr>
        <w:t>s</w:t>
      </w:r>
    </w:p>
    <w:p w14:paraId="3ADD1F60" w14:textId="77777777" w:rsidR="00000000" w:rsidRDefault="00EF48A2">
      <w:pPr>
        <w:pStyle w:val="a3"/>
        <w:spacing w:before="180" w:beforeAutospacing="0" w:after="0" w:afterAutospacing="0"/>
        <w:jc w:val="both"/>
        <w:divId w:val="1231698613"/>
        <w:rPr>
          <w:sz w:val="20"/>
          <w:szCs w:val="20"/>
        </w:rPr>
      </w:pPr>
      <w:r>
        <w:rPr>
          <w:sz w:val="20"/>
          <w:szCs w:val="20"/>
        </w:rPr>
        <w:t>The preparation of financial statements in conformity with U.S. GAAP requires management to mak</w:t>
      </w:r>
      <w:r>
        <w:rPr>
          <w:sz w:val="20"/>
          <w:szCs w:val="20"/>
        </w:rPr>
        <w:t>e estimates, judgments, and assumptions that affect the reported amounts of assets, liabilities, revenues and expenses, together with amounts disclosed in the related notes to the consolidated financial statements. The Company’s significant estimates and a</w:t>
      </w:r>
      <w:r>
        <w:rPr>
          <w:sz w:val="20"/>
          <w:szCs w:val="20"/>
        </w:rPr>
        <w:t>ssumptions used in these financial statements include, but are not limited to, the recognition and disclosure of contingent liabilities, revenue recognition, stock-based compensation awards, the fair value of warrant liabilities and the estimates and assum</w:t>
      </w:r>
      <w:r>
        <w:rPr>
          <w:sz w:val="20"/>
          <w:szCs w:val="20"/>
        </w:rPr>
        <w:t>ptions related to the impairment analysis of goodwill and intangible assets. The Company bases its estimates on historical factors, current circumstances and the experience and judgment of management. Estimates, by their nature, are based on judgment and a</w:t>
      </w:r>
      <w:r>
        <w:rPr>
          <w:sz w:val="20"/>
          <w:szCs w:val="20"/>
        </w:rPr>
        <w:t>vailable information, therefore, actual results could be materially different from these estimates</w:t>
      </w:r>
      <w:r>
        <w:rPr>
          <w:sz w:val="20"/>
          <w:szCs w:val="20"/>
        </w:rPr>
        <w:t>.</w:t>
      </w:r>
    </w:p>
    <w:p w14:paraId="50096A6F" w14:textId="77777777" w:rsidR="00000000" w:rsidRDefault="00EF48A2">
      <w:pPr>
        <w:pStyle w:val="a3"/>
        <w:spacing w:before="0" w:beforeAutospacing="0" w:after="0" w:afterAutospacing="0"/>
        <w:jc w:val="center"/>
        <w:divId w:val="1231698613"/>
        <w:rPr>
          <w:sz w:val="20"/>
          <w:szCs w:val="20"/>
        </w:rPr>
      </w:pPr>
      <w:r>
        <w:rPr>
          <w:sz w:val="20"/>
          <w:szCs w:val="20"/>
        </w:rPr>
        <w:t>6</w:t>
      </w:r>
      <w:r>
        <w:rPr>
          <w:sz w:val="20"/>
          <w:szCs w:val="20"/>
        </w:rPr>
        <w:t>4</w:t>
      </w:r>
    </w:p>
    <w:p w14:paraId="144505E2" w14:textId="77777777" w:rsidR="00000000" w:rsidRDefault="00EF48A2">
      <w:pPr>
        <w:divId w:val="1231698613"/>
        <w:rPr>
          <w:rFonts w:eastAsia="Times New Roman"/>
          <w:sz w:val="20"/>
          <w:szCs w:val="20"/>
        </w:rPr>
      </w:pPr>
      <w:r>
        <w:rPr>
          <w:rFonts w:eastAsia="Times New Roman"/>
          <w:sz w:val="20"/>
          <w:szCs w:val="20"/>
        </w:rPr>
        <w:pict w14:anchorId="7D7E0738">
          <v:rect id="_x0000_i1091" style="width:0;height:1.5pt" o:hralign="center" o:hrstd="t" o:hr="t" fillcolor="#a0a0a0" stroked="f"/>
        </w:pict>
      </w:r>
    </w:p>
    <w:p w14:paraId="36FF759C" w14:textId="77777777" w:rsidR="00000000" w:rsidRDefault="00EF48A2">
      <w:pPr>
        <w:pStyle w:val="a3"/>
        <w:spacing w:before="0" w:beforeAutospacing="0" w:after="0" w:afterAutospacing="0"/>
        <w:divId w:val="1231698613"/>
        <w:rPr>
          <w:sz w:val="20"/>
          <w:szCs w:val="20"/>
        </w:rPr>
      </w:pPr>
      <w:hyperlink w:anchor="toc_page" w:history="1">
        <w:r>
          <w:rPr>
            <w:rStyle w:val="a4"/>
            <w:sz w:val="20"/>
            <w:szCs w:val="20"/>
          </w:rPr>
          <w:t>Table of Content</w:t>
        </w:r>
        <w:r>
          <w:rPr>
            <w:rStyle w:val="a4"/>
            <w:sz w:val="20"/>
            <w:szCs w:val="20"/>
          </w:rPr>
          <w:t>s</w:t>
        </w:r>
      </w:hyperlink>
    </w:p>
    <w:p w14:paraId="014FB898" w14:textId="77777777" w:rsidR="00000000" w:rsidRDefault="00EF48A2">
      <w:pPr>
        <w:pStyle w:val="a3"/>
        <w:spacing w:before="240" w:beforeAutospacing="0" w:after="0" w:afterAutospacing="0"/>
        <w:jc w:val="both"/>
        <w:divId w:val="942147592"/>
        <w:rPr>
          <w:sz w:val="20"/>
          <w:szCs w:val="20"/>
        </w:rPr>
      </w:pPr>
      <w:r>
        <w:rPr>
          <w:b/>
          <w:bCs/>
          <w:i/>
          <w:iCs/>
          <w:sz w:val="20"/>
          <w:szCs w:val="20"/>
        </w:rPr>
        <w:t>Consolidatio</w:t>
      </w:r>
      <w:r>
        <w:rPr>
          <w:b/>
          <w:bCs/>
          <w:i/>
          <w:iCs/>
          <w:sz w:val="20"/>
          <w:szCs w:val="20"/>
        </w:rPr>
        <w:t>n</w:t>
      </w:r>
    </w:p>
    <w:p w14:paraId="6A69474E" w14:textId="77777777" w:rsidR="00000000" w:rsidRDefault="00EF48A2">
      <w:pPr>
        <w:pStyle w:val="a3"/>
        <w:spacing w:before="180" w:beforeAutospacing="0" w:after="0" w:afterAutospacing="0"/>
        <w:jc w:val="both"/>
        <w:divId w:val="942147592"/>
        <w:rPr>
          <w:sz w:val="20"/>
          <w:szCs w:val="20"/>
        </w:rPr>
      </w:pPr>
      <w:r>
        <w:rPr>
          <w:sz w:val="20"/>
          <w:szCs w:val="20"/>
        </w:rPr>
        <w:t>The Business Combination was accounted for as a rever</w:t>
      </w:r>
      <w:r>
        <w:rPr>
          <w:sz w:val="20"/>
          <w:szCs w:val="20"/>
        </w:rPr>
        <w:t>se recapitalization, and Old Talkspace was deemed to be the accounting acquirer. Consequently, the consolidated assets, liabilities and results of operations prior to the Business Combination are those of Old Talkspace. The shares and corresponding capital</w:t>
      </w:r>
      <w:r>
        <w:rPr>
          <w:sz w:val="20"/>
          <w:szCs w:val="20"/>
        </w:rPr>
        <w:t xml:space="preserve"> amounts and losses per share, prior to the Business Combination, have been retroactively restated based on shares reflecting the exchange ratio established in the Business Combination</w:t>
      </w:r>
      <w:r>
        <w:rPr>
          <w:sz w:val="20"/>
          <w:szCs w:val="20"/>
        </w:rPr>
        <w:t>.</w:t>
      </w:r>
    </w:p>
    <w:p w14:paraId="63E15BFE" w14:textId="77777777" w:rsidR="00000000" w:rsidRDefault="00EF48A2">
      <w:pPr>
        <w:pStyle w:val="a3"/>
        <w:spacing w:before="180" w:beforeAutospacing="0" w:after="0" w:afterAutospacing="0"/>
        <w:jc w:val="both"/>
        <w:divId w:val="942147592"/>
        <w:rPr>
          <w:sz w:val="20"/>
          <w:szCs w:val="20"/>
        </w:rPr>
      </w:pPr>
      <w:r>
        <w:rPr>
          <w:sz w:val="20"/>
          <w:szCs w:val="20"/>
        </w:rPr>
        <w:t>The Company consolidates all subsidiaries in which it has a controllin</w:t>
      </w:r>
      <w:r>
        <w:rPr>
          <w:sz w:val="20"/>
          <w:szCs w:val="20"/>
        </w:rPr>
        <w:t>g financial interest, as well as any VIEs where the Company is deemed to be the primary beneficiary. In the second quarter of 2022, the Company completed the transition of its structure with respect to its relationships with healthcare providers under cert</w:t>
      </w:r>
      <w:r>
        <w:rPr>
          <w:sz w:val="20"/>
          <w:szCs w:val="20"/>
        </w:rPr>
        <w:t>ain affiliated professional association (“PA”) and professional corporations (</w:t>
      </w:r>
      <w:r>
        <w:rPr>
          <w:sz w:val="20"/>
          <w:szCs w:val="20"/>
        </w:rPr>
        <w:t>“</w:t>
      </w:r>
      <w:r>
        <w:rPr>
          <w:sz w:val="20"/>
          <w:szCs w:val="20"/>
        </w:rPr>
        <w:t>PC”) entities. The Company determined that the PA and PC entities are VIEs. The Company also determined that it is able to direct the activities of these entities that most sign</w:t>
      </w:r>
      <w:r>
        <w:rPr>
          <w:sz w:val="20"/>
          <w:szCs w:val="20"/>
        </w:rPr>
        <w:t xml:space="preserve">ificantly impact their economic performance and it funds and absorbs all losses of these VIEs resulting in the Company being the primary beneficiary of the PA and PC entities. Accordingly, the Company consolidates the VIEs. See Note 15, “Variable Interest </w:t>
      </w:r>
      <w:r>
        <w:rPr>
          <w:sz w:val="20"/>
          <w:szCs w:val="20"/>
        </w:rPr>
        <w:t>Entities,” in the notes to the consolidated financial statements for further details</w:t>
      </w:r>
      <w:r>
        <w:rPr>
          <w:sz w:val="20"/>
          <w:szCs w:val="20"/>
        </w:rPr>
        <w:t>.</w:t>
      </w:r>
    </w:p>
    <w:p w14:paraId="579310B7" w14:textId="77777777" w:rsidR="00000000" w:rsidRDefault="00EF48A2">
      <w:pPr>
        <w:pStyle w:val="a3"/>
        <w:spacing w:before="240" w:beforeAutospacing="0" w:after="0" w:afterAutospacing="0"/>
        <w:jc w:val="both"/>
        <w:divId w:val="479927432"/>
        <w:rPr>
          <w:sz w:val="20"/>
          <w:szCs w:val="20"/>
        </w:rPr>
      </w:pPr>
      <w:r>
        <w:rPr>
          <w:b/>
          <w:bCs/>
          <w:i/>
          <w:iCs/>
          <w:sz w:val="20"/>
          <w:szCs w:val="20"/>
        </w:rPr>
        <w:t>Business Combinatio</w:t>
      </w:r>
      <w:r>
        <w:rPr>
          <w:b/>
          <w:bCs/>
          <w:i/>
          <w:iCs/>
          <w:sz w:val="20"/>
          <w:szCs w:val="20"/>
        </w:rPr>
        <w:t>n</w:t>
      </w:r>
    </w:p>
    <w:p w14:paraId="3FF51678" w14:textId="77777777" w:rsidR="00000000" w:rsidRDefault="00EF48A2">
      <w:pPr>
        <w:pStyle w:val="a3"/>
        <w:spacing w:before="180" w:beforeAutospacing="0" w:after="0" w:afterAutospacing="0"/>
        <w:jc w:val="both"/>
        <w:divId w:val="479927432"/>
        <w:rPr>
          <w:sz w:val="20"/>
          <w:szCs w:val="20"/>
        </w:rPr>
      </w:pPr>
      <w:r>
        <w:rPr>
          <w:sz w:val="20"/>
          <w:szCs w:val="20"/>
        </w:rPr>
        <w:t>The Company accounts for business combinations in accordance with Accounting Standard Codification (“ASC”) 805, “Business Combinations”. ASC 805 requ</w:t>
      </w:r>
      <w:r>
        <w:rPr>
          <w:sz w:val="20"/>
          <w:szCs w:val="20"/>
        </w:rPr>
        <w:t>ires recognition of assets acquired, liabilities assumed, and any non-controlling interest at the acquisition date, measured at their fair values as of that date. The excess of the fair value of the purchase price over the fair values of the identifiable a</w:t>
      </w:r>
      <w:r>
        <w:rPr>
          <w:sz w:val="20"/>
          <w:szCs w:val="20"/>
        </w:rPr>
        <w:t>ssets and liabilities is recorded as goodwill. Such valuations require management to make significant estimates and assumptions, especially with respect to intangible assets. Acquisition related costs are expensed to the statement of operations in the peri</w:t>
      </w:r>
      <w:r>
        <w:rPr>
          <w:sz w:val="20"/>
          <w:szCs w:val="20"/>
        </w:rPr>
        <w:t>od incurred</w:t>
      </w:r>
      <w:r>
        <w:rPr>
          <w:sz w:val="20"/>
          <w:szCs w:val="20"/>
        </w:rPr>
        <w:t>.</w:t>
      </w:r>
      <w:r>
        <w:rPr>
          <w:sz w:val="20"/>
          <w:szCs w:val="20"/>
        </w:rPr>
        <w:t xml:space="preserve"> </w:t>
      </w:r>
    </w:p>
    <w:p w14:paraId="386BD934" w14:textId="77777777" w:rsidR="00000000" w:rsidRDefault="00EF48A2">
      <w:pPr>
        <w:pStyle w:val="a3"/>
        <w:spacing w:before="240" w:beforeAutospacing="0" w:after="0" w:afterAutospacing="0"/>
        <w:divId w:val="662660724"/>
        <w:rPr>
          <w:sz w:val="20"/>
          <w:szCs w:val="20"/>
        </w:rPr>
      </w:pPr>
      <w:r>
        <w:rPr>
          <w:b/>
          <w:bCs/>
          <w:i/>
          <w:iCs/>
          <w:sz w:val="20"/>
          <w:szCs w:val="20"/>
        </w:rPr>
        <w:t>Operating Segment</w:t>
      </w:r>
      <w:r>
        <w:rPr>
          <w:b/>
          <w:bCs/>
          <w:i/>
          <w:iCs/>
          <w:sz w:val="20"/>
          <w:szCs w:val="20"/>
        </w:rPr>
        <w:t>s</w:t>
      </w:r>
      <w:r>
        <w:rPr>
          <w:b/>
          <w:bCs/>
          <w:i/>
          <w:iCs/>
          <w:sz w:val="20"/>
          <w:szCs w:val="20"/>
        </w:rPr>
        <w:t xml:space="preserve"> </w:t>
      </w:r>
    </w:p>
    <w:p w14:paraId="1C78710A" w14:textId="77777777" w:rsidR="00000000" w:rsidRDefault="00EF48A2">
      <w:pPr>
        <w:pStyle w:val="a3"/>
        <w:spacing w:before="180" w:beforeAutospacing="0" w:after="0" w:afterAutospacing="0"/>
        <w:jc w:val="both"/>
        <w:divId w:val="662660724"/>
        <w:rPr>
          <w:sz w:val="20"/>
          <w:szCs w:val="20"/>
        </w:rPr>
      </w:pPr>
      <w:r>
        <w:rPr>
          <w:sz w:val="20"/>
          <w:szCs w:val="20"/>
        </w:rPr>
        <w:t>The Company operates its business as a single segment and as</w:t>
      </w:r>
      <w:r>
        <w:rPr>
          <w:sz w:val="20"/>
          <w:szCs w:val="20"/>
        </w:rPr>
        <w:t xml:space="preserve"> </w:t>
      </w:r>
      <w:r>
        <w:rPr>
          <w:sz w:val="20"/>
          <w:szCs w:val="20"/>
        </w:rPr>
        <w:t>on</w:t>
      </w:r>
      <w:r>
        <w:rPr>
          <w:sz w:val="20"/>
          <w:szCs w:val="20"/>
        </w:rPr>
        <w:t>e</w:t>
      </w:r>
      <w:r>
        <w:rPr>
          <w:sz w:val="20"/>
          <w:szCs w:val="20"/>
        </w:rPr>
        <w:t xml:space="preserve"> reporting unit, which is how the chief operating decision maker, the Company's Chief Executive Officer, reviews financial performance and allocates resources</w:t>
      </w:r>
      <w:r>
        <w:rPr>
          <w:sz w:val="20"/>
          <w:szCs w:val="20"/>
        </w:rPr>
        <w:t>.</w:t>
      </w:r>
      <w:r>
        <w:rPr>
          <w:sz w:val="20"/>
          <w:szCs w:val="20"/>
        </w:rPr>
        <w:t xml:space="preserve"> </w:t>
      </w:r>
      <w:r>
        <w:rPr>
          <w:sz w:val="20"/>
          <w:szCs w:val="20"/>
        </w:rPr>
        <w:t>The majority of the Company’s operations are based in the United States</w:t>
      </w:r>
      <w:r>
        <w:rPr>
          <w:sz w:val="20"/>
          <w:szCs w:val="20"/>
        </w:rPr>
        <w:t>.</w:t>
      </w:r>
    </w:p>
    <w:p w14:paraId="53955B9B" w14:textId="77777777" w:rsidR="00000000" w:rsidRDefault="00EF48A2">
      <w:pPr>
        <w:pStyle w:val="a3"/>
        <w:spacing w:before="240" w:beforeAutospacing="0" w:after="0" w:afterAutospacing="0"/>
        <w:jc w:val="both"/>
        <w:divId w:val="664556750"/>
        <w:rPr>
          <w:sz w:val="20"/>
          <w:szCs w:val="20"/>
        </w:rPr>
      </w:pPr>
      <w:r>
        <w:rPr>
          <w:b/>
          <w:bCs/>
          <w:i/>
          <w:iCs/>
          <w:sz w:val="20"/>
          <w:szCs w:val="20"/>
        </w:rPr>
        <w:t>Financial statements in U.S. dollar</w:t>
      </w:r>
      <w:r>
        <w:rPr>
          <w:b/>
          <w:bCs/>
          <w:i/>
          <w:iCs/>
          <w:sz w:val="20"/>
          <w:szCs w:val="20"/>
        </w:rPr>
        <w:t>s</w:t>
      </w:r>
    </w:p>
    <w:p w14:paraId="23E83462" w14:textId="77777777" w:rsidR="00000000" w:rsidRDefault="00EF48A2">
      <w:pPr>
        <w:pStyle w:val="a3"/>
        <w:spacing w:before="180" w:beforeAutospacing="0" w:after="0" w:afterAutospacing="0"/>
        <w:jc w:val="both"/>
        <w:divId w:val="664556750"/>
        <w:rPr>
          <w:sz w:val="20"/>
          <w:szCs w:val="20"/>
        </w:rPr>
      </w:pPr>
      <w:r>
        <w:rPr>
          <w:sz w:val="20"/>
          <w:szCs w:val="20"/>
        </w:rPr>
        <w:t>Most of the Company’s revenues and costs are denominated in United States dollar (“dollar”). The Company’s management believes that the dollar i</w:t>
      </w:r>
      <w:r>
        <w:rPr>
          <w:sz w:val="20"/>
          <w:szCs w:val="20"/>
        </w:rPr>
        <w:t>s the primary currency of the economic environment in which the Company and each of its subsidiaries operate. Thus, the dollar is the Company’s functional and reporting currency</w:t>
      </w:r>
      <w:r>
        <w:rPr>
          <w:sz w:val="20"/>
          <w:szCs w:val="20"/>
        </w:rPr>
        <w:t>.</w:t>
      </w:r>
      <w:r>
        <w:rPr>
          <w:sz w:val="20"/>
          <w:szCs w:val="20"/>
        </w:rPr>
        <w:t xml:space="preserve"> </w:t>
      </w:r>
    </w:p>
    <w:p w14:paraId="1E2E5CBC" w14:textId="77777777" w:rsidR="00000000" w:rsidRDefault="00EF48A2">
      <w:pPr>
        <w:pStyle w:val="a3"/>
        <w:spacing w:before="180" w:beforeAutospacing="0" w:after="0" w:afterAutospacing="0"/>
        <w:jc w:val="both"/>
        <w:divId w:val="664556750"/>
        <w:rPr>
          <w:sz w:val="20"/>
          <w:szCs w:val="20"/>
        </w:rPr>
      </w:pPr>
      <w:r>
        <w:rPr>
          <w:sz w:val="20"/>
          <w:szCs w:val="20"/>
        </w:rPr>
        <w:t>Accordingly, non-dollar denominated transactions and balances have been re-m</w:t>
      </w:r>
      <w:r>
        <w:rPr>
          <w:sz w:val="20"/>
          <w:szCs w:val="20"/>
        </w:rPr>
        <w:t>easured into the functional currency in accordance with ASC 830, “Foreign Currency Matters”. These transactions were not material for the year ended December 31, 2022, 2021 and 2020</w:t>
      </w:r>
      <w:r>
        <w:rPr>
          <w:sz w:val="20"/>
          <w:szCs w:val="20"/>
        </w:rPr>
        <w:t>.</w:t>
      </w:r>
    </w:p>
    <w:p w14:paraId="73A8568F" w14:textId="77777777" w:rsidR="00000000" w:rsidRDefault="00EF48A2">
      <w:pPr>
        <w:pStyle w:val="a3"/>
        <w:spacing w:before="240" w:beforeAutospacing="0" w:after="0" w:afterAutospacing="0"/>
        <w:divId w:val="156700979"/>
        <w:rPr>
          <w:sz w:val="20"/>
          <w:szCs w:val="20"/>
        </w:rPr>
      </w:pPr>
      <w:r>
        <w:rPr>
          <w:b/>
          <w:bCs/>
          <w:i/>
          <w:iCs/>
          <w:sz w:val="20"/>
          <w:szCs w:val="20"/>
        </w:rPr>
        <w:t>Cash and cash equivalent</w:t>
      </w:r>
      <w:r>
        <w:rPr>
          <w:b/>
          <w:bCs/>
          <w:i/>
          <w:iCs/>
          <w:sz w:val="20"/>
          <w:szCs w:val="20"/>
        </w:rPr>
        <w:t>s</w:t>
      </w:r>
    </w:p>
    <w:p w14:paraId="1C0DA9FB" w14:textId="77777777" w:rsidR="00000000" w:rsidRDefault="00EF48A2">
      <w:pPr>
        <w:pStyle w:val="a3"/>
        <w:spacing w:before="180" w:beforeAutospacing="0" w:after="0" w:afterAutospacing="0"/>
        <w:jc w:val="both"/>
        <w:divId w:val="156700979"/>
        <w:rPr>
          <w:sz w:val="20"/>
          <w:szCs w:val="20"/>
        </w:rPr>
      </w:pPr>
      <w:r>
        <w:rPr>
          <w:sz w:val="20"/>
          <w:szCs w:val="20"/>
        </w:rPr>
        <w:t>Cash equivalents are short-term, highly liquid investments that are readily convertible to cash, with original maturities of</w:t>
      </w:r>
      <w:r>
        <w:rPr>
          <w:sz w:val="20"/>
          <w:szCs w:val="20"/>
        </w:rPr>
        <w:t xml:space="preserve"> </w:t>
      </w:r>
      <w:r>
        <w:rPr>
          <w:sz w:val="20"/>
          <w:szCs w:val="20"/>
        </w:rPr>
        <w:t>three month</w:t>
      </w:r>
      <w:r>
        <w:rPr>
          <w:sz w:val="20"/>
          <w:szCs w:val="20"/>
        </w:rPr>
        <w:t>s</w:t>
      </w:r>
      <w:r>
        <w:rPr>
          <w:sz w:val="20"/>
          <w:szCs w:val="20"/>
        </w:rPr>
        <w:t xml:space="preserve"> or less at the date </w:t>
      </w:r>
      <w:r>
        <w:rPr>
          <w:sz w:val="20"/>
          <w:szCs w:val="20"/>
        </w:rPr>
        <w:t>a</w:t>
      </w:r>
      <w:r>
        <w:rPr>
          <w:sz w:val="20"/>
          <w:szCs w:val="20"/>
        </w:rPr>
        <w:t>cquired. The Company’s cash and cash equivalents generally consist of bank deposits and investmen</w:t>
      </w:r>
      <w:r>
        <w:rPr>
          <w:sz w:val="20"/>
          <w:szCs w:val="20"/>
        </w:rPr>
        <w:t>ts in money market funds. The carrying value of cash and cash equivalents approximate their fair values due to the short-term maturities of such instruments</w:t>
      </w:r>
      <w:r>
        <w:rPr>
          <w:sz w:val="20"/>
          <w:szCs w:val="20"/>
        </w:rPr>
        <w:t>.</w:t>
      </w:r>
    </w:p>
    <w:p w14:paraId="533EC9BD" w14:textId="77777777" w:rsidR="00000000" w:rsidRDefault="00EF48A2">
      <w:pPr>
        <w:pStyle w:val="a3"/>
        <w:spacing w:before="180" w:beforeAutospacing="0" w:after="0" w:afterAutospacing="0"/>
        <w:jc w:val="both"/>
        <w:divId w:val="156700979"/>
        <w:rPr>
          <w:sz w:val="20"/>
          <w:szCs w:val="20"/>
        </w:rPr>
      </w:pPr>
      <w:r>
        <w:rPr>
          <w:sz w:val="20"/>
          <w:szCs w:val="20"/>
        </w:rPr>
        <w:t>The majority of the Company’s cash and cash equivalents are invested in one major bank in the Unit</w:t>
      </w:r>
      <w:r>
        <w:rPr>
          <w:sz w:val="20"/>
          <w:szCs w:val="20"/>
        </w:rPr>
        <w:t>ed States. Generally, these cash and cash equivalents and deposits may be redeemed upon demand. The Company deposits its cash with one major financial institution in the U.S., and its deposits may exceed federally insured limits. Management believes that t</w:t>
      </w:r>
      <w:r>
        <w:rPr>
          <w:sz w:val="20"/>
          <w:szCs w:val="20"/>
        </w:rPr>
        <w:t>he financial institution that holds the Company’s and its subsidiaries’ cash and cash equivalents is an institution with high credit standing, and accordingly, minimal credit risk exists with respect to these asset</w:t>
      </w:r>
      <w:r>
        <w:rPr>
          <w:sz w:val="20"/>
          <w:szCs w:val="20"/>
        </w:rPr>
        <w:t>s</w:t>
      </w:r>
      <w:r>
        <w:rPr>
          <w:sz w:val="20"/>
          <w:szCs w:val="20"/>
        </w:rPr>
        <w:t>.</w:t>
      </w:r>
    </w:p>
    <w:p w14:paraId="2ACE4369" w14:textId="77777777" w:rsidR="00000000" w:rsidRDefault="00EF48A2">
      <w:pPr>
        <w:pStyle w:val="a3"/>
        <w:spacing w:before="0" w:beforeAutospacing="0" w:after="0" w:afterAutospacing="0"/>
        <w:divId w:val="1007291856"/>
        <w:rPr>
          <w:sz w:val="20"/>
          <w:szCs w:val="20"/>
        </w:rPr>
      </w:pPr>
      <w:r>
        <w:rPr>
          <w:sz w:val="20"/>
          <w:szCs w:val="20"/>
        </w:rPr>
        <w:t> </w:t>
      </w:r>
    </w:p>
    <w:p w14:paraId="45FCCE43" w14:textId="77777777" w:rsidR="00000000" w:rsidRDefault="00EF48A2">
      <w:pPr>
        <w:pStyle w:val="a3"/>
        <w:spacing w:before="0" w:beforeAutospacing="0" w:after="0" w:afterAutospacing="0"/>
        <w:jc w:val="center"/>
        <w:divId w:val="1007291856"/>
        <w:rPr>
          <w:sz w:val="20"/>
          <w:szCs w:val="20"/>
        </w:rPr>
      </w:pPr>
      <w:r>
        <w:rPr>
          <w:sz w:val="20"/>
          <w:szCs w:val="20"/>
        </w:rPr>
        <w:t>6</w:t>
      </w:r>
      <w:r>
        <w:rPr>
          <w:sz w:val="20"/>
          <w:szCs w:val="20"/>
        </w:rPr>
        <w:t>5</w:t>
      </w:r>
    </w:p>
    <w:p w14:paraId="0E81C63F" w14:textId="77777777" w:rsidR="00000000" w:rsidRDefault="00EF48A2">
      <w:pPr>
        <w:divId w:val="1007291856"/>
        <w:rPr>
          <w:rFonts w:eastAsia="Times New Roman"/>
          <w:sz w:val="20"/>
          <w:szCs w:val="20"/>
        </w:rPr>
      </w:pPr>
      <w:r>
        <w:rPr>
          <w:rFonts w:eastAsia="Times New Roman"/>
          <w:sz w:val="20"/>
          <w:szCs w:val="20"/>
        </w:rPr>
        <w:pict w14:anchorId="66E7EECB">
          <v:rect id="_x0000_i1092" style="width:0;height:1.5pt" o:hralign="center" o:hrstd="t" o:hr="t" fillcolor="#a0a0a0" stroked="f"/>
        </w:pict>
      </w:r>
    </w:p>
    <w:p w14:paraId="239F1390" w14:textId="77777777" w:rsidR="00000000" w:rsidRDefault="00EF48A2">
      <w:pPr>
        <w:pStyle w:val="a3"/>
        <w:spacing w:before="0" w:beforeAutospacing="0" w:after="0" w:afterAutospacing="0"/>
        <w:divId w:val="1007291856"/>
        <w:rPr>
          <w:sz w:val="20"/>
          <w:szCs w:val="20"/>
        </w:rPr>
      </w:pPr>
      <w:hyperlink w:anchor="toc_page" w:history="1">
        <w:r>
          <w:rPr>
            <w:rStyle w:val="a4"/>
            <w:sz w:val="20"/>
            <w:szCs w:val="20"/>
          </w:rPr>
          <w:t>Table of Content</w:t>
        </w:r>
        <w:r>
          <w:rPr>
            <w:rStyle w:val="a4"/>
            <w:sz w:val="20"/>
            <w:szCs w:val="20"/>
          </w:rPr>
          <w:t>s</w:t>
        </w:r>
      </w:hyperlink>
    </w:p>
    <w:p w14:paraId="28BE4964" w14:textId="77777777" w:rsidR="00000000" w:rsidRDefault="00EF48A2">
      <w:pPr>
        <w:pStyle w:val="a3"/>
        <w:spacing w:before="240" w:beforeAutospacing="0" w:after="0" w:afterAutospacing="0"/>
        <w:divId w:val="250353378"/>
        <w:rPr>
          <w:sz w:val="20"/>
          <w:szCs w:val="20"/>
        </w:rPr>
      </w:pPr>
      <w:r>
        <w:rPr>
          <w:b/>
          <w:bCs/>
          <w:i/>
          <w:iCs/>
          <w:sz w:val="20"/>
          <w:szCs w:val="20"/>
        </w:rPr>
        <w:t>Property and equipment, ne</w:t>
      </w:r>
      <w:r>
        <w:rPr>
          <w:b/>
          <w:bCs/>
          <w:i/>
          <w:iCs/>
          <w:sz w:val="20"/>
          <w:szCs w:val="20"/>
        </w:rPr>
        <w:t>t</w:t>
      </w:r>
    </w:p>
    <w:p w14:paraId="27123F25" w14:textId="77777777" w:rsidR="00000000" w:rsidRDefault="00EF48A2">
      <w:pPr>
        <w:pStyle w:val="a3"/>
        <w:spacing w:before="180" w:beforeAutospacing="0" w:after="0" w:afterAutospacing="0"/>
        <w:jc w:val="both"/>
        <w:divId w:val="1181431722"/>
        <w:rPr>
          <w:sz w:val="20"/>
          <w:szCs w:val="20"/>
        </w:rPr>
      </w:pPr>
      <w:r>
        <w:rPr>
          <w:sz w:val="20"/>
          <w:szCs w:val="20"/>
        </w:rPr>
        <w:t>Property and equipment are stated at cost, net of accumulated depreciation. Depreciation is calculated using the straight-line method over the estimated useful lives of the asse</w:t>
      </w:r>
      <w:r>
        <w:rPr>
          <w:sz w:val="20"/>
          <w:szCs w:val="20"/>
        </w:rPr>
        <w:t>ts, at the following annual rates</w:t>
      </w:r>
      <w:r>
        <w:rPr>
          <w:sz w:val="20"/>
          <w:szCs w:val="20"/>
        </w:rPr>
        <w:t>:</w:t>
      </w:r>
      <w:r>
        <w:rPr>
          <w:sz w:val="20"/>
          <w:szCs w:val="20"/>
        </w:rPr>
        <w:t xml:space="preserve"> </w:t>
      </w:r>
    </w:p>
    <w:p w14:paraId="020D42AA" w14:textId="77777777" w:rsidR="00000000" w:rsidRDefault="00EF48A2">
      <w:pPr>
        <w:pStyle w:val="a3"/>
        <w:spacing w:before="0" w:beforeAutospacing="0" w:after="0" w:afterAutospacing="0"/>
        <w:divId w:val="1181431722"/>
        <w:rPr>
          <w:sz w:val="20"/>
          <w:szCs w:val="20"/>
        </w:rPr>
      </w:pPr>
      <w: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57"/>
        <w:gridCol w:w="110"/>
        <w:gridCol w:w="110"/>
        <w:gridCol w:w="782"/>
        <w:gridCol w:w="125"/>
      </w:tblGrid>
      <w:tr w:rsidR="00000000" w14:paraId="7CB179F0" w14:textId="77777777">
        <w:trPr>
          <w:divId w:val="1181431722"/>
          <w:tblCellSpacing w:w="15" w:type="dxa"/>
        </w:trPr>
        <w:tc>
          <w:tcPr>
            <w:tcW w:w="4005" w:type="pct"/>
            <w:vAlign w:val="center"/>
            <w:hideMark/>
          </w:tcPr>
          <w:p w14:paraId="51C32D87" w14:textId="77777777" w:rsidR="00000000" w:rsidRDefault="00EF48A2">
            <w:pPr>
              <w:rPr>
                <w:sz w:val="20"/>
                <w:szCs w:val="20"/>
              </w:rPr>
            </w:pPr>
          </w:p>
        </w:tc>
        <w:tc>
          <w:tcPr>
            <w:tcW w:w="74" w:type="pct"/>
            <w:vAlign w:val="center"/>
            <w:hideMark/>
          </w:tcPr>
          <w:p w14:paraId="47B66F9C" w14:textId="77777777" w:rsidR="00000000" w:rsidRDefault="00EF48A2">
            <w:pPr>
              <w:rPr>
                <w:rFonts w:eastAsia="Times New Roman"/>
                <w:sz w:val="20"/>
                <w:szCs w:val="20"/>
              </w:rPr>
            </w:pPr>
          </w:p>
        </w:tc>
        <w:tc>
          <w:tcPr>
            <w:tcW w:w="50" w:type="pct"/>
            <w:vAlign w:val="center"/>
            <w:hideMark/>
          </w:tcPr>
          <w:p w14:paraId="3CE47CCD" w14:textId="77777777" w:rsidR="00000000" w:rsidRDefault="00EF48A2">
            <w:pPr>
              <w:rPr>
                <w:rFonts w:eastAsia="Times New Roman"/>
                <w:sz w:val="20"/>
                <w:szCs w:val="20"/>
              </w:rPr>
            </w:pPr>
          </w:p>
        </w:tc>
        <w:tc>
          <w:tcPr>
            <w:tcW w:w="820" w:type="pct"/>
            <w:vAlign w:val="center"/>
            <w:hideMark/>
          </w:tcPr>
          <w:p w14:paraId="2494A91A" w14:textId="77777777" w:rsidR="00000000" w:rsidRDefault="00EF48A2">
            <w:pPr>
              <w:rPr>
                <w:rFonts w:eastAsia="Times New Roman"/>
                <w:sz w:val="20"/>
                <w:szCs w:val="20"/>
              </w:rPr>
            </w:pPr>
          </w:p>
        </w:tc>
        <w:tc>
          <w:tcPr>
            <w:tcW w:w="50" w:type="pct"/>
            <w:vAlign w:val="center"/>
            <w:hideMark/>
          </w:tcPr>
          <w:p w14:paraId="7628221C" w14:textId="77777777" w:rsidR="00000000" w:rsidRDefault="00EF48A2">
            <w:pPr>
              <w:rPr>
                <w:rFonts w:eastAsia="Times New Roman"/>
                <w:sz w:val="20"/>
                <w:szCs w:val="20"/>
              </w:rPr>
            </w:pPr>
          </w:p>
        </w:tc>
      </w:tr>
      <w:tr w:rsidR="00000000" w14:paraId="71BA468A" w14:textId="77777777">
        <w:trPr>
          <w:divId w:val="1181431722"/>
          <w:trHeight w:val="160"/>
          <w:tblCellSpacing w:w="15" w:type="dxa"/>
        </w:trPr>
        <w:tc>
          <w:tcPr>
            <w:tcW w:w="0" w:type="auto"/>
            <w:vAlign w:val="bottom"/>
            <w:hideMark/>
          </w:tcPr>
          <w:p w14:paraId="3F9FF070"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75D7C317"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7164315A" w14:textId="77777777" w:rsidR="00000000" w:rsidRDefault="00EF48A2">
            <w:pPr>
              <w:pStyle w:val="a3"/>
              <w:spacing w:before="0" w:beforeAutospacing="0" w:after="0" w:afterAutospacing="0"/>
              <w:jc w:val="center"/>
              <w:rPr>
                <w:sz w:val="16"/>
                <w:szCs w:val="16"/>
              </w:rPr>
            </w:pPr>
            <w:r>
              <w:rPr>
                <w:b/>
                <w:bCs/>
                <w:sz w:val="16"/>
                <w:szCs w:val="16"/>
              </w:rPr>
              <w:t>%</w:t>
            </w:r>
          </w:p>
        </w:tc>
        <w:tc>
          <w:tcPr>
            <w:tcW w:w="0" w:type="auto"/>
            <w:vAlign w:val="bottom"/>
            <w:hideMark/>
          </w:tcPr>
          <w:p w14:paraId="2BC64E65"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6794E147" w14:textId="77777777">
        <w:trPr>
          <w:divId w:val="1181431722"/>
          <w:trHeight w:val="200"/>
          <w:tblCellSpacing w:w="15" w:type="dxa"/>
        </w:trPr>
        <w:tc>
          <w:tcPr>
            <w:tcW w:w="0" w:type="auto"/>
            <w:hideMark/>
          </w:tcPr>
          <w:p w14:paraId="123111C6" w14:textId="77777777" w:rsidR="00000000" w:rsidRDefault="00EF48A2">
            <w:pPr>
              <w:pStyle w:val="a3"/>
              <w:spacing w:before="0" w:beforeAutospacing="0" w:after="0" w:afterAutospacing="0"/>
              <w:rPr>
                <w:sz w:val="20"/>
                <w:szCs w:val="20"/>
              </w:rPr>
            </w:pPr>
            <w:r>
              <w:rPr>
                <w:sz w:val="20"/>
                <w:szCs w:val="20"/>
              </w:rPr>
              <w:t>Computer</w:t>
            </w:r>
            <w:r>
              <w:rPr>
                <w:sz w:val="20"/>
                <w:szCs w:val="20"/>
              </w:rPr>
              <w:t>s</w:t>
            </w:r>
          </w:p>
        </w:tc>
        <w:tc>
          <w:tcPr>
            <w:tcW w:w="0" w:type="auto"/>
            <w:vAlign w:val="bottom"/>
            <w:hideMark/>
          </w:tcPr>
          <w:p w14:paraId="7F83934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5B6B78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ACA09E" w14:textId="77777777" w:rsidR="00000000" w:rsidRDefault="00EF48A2">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14:paraId="629ACC1A" w14:textId="77777777" w:rsidR="00000000" w:rsidRDefault="00EF48A2">
            <w:pPr>
              <w:pStyle w:val="a3"/>
              <w:spacing w:before="0" w:beforeAutospacing="0" w:after="0" w:afterAutospacing="0"/>
              <w:rPr>
                <w:sz w:val="20"/>
                <w:szCs w:val="20"/>
              </w:rPr>
            </w:pPr>
            <w:r>
              <w:rPr>
                <w:sz w:val="20"/>
                <w:szCs w:val="20"/>
              </w:rPr>
              <w:t> </w:t>
            </w:r>
          </w:p>
        </w:tc>
      </w:tr>
      <w:tr w:rsidR="00000000" w14:paraId="4AF0CEBB" w14:textId="77777777">
        <w:trPr>
          <w:divId w:val="1181431722"/>
          <w:trHeight w:val="200"/>
          <w:tblCellSpacing w:w="15" w:type="dxa"/>
        </w:trPr>
        <w:tc>
          <w:tcPr>
            <w:tcW w:w="0" w:type="auto"/>
            <w:hideMark/>
          </w:tcPr>
          <w:p w14:paraId="559346D8" w14:textId="77777777" w:rsidR="00000000" w:rsidRDefault="00EF48A2">
            <w:pPr>
              <w:pStyle w:val="a3"/>
              <w:spacing w:before="0" w:beforeAutospacing="0" w:after="0" w:afterAutospacing="0"/>
              <w:rPr>
                <w:sz w:val="20"/>
                <w:szCs w:val="20"/>
              </w:rPr>
            </w:pPr>
            <w:r>
              <w:rPr>
                <w:sz w:val="20"/>
                <w:szCs w:val="20"/>
              </w:rPr>
              <w:t>Furniture and equipmen</w:t>
            </w:r>
            <w:r>
              <w:rPr>
                <w:sz w:val="20"/>
                <w:szCs w:val="20"/>
              </w:rPr>
              <w:t>t</w:t>
            </w:r>
          </w:p>
        </w:tc>
        <w:tc>
          <w:tcPr>
            <w:tcW w:w="0" w:type="auto"/>
            <w:vAlign w:val="bottom"/>
            <w:hideMark/>
          </w:tcPr>
          <w:p w14:paraId="0E11B57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86A9C3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CF901D2" w14:textId="77777777" w:rsidR="00000000" w:rsidRDefault="00EF48A2">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47C77C1A" w14:textId="77777777" w:rsidR="00000000" w:rsidRDefault="00EF48A2">
            <w:pPr>
              <w:pStyle w:val="a3"/>
              <w:spacing w:before="0" w:beforeAutospacing="0" w:after="0" w:afterAutospacing="0"/>
              <w:rPr>
                <w:sz w:val="20"/>
                <w:szCs w:val="20"/>
              </w:rPr>
            </w:pPr>
            <w:r>
              <w:rPr>
                <w:sz w:val="20"/>
                <w:szCs w:val="20"/>
              </w:rPr>
              <w:t> </w:t>
            </w:r>
          </w:p>
        </w:tc>
      </w:tr>
    </w:tbl>
    <w:p w14:paraId="1337BB3F" w14:textId="77777777" w:rsidR="00000000" w:rsidRDefault="00EF48A2">
      <w:pPr>
        <w:pStyle w:val="a3"/>
        <w:spacing w:before="0" w:beforeAutospacing="0" w:after="0" w:afterAutospacing="0"/>
        <w:divId w:val="1007291856"/>
        <w:rPr>
          <w:sz w:val="20"/>
          <w:szCs w:val="20"/>
        </w:rPr>
      </w:pPr>
      <w:r>
        <w:rPr>
          <w:sz w:val="12"/>
          <w:szCs w:val="12"/>
        </w:rPr>
        <w:t> </w:t>
      </w:r>
    </w:p>
    <w:p w14:paraId="5C171529" w14:textId="77777777" w:rsidR="00000000" w:rsidRDefault="00EF48A2">
      <w:pPr>
        <w:pStyle w:val="a3"/>
        <w:spacing w:before="240" w:beforeAutospacing="0" w:after="0" w:afterAutospacing="0"/>
        <w:divId w:val="1548184674"/>
        <w:rPr>
          <w:sz w:val="20"/>
          <w:szCs w:val="20"/>
        </w:rPr>
      </w:pPr>
      <w:r>
        <w:rPr>
          <w:b/>
          <w:bCs/>
          <w:i/>
          <w:iCs/>
          <w:sz w:val="20"/>
          <w:szCs w:val="20"/>
        </w:rPr>
        <w:t>Lease</w:t>
      </w:r>
      <w:r>
        <w:rPr>
          <w:b/>
          <w:bCs/>
          <w:i/>
          <w:iCs/>
          <w:sz w:val="20"/>
          <w:szCs w:val="20"/>
        </w:rPr>
        <w:t>s</w:t>
      </w:r>
    </w:p>
    <w:p w14:paraId="7C93A55A" w14:textId="77777777" w:rsidR="00000000" w:rsidRDefault="00EF48A2">
      <w:pPr>
        <w:pStyle w:val="a3"/>
        <w:spacing w:before="180" w:beforeAutospacing="0" w:after="0" w:afterAutospacing="0"/>
        <w:jc w:val="both"/>
        <w:divId w:val="1548184674"/>
        <w:rPr>
          <w:sz w:val="20"/>
          <w:szCs w:val="20"/>
        </w:rPr>
      </w:pPr>
      <w:r>
        <w:rPr>
          <w:sz w:val="20"/>
          <w:szCs w:val="20"/>
        </w:rPr>
        <w:t>The Company accounts for leases in accordance with ASC 842, "Leases". The right-of-use ("ROU"</w:t>
      </w:r>
      <w:r>
        <w:rPr>
          <w:sz w:val="20"/>
          <w:szCs w:val="20"/>
        </w:rPr>
        <w:t xml:space="preserve">) asset represents the Company’s right to use an underlying asset for the lease term and the lease liability represents an obligation to make payments based on the present value of lease payments over the lease term. The Company uses incremental borrowing </w:t>
      </w:r>
      <w:r>
        <w:rPr>
          <w:sz w:val="20"/>
          <w:szCs w:val="20"/>
        </w:rPr>
        <w:t>rates based on the estimated rate of interest for collateralized borrowing over a similar term of the lease payments at commencement date. The lease term includes options to extend or terminate the lease when it is reasonably certain they will be exercised</w:t>
      </w:r>
      <w:r>
        <w:rPr>
          <w:sz w:val="20"/>
          <w:szCs w:val="20"/>
        </w:rPr>
        <w:t>.</w:t>
      </w:r>
    </w:p>
    <w:p w14:paraId="473B5745" w14:textId="77777777" w:rsidR="00000000" w:rsidRDefault="00EF48A2">
      <w:pPr>
        <w:pStyle w:val="a3"/>
        <w:spacing w:before="180" w:beforeAutospacing="0" w:after="0" w:afterAutospacing="0"/>
        <w:jc w:val="both"/>
        <w:divId w:val="1548184674"/>
        <w:rPr>
          <w:sz w:val="20"/>
          <w:szCs w:val="20"/>
        </w:rPr>
      </w:pPr>
      <w:r>
        <w:rPr>
          <w:sz w:val="20"/>
          <w:szCs w:val="20"/>
        </w:rPr>
        <w:t>The Company has elected not to record operating lease ROU assets and lease liabilities for leases with an initial term of 12 months or less. The Company also elected the practical expedient to not separate lease and non-lease components for its leases. S</w:t>
      </w:r>
      <w:r>
        <w:rPr>
          <w:sz w:val="20"/>
          <w:szCs w:val="20"/>
        </w:rPr>
        <w:t>ee Note 9, "Leases" in the notes to the consolidated financial statements for further details</w:t>
      </w:r>
      <w:r>
        <w:rPr>
          <w:sz w:val="20"/>
          <w:szCs w:val="20"/>
        </w:rPr>
        <w:t>.</w:t>
      </w:r>
      <w:r>
        <w:rPr>
          <w:sz w:val="20"/>
          <w:szCs w:val="20"/>
        </w:rPr>
        <w:t xml:space="preserve"> </w:t>
      </w:r>
    </w:p>
    <w:p w14:paraId="4A8FC95C" w14:textId="77777777" w:rsidR="00000000" w:rsidRDefault="00EF48A2">
      <w:pPr>
        <w:pStyle w:val="a3"/>
        <w:spacing w:before="240" w:beforeAutospacing="0" w:after="0" w:afterAutospacing="0"/>
        <w:divId w:val="441072420"/>
        <w:rPr>
          <w:sz w:val="20"/>
          <w:szCs w:val="20"/>
        </w:rPr>
      </w:pPr>
      <w:r>
        <w:rPr>
          <w:b/>
          <w:bCs/>
          <w:i/>
          <w:iCs/>
          <w:sz w:val="20"/>
          <w:szCs w:val="20"/>
        </w:rPr>
        <w:t>Goodwil</w:t>
      </w:r>
      <w:r>
        <w:rPr>
          <w:b/>
          <w:bCs/>
          <w:i/>
          <w:iCs/>
          <w:sz w:val="20"/>
          <w:szCs w:val="20"/>
        </w:rPr>
        <w:t>l</w:t>
      </w:r>
      <w:r>
        <w:rPr>
          <w:b/>
          <w:bCs/>
          <w:i/>
          <w:iCs/>
          <w:sz w:val="20"/>
          <w:szCs w:val="20"/>
        </w:rPr>
        <w:t xml:space="preserve"> </w:t>
      </w:r>
    </w:p>
    <w:p w14:paraId="092C995B" w14:textId="77777777" w:rsidR="00000000" w:rsidRDefault="00EF48A2">
      <w:pPr>
        <w:pStyle w:val="a3"/>
        <w:spacing w:before="180" w:beforeAutospacing="0" w:after="0" w:afterAutospacing="0"/>
        <w:jc w:val="both"/>
        <w:divId w:val="441072420"/>
        <w:rPr>
          <w:sz w:val="20"/>
          <w:szCs w:val="20"/>
        </w:rPr>
      </w:pPr>
      <w:r>
        <w:rPr>
          <w:sz w:val="20"/>
          <w:szCs w:val="20"/>
        </w:rPr>
        <w:t>Goodwill reflects the excess of the consideration transferred, including the fair value of any contingent consideration and any non-controlling intere</w:t>
      </w:r>
      <w:r>
        <w:rPr>
          <w:sz w:val="20"/>
          <w:szCs w:val="20"/>
        </w:rPr>
        <w:t>st in the acquiree, over the assigned fair values of the identifiable net assets acquired. Goodwill is not amortized, and is tested for impairment at least on an annual basis. The Company operates as one reporting unit and the fair value of the reporting u</w:t>
      </w:r>
      <w:r>
        <w:rPr>
          <w:sz w:val="20"/>
          <w:szCs w:val="20"/>
        </w:rPr>
        <w:t xml:space="preserve">nit is estimated using quoted market prices of the Company’s stock in active markets. The Company tests goodwill for impairment annually in the fourth quarter and whenever events or changes in circumstances indicate the carrying amount of goodwill may not </w:t>
      </w:r>
      <w:r>
        <w:rPr>
          <w:sz w:val="20"/>
          <w:szCs w:val="20"/>
        </w:rPr>
        <w:t>be recoverable. When testing goodwill for impairment, the Company may first perform a qualitative assessment. If the Company determines it is not more likely than not the reporting unit’s fair value is less than its carrying value, then no further analysis</w:t>
      </w:r>
      <w:r>
        <w:rPr>
          <w:sz w:val="20"/>
          <w:szCs w:val="20"/>
        </w:rPr>
        <w:t xml:space="preserve"> is necessary. If the Company determines that it is more likely than not that the fair value of its reporting unit is less than its carrying amount, then the quantitative impairment test will be performed. The Company may elect to bypass the qualitative as</w:t>
      </w:r>
      <w:r>
        <w:rPr>
          <w:sz w:val="20"/>
          <w:szCs w:val="20"/>
        </w:rPr>
        <w:t xml:space="preserve">sessment and proceed directly to performing a quantitative analysis. Under the quantitative impairment test, if the carrying amount of the Company’s reporting unit exceeds its fair value, the Company will recognize an impairment loss in an amount equal to </w:t>
      </w:r>
      <w:r>
        <w:rPr>
          <w:sz w:val="20"/>
          <w:szCs w:val="20"/>
        </w:rPr>
        <w:t>that excess but limited to the total amount of goodwill. See Note 4, "Goodwill" in the notes to the consolidated financial statements for further details</w:t>
      </w:r>
      <w:r>
        <w:rPr>
          <w:sz w:val="20"/>
          <w:szCs w:val="20"/>
        </w:rPr>
        <w:t>.</w:t>
      </w:r>
    </w:p>
    <w:p w14:paraId="0F03DDC0" w14:textId="77777777" w:rsidR="00000000" w:rsidRDefault="00EF48A2">
      <w:pPr>
        <w:pStyle w:val="a3"/>
        <w:spacing w:before="240" w:beforeAutospacing="0" w:after="0" w:afterAutospacing="0"/>
        <w:divId w:val="1697462111"/>
        <w:rPr>
          <w:sz w:val="20"/>
          <w:szCs w:val="20"/>
        </w:rPr>
      </w:pPr>
      <w:r>
        <w:rPr>
          <w:b/>
          <w:bCs/>
          <w:i/>
          <w:iCs/>
          <w:sz w:val="20"/>
          <w:szCs w:val="20"/>
        </w:rPr>
        <w:t>Intangible Asset</w:t>
      </w:r>
      <w:r>
        <w:rPr>
          <w:b/>
          <w:bCs/>
          <w:i/>
          <w:iCs/>
          <w:sz w:val="20"/>
          <w:szCs w:val="20"/>
        </w:rPr>
        <w:t>s</w:t>
      </w:r>
    </w:p>
    <w:p w14:paraId="225ED03D" w14:textId="77777777" w:rsidR="00000000" w:rsidRDefault="00EF48A2">
      <w:pPr>
        <w:pStyle w:val="a3"/>
        <w:spacing w:before="180" w:beforeAutospacing="0" w:after="0" w:afterAutospacing="0"/>
        <w:jc w:val="both"/>
        <w:divId w:val="1697462111"/>
        <w:rPr>
          <w:sz w:val="20"/>
          <w:szCs w:val="20"/>
        </w:rPr>
      </w:pPr>
      <w:r>
        <w:rPr>
          <w:sz w:val="20"/>
          <w:szCs w:val="20"/>
        </w:rPr>
        <w:t>Acquired identifiable finite-lived intangible assets are amortized on a straight-li</w:t>
      </w:r>
      <w:r>
        <w:rPr>
          <w:sz w:val="20"/>
          <w:szCs w:val="20"/>
        </w:rPr>
        <w:t>ne basis over the estimated useful lives of the assets. The basis of amortization approximates the pattern in which the assets are utilized, over their estimated useful lives. The Company routinely reviews the remaining estimated useful lives of finite-liv</w:t>
      </w:r>
      <w:r>
        <w:rPr>
          <w:sz w:val="20"/>
          <w:szCs w:val="20"/>
        </w:rPr>
        <w:t>ed intangible assets. In cases where the Company reduces the estimated useful life for any asset, the remaining unamortized balance is amortized or depreciated over the revised estimated useful life. See Note 5, "Intangible Assets, net" in the notes to the</w:t>
      </w:r>
      <w:r>
        <w:rPr>
          <w:sz w:val="20"/>
          <w:szCs w:val="20"/>
        </w:rPr>
        <w:t xml:space="preserve"> consolidated financial statements for further details</w:t>
      </w:r>
      <w:r>
        <w:rPr>
          <w:sz w:val="20"/>
          <w:szCs w:val="20"/>
        </w:rPr>
        <w:t>.</w:t>
      </w:r>
    </w:p>
    <w:p w14:paraId="2A67848F" w14:textId="77777777" w:rsidR="00000000" w:rsidRDefault="00EF48A2">
      <w:pPr>
        <w:pStyle w:val="a3"/>
        <w:spacing w:before="240" w:beforeAutospacing="0" w:after="0" w:afterAutospacing="0"/>
        <w:divId w:val="1697462111"/>
        <w:rPr>
          <w:sz w:val="20"/>
          <w:szCs w:val="20"/>
        </w:rPr>
      </w:pPr>
      <w:r>
        <w:rPr>
          <w:b/>
          <w:bCs/>
          <w:i/>
          <w:iCs/>
          <w:sz w:val="20"/>
          <w:szCs w:val="20"/>
        </w:rPr>
        <w:t>Impairment of long-lived assets and intangible assets subject to amortization, including ROU lease asse</w:t>
      </w:r>
      <w:r>
        <w:rPr>
          <w:b/>
          <w:bCs/>
          <w:i/>
          <w:iCs/>
          <w:sz w:val="20"/>
          <w:szCs w:val="20"/>
        </w:rPr>
        <w:t>t</w:t>
      </w:r>
      <w:r>
        <w:rPr>
          <w:sz w:val="20"/>
          <w:szCs w:val="20"/>
        </w:rPr>
        <w:t xml:space="preserve"> </w:t>
      </w:r>
    </w:p>
    <w:p w14:paraId="605537F7" w14:textId="77777777" w:rsidR="00000000" w:rsidRDefault="00EF48A2">
      <w:pPr>
        <w:pStyle w:val="a3"/>
        <w:spacing w:before="180" w:beforeAutospacing="0" w:after="0" w:afterAutospacing="0"/>
        <w:jc w:val="both"/>
        <w:divId w:val="1697462111"/>
        <w:rPr>
          <w:sz w:val="20"/>
          <w:szCs w:val="20"/>
        </w:rPr>
      </w:pPr>
      <w:r>
        <w:rPr>
          <w:sz w:val="20"/>
          <w:szCs w:val="20"/>
        </w:rPr>
        <w:t>Property and equipment, intangible assets subject to amortization and ROU lease assets are rev</w:t>
      </w:r>
      <w:r>
        <w:rPr>
          <w:sz w:val="20"/>
          <w:szCs w:val="20"/>
        </w:rPr>
        <w:t>iewed for impairment in accordance with ASC 360, “Accounting for the Impairment or Disposal of Long-Lived Assets”, whenever events or changes in circumstances indicate that the carrying amount of an asset group may not be recoverable. Recoverability of ass</w:t>
      </w:r>
      <w:r>
        <w:rPr>
          <w:sz w:val="20"/>
          <w:szCs w:val="20"/>
        </w:rPr>
        <w:t>ets to be held and used is measured by a comparison of the carrying amount of an asset to the future undiscounted cash flows expected to be generated by the assets. If such assets are considered to be impaired, the impairment to be recognized is measured b</w:t>
      </w:r>
      <w:r>
        <w:rPr>
          <w:sz w:val="20"/>
          <w:szCs w:val="20"/>
        </w:rPr>
        <w:t>y the amount by which the carrying amount of the assets exceeds the fair value of the assets.</w:t>
      </w:r>
      <w:r>
        <w:rPr>
          <w:sz w:val="20"/>
          <w:szCs w:val="20"/>
        </w:rPr>
        <w:t xml:space="preserve"> </w:t>
      </w:r>
      <w:r>
        <w:rPr>
          <w:sz w:val="20"/>
          <w:szCs w:val="20"/>
        </w:rPr>
        <w:t>N</w:t>
      </w:r>
      <w:r>
        <w:rPr>
          <w:sz w:val="20"/>
          <w:szCs w:val="20"/>
        </w:rPr>
        <w:t>o</w:t>
      </w:r>
      <w:r>
        <w:rPr>
          <w:sz w:val="20"/>
          <w:szCs w:val="20"/>
        </w:rPr>
        <w:t xml:space="preserve"> impairment losses were recorded during the years ended December 31, 2022, 2021 or 2020 for these assets</w:t>
      </w:r>
      <w:r>
        <w:rPr>
          <w:sz w:val="20"/>
          <w:szCs w:val="20"/>
        </w:rPr>
        <w:t>.</w:t>
      </w:r>
    </w:p>
    <w:p w14:paraId="4050ECA7" w14:textId="77777777" w:rsidR="00000000" w:rsidRDefault="00EF48A2">
      <w:pPr>
        <w:pStyle w:val="a3"/>
        <w:spacing w:before="0" w:beforeAutospacing="0" w:after="0" w:afterAutospacing="0"/>
        <w:divId w:val="1007291856"/>
        <w:rPr>
          <w:sz w:val="20"/>
          <w:szCs w:val="20"/>
        </w:rPr>
      </w:pPr>
      <w:r>
        <w:rPr>
          <w:sz w:val="20"/>
          <w:szCs w:val="20"/>
        </w:rPr>
        <w:t> </w:t>
      </w:r>
    </w:p>
    <w:p w14:paraId="7B93880C" w14:textId="77777777" w:rsidR="00000000" w:rsidRDefault="00EF48A2">
      <w:pPr>
        <w:pStyle w:val="a3"/>
        <w:spacing w:before="0" w:beforeAutospacing="0" w:after="0" w:afterAutospacing="0"/>
        <w:jc w:val="center"/>
        <w:divId w:val="1007291856"/>
        <w:rPr>
          <w:sz w:val="20"/>
          <w:szCs w:val="20"/>
        </w:rPr>
      </w:pPr>
      <w:r>
        <w:rPr>
          <w:sz w:val="20"/>
          <w:szCs w:val="20"/>
        </w:rPr>
        <w:t>6</w:t>
      </w:r>
      <w:r>
        <w:rPr>
          <w:sz w:val="20"/>
          <w:szCs w:val="20"/>
        </w:rPr>
        <w:t>6</w:t>
      </w:r>
    </w:p>
    <w:p w14:paraId="65D73C34" w14:textId="77777777" w:rsidR="00000000" w:rsidRDefault="00EF48A2">
      <w:pPr>
        <w:divId w:val="1007291856"/>
        <w:rPr>
          <w:rFonts w:eastAsia="Times New Roman"/>
          <w:sz w:val="20"/>
          <w:szCs w:val="20"/>
        </w:rPr>
      </w:pPr>
      <w:r>
        <w:rPr>
          <w:rFonts w:eastAsia="Times New Roman"/>
          <w:sz w:val="20"/>
          <w:szCs w:val="20"/>
        </w:rPr>
        <w:pict w14:anchorId="6AC0E0E6">
          <v:rect id="_x0000_i1093" style="width:0;height:1.5pt" o:hralign="center" o:hrstd="t" o:hr="t" fillcolor="#a0a0a0" stroked="f"/>
        </w:pict>
      </w:r>
    </w:p>
    <w:p w14:paraId="0D2D7CDF" w14:textId="77777777" w:rsidR="00000000" w:rsidRDefault="00EF48A2">
      <w:pPr>
        <w:pStyle w:val="a3"/>
        <w:spacing w:before="0" w:beforeAutospacing="0" w:after="0" w:afterAutospacing="0"/>
        <w:divId w:val="1007291856"/>
        <w:rPr>
          <w:sz w:val="20"/>
          <w:szCs w:val="20"/>
        </w:rPr>
      </w:pPr>
      <w:hyperlink w:anchor="toc_page" w:history="1">
        <w:r>
          <w:rPr>
            <w:rStyle w:val="a4"/>
            <w:sz w:val="20"/>
            <w:szCs w:val="20"/>
          </w:rPr>
          <w:t>Table of Content</w:t>
        </w:r>
        <w:r>
          <w:rPr>
            <w:rStyle w:val="a4"/>
            <w:sz w:val="20"/>
            <w:szCs w:val="20"/>
          </w:rPr>
          <w:t>s</w:t>
        </w:r>
      </w:hyperlink>
    </w:p>
    <w:p w14:paraId="251C32A8" w14:textId="77777777" w:rsidR="00000000" w:rsidRDefault="00EF48A2">
      <w:pPr>
        <w:pStyle w:val="a3"/>
        <w:spacing w:before="240" w:beforeAutospacing="0" w:after="0" w:afterAutospacing="0"/>
        <w:divId w:val="1578520229"/>
        <w:rPr>
          <w:sz w:val="20"/>
          <w:szCs w:val="20"/>
        </w:rPr>
      </w:pPr>
      <w:r>
        <w:rPr>
          <w:b/>
          <w:bCs/>
          <w:i/>
          <w:iCs/>
          <w:sz w:val="20"/>
          <w:szCs w:val="20"/>
        </w:rPr>
        <w:t>Revenue recognitio</w:t>
      </w:r>
      <w:r>
        <w:rPr>
          <w:b/>
          <w:bCs/>
          <w:i/>
          <w:iCs/>
          <w:sz w:val="20"/>
          <w:szCs w:val="20"/>
        </w:rPr>
        <w:t>n</w:t>
      </w:r>
      <w:r>
        <w:rPr>
          <w:sz w:val="20"/>
          <w:szCs w:val="20"/>
        </w:rPr>
        <w:t xml:space="preserve"> </w:t>
      </w:r>
    </w:p>
    <w:p w14:paraId="45D020FC" w14:textId="77777777" w:rsidR="00000000" w:rsidRDefault="00EF48A2">
      <w:pPr>
        <w:pStyle w:val="a3"/>
        <w:spacing w:before="180" w:beforeAutospacing="0" w:after="0" w:afterAutospacing="0"/>
        <w:jc w:val="both"/>
        <w:divId w:val="1578520229"/>
        <w:rPr>
          <w:sz w:val="20"/>
          <w:szCs w:val="20"/>
        </w:rPr>
      </w:pPr>
      <w:r>
        <w:rPr>
          <w:sz w:val="20"/>
          <w:szCs w:val="20"/>
        </w:rPr>
        <w:t>The Company recognizes revenue in accordance with ASC 606, “Revenue from Contracts with Customers”, when the Company satisfies its performance obligation to perform its defined contractual obligatio</w:t>
      </w:r>
      <w:r>
        <w:rPr>
          <w:sz w:val="20"/>
          <w:szCs w:val="20"/>
        </w:rPr>
        <w:t>ns to provide virtual behavioral healthcare services. Revenue is recognized in an amount that reflects the consideration that the Company will be entitled in exchange for the service rendered. To the extent the transaction price includes variable considera</w:t>
      </w:r>
      <w:r>
        <w:rPr>
          <w:sz w:val="20"/>
          <w:szCs w:val="20"/>
        </w:rPr>
        <w:t>tion, the Company estimates the amount of variable consideration that is included in the transaction price in accordance using the expected value method, as this method best predicts the amount of consideration to which the Company will be entitled based o</w:t>
      </w:r>
      <w:r>
        <w:rPr>
          <w:sz w:val="20"/>
          <w:szCs w:val="20"/>
        </w:rPr>
        <w:t>n the terms of its contracts. Variable consideration is included in the transaction price to the extent it is probable that a significant reversal of cumulative revenue recognized will not occur when the uncertainty associated with the variable considerati</w:t>
      </w:r>
      <w:r>
        <w:rPr>
          <w:sz w:val="20"/>
          <w:szCs w:val="20"/>
        </w:rPr>
        <w:t>on is subsequently resolved</w:t>
      </w:r>
      <w:r>
        <w:rPr>
          <w:sz w:val="20"/>
          <w:szCs w:val="20"/>
        </w:rPr>
        <w:t>.</w:t>
      </w:r>
    </w:p>
    <w:p w14:paraId="5C8E4819" w14:textId="77777777" w:rsidR="00000000" w:rsidRDefault="00EF48A2">
      <w:pPr>
        <w:pStyle w:val="a3"/>
        <w:spacing w:before="180" w:beforeAutospacing="0" w:after="0" w:afterAutospacing="0"/>
        <w:jc w:val="both"/>
        <w:divId w:val="1578520229"/>
        <w:rPr>
          <w:sz w:val="20"/>
          <w:szCs w:val="20"/>
        </w:rPr>
      </w:pPr>
      <w:r>
        <w:rPr>
          <w:sz w:val="20"/>
          <w:szCs w:val="20"/>
        </w:rPr>
        <w:t>The Company's revenue is generated from two revenue streams: B2B and B2C</w:t>
      </w:r>
      <w:r>
        <w:rPr>
          <w:sz w:val="20"/>
          <w:szCs w:val="20"/>
        </w:rPr>
        <w:t>.</w:t>
      </w:r>
    </w:p>
    <w:p w14:paraId="5970DE24" w14:textId="77777777" w:rsidR="00000000" w:rsidRDefault="00EF48A2">
      <w:pPr>
        <w:pStyle w:val="a3"/>
        <w:spacing w:before="180" w:beforeAutospacing="0" w:after="0" w:afterAutospacing="0"/>
        <w:jc w:val="both"/>
        <w:divId w:val="1578520229"/>
        <w:rPr>
          <w:sz w:val="20"/>
          <w:szCs w:val="20"/>
        </w:rPr>
      </w:pPr>
      <w:r>
        <w:rPr>
          <w:i/>
          <w:iCs/>
          <w:sz w:val="20"/>
          <w:szCs w:val="20"/>
        </w:rPr>
        <w:t>B2B Revenue -</w:t>
      </w:r>
      <w:r>
        <w:rPr>
          <w:i/>
          <w:iCs/>
          <w:sz w:val="20"/>
          <w:szCs w:val="20"/>
        </w:rPr>
        <w:t xml:space="preserve"> </w:t>
      </w:r>
      <w:r>
        <w:rPr>
          <w:sz w:val="20"/>
          <w:szCs w:val="20"/>
        </w:rPr>
        <w:t>Comprised of large enterprise clients and large health plans and employee assistance programs who offer their employees and insured members access to the Company's platform while their employer is under an active contract with Talkspace, or at in-network r</w:t>
      </w:r>
      <w:r>
        <w:rPr>
          <w:sz w:val="20"/>
          <w:szCs w:val="20"/>
        </w:rPr>
        <w:t>eimbursement rates, where applicable</w:t>
      </w:r>
      <w:r>
        <w:rPr>
          <w:sz w:val="20"/>
          <w:szCs w:val="20"/>
        </w:rPr>
        <w:t>.</w:t>
      </w:r>
    </w:p>
    <w:p w14:paraId="5A06FCF8" w14:textId="77777777" w:rsidR="00000000" w:rsidRDefault="00EF48A2">
      <w:pPr>
        <w:pStyle w:val="a3"/>
        <w:spacing w:before="180" w:beforeAutospacing="0" w:after="0" w:afterAutospacing="0"/>
        <w:jc w:val="both"/>
        <w:divId w:val="1578520229"/>
        <w:rPr>
          <w:sz w:val="20"/>
          <w:szCs w:val="20"/>
        </w:rPr>
      </w:pPr>
      <w:r>
        <w:rPr>
          <w:sz w:val="20"/>
          <w:szCs w:val="20"/>
        </w:rPr>
        <w:t xml:space="preserve">The Company contracts with enterprises to provide access to its therapist platform for their employees, primarily based on a per-member-per-month access fee model. Revenues from access fees are recognized ratably over </w:t>
      </w:r>
      <w:r>
        <w:rPr>
          <w:sz w:val="20"/>
          <w:szCs w:val="20"/>
        </w:rPr>
        <w:t xml:space="preserve">the contractual term. The majority of contracts with enterprise clients typically range in length from one to three years and are non-cancelable during the initial contractual term. Customers typically have the right to terminate their contracts for cause </w:t>
      </w:r>
      <w:r>
        <w:rPr>
          <w:sz w:val="20"/>
          <w:szCs w:val="20"/>
        </w:rPr>
        <w:t>if the Company fails to perform in accordance with the contractual terms</w:t>
      </w:r>
      <w:r>
        <w:rPr>
          <w:sz w:val="20"/>
          <w:szCs w:val="20"/>
        </w:rPr>
        <w:t>.</w:t>
      </w:r>
    </w:p>
    <w:p w14:paraId="59239387" w14:textId="77777777" w:rsidR="00000000" w:rsidRDefault="00EF48A2">
      <w:pPr>
        <w:pStyle w:val="a3"/>
        <w:spacing w:before="180" w:beforeAutospacing="0" w:after="0" w:afterAutospacing="0"/>
        <w:jc w:val="both"/>
        <w:divId w:val="1578520229"/>
        <w:rPr>
          <w:sz w:val="20"/>
          <w:szCs w:val="20"/>
        </w:rPr>
      </w:pPr>
      <w:r>
        <w:rPr>
          <w:sz w:val="20"/>
          <w:szCs w:val="20"/>
        </w:rPr>
        <w:t>The Company also contracts with health insurance plans and employee assistance (EAP) organizations ("insurance payors") to provide its therapy and psychiatry services to their eligib</w:t>
      </w:r>
      <w:r>
        <w:rPr>
          <w:sz w:val="20"/>
          <w:szCs w:val="20"/>
        </w:rPr>
        <w:t>le covered members. Revenue is recognized at a point in time, as virtual therapy or psychiatry session is rendered. The transaction price is determined based on contracted rates and includes variable consideration in the form of implicit price concessions.</w:t>
      </w:r>
      <w:r>
        <w:rPr>
          <w:sz w:val="20"/>
          <w:szCs w:val="20"/>
        </w:rPr>
        <w:t xml:space="preserve"> The Company determines the total transaction price, including an estimate of variable consideration, at contract inception and reassesses this estimate at each reporting date. The Company estimates the amount of variable consideration that is included in </w:t>
      </w:r>
      <w:r>
        <w:rPr>
          <w:sz w:val="20"/>
          <w:szCs w:val="20"/>
        </w:rPr>
        <w:t>the transaction price using the expected value method</w:t>
      </w:r>
      <w:r>
        <w:rPr>
          <w:sz w:val="20"/>
          <w:szCs w:val="20"/>
        </w:rPr>
        <w:t xml:space="preserve"> </w:t>
      </w:r>
      <w:r>
        <w:rPr>
          <w:sz w:val="20"/>
          <w:szCs w:val="20"/>
        </w:rPr>
        <w:t>primarily based on actual historical collection experience for each insurance payor over a twelve-month period. Revenue from health insurance plans and EAP organizations is presented net of implicit pri</w:t>
      </w:r>
      <w:r>
        <w:rPr>
          <w:sz w:val="20"/>
          <w:szCs w:val="20"/>
        </w:rPr>
        <w:t>ce concessions. Contracts with health insurance plans and EAP organizations include annual evergreen clauses and generally may be terminated by either party typically upon a minimum</w:t>
      </w:r>
      <w:r>
        <w:rPr>
          <w:sz w:val="20"/>
          <w:szCs w:val="20"/>
        </w:rPr>
        <w:t xml:space="preserve"> </w:t>
      </w:r>
      <w:r>
        <w:rPr>
          <w:sz w:val="20"/>
          <w:szCs w:val="20"/>
        </w:rPr>
        <w:t>6</w:t>
      </w:r>
      <w:r>
        <w:rPr>
          <w:sz w:val="20"/>
          <w:szCs w:val="20"/>
        </w:rPr>
        <w:t>0</w:t>
      </w:r>
      <w:r>
        <w:rPr>
          <w:sz w:val="20"/>
          <w:szCs w:val="20"/>
        </w:rPr>
        <w:t>-day advance notice</w:t>
      </w:r>
      <w:r>
        <w:rPr>
          <w:sz w:val="20"/>
          <w:szCs w:val="20"/>
        </w:rPr>
        <w:t>.</w:t>
      </w:r>
    </w:p>
    <w:p w14:paraId="44DF8F4A" w14:textId="77777777" w:rsidR="00000000" w:rsidRDefault="00EF48A2">
      <w:pPr>
        <w:pStyle w:val="a3"/>
        <w:spacing w:before="180" w:beforeAutospacing="0" w:after="0" w:afterAutospacing="0"/>
        <w:jc w:val="both"/>
        <w:divId w:val="1578520229"/>
        <w:rPr>
          <w:sz w:val="20"/>
          <w:szCs w:val="20"/>
        </w:rPr>
      </w:pPr>
      <w:r>
        <w:rPr>
          <w:i/>
          <w:iCs/>
          <w:sz w:val="20"/>
          <w:szCs w:val="20"/>
        </w:rPr>
        <w:t xml:space="preserve">B2C Revenue </w:t>
      </w:r>
      <w:r>
        <w:rPr>
          <w:i/>
          <w:iCs/>
          <w:sz w:val="20"/>
          <w:szCs w:val="20"/>
        </w:rPr>
        <w:t>-</w:t>
      </w:r>
      <w:r>
        <w:rPr>
          <w:sz w:val="20"/>
          <w:szCs w:val="20"/>
        </w:rPr>
        <w:t xml:space="preserve"> The Company generates revenues from t</w:t>
      </w:r>
      <w:r>
        <w:rPr>
          <w:sz w:val="20"/>
          <w:szCs w:val="20"/>
        </w:rPr>
        <w:t>he sale of monthly, quarterly, bi-annual and annual membership subscriptions to the Company's therapy platform as well as supplementary a la carte offerings directly to individual consumers through a subscription plan. The Company recognizes member subscri</w:t>
      </w:r>
      <w:r>
        <w:rPr>
          <w:sz w:val="20"/>
          <w:szCs w:val="20"/>
        </w:rPr>
        <w:t>ption revenues ratably over the subscription period, beginning when therapy services commence. The Company recognizes revenues from supplementary a la carte offerings at a point in time, as virtual therapy session is rendered. Members may cancel their subs</w:t>
      </w:r>
      <w:r>
        <w:rPr>
          <w:sz w:val="20"/>
          <w:szCs w:val="20"/>
        </w:rPr>
        <w:t>cription at any time and will receive a pro-rata refund for the subscription price</w:t>
      </w:r>
      <w:r>
        <w:rPr>
          <w:sz w:val="20"/>
          <w:szCs w:val="20"/>
        </w:rPr>
        <w:t>.</w:t>
      </w:r>
      <w:r>
        <w:rPr>
          <w:sz w:val="20"/>
          <w:szCs w:val="20"/>
        </w:rPr>
        <w:t xml:space="preserve"> </w:t>
      </w:r>
    </w:p>
    <w:p w14:paraId="4F88DD47" w14:textId="77777777" w:rsidR="00000000" w:rsidRDefault="00EF48A2">
      <w:pPr>
        <w:pStyle w:val="a3"/>
        <w:spacing w:before="180" w:beforeAutospacing="0" w:after="0" w:afterAutospacing="0"/>
        <w:jc w:val="both"/>
        <w:divId w:val="1578520229"/>
        <w:rPr>
          <w:sz w:val="20"/>
          <w:szCs w:val="20"/>
        </w:rPr>
      </w:pPr>
      <w:r>
        <w:rPr>
          <w:sz w:val="20"/>
          <w:szCs w:val="20"/>
        </w:rPr>
        <w:t>The transaction price from member subscription revenue and supplementary a la carte offerings includes variable consideration in the form of refunds. The Company estimates</w:t>
      </w:r>
      <w:r>
        <w:rPr>
          <w:sz w:val="20"/>
          <w:szCs w:val="20"/>
        </w:rPr>
        <w:t xml:space="preserve"> the refund liability for the variable consideration portion of the transaction price primarily based on historical experience. The refund liability is recorded within the “Accrued expenses and other current liabilities” line item in the consolidated balan</w:t>
      </w:r>
      <w:r>
        <w:rPr>
          <w:sz w:val="20"/>
          <w:szCs w:val="20"/>
        </w:rPr>
        <w:t>ce sheet. Revenue from individual consumers is presented net of refunds</w:t>
      </w:r>
      <w:r>
        <w:rPr>
          <w:sz w:val="20"/>
          <w:szCs w:val="20"/>
        </w:rPr>
        <w:t>.</w:t>
      </w:r>
    </w:p>
    <w:p w14:paraId="509DCD00" w14:textId="77777777" w:rsidR="00000000" w:rsidRDefault="00EF48A2">
      <w:pPr>
        <w:pStyle w:val="a3"/>
        <w:spacing w:before="240" w:beforeAutospacing="0" w:after="0" w:afterAutospacing="0"/>
        <w:divId w:val="1578520229"/>
        <w:rPr>
          <w:sz w:val="20"/>
          <w:szCs w:val="20"/>
        </w:rPr>
      </w:pPr>
      <w:r>
        <w:rPr>
          <w:b/>
          <w:bCs/>
          <w:i/>
          <w:iCs/>
          <w:sz w:val="20"/>
          <w:szCs w:val="20"/>
        </w:rPr>
        <w:t>Accounts Receivabl</w:t>
      </w:r>
      <w:r>
        <w:rPr>
          <w:b/>
          <w:bCs/>
          <w:i/>
          <w:iCs/>
          <w:sz w:val="20"/>
          <w:szCs w:val="20"/>
        </w:rPr>
        <w:t>e</w:t>
      </w:r>
      <w:r>
        <w:rPr>
          <w:b/>
          <w:bCs/>
          <w:i/>
          <w:iCs/>
          <w:sz w:val="20"/>
          <w:szCs w:val="20"/>
        </w:rPr>
        <w:t xml:space="preserve"> </w:t>
      </w:r>
    </w:p>
    <w:p w14:paraId="50CE5B88" w14:textId="77777777" w:rsidR="00000000" w:rsidRDefault="00EF48A2">
      <w:pPr>
        <w:pStyle w:val="a3"/>
        <w:spacing w:before="180" w:beforeAutospacing="0" w:after="0" w:afterAutospacing="0"/>
        <w:jc w:val="both"/>
        <w:divId w:val="1578520229"/>
        <w:rPr>
          <w:sz w:val="20"/>
          <w:szCs w:val="20"/>
        </w:rPr>
      </w:pPr>
      <w:r>
        <w:rPr>
          <w:sz w:val="20"/>
          <w:szCs w:val="20"/>
        </w:rPr>
        <w:t>Accounts receivables are stated net of credit losses allowance. The Company is exposed to credit losses primarily through its contracts with enterprise clients, h</w:t>
      </w:r>
      <w:r>
        <w:rPr>
          <w:sz w:val="20"/>
          <w:szCs w:val="20"/>
        </w:rPr>
        <w:t>ealth insurance plans and EAP organizations. The Company’s methodology is based on historical collection experience, customer creditworthiness, current and future economic condition and market condition. Additionally, specific allowance amounts are establi</w:t>
      </w:r>
      <w:r>
        <w:rPr>
          <w:sz w:val="20"/>
          <w:szCs w:val="20"/>
        </w:rPr>
        <w:t xml:space="preserve">shed to record the appropriate provision for customers that have a higher probability of default. Accounts receivables are written off after all reasonable means to collect the full amount have been exhausted. The allowance for credit losses is immaterial </w:t>
      </w:r>
      <w:r>
        <w:rPr>
          <w:sz w:val="20"/>
          <w:szCs w:val="20"/>
        </w:rPr>
        <w:t>for the years ended December 31, 2022 and 2021</w:t>
      </w:r>
      <w:r>
        <w:rPr>
          <w:sz w:val="20"/>
          <w:szCs w:val="20"/>
        </w:rPr>
        <w:t>.</w:t>
      </w:r>
    </w:p>
    <w:p w14:paraId="179A44C7" w14:textId="77777777" w:rsidR="00000000" w:rsidRDefault="00EF48A2">
      <w:pPr>
        <w:pStyle w:val="a3"/>
        <w:spacing w:before="0" w:beforeAutospacing="0" w:after="0" w:afterAutospacing="0"/>
        <w:divId w:val="1578520229"/>
        <w:rPr>
          <w:sz w:val="20"/>
          <w:szCs w:val="20"/>
        </w:rPr>
      </w:pPr>
      <w:r>
        <w:rPr>
          <w:sz w:val="20"/>
          <w:szCs w:val="20"/>
        </w:rPr>
        <w:t> </w:t>
      </w:r>
    </w:p>
    <w:p w14:paraId="144D4E01" w14:textId="77777777" w:rsidR="00000000" w:rsidRDefault="00EF48A2">
      <w:pPr>
        <w:pStyle w:val="a3"/>
        <w:spacing w:before="0" w:beforeAutospacing="0" w:after="0" w:afterAutospacing="0"/>
        <w:jc w:val="center"/>
        <w:divId w:val="1578520229"/>
        <w:rPr>
          <w:sz w:val="20"/>
          <w:szCs w:val="20"/>
        </w:rPr>
      </w:pPr>
      <w:r>
        <w:rPr>
          <w:sz w:val="20"/>
          <w:szCs w:val="20"/>
        </w:rPr>
        <w:t>6</w:t>
      </w:r>
      <w:r>
        <w:rPr>
          <w:sz w:val="20"/>
          <w:szCs w:val="20"/>
        </w:rPr>
        <w:t>7</w:t>
      </w:r>
    </w:p>
    <w:p w14:paraId="74B62951" w14:textId="77777777" w:rsidR="00000000" w:rsidRDefault="00EF48A2">
      <w:pPr>
        <w:divId w:val="1578520229"/>
        <w:rPr>
          <w:rFonts w:eastAsia="Times New Roman"/>
          <w:sz w:val="20"/>
          <w:szCs w:val="20"/>
        </w:rPr>
      </w:pPr>
      <w:r>
        <w:rPr>
          <w:rFonts w:eastAsia="Times New Roman"/>
          <w:sz w:val="20"/>
          <w:szCs w:val="20"/>
        </w:rPr>
        <w:pict w14:anchorId="0480BAC4">
          <v:rect id="_x0000_i1094" style="width:0;height:1.5pt" o:hralign="center" o:hrstd="t" o:hr="t" fillcolor="#a0a0a0" stroked="f"/>
        </w:pict>
      </w:r>
    </w:p>
    <w:p w14:paraId="0B5C0808" w14:textId="77777777" w:rsidR="00000000" w:rsidRDefault="00EF48A2">
      <w:pPr>
        <w:pStyle w:val="a3"/>
        <w:spacing w:before="0" w:beforeAutospacing="0" w:after="0" w:afterAutospacing="0"/>
        <w:divId w:val="1578520229"/>
        <w:rPr>
          <w:sz w:val="20"/>
          <w:szCs w:val="20"/>
        </w:rPr>
      </w:pPr>
      <w:hyperlink w:anchor="toc_page" w:history="1">
        <w:r>
          <w:rPr>
            <w:rStyle w:val="a4"/>
            <w:sz w:val="20"/>
            <w:szCs w:val="20"/>
          </w:rPr>
          <w:t>Table of Content</w:t>
        </w:r>
        <w:r>
          <w:rPr>
            <w:rStyle w:val="a4"/>
            <w:sz w:val="20"/>
            <w:szCs w:val="20"/>
          </w:rPr>
          <w:t>s</w:t>
        </w:r>
      </w:hyperlink>
    </w:p>
    <w:p w14:paraId="64ACDB45" w14:textId="77777777" w:rsidR="00000000" w:rsidRDefault="00EF48A2">
      <w:pPr>
        <w:pStyle w:val="a3"/>
        <w:spacing w:before="240" w:beforeAutospacing="0" w:after="0" w:afterAutospacing="0"/>
        <w:divId w:val="1578520229"/>
        <w:rPr>
          <w:sz w:val="20"/>
          <w:szCs w:val="20"/>
        </w:rPr>
      </w:pPr>
      <w:r>
        <w:rPr>
          <w:b/>
          <w:bCs/>
          <w:i/>
          <w:iCs/>
          <w:sz w:val="20"/>
          <w:szCs w:val="20"/>
        </w:rPr>
        <w:t>Deferred Revenu</w:t>
      </w:r>
      <w:r>
        <w:rPr>
          <w:b/>
          <w:bCs/>
          <w:i/>
          <w:iCs/>
          <w:sz w:val="20"/>
          <w:szCs w:val="20"/>
        </w:rPr>
        <w:t>e</w:t>
      </w:r>
    </w:p>
    <w:p w14:paraId="5664C107" w14:textId="77777777" w:rsidR="00000000" w:rsidRDefault="00EF48A2">
      <w:pPr>
        <w:pStyle w:val="a3"/>
        <w:spacing w:before="180" w:beforeAutospacing="0" w:after="0" w:afterAutospacing="0"/>
        <w:jc w:val="both"/>
        <w:divId w:val="1578520229"/>
        <w:rPr>
          <w:sz w:val="20"/>
          <w:szCs w:val="20"/>
        </w:rPr>
      </w:pPr>
      <w:r>
        <w:rPr>
          <w:sz w:val="20"/>
          <w:szCs w:val="20"/>
        </w:rPr>
        <w:t>The Company records deferred revenues when cash payments from customers are received in advance of t</w:t>
      </w:r>
      <w:r>
        <w:rPr>
          <w:sz w:val="20"/>
          <w:szCs w:val="20"/>
        </w:rPr>
        <w:t>he Company's performance obligations to provide services. The Company recognizes deferred revenues as revenues in the statement of operations once the related performance obligations have been performed and satisfied. Deferred revenue that will be recogniz</w:t>
      </w:r>
      <w:r>
        <w:rPr>
          <w:sz w:val="20"/>
          <w:szCs w:val="20"/>
        </w:rPr>
        <w:t>ed during the succeeding twelve-month period is recorded as a current liability and the remaining portion is recorded as a noncurrent liability on the consolidated balance sheet. The Company expects to satisfy the majority of its performance obligations as</w:t>
      </w:r>
      <w:r>
        <w:rPr>
          <w:sz w:val="20"/>
          <w:szCs w:val="20"/>
        </w:rPr>
        <w:t>sociated with deferred revenue within one year or less</w:t>
      </w:r>
      <w:r>
        <w:rPr>
          <w:sz w:val="20"/>
          <w:szCs w:val="20"/>
        </w:rPr>
        <w:t>.</w:t>
      </w:r>
    </w:p>
    <w:p w14:paraId="724E1703" w14:textId="77777777" w:rsidR="00000000" w:rsidRDefault="00EF48A2">
      <w:pPr>
        <w:pStyle w:val="a3"/>
        <w:spacing w:before="240" w:beforeAutospacing="0" w:after="0" w:afterAutospacing="0"/>
        <w:jc w:val="both"/>
        <w:divId w:val="1107504393"/>
        <w:rPr>
          <w:sz w:val="20"/>
          <w:szCs w:val="20"/>
        </w:rPr>
      </w:pPr>
      <w:r>
        <w:rPr>
          <w:b/>
          <w:bCs/>
          <w:i/>
          <w:iCs/>
          <w:sz w:val="20"/>
          <w:szCs w:val="20"/>
        </w:rPr>
        <w:t>Stock-based compensatio</w:t>
      </w:r>
      <w:r>
        <w:rPr>
          <w:b/>
          <w:bCs/>
          <w:i/>
          <w:iCs/>
          <w:sz w:val="20"/>
          <w:szCs w:val="20"/>
        </w:rPr>
        <w:t>n</w:t>
      </w:r>
      <w:r>
        <w:rPr>
          <w:b/>
          <w:bCs/>
          <w:i/>
          <w:iCs/>
          <w:sz w:val="20"/>
          <w:szCs w:val="20"/>
        </w:rPr>
        <w:t xml:space="preserve"> </w:t>
      </w:r>
    </w:p>
    <w:p w14:paraId="38D5B664" w14:textId="77777777" w:rsidR="00000000" w:rsidRDefault="00EF48A2">
      <w:pPr>
        <w:pStyle w:val="a3"/>
        <w:spacing w:before="180" w:beforeAutospacing="0" w:after="0" w:afterAutospacing="0"/>
        <w:jc w:val="both"/>
        <w:divId w:val="1107504393"/>
        <w:rPr>
          <w:sz w:val="20"/>
          <w:szCs w:val="20"/>
        </w:rPr>
      </w:pPr>
      <w:r>
        <w:rPr>
          <w:sz w:val="20"/>
          <w:szCs w:val="20"/>
        </w:rPr>
        <w:t>The Company accounts for stock-based compensation in accordance with ASC 718, “Compensation - Stock Compensation”. Compensation cost for share-based awards is measured at the</w:t>
      </w:r>
      <w:r>
        <w:rPr>
          <w:sz w:val="20"/>
          <w:szCs w:val="20"/>
        </w:rPr>
        <w:t xml:space="preserve"> fair value on the grant date and recognized as expense using the straight-line method for service-based awards over the requisite service period. The Company recognizes forfeitures of awards as they occur</w:t>
      </w:r>
      <w:r>
        <w:rPr>
          <w:sz w:val="20"/>
          <w:szCs w:val="20"/>
        </w:rPr>
        <w:t>.</w:t>
      </w:r>
      <w:r>
        <w:rPr>
          <w:sz w:val="20"/>
          <w:szCs w:val="20"/>
        </w:rPr>
        <w:t xml:space="preserve"> </w:t>
      </w:r>
    </w:p>
    <w:p w14:paraId="79C2EE2B" w14:textId="77777777" w:rsidR="00000000" w:rsidRDefault="00EF48A2">
      <w:pPr>
        <w:pStyle w:val="a3"/>
        <w:spacing w:before="180" w:beforeAutospacing="0" w:after="0" w:afterAutospacing="0"/>
        <w:jc w:val="both"/>
        <w:divId w:val="1107504393"/>
        <w:rPr>
          <w:sz w:val="20"/>
          <w:szCs w:val="20"/>
        </w:rPr>
      </w:pPr>
      <w:r>
        <w:rPr>
          <w:sz w:val="20"/>
          <w:szCs w:val="20"/>
        </w:rPr>
        <w:t>The fair value of restricted stock units is meas</w:t>
      </w:r>
      <w:r>
        <w:rPr>
          <w:sz w:val="20"/>
          <w:szCs w:val="20"/>
        </w:rPr>
        <w:t xml:space="preserve">ured as the grant-date closing price of the Company’s common stock. The fair value of stock options is determined using the Black-Scholes-Merton option pricing model. The option-pricing model requires a number of assumptions, of which the most significant </w:t>
      </w:r>
      <w:r>
        <w:rPr>
          <w:sz w:val="20"/>
          <w:szCs w:val="20"/>
        </w:rPr>
        <w:t xml:space="preserve">are the expected stock price volatility and the expected option term. Expected volatility was calculated based upon the Company's historical share price movements as well as similar traded companies’ historical share price movements as adequate historical </w:t>
      </w:r>
      <w:r>
        <w:rPr>
          <w:sz w:val="20"/>
          <w:szCs w:val="20"/>
        </w:rPr>
        <w:t>experience is not available to provide a reasonable estimate based only on the Company's share price. Expected term is calculated based on the simplified method as adequate historical experience is not available to provide a reasonable estimate. The simpli</w:t>
      </w:r>
      <w:r>
        <w:rPr>
          <w:sz w:val="20"/>
          <w:szCs w:val="20"/>
        </w:rPr>
        <w:t>fied method will continue to apply until enough historical experience is available to provide a reasonable estimate of the expected term. The risk-free interest rate is calculated based on the yield from U.S. Treasury zero-coupon bonds with an equivalent t</w:t>
      </w:r>
      <w:r>
        <w:rPr>
          <w:sz w:val="20"/>
          <w:szCs w:val="20"/>
        </w:rPr>
        <w:t>erm. The Company has historically not paid dividends and have no foreseeable plans to pay dividends</w:t>
      </w:r>
      <w:r>
        <w:rPr>
          <w:sz w:val="20"/>
          <w:szCs w:val="20"/>
        </w:rPr>
        <w:t>.</w:t>
      </w:r>
    </w:p>
    <w:p w14:paraId="4637F1A4" w14:textId="77777777" w:rsidR="00000000" w:rsidRDefault="00EF48A2">
      <w:pPr>
        <w:pStyle w:val="a3"/>
        <w:spacing w:before="240" w:beforeAutospacing="0" w:after="0" w:afterAutospacing="0"/>
        <w:jc w:val="both"/>
        <w:divId w:val="1107504393"/>
        <w:rPr>
          <w:sz w:val="20"/>
          <w:szCs w:val="20"/>
        </w:rPr>
      </w:pPr>
      <w:r>
        <w:rPr>
          <w:b/>
          <w:bCs/>
          <w:i/>
          <w:iCs/>
          <w:sz w:val="20"/>
          <w:szCs w:val="20"/>
        </w:rPr>
        <w:t>Determination of Fair Value of our Common Stock prior to the Business Combinatio</w:t>
      </w:r>
      <w:r>
        <w:rPr>
          <w:b/>
          <w:bCs/>
          <w:i/>
          <w:iCs/>
          <w:sz w:val="20"/>
          <w:szCs w:val="20"/>
        </w:rPr>
        <w:t>n</w:t>
      </w:r>
    </w:p>
    <w:p w14:paraId="6B3DEA88" w14:textId="77777777" w:rsidR="00000000" w:rsidRDefault="00EF48A2">
      <w:pPr>
        <w:pStyle w:val="a3"/>
        <w:spacing w:before="180" w:beforeAutospacing="0" w:after="0" w:afterAutospacing="0"/>
        <w:jc w:val="both"/>
        <w:divId w:val="1107504393"/>
        <w:rPr>
          <w:sz w:val="20"/>
          <w:szCs w:val="20"/>
        </w:rPr>
      </w:pPr>
      <w:r>
        <w:rPr>
          <w:sz w:val="20"/>
          <w:szCs w:val="20"/>
        </w:rPr>
        <w:t>Due to the absence of an active market for our shares of common stock pri</w:t>
      </w:r>
      <w:r>
        <w:rPr>
          <w:sz w:val="20"/>
          <w:szCs w:val="20"/>
        </w:rPr>
        <w:t xml:space="preserve">or to the Business Combination, the grant-date fair market value of the common shares underlying stock options was historically determined by management and approved by the Company’s board of directors. Because there was no public market for the Company’s </w:t>
      </w:r>
      <w:r>
        <w:rPr>
          <w:sz w:val="20"/>
          <w:szCs w:val="20"/>
        </w:rPr>
        <w:t xml:space="preserve">common shares, the Board of Directors exercised reasonable judgment and considered a number of objective and subjective factors to determine the best estimate of the fair market value, which included important developments in the Company’s operations, the </w:t>
      </w:r>
      <w:r>
        <w:rPr>
          <w:sz w:val="20"/>
          <w:szCs w:val="20"/>
        </w:rPr>
        <w:t>prices at which the Company sold shares of its convertible preferred shares, the rights, preferences and privileges of the Company’s convertible preferred shares relative to those of the Company’s common shares, actual operating results, financial performa</w:t>
      </w:r>
      <w:r>
        <w:rPr>
          <w:sz w:val="20"/>
          <w:szCs w:val="20"/>
        </w:rPr>
        <w:t>nce and the lack of marketability of the Company’s common shares</w:t>
      </w:r>
      <w:r>
        <w:rPr>
          <w:sz w:val="20"/>
          <w:szCs w:val="20"/>
        </w:rPr>
        <w:t>.</w:t>
      </w:r>
    </w:p>
    <w:p w14:paraId="415B47F6" w14:textId="77777777" w:rsidR="00000000" w:rsidRDefault="00EF48A2">
      <w:pPr>
        <w:pStyle w:val="a3"/>
        <w:spacing w:before="240" w:beforeAutospacing="0" w:after="0" w:afterAutospacing="0"/>
        <w:jc w:val="both"/>
        <w:divId w:val="1107504393"/>
        <w:rPr>
          <w:sz w:val="20"/>
          <w:szCs w:val="20"/>
        </w:rPr>
      </w:pPr>
      <w:r>
        <w:rPr>
          <w:b/>
          <w:bCs/>
          <w:i/>
          <w:iCs/>
          <w:sz w:val="20"/>
          <w:szCs w:val="20"/>
        </w:rPr>
        <w:t>Employee Benefit Pla</w:t>
      </w:r>
      <w:r>
        <w:rPr>
          <w:b/>
          <w:bCs/>
          <w:i/>
          <w:iCs/>
          <w:sz w:val="20"/>
          <w:szCs w:val="20"/>
        </w:rPr>
        <w:t>n</w:t>
      </w:r>
    </w:p>
    <w:p w14:paraId="65E47936" w14:textId="77777777" w:rsidR="00000000" w:rsidRDefault="00EF48A2">
      <w:pPr>
        <w:pStyle w:val="a3"/>
        <w:spacing w:before="180" w:beforeAutospacing="0" w:after="0" w:afterAutospacing="0"/>
        <w:jc w:val="both"/>
        <w:divId w:val="1107504393"/>
        <w:rPr>
          <w:sz w:val="20"/>
          <w:szCs w:val="20"/>
        </w:rPr>
      </w:pPr>
      <w:r>
        <w:rPr>
          <w:sz w:val="20"/>
          <w:szCs w:val="20"/>
        </w:rPr>
        <w:t xml:space="preserve">The Company has established a 401(k) plan that qualifies as a deferred compensation arrangement under Section 401 of the Internal Revenue Code. All U.S. employees over </w:t>
      </w:r>
      <w:r>
        <w:rPr>
          <w:sz w:val="20"/>
          <w:szCs w:val="20"/>
        </w:rPr>
        <w:t>the age of</w:t>
      </w:r>
      <w:r>
        <w:rPr>
          <w:sz w:val="20"/>
          <w:szCs w:val="20"/>
        </w:rPr>
        <w:t xml:space="preserve"> </w:t>
      </w:r>
      <w:r>
        <w:rPr>
          <w:sz w:val="20"/>
          <w:szCs w:val="20"/>
        </w:rPr>
        <w:t>2</w:t>
      </w:r>
      <w:r>
        <w:rPr>
          <w:sz w:val="20"/>
          <w:szCs w:val="20"/>
        </w:rPr>
        <w:t>1</w:t>
      </w:r>
      <w:r>
        <w:rPr>
          <w:sz w:val="20"/>
          <w:szCs w:val="20"/>
        </w:rPr>
        <w:t xml:space="preserve"> are eligible to participate in the plan. The Company contributes</w:t>
      </w:r>
      <w:r>
        <w:rPr>
          <w:sz w:val="20"/>
          <w:szCs w:val="20"/>
        </w:rPr>
        <w:t xml:space="preserve"> </w:t>
      </w:r>
      <w:r>
        <w:rPr>
          <w:sz w:val="20"/>
          <w:szCs w:val="20"/>
        </w:rPr>
        <w:t>10</w:t>
      </w:r>
      <w:r>
        <w:rPr>
          <w:sz w:val="20"/>
          <w:szCs w:val="20"/>
        </w:rPr>
        <w:t>0</w:t>
      </w:r>
      <w:r>
        <w:rPr>
          <w:sz w:val="20"/>
          <w:szCs w:val="20"/>
        </w:rPr>
        <w:t>% of eligible employee’s elective deferral up to</w:t>
      </w:r>
      <w:r>
        <w:rPr>
          <w:sz w:val="20"/>
          <w:szCs w:val="20"/>
        </w:rPr>
        <w:t xml:space="preserve"> </w:t>
      </w:r>
      <w:r>
        <w:rPr>
          <w:sz w:val="20"/>
          <w:szCs w:val="20"/>
        </w:rPr>
        <w:t>4</w:t>
      </w:r>
      <w:r>
        <w:rPr>
          <w:sz w:val="20"/>
          <w:szCs w:val="20"/>
        </w:rPr>
        <w:t>% of eligible earnings. The Company's matching contributions to participants’ accounts were immaterial for the years ended D</w:t>
      </w:r>
      <w:r>
        <w:rPr>
          <w:sz w:val="20"/>
          <w:szCs w:val="20"/>
        </w:rPr>
        <w:t>ecember 31, 2022, 2021 and 2020, respectively</w:t>
      </w:r>
      <w:r>
        <w:rPr>
          <w:sz w:val="20"/>
          <w:szCs w:val="20"/>
        </w:rPr>
        <w:t>.</w:t>
      </w:r>
    </w:p>
    <w:p w14:paraId="090B0C73" w14:textId="77777777" w:rsidR="00000000" w:rsidRDefault="00EF48A2">
      <w:pPr>
        <w:pStyle w:val="a3"/>
        <w:spacing w:before="180" w:beforeAutospacing="0" w:after="0" w:afterAutospacing="0"/>
        <w:jc w:val="both"/>
        <w:divId w:val="1321347775"/>
        <w:rPr>
          <w:sz w:val="20"/>
          <w:szCs w:val="20"/>
        </w:rPr>
      </w:pPr>
      <w:r>
        <w:rPr>
          <w:b/>
          <w:bCs/>
          <w:i/>
          <w:iCs/>
          <w:sz w:val="20"/>
          <w:szCs w:val="20"/>
        </w:rPr>
        <w:t>Fair value of financial instrument</w:t>
      </w:r>
      <w:r>
        <w:rPr>
          <w:b/>
          <w:bCs/>
          <w:i/>
          <w:iCs/>
          <w:sz w:val="20"/>
          <w:szCs w:val="20"/>
        </w:rPr>
        <w:t>s</w:t>
      </w:r>
    </w:p>
    <w:p w14:paraId="07E9469C" w14:textId="77777777" w:rsidR="00000000" w:rsidRDefault="00EF48A2">
      <w:pPr>
        <w:pStyle w:val="a3"/>
        <w:spacing w:before="180" w:beforeAutospacing="0" w:after="0" w:afterAutospacing="0"/>
        <w:jc w:val="both"/>
        <w:divId w:val="1321347775"/>
        <w:rPr>
          <w:sz w:val="20"/>
          <w:szCs w:val="20"/>
        </w:rPr>
      </w:pPr>
      <w:r>
        <w:rPr>
          <w:sz w:val="20"/>
          <w:szCs w:val="20"/>
        </w:rPr>
        <w:t>The Company applies ASC 820, “Fair Value Measurements and Disclosures”. Under this standard, fair value is defined as the price that would be received to sell an asset or pa</w:t>
      </w:r>
      <w:r>
        <w:rPr>
          <w:sz w:val="20"/>
          <w:szCs w:val="20"/>
        </w:rPr>
        <w:t>id to transfer a liability (i.e., the “exit price”) in an orderly transaction between market participants at the measurement date</w:t>
      </w:r>
      <w:r>
        <w:rPr>
          <w:sz w:val="20"/>
          <w:szCs w:val="20"/>
        </w:rPr>
        <w:t>.</w:t>
      </w:r>
      <w:r>
        <w:rPr>
          <w:sz w:val="20"/>
          <w:szCs w:val="20"/>
        </w:rPr>
        <w:t xml:space="preserve"> </w:t>
      </w:r>
    </w:p>
    <w:p w14:paraId="1B46964E" w14:textId="77777777" w:rsidR="00000000" w:rsidRDefault="00EF48A2">
      <w:pPr>
        <w:pStyle w:val="a3"/>
        <w:spacing w:before="180" w:beforeAutospacing="0" w:after="0" w:afterAutospacing="0"/>
        <w:jc w:val="both"/>
        <w:divId w:val="1321347775"/>
        <w:rPr>
          <w:sz w:val="20"/>
          <w:szCs w:val="20"/>
        </w:rPr>
      </w:pPr>
      <w:r>
        <w:rPr>
          <w:sz w:val="20"/>
          <w:szCs w:val="20"/>
        </w:rPr>
        <w:t>In determining fair value, the Company uses various valuation approaches. ASC 820 establishes a hierarchy for inputs used in</w:t>
      </w:r>
      <w:r>
        <w:rPr>
          <w:sz w:val="20"/>
          <w:szCs w:val="20"/>
        </w:rPr>
        <w:t xml:space="preserve"> measuring fair value that maximizes the use of observable inputs and minimizes the use of unobservable inputs by requiring that the most observable inputs be used when available. Observable inputs are inputs that market participants would use in pricing t</w:t>
      </w:r>
      <w:r>
        <w:rPr>
          <w:sz w:val="20"/>
          <w:szCs w:val="20"/>
        </w:rPr>
        <w:t>he asset or liability developed based on market data obtained from sources independent of the Company. Unobservable inputs are inputs used to measure fair value to the extent that relevant observable inputs are not available. An entity develop</w:t>
      </w:r>
      <w:r>
        <w:rPr>
          <w:sz w:val="20"/>
          <w:szCs w:val="20"/>
        </w:rPr>
        <w:t>s</w:t>
      </w:r>
      <w:r>
        <w:rPr>
          <w:sz w:val="20"/>
          <w:szCs w:val="20"/>
        </w:rPr>
        <w:t xml:space="preserve"> </w:t>
      </w:r>
    </w:p>
    <w:p w14:paraId="7E00FAAF" w14:textId="77777777" w:rsidR="00000000" w:rsidRDefault="00EF48A2">
      <w:pPr>
        <w:pStyle w:val="a3"/>
        <w:spacing w:before="0" w:beforeAutospacing="0" w:after="0" w:afterAutospacing="0"/>
        <w:jc w:val="center"/>
        <w:divId w:val="1321347775"/>
        <w:rPr>
          <w:sz w:val="20"/>
          <w:szCs w:val="20"/>
        </w:rPr>
      </w:pPr>
      <w:r>
        <w:rPr>
          <w:sz w:val="20"/>
          <w:szCs w:val="20"/>
        </w:rPr>
        <w:t>6</w:t>
      </w:r>
      <w:r>
        <w:rPr>
          <w:sz w:val="20"/>
          <w:szCs w:val="20"/>
        </w:rPr>
        <w:t>8</w:t>
      </w:r>
    </w:p>
    <w:p w14:paraId="069E0F4D" w14:textId="77777777" w:rsidR="00000000" w:rsidRDefault="00EF48A2">
      <w:pPr>
        <w:divId w:val="1321347775"/>
        <w:rPr>
          <w:rFonts w:eastAsia="Times New Roman"/>
          <w:sz w:val="20"/>
          <w:szCs w:val="20"/>
        </w:rPr>
      </w:pPr>
      <w:r>
        <w:rPr>
          <w:rFonts w:eastAsia="Times New Roman"/>
          <w:sz w:val="20"/>
          <w:szCs w:val="20"/>
        </w:rPr>
        <w:pict w14:anchorId="59899132">
          <v:rect id="_x0000_i1095" style="width:0;height:1.5pt" o:hralign="center" o:hrstd="t" o:hr="t" fillcolor="#a0a0a0" stroked="f"/>
        </w:pict>
      </w:r>
    </w:p>
    <w:p w14:paraId="78BDBD09" w14:textId="77777777" w:rsidR="00000000" w:rsidRDefault="00EF48A2">
      <w:pPr>
        <w:pStyle w:val="a3"/>
        <w:spacing w:before="0" w:beforeAutospacing="0" w:after="0" w:afterAutospacing="0"/>
        <w:divId w:val="1321347775"/>
        <w:rPr>
          <w:sz w:val="20"/>
          <w:szCs w:val="20"/>
        </w:rPr>
      </w:pPr>
      <w:hyperlink w:anchor="toc_page" w:history="1">
        <w:r>
          <w:rPr>
            <w:rStyle w:val="a4"/>
            <w:sz w:val="20"/>
            <w:szCs w:val="20"/>
          </w:rPr>
          <w:t>Table of Content</w:t>
        </w:r>
        <w:r>
          <w:rPr>
            <w:rStyle w:val="a4"/>
            <w:sz w:val="20"/>
            <w:szCs w:val="20"/>
          </w:rPr>
          <w:t>s</w:t>
        </w:r>
      </w:hyperlink>
    </w:p>
    <w:p w14:paraId="2209E7B9" w14:textId="77777777" w:rsidR="00000000" w:rsidRDefault="00EF48A2">
      <w:pPr>
        <w:pStyle w:val="a3"/>
        <w:spacing w:before="180" w:beforeAutospacing="0" w:after="0" w:afterAutospacing="0"/>
        <w:jc w:val="both"/>
        <w:divId w:val="1321347775"/>
        <w:rPr>
          <w:sz w:val="20"/>
          <w:szCs w:val="20"/>
        </w:rPr>
      </w:pPr>
      <w:r>
        <w:rPr>
          <w:sz w:val="20"/>
          <w:szCs w:val="20"/>
        </w:rPr>
        <w:t>unobservable inputs using the best information available in the circumstances, which might include the entity's own data, taking into account all information about market participant assumptions that is reasonably available</w:t>
      </w:r>
      <w:r>
        <w:rPr>
          <w:sz w:val="20"/>
          <w:szCs w:val="20"/>
        </w:rPr>
        <w:t>.</w:t>
      </w:r>
    </w:p>
    <w:p w14:paraId="710B7BF2" w14:textId="77777777" w:rsidR="00000000" w:rsidRDefault="00EF48A2">
      <w:pPr>
        <w:pStyle w:val="a3"/>
        <w:spacing w:before="180" w:beforeAutospacing="0" w:after="0" w:afterAutospacing="0"/>
        <w:jc w:val="both"/>
        <w:divId w:val="1321347775"/>
        <w:rPr>
          <w:sz w:val="20"/>
          <w:szCs w:val="20"/>
        </w:rPr>
      </w:pPr>
      <w:r>
        <w:rPr>
          <w:sz w:val="20"/>
          <w:szCs w:val="20"/>
        </w:rPr>
        <w:t>Three levels of inputs may be u</w:t>
      </w:r>
      <w:r>
        <w:rPr>
          <w:sz w:val="20"/>
          <w:szCs w:val="20"/>
        </w:rPr>
        <w:t>sed to measure fair value</w:t>
      </w:r>
      <w:r>
        <w:rPr>
          <w:sz w:val="20"/>
          <w:szCs w:val="20"/>
        </w:rPr>
        <w:t>:</w:t>
      </w:r>
    </w:p>
    <w:p w14:paraId="609EE7A7" w14:textId="77777777" w:rsidR="00000000" w:rsidRDefault="00EF48A2">
      <w:pPr>
        <w:pStyle w:val="a3"/>
        <w:spacing w:before="120" w:beforeAutospacing="0" w:after="0" w:afterAutospacing="0"/>
        <w:ind w:left="357"/>
        <w:jc w:val="both"/>
        <w:divId w:val="1321347775"/>
        <w:rPr>
          <w:sz w:val="20"/>
          <w:szCs w:val="20"/>
        </w:rPr>
      </w:pPr>
      <w:r>
        <w:rPr>
          <w:sz w:val="20"/>
          <w:szCs w:val="20"/>
        </w:rPr>
        <w:t>Level 1: Quoted prices in active markets for identical assets or liabilities</w:t>
      </w:r>
      <w:r>
        <w:rPr>
          <w:sz w:val="20"/>
          <w:szCs w:val="20"/>
        </w:rPr>
        <w:t>.</w:t>
      </w:r>
    </w:p>
    <w:p w14:paraId="4B29CB82" w14:textId="77777777" w:rsidR="00000000" w:rsidRDefault="00EF48A2">
      <w:pPr>
        <w:pStyle w:val="a3"/>
        <w:spacing w:before="120" w:beforeAutospacing="0" w:after="0" w:afterAutospacing="0"/>
        <w:ind w:left="357"/>
        <w:jc w:val="both"/>
        <w:divId w:val="1321347775"/>
        <w:rPr>
          <w:sz w:val="20"/>
          <w:szCs w:val="20"/>
        </w:rPr>
      </w:pPr>
      <w:r>
        <w:rPr>
          <w:sz w:val="20"/>
          <w:szCs w:val="20"/>
        </w:rPr>
        <w:t>Level 2: Observable inputs other than Level 1 prices such as quoted prices for similar assets of liabilities; quoted prices in markets that are not act</w:t>
      </w:r>
      <w:r>
        <w:rPr>
          <w:sz w:val="20"/>
          <w:szCs w:val="20"/>
        </w:rPr>
        <w:t>ive; or other inputs that are observable or can be corroborated by observable market data for substantially the full term of the assets or liabilities</w:t>
      </w:r>
      <w:r>
        <w:rPr>
          <w:sz w:val="20"/>
          <w:szCs w:val="20"/>
        </w:rPr>
        <w:t>.</w:t>
      </w:r>
    </w:p>
    <w:p w14:paraId="1D710BE7" w14:textId="77777777" w:rsidR="00000000" w:rsidRDefault="00EF48A2">
      <w:pPr>
        <w:pStyle w:val="a3"/>
        <w:spacing w:before="120" w:beforeAutospacing="0" w:after="0" w:afterAutospacing="0"/>
        <w:ind w:left="357"/>
        <w:jc w:val="both"/>
        <w:divId w:val="1321347775"/>
        <w:rPr>
          <w:sz w:val="20"/>
          <w:szCs w:val="20"/>
        </w:rPr>
      </w:pPr>
      <w:r>
        <w:rPr>
          <w:sz w:val="20"/>
          <w:szCs w:val="20"/>
        </w:rPr>
        <w:t>Level 3: Unobservable inputs that are supported by little or no market activity and that are significant</w:t>
      </w:r>
      <w:r>
        <w:rPr>
          <w:sz w:val="20"/>
          <w:szCs w:val="20"/>
        </w:rPr>
        <w:t xml:space="preserve"> to the fair value of the assets or liabilities</w:t>
      </w:r>
      <w:r>
        <w:rPr>
          <w:sz w:val="20"/>
          <w:szCs w:val="20"/>
        </w:rPr>
        <w:t>.</w:t>
      </w:r>
    </w:p>
    <w:p w14:paraId="14E24FF2" w14:textId="77777777" w:rsidR="00000000" w:rsidRDefault="00EF48A2">
      <w:pPr>
        <w:pStyle w:val="a3"/>
        <w:spacing w:before="180" w:beforeAutospacing="0" w:after="0" w:afterAutospacing="0"/>
        <w:jc w:val="both"/>
        <w:divId w:val="1321347775"/>
        <w:rPr>
          <w:sz w:val="20"/>
          <w:szCs w:val="20"/>
        </w:rPr>
      </w:pPr>
      <w:r>
        <w:rPr>
          <w:sz w:val="20"/>
          <w:szCs w:val="20"/>
        </w:rPr>
        <w:t>The fair value hierarchy also requires an entity to maximize the use of observable inputs and minimize the use of unobservable inputs when measuring fair value</w:t>
      </w:r>
      <w:r>
        <w:rPr>
          <w:sz w:val="20"/>
          <w:szCs w:val="20"/>
        </w:rPr>
        <w:t>.</w:t>
      </w:r>
      <w:r>
        <w:rPr>
          <w:sz w:val="20"/>
          <w:szCs w:val="20"/>
        </w:rPr>
        <w:t xml:space="preserve"> </w:t>
      </w:r>
    </w:p>
    <w:p w14:paraId="4921C524" w14:textId="77777777" w:rsidR="00000000" w:rsidRDefault="00EF48A2">
      <w:pPr>
        <w:pStyle w:val="a3"/>
        <w:spacing w:before="240" w:beforeAutospacing="0" w:after="0" w:afterAutospacing="0"/>
        <w:divId w:val="1963533174"/>
        <w:rPr>
          <w:sz w:val="20"/>
          <w:szCs w:val="20"/>
        </w:rPr>
      </w:pPr>
      <w:r>
        <w:rPr>
          <w:b/>
          <w:bCs/>
          <w:i/>
          <w:iCs/>
          <w:sz w:val="20"/>
          <w:szCs w:val="20"/>
        </w:rPr>
        <w:t>Income taxe</w:t>
      </w:r>
      <w:r>
        <w:rPr>
          <w:b/>
          <w:bCs/>
          <w:i/>
          <w:iCs/>
          <w:sz w:val="20"/>
          <w:szCs w:val="20"/>
        </w:rPr>
        <w:t>s</w:t>
      </w:r>
    </w:p>
    <w:p w14:paraId="2F94C1D5" w14:textId="77777777" w:rsidR="00000000" w:rsidRDefault="00EF48A2">
      <w:pPr>
        <w:pStyle w:val="a3"/>
        <w:spacing w:before="180" w:beforeAutospacing="0" w:after="0" w:afterAutospacing="0"/>
        <w:jc w:val="both"/>
        <w:divId w:val="1963533174"/>
        <w:rPr>
          <w:sz w:val="20"/>
          <w:szCs w:val="20"/>
        </w:rPr>
      </w:pPr>
      <w:r>
        <w:rPr>
          <w:sz w:val="20"/>
          <w:szCs w:val="20"/>
        </w:rPr>
        <w:t xml:space="preserve">The Company accounts for income </w:t>
      </w:r>
      <w:r>
        <w:rPr>
          <w:sz w:val="20"/>
          <w:szCs w:val="20"/>
        </w:rPr>
        <w:t>taxes in accordance with ASC 740, "Income Taxes". The net deferred tax assets assume sufficient future earnings for their realization, as well as the continued application of currently enacted tax rates. Included in net deferred tax assets is a valuation a</w:t>
      </w:r>
      <w:r>
        <w:rPr>
          <w:sz w:val="20"/>
          <w:szCs w:val="20"/>
        </w:rPr>
        <w:t>llowance for deferred tax assets, where management believes it is more-likely-than-not that the deferred tax assets will not be realized in the relevant jurisdiction. If the Company determines that a deferred tax asset will not be realizable, an adjustment</w:t>
      </w:r>
      <w:r>
        <w:rPr>
          <w:sz w:val="20"/>
          <w:szCs w:val="20"/>
        </w:rPr>
        <w:t xml:space="preserve"> to the deferred tax asset will result in a reduction of net earnings at that time. Accrued interest and penalties are included within the related tax asset or liability in the accompanying consolidated financial statements</w:t>
      </w:r>
      <w:r>
        <w:rPr>
          <w:sz w:val="20"/>
          <w:szCs w:val="20"/>
        </w:rPr>
        <w:t>.</w:t>
      </w:r>
    </w:p>
    <w:p w14:paraId="78DCD45A" w14:textId="77777777" w:rsidR="00000000" w:rsidRDefault="00EF48A2">
      <w:pPr>
        <w:pStyle w:val="a3"/>
        <w:spacing w:before="180" w:beforeAutospacing="0" w:after="0" w:afterAutospacing="0"/>
        <w:jc w:val="both"/>
        <w:divId w:val="1963533174"/>
        <w:rPr>
          <w:sz w:val="20"/>
          <w:szCs w:val="20"/>
        </w:rPr>
      </w:pPr>
      <w:r>
        <w:rPr>
          <w:sz w:val="20"/>
          <w:szCs w:val="20"/>
        </w:rPr>
        <w:t>The Company follows the provisi</w:t>
      </w:r>
      <w:r>
        <w:rPr>
          <w:sz w:val="20"/>
          <w:szCs w:val="20"/>
        </w:rPr>
        <w:t>ons in ASC 740 and the guidance related to accounting for uncertainty in income taxes. ASC 740 contains a two-step approach to recognizing and measuring a liability for uncertain tax positions. The first step is to evaluate the tax position taken or expect</w:t>
      </w:r>
      <w:r>
        <w:rPr>
          <w:sz w:val="20"/>
          <w:szCs w:val="20"/>
        </w:rPr>
        <w:t>ed to be taken in a tax return by determining if the weight of available evidence indicates that it is more likely than not that, on an evaluation of the technical merits, the tax position will be sustained on audit, including resolution of any related app</w:t>
      </w:r>
      <w:r>
        <w:rPr>
          <w:sz w:val="20"/>
          <w:szCs w:val="20"/>
        </w:rPr>
        <w:t>eals or litigation processes. The second step is to measure the tax benefit as the largest amount that is more than 50% likely to be realized upon ultimate settlement. The Company's policy is to recognize interest related to unrecognized tax benefits as in</w:t>
      </w:r>
      <w:r>
        <w:rPr>
          <w:sz w:val="20"/>
          <w:szCs w:val="20"/>
        </w:rPr>
        <w:t>terest expense and penalties as operating expenses</w:t>
      </w:r>
      <w:r>
        <w:rPr>
          <w:sz w:val="20"/>
          <w:szCs w:val="20"/>
        </w:rPr>
        <w:t>.</w:t>
      </w:r>
    </w:p>
    <w:p w14:paraId="4ACB87F1" w14:textId="77777777" w:rsidR="00000000" w:rsidRDefault="00EF48A2">
      <w:pPr>
        <w:pStyle w:val="a3"/>
        <w:spacing w:before="180" w:beforeAutospacing="0" w:after="0" w:afterAutospacing="0"/>
        <w:jc w:val="both"/>
        <w:divId w:val="1963533174"/>
        <w:rPr>
          <w:sz w:val="20"/>
          <w:szCs w:val="20"/>
        </w:rPr>
      </w:pPr>
      <w:r>
        <w:rPr>
          <w:sz w:val="20"/>
          <w:szCs w:val="20"/>
        </w:rPr>
        <w:t xml:space="preserve">The Company does not provide deferred tax liabilities when it intends to reinvest earnings of a foreign subsidiary indefinitely or if distributed, no tax liability will be imposed. Undistributed earnings </w:t>
      </w:r>
      <w:r>
        <w:rPr>
          <w:sz w:val="20"/>
          <w:szCs w:val="20"/>
        </w:rPr>
        <w:t>of a foreign subsidiary and unrecognized deferred tax liability related to such earnings are immaterial as of December 31, 2022</w:t>
      </w:r>
      <w:r>
        <w:rPr>
          <w:sz w:val="20"/>
          <w:szCs w:val="20"/>
        </w:rPr>
        <w:t>.</w:t>
      </w:r>
    </w:p>
    <w:p w14:paraId="7D2AFD24" w14:textId="77777777" w:rsidR="00000000" w:rsidRDefault="00EF48A2">
      <w:pPr>
        <w:pStyle w:val="a3"/>
        <w:spacing w:before="180" w:beforeAutospacing="0" w:after="0" w:afterAutospacing="0"/>
        <w:jc w:val="both"/>
        <w:divId w:val="1963533174"/>
        <w:rPr>
          <w:sz w:val="20"/>
          <w:szCs w:val="20"/>
        </w:rPr>
      </w:pPr>
      <w:r>
        <w:rPr>
          <w:sz w:val="20"/>
          <w:szCs w:val="20"/>
        </w:rPr>
        <w:t>As of December 31, 2022 and 2021 the Company did</w:t>
      </w:r>
      <w:r>
        <w:rPr>
          <w:sz w:val="20"/>
          <w:szCs w:val="20"/>
        </w:rPr>
        <w:t xml:space="preserve"> </w:t>
      </w:r>
      <w:r>
        <w:rPr>
          <w:sz w:val="20"/>
          <w:szCs w:val="20"/>
        </w:rPr>
        <w:t>n</w:t>
      </w:r>
      <w:r>
        <w:rPr>
          <w:sz w:val="20"/>
          <w:szCs w:val="20"/>
        </w:rPr>
        <w:t>o</w:t>
      </w:r>
      <w:r>
        <w:rPr>
          <w:sz w:val="20"/>
          <w:szCs w:val="20"/>
        </w:rPr>
        <w:t>t record any provision for uncertain tax positions. The Company does not ant</w:t>
      </w:r>
      <w:r>
        <w:rPr>
          <w:sz w:val="20"/>
          <w:szCs w:val="20"/>
        </w:rPr>
        <w:t>icipate that the assessment will significantly increase or decrease within the next 12 months.</w:t>
      </w:r>
      <w:r>
        <w:rPr>
          <w:sz w:val="20"/>
          <w:szCs w:val="20"/>
        </w:rPr>
        <w:t xml:space="preserve"> </w:t>
      </w:r>
      <w:r>
        <w:rPr>
          <w:sz w:val="20"/>
          <w:szCs w:val="20"/>
        </w:rPr>
        <w:t>N</w:t>
      </w:r>
      <w:r>
        <w:rPr>
          <w:sz w:val="20"/>
          <w:szCs w:val="20"/>
        </w:rPr>
        <w:t>o</w:t>
      </w:r>
      <w:r>
        <w:rPr>
          <w:sz w:val="20"/>
          <w:szCs w:val="20"/>
        </w:rPr>
        <w:t xml:space="preserve"> accrued interest or penalties were accrued as of December 31, 2022 and 2021</w:t>
      </w:r>
      <w:r>
        <w:rPr>
          <w:sz w:val="20"/>
          <w:szCs w:val="20"/>
        </w:rPr>
        <w:t>.</w:t>
      </w:r>
    </w:p>
    <w:p w14:paraId="753E510D" w14:textId="77777777" w:rsidR="00000000" w:rsidRDefault="00EF48A2">
      <w:pPr>
        <w:pStyle w:val="a3"/>
        <w:spacing w:before="240" w:beforeAutospacing="0" w:after="0" w:afterAutospacing="0"/>
        <w:jc w:val="both"/>
        <w:divId w:val="126750348"/>
        <w:rPr>
          <w:sz w:val="20"/>
          <w:szCs w:val="20"/>
        </w:rPr>
      </w:pPr>
      <w:r>
        <w:rPr>
          <w:b/>
          <w:bCs/>
          <w:i/>
          <w:iCs/>
          <w:sz w:val="20"/>
          <w:szCs w:val="20"/>
        </w:rPr>
        <w:t>Net loss per shar</w:t>
      </w:r>
      <w:r>
        <w:rPr>
          <w:b/>
          <w:bCs/>
          <w:i/>
          <w:iCs/>
          <w:sz w:val="20"/>
          <w:szCs w:val="20"/>
        </w:rPr>
        <w:t>e</w:t>
      </w:r>
      <w:r>
        <w:rPr>
          <w:b/>
          <w:bCs/>
          <w:i/>
          <w:iCs/>
          <w:sz w:val="20"/>
          <w:szCs w:val="20"/>
        </w:rPr>
        <w:t xml:space="preserve"> </w:t>
      </w:r>
    </w:p>
    <w:p w14:paraId="72B84D0A" w14:textId="77777777" w:rsidR="00000000" w:rsidRDefault="00EF48A2">
      <w:pPr>
        <w:pStyle w:val="a3"/>
        <w:spacing w:before="180" w:beforeAutospacing="0" w:after="0" w:afterAutospacing="0"/>
        <w:jc w:val="both"/>
        <w:divId w:val="126750348"/>
        <w:rPr>
          <w:sz w:val="20"/>
          <w:szCs w:val="20"/>
        </w:rPr>
      </w:pPr>
      <w:r>
        <w:rPr>
          <w:sz w:val="20"/>
          <w:szCs w:val="20"/>
        </w:rPr>
        <w:t>The Company computes net loss per share using the two-class m</w:t>
      </w:r>
      <w:r>
        <w:rPr>
          <w:sz w:val="20"/>
          <w:szCs w:val="20"/>
        </w:rPr>
        <w:t>ethod required for participating securities. For the year ended December 31, 2020, the Company considered its convertible preferred shares to be participating securities as the holders of the convertible preferred shares would be entitled to dividends that</w:t>
      </w:r>
      <w:r>
        <w:rPr>
          <w:sz w:val="20"/>
          <w:szCs w:val="20"/>
        </w:rPr>
        <w:t xml:space="preserve"> would be distributed to the holders of shares of common stock, on a pro-rata basis assuming conversion of all convertible preferred shares into shares of common stock. These participating securities did not contractually require the holders of such shares</w:t>
      </w:r>
      <w:r>
        <w:rPr>
          <w:sz w:val="20"/>
          <w:szCs w:val="20"/>
        </w:rPr>
        <w:t xml:space="preserve"> to participate in the Company’s losses. As such, net loss for the year ended December 31, 2020 was not allocated to the Company’s participating securities</w:t>
      </w:r>
      <w:r>
        <w:rPr>
          <w:sz w:val="20"/>
          <w:szCs w:val="20"/>
        </w:rPr>
        <w:t>.</w:t>
      </w:r>
    </w:p>
    <w:p w14:paraId="23707970" w14:textId="77777777" w:rsidR="00000000" w:rsidRDefault="00EF48A2">
      <w:pPr>
        <w:pStyle w:val="a3"/>
        <w:spacing w:before="180" w:beforeAutospacing="0" w:after="0" w:afterAutospacing="0"/>
        <w:jc w:val="both"/>
        <w:divId w:val="126750348"/>
        <w:rPr>
          <w:sz w:val="20"/>
          <w:szCs w:val="20"/>
        </w:rPr>
      </w:pPr>
      <w:r>
        <w:rPr>
          <w:sz w:val="20"/>
          <w:szCs w:val="20"/>
        </w:rPr>
        <w:t xml:space="preserve">The Company’s basic net loss per share is calculated by dividing net loss attributable to ordinary </w:t>
      </w:r>
      <w:r>
        <w:rPr>
          <w:sz w:val="20"/>
          <w:szCs w:val="20"/>
        </w:rPr>
        <w:t>shareholders by the weighted-average number of shares of common stock outstanding for the period, without consideration of potentially dilutive securities. The diluted net loss per share is calculated by giving effect to all potentially dilutive securities</w:t>
      </w:r>
      <w:r>
        <w:rPr>
          <w:sz w:val="20"/>
          <w:szCs w:val="20"/>
        </w:rPr>
        <w:t xml:space="preserve"> outstanding for the period using the treasury share method or the if-converted method based on the nature of such securities. Diluted net loss per share is the same as basic net loss per share in periods when the effects of potentially dilutive shares of </w:t>
      </w:r>
      <w:r>
        <w:rPr>
          <w:sz w:val="20"/>
          <w:szCs w:val="20"/>
        </w:rPr>
        <w:t>shares of common stock are anti-dilutive</w:t>
      </w:r>
      <w:r>
        <w:rPr>
          <w:sz w:val="20"/>
          <w:szCs w:val="20"/>
        </w:rPr>
        <w:t>.</w:t>
      </w:r>
    </w:p>
    <w:p w14:paraId="2CEF7A75" w14:textId="77777777" w:rsidR="00000000" w:rsidRDefault="00EF48A2">
      <w:pPr>
        <w:pStyle w:val="a3"/>
        <w:spacing w:before="0" w:beforeAutospacing="0" w:after="0" w:afterAutospacing="0"/>
        <w:divId w:val="1007291856"/>
        <w:rPr>
          <w:sz w:val="20"/>
          <w:szCs w:val="20"/>
        </w:rPr>
      </w:pPr>
      <w:r>
        <w:rPr>
          <w:sz w:val="20"/>
          <w:szCs w:val="20"/>
        </w:rPr>
        <w:t> </w:t>
      </w:r>
    </w:p>
    <w:p w14:paraId="7A3999E4" w14:textId="77777777" w:rsidR="00000000" w:rsidRDefault="00EF48A2">
      <w:pPr>
        <w:pStyle w:val="a3"/>
        <w:spacing w:before="0" w:beforeAutospacing="0" w:after="0" w:afterAutospacing="0"/>
        <w:jc w:val="center"/>
        <w:divId w:val="1007291856"/>
        <w:rPr>
          <w:sz w:val="20"/>
          <w:szCs w:val="20"/>
        </w:rPr>
      </w:pPr>
      <w:r>
        <w:rPr>
          <w:sz w:val="20"/>
          <w:szCs w:val="20"/>
        </w:rPr>
        <w:t>6</w:t>
      </w:r>
      <w:r>
        <w:rPr>
          <w:sz w:val="20"/>
          <w:szCs w:val="20"/>
        </w:rPr>
        <w:t>9</w:t>
      </w:r>
    </w:p>
    <w:p w14:paraId="0ED1B34C" w14:textId="77777777" w:rsidR="00000000" w:rsidRDefault="00EF48A2">
      <w:pPr>
        <w:divId w:val="1007291856"/>
        <w:rPr>
          <w:rFonts w:eastAsia="Times New Roman"/>
          <w:sz w:val="20"/>
          <w:szCs w:val="20"/>
        </w:rPr>
      </w:pPr>
      <w:r>
        <w:rPr>
          <w:rFonts w:eastAsia="Times New Roman"/>
          <w:sz w:val="20"/>
          <w:szCs w:val="20"/>
        </w:rPr>
        <w:pict w14:anchorId="0D941A83">
          <v:rect id="_x0000_i1096" style="width:0;height:1.5pt" o:hralign="center" o:hrstd="t" o:hr="t" fillcolor="#a0a0a0" stroked="f"/>
        </w:pict>
      </w:r>
    </w:p>
    <w:p w14:paraId="1DD81AA4" w14:textId="77777777" w:rsidR="00000000" w:rsidRDefault="00EF48A2">
      <w:pPr>
        <w:pStyle w:val="a3"/>
        <w:spacing w:before="0" w:beforeAutospacing="0" w:after="0" w:afterAutospacing="0"/>
        <w:divId w:val="1007291856"/>
        <w:rPr>
          <w:sz w:val="20"/>
          <w:szCs w:val="20"/>
        </w:rPr>
      </w:pPr>
      <w:hyperlink w:anchor="toc_page" w:history="1">
        <w:r>
          <w:rPr>
            <w:rStyle w:val="a4"/>
            <w:sz w:val="20"/>
            <w:szCs w:val="20"/>
          </w:rPr>
          <w:t>Table of Content</w:t>
        </w:r>
        <w:r>
          <w:rPr>
            <w:rStyle w:val="a4"/>
            <w:sz w:val="20"/>
            <w:szCs w:val="20"/>
          </w:rPr>
          <w:t>s</w:t>
        </w:r>
      </w:hyperlink>
    </w:p>
    <w:p w14:paraId="0682C99E" w14:textId="77777777" w:rsidR="00000000" w:rsidRDefault="00EF48A2">
      <w:pPr>
        <w:pStyle w:val="a3"/>
        <w:spacing w:before="240" w:beforeAutospacing="0" w:after="0" w:afterAutospacing="0"/>
        <w:divId w:val="200095669"/>
        <w:rPr>
          <w:sz w:val="20"/>
          <w:szCs w:val="20"/>
        </w:rPr>
      </w:pPr>
      <w:r>
        <w:rPr>
          <w:b/>
          <w:bCs/>
          <w:i/>
          <w:iCs/>
          <w:sz w:val="20"/>
          <w:szCs w:val="20"/>
        </w:rPr>
        <w:t>Recently Issued and Adopted Accounting Pronouncement</w:t>
      </w:r>
      <w:r>
        <w:rPr>
          <w:b/>
          <w:bCs/>
          <w:i/>
          <w:iCs/>
          <w:sz w:val="20"/>
          <w:szCs w:val="20"/>
        </w:rPr>
        <w:t>s</w:t>
      </w:r>
      <w:r>
        <w:rPr>
          <w:b/>
          <w:bCs/>
          <w:i/>
          <w:iCs/>
          <w:sz w:val="20"/>
          <w:szCs w:val="20"/>
        </w:rPr>
        <w:t xml:space="preserve"> </w:t>
      </w:r>
    </w:p>
    <w:p w14:paraId="627D632D" w14:textId="77777777" w:rsidR="00000000" w:rsidRDefault="00EF48A2">
      <w:pPr>
        <w:pStyle w:val="a3"/>
        <w:spacing w:before="180" w:beforeAutospacing="0" w:after="0" w:afterAutospacing="0"/>
        <w:jc w:val="both"/>
        <w:divId w:val="200095669"/>
        <w:rPr>
          <w:sz w:val="20"/>
          <w:szCs w:val="20"/>
        </w:rPr>
      </w:pPr>
      <w:r>
        <w:rPr>
          <w:sz w:val="20"/>
          <w:szCs w:val="20"/>
        </w:rPr>
        <w:t>The Company has reviewed recent accounting pronouncements and concluded that they are either not applicable to its business or that no material effect is expected on the consolidated financial statements as a result of their future adoption</w:t>
      </w:r>
      <w:r>
        <w:rPr>
          <w:sz w:val="20"/>
          <w:szCs w:val="20"/>
        </w:rPr>
        <w:t>.</w:t>
      </w:r>
    </w:p>
    <w:p w14:paraId="7F5298B3" w14:textId="77777777" w:rsidR="00000000" w:rsidRDefault="00EF48A2">
      <w:pPr>
        <w:pStyle w:val="a3"/>
        <w:spacing w:before="360" w:beforeAutospacing="0" w:after="0" w:afterAutospacing="0"/>
        <w:divId w:val="672680241"/>
        <w:rPr>
          <w:sz w:val="20"/>
          <w:szCs w:val="20"/>
        </w:rPr>
      </w:pPr>
      <w:r>
        <w:rPr>
          <w:b/>
          <w:bCs/>
          <w:sz w:val="20"/>
          <w:szCs w:val="20"/>
        </w:rPr>
        <w:t>NOTE 3. REVENU</w:t>
      </w:r>
      <w:r>
        <w:rPr>
          <w:b/>
          <w:bCs/>
          <w:sz w:val="20"/>
          <w:szCs w:val="20"/>
        </w:rPr>
        <w:t>E RECOGNITIO</w:t>
      </w:r>
      <w:r>
        <w:rPr>
          <w:b/>
          <w:bCs/>
          <w:sz w:val="20"/>
          <w:szCs w:val="20"/>
        </w:rPr>
        <w:t>N</w:t>
      </w:r>
    </w:p>
    <w:p w14:paraId="1EB905B0" w14:textId="77777777" w:rsidR="00000000" w:rsidRDefault="00EF48A2">
      <w:pPr>
        <w:pStyle w:val="a3"/>
        <w:spacing w:before="180" w:beforeAutospacing="0" w:after="180" w:afterAutospacing="0"/>
        <w:jc w:val="both"/>
        <w:divId w:val="1743986478"/>
        <w:rPr>
          <w:sz w:val="20"/>
          <w:szCs w:val="20"/>
        </w:rPr>
      </w:pPr>
      <w:r>
        <w:rPr>
          <w:sz w:val="20"/>
          <w:szCs w:val="20"/>
        </w:rPr>
        <w:t>The following table presents the Company’s revenues</w:t>
      </w:r>
      <w:r>
        <w:rPr>
          <w:sz w:val="20"/>
          <w:szCs w:val="20"/>
        </w:rPr>
        <w:t xml:space="preserve"> </w:t>
      </w:r>
      <w:r>
        <w:rPr>
          <w:sz w:val="20"/>
          <w:szCs w:val="20"/>
        </w:rPr>
        <w:t>from sales to unaffiliated customers disaggregated by revenue source</w:t>
      </w:r>
      <w:r>
        <w:rPr>
          <w:sz w:val="20"/>
          <w:szCs w:val="20"/>
        </w:rPr>
        <w:t>:</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4049"/>
        <w:gridCol w:w="110"/>
        <w:gridCol w:w="160"/>
        <w:gridCol w:w="937"/>
        <w:gridCol w:w="110"/>
        <w:gridCol w:w="110"/>
        <w:gridCol w:w="160"/>
        <w:gridCol w:w="937"/>
        <w:gridCol w:w="110"/>
        <w:gridCol w:w="110"/>
        <w:gridCol w:w="160"/>
        <w:gridCol w:w="896"/>
        <w:gridCol w:w="125"/>
      </w:tblGrid>
      <w:tr w:rsidR="00000000" w14:paraId="748D3921" w14:textId="77777777">
        <w:trPr>
          <w:divId w:val="1743986478"/>
          <w:tblCellSpacing w:w="15" w:type="dxa"/>
        </w:trPr>
        <w:tc>
          <w:tcPr>
            <w:tcW w:w="2678" w:type="pct"/>
            <w:vAlign w:val="center"/>
            <w:hideMark/>
          </w:tcPr>
          <w:p w14:paraId="3B1BF1C0" w14:textId="77777777" w:rsidR="00000000" w:rsidRDefault="00EF48A2">
            <w:pPr>
              <w:rPr>
                <w:sz w:val="20"/>
                <w:szCs w:val="20"/>
              </w:rPr>
            </w:pPr>
          </w:p>
        </w:tc>
        <w:tc>
          <w:tcPr>
            <w:tcW w:w="52" w:type="pct"/>
            <w:vAlign w:val="center"/>
            <w:hideMark/>
          </w:tcPr>
          <w:p w14:paraId="3A163129" w14:textId="77777777" w:rsidR="00000000" w:rsidRDefault="00EF48A2">
            <w:pPr>
              <w:rPr>
                <w:rFonts w:eastAsia="Times New Roman"/>
                <w:sz w:val="20"/>
                <w:szCs w:val="20"/>
              </w:rPr>
            </w:pPr>
          </w:p>
        </w:tc>
        <w:tc>
          <w:tcPr>
            <w:tcW w:w="50" w:type="pct"/>
            <w:vAlign w:val="center"/>
            <w:hideMark/>
          </w:tcPr>
          <w:p w14:paraId="0068C6A5" w14:textId="77777777" w:rsidR="00000000" w:rsidRDefault="00EF48A2">
            <w:pPr>
              <w:rPr>
                <w:rFonts w:eastAsia="Times New Roman"/>
                <w:sz w:val="20"/>
                <w:szCs w:val="20"/>
              </w:rPr>
            </w:pPr>
          </w:p>
        </w:tc>
        <w:tc>
          <w:tcPr>
            <w:tcW w:w="630" w:type="pct"/>
            <w:vAlign w:val="center"/>
            <w:hideMark/>
          </w:tcPr>
          <w:p w14:paraId="4E9945C3" w14:textId="77777777" w:rsidR="00000000" w:rsidRDefault="00EF48A2">
            <w:pPr>
              <w:rPr>
                <w:rFonts w:eastAsia="Times New Roman"/>
                <w:sz w:val="20"/>
                <w:szCs w:val="20"/>
              </w:rPr>
            </w:pPr>
          </w:p>
        </w:tc>
        <w:tc>
          <w:tcPr>
            <w:tcW w:w="50" w:type="pct"/>
            <w:vAlign w:val="center"/>
            <w:hideMark/>
          </w:tcPr>
          <w:p w14:paraId="69162EEB" w14:textId="77777777" w:rsidR="00000000" w:rsidRDefault="00EF48A2">
            <w:pPr>
              <w:rPr>
                <w:rFonts w:eastAsia="Times New Roman"/>
                <w:sz w:val="20"/>
                <w:szCs w:val="20"/>
              </w:rPr>
            </w:pPr>
          </w:p>
        </w:tc>
        <w:tc>
          <w:tcPr>
            <w:tcW w:w="52" w:type="pct"/>
            <w:vAlign w:val="center"/>
            <w:hideMark/>
          </w:tcPr>
          <w:p w14:paraId="1312D6E0" w14:textId="77777777" w:rsidR="00000000" w:rsidRDefault="00EF48A2">
            <w:pPr>
              <w:rPr>
                <w:rFonts w:eastAsia="Times New Roman"/>
                <w:sz w:val="20"/>
                <w:szCs w:val="20"/>
              </w:rPr>
            </w:pPr>
          </w:p>
        </w:tc>
        <w:tc>
          <w:tcPr>
            <w:tcW w:w="50" w:type="pct"/>
            <w:vAlign w:val="center"/>
            <w:hideMark/>
          </w:tcPr>
          <w:p w14:paraId="54C9F942" w14:textId="77777777" w:rsidR="00000000" w:rsidRDefault="00EF48A2">
            <w:pPr>
              <w:rPr>
                <w:rFonts w:eastAsia="Times New Roman"/>
                <w:sz w:val="20"/>
                <w:szCs w:val="20"/>
              </w:rPr>
            </w:pPr>
          </w:p>
        </w:tc>
        <w:tc>
          <w:tcPr>
            <w:tcW w:w="630" w:type="pct"/>
            <w:vAlign w:val="center"/>
            <w:hideMark/>
          </w:tcPr>
          <w:p w14:paraId="636C476B" w14:textId="77777777" w:rsidR="00000000" w:rsidRDefault="00EF48A2">
            <w:pPr>
              <w:rPr>
                <w:rFonts w:eastAsia="Times New Roman"/>
                <w:sz w:val="20"/>
                <w:szCs w:val="20"/>
              </w:rPr>
            </w:pPr>
          </w:p>
        </w:tc>
        <w:tc>
          <w:tcPr>
            <w:tcW w:w="50" w:type="pct"/>
            <w:vAlign w:val="center"/>
            <w:hideMark/>
          </w:tcPr>
          <w:p w14:paraId="4BFCCA08" w14:textId="77777777" w:rsidR="00000000" w:rsidRDefault="00EF48A2">
            <w:pPr>
              <w:rPr>
                <w:rFonts w:eastAsia="Times New Roman"/>
                <w:sz w:val="20"/>
                <w:szCs w:val="20"/>
              </w:rPr>
            </w:pPr>
          </w:p>
        </w:tc>
        <w:tc>
          <w:tcPr>
            <w:tcW w:w="52" w:type="pct"/>
            <w:vAlign w:val="center"/>
            <w:hideMark/>
          </w:tcPr>
          <w:p w14:paraId="3BDF7FE8" w14:textId="77777777" w:rsidR="00000000" w:rsidRDefault="00EF48A2">
            <w:pPr>
              <w:rPr>
                <w:rFonts w:eastAsia="Times New Roman"/>
                <w:sz w:val="20"/>
                <w:szCs w:val="20"/>
              </w:rPr>
            </w:pPr>
          </w:p>
        </w:tc>
        <w:tc>
          <w:tcPr>
            <w:tcW w:w="50" w:type="pct"/>
            <w:vAlign w:val="center"/>
            <w:hideMark/>
          </w:tcPr>
          <w:p w14:paraId="083AA972" w14:textId="77777777" w:rsidR="00000000" w:rsidRDefault="00EF48A2">
            <w:pPr>
              <w:rPr>
                <w:rFonts w:eastAsia="Times New Roman"/>
                <w:sz w:val="20"/>
                <w:szCs w:val="20"/>
              </w:rPr>
            </w:pPr>
          </w:p>
        </w:tc>
        <w:tc>
          <w:tcPr>
            <w:tcW w:w="603" w:type="pct"/>
            <w:vAlign w:val="center"/>
            <w:hideMark/>
          </w:tcPr>
          <w:p w14:paraId="4D833CCD" w14:textId="77777777" w:rsidR="00000000" w:rsidRDefault="00EF48A2">
            <w:pPr>
              <w:rPr>
                <w:rFonts w:eastAsia="Times New Roman"/>
                <w:sz w:val="20"/>
                <w:szCs w:val="20"/>
              </w:rPr>
            </w:pPr>
          </w:p>
        </w:tc>
        <w:tc>
          <w:tcPr>
            <w:tcW w:w="50" w:type="pct"/>
            <w:vAlign w:val="center"/>
            <w:hideMark/>
          </w:tcPr>
          <w:p w14:paraId="3EC05BC4" w14:textId="77777777" w:rsidR="00000000" w:rsidRDefault="00EF48A2">
            <w:pPr>
              <w:rPr>
                <w:rFonts w:eastAsia="Times New Roman"/>
                <w:sz w:val="20"/>
                <w:szCs w:val="20"/>
              </w:rPr>
            </w:pPr>
          </w:p>
        </w:tc>
      </w:tr>
      <w:tr w:rsidR="00000000" w14:paraId="03580903" w14:textId="77777777">
        <w:trPr>
          <w:divId w:val="1743986478"/>
          <w:trHeight w:val="160"/>
          <w:tblCellSpacing w:w="15" w:type="dxa"/>
        </w:trPr>
        <w:tc>
          <w:tcPr>
            <w:tcW w:w="0" w:type="auto"/>
            <w:vAlign w:val="bottom"/>
            <w:hideMark/>
          </w:tcPr>
          <w:p w14:paraId="68D59967"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656AEC57" w14:textId="77777777" w:rsidR="00000000" w:rsidRDefault="00EF48A2">
            <w:pPr>
              <w:pStyle w:val="a3"/>
              <w:spacing w:before="0" w:beforeAutospacing="0" w:after="0" w:afterAutospacing="0"/>
              <w:rPr>
                <w:sz w:val="16"/>
                <w:szCs w:val="16"/>
              </w:rPr>
            </w:pPr>
            <w:r>
              <w:rPr>
                <w:sz w:val="16"/>
                <w:szCs w:val="16"/>
              </w:rPr>
              <w:t> </w:t>
            </w:r>
          </w:p>
        </w:tc>
        <w:tc>
          <w:tcPr>
            <w:tcW w:w="0" w:type="auto"/>
            <w:gridSpan w:val="10"/>
            <w:vAlign w:val="bottom"/>
            <w:hideMark/>
          </w:tcPr>
          <w:p w14:paraId="51F9C356" w14:textId="77777777" w:rsidR="00000000" w:rsidRDefault="00EF48A2">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14:paraId="75C78C23"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7911B0CC" w14:textId="77777777">
        <w:trPr>
          <w:divId w:val="1743986478"/>
          <w:trHeight w:val="160"/>
          <w:tblCellSpacing w:w="15" w:type="dxa"/>
        </w:trPr>
        <w:tc>
          <w:tcPr>
            <w:tcW w:w="0" w:type="auto"/>
            <w:vAlign w:val="bottom"/>
            <w:hideMark/>
          </w:tcPr>
          <w:p w14:paraId="635E79F3"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3A795285"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B5F79BA"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8CDC45C"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08F2FDED"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6D04345A"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55956EE"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5F68DA93"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4962BB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2018F8E8"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22301DC" w14:textId="77777777">
        <w:trPr>
          <w:divId w:val="1743986478"/>
          <w:trHeight w:val="180"/>
          <w:tblCellSpacing w:w="15" w:type="dxa"/>
        </w:trPr>
        <w:tc>
          <w:tcPr>
            <w:tcW w:w="0" w:type="auto"/>
            <w:vAlign w:val="bottom"/>
            <w:hideMark/>
          </w:tcPr>
          <w:p w14:paraId="36B87E1E" w14:textId="77777777" w:rsidR="00000000" w:rsidRDefault="00EF48A2">
            <w:pPr>
              <w:pStyle w:val="a3"/>
              <w:spacing w:before="0" w:beforeAutospacing="0" w:after="0" w:afterAutospacing="0"/>
              <w:rPr>
                <w:sz w:val="18"/>
                <w:szCs w:val="18"/>
              </w:rPr>
            </w:pPr>
            <w:r>
              <w:rPr>
                <w:sz w:val="18"/>
                <w:szCs w:val="18"/>
              </w:rPr>
              <w:t>Revenues from sales to unaffiliated customers</w:t>
            </w:r>
            <w:r>
              <w:rPr>
                <w:sz w:val="18"/>
                <w:szCs w:val="18"/>
              </w:rPr>
              <w:t>:</w:t>
            </w:r>
          </w:p>
        </w:tc>
        <w:tc>
          <w:tcPr>
            <w:tcW w:w="0" w:type="auto"/>
            <w:vAlign w:val="bottom"/>
            <w:hideMark/>
          </w:tcPr>
          <w:p w14:paraId="5ECB100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F33A3A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B1B25B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B82158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8818DAE" w14:textId="77777777" w:rsidR="00000000" w:rsidRDefault="00EF48A2">
            <w:pPr>
              <w:pStyle w:val="a3"/>
              <w:spacing w:before="0" w:beforeAutospacing="0" w:after="0" w:afterAutospacing="0"/>
              <w:jc w:val="center"/>
              <w:rPr>
                <w:sz w:val="20"/>
                <w:szCs w:val="20"/>
              </w:rPr>
            </w:pPr>
            <w:r>
              <w:rPr>
                <w:sz w:val="20"/>
                <w:szCs w:val="20"/>
              </w:rPr>
              <w:t> </w:t>
            </w:r>
          </w:p>
        </w:tc>
        <w:tc>
          <w:tcPr>
            <w:tcW w:w="0" w:type="auto"/>
            <w:vAlign w:val="bottom"/>
            <w:hideMark/>
          </w:tcPr>
          <w:p w14:paraId="3D24FC51" w14:textId="77777777" w:rsidR="00000000" w:rsidRDefault="00EF48A2">
            <w:pPr>
              <w:pStyle w:val="a3"/>
              <w:spacing w:before="0" w:beforeAutospacing="0" w:after="0" w:afterAutospacing="0"/>
              <w:jc w:val="center"/>
              <w:rPr>
                <w:sz w:val="20"/>
                <w:szCs w:val="20"/>
              </w:rPr>
            </w:pPr>
            <w:r>
              <w:rPr>
                <w:sz w:val="20"/>
                <w:szCs w:val="20"/>
              </w:rPr>
              <w:t> </w:t>
            </w:r>
          </w:p>
        </w:tc>
        <w:tc>
          <w:tcPr>
            <w:tcW w:w="0" w:type="auto"/>
            <w:vAlign w:val="bottom"/>
            <w:hideMark/>
          </w:tcPr>
          <w:p w14:paraId="4EF07A6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A95A0FA" w14:textId="77777777" w:rsidR="00000000" w:rsidRDefault="00EF48A2">
            <w:pPr>
              <w:pStyle w:val="a3"/>
              <w:spacing w:before="0" w:beforeAutospacing="0" w:after="0" w:afterAutospacing="0"/>
              <w:jc w:val="center"/>
              <w:rPr>
                <w:sz w:val="20"/>
                <w:szCs w:val="20"/>
              </w:rPr>
            </w:pPr>
            <w:r>
              <w:rPr>
                <w:sz w:val="20"/>
                <w:szCs w:val="20"/>
              </w:rPr>
              <w:t> </w:t>
            </w:r>
          </w:p>
        </w:tc>
        <w:tc>
          <w:tcPr>
            <w:tcW w:w="0" w:type="auto"/>
            <w:vAlign w:val="bottom"/>
            <w:hideMark/>
          </w:tcPr>
          <w:p w14:paraId="594DA0E9" w14:textId="77777777" w:rsidR="00000000" w:rsidRDefault="00EF48A2">
            <w:pPr>
              <w:pStyle w:val="a3"/>
              <w:spacing w:before="0" w:beforeAutospacing="0" w:after="0" w:afterAutospacing="0"/>
              <w:jc w:val="center"/>
              <w:rPr>
                <w:sz w:val="20"/>
                <w:szCs w:val="20"/>
              </w:rPr>
            </w:pPr>
            <w:r>
              <w:rPr>
                <w:sz w:val="20"/>
                <w:szCs w:val="20"/>
              </w:rPr>
              <w:t> </w:t>
            </w:r>
          </w:p>
        </w:tc>
      </w:tr>
      <w:tr w:rsidR="00000000" w14:paraId="3F5A6EA1" w14:textId="77777777">
        <w:trPr>
          <w:divId w:val="1743986478"/>
          <w:trHeight w:val="200"/>
          <w:tblCellSpacing w:w="15" w:type="dxa"/>
        </w:trPr>
        <w:tc>
          <w:tcPr>
            <w:tcW w:w="0" w:type="auto"/>
            <w:vAlign w:val="bottom"/>
            <w:hideMark/>
          </w:tcPr>
          <w:p w14:paraId="640B0805" w14:textId="77777777" w:rsidR="00000000" w:rsidRDefault="00EF48A2">
            <w:pPr>
              <w:pStyle w:val="a3"/>
              <w:spacing w:before="0" w:beforeAutospacing="0" w:after="0" w:afterAutospacing="0"/>
              <w:rPr>
                <w:sz w:val="20"/>
                <w:szCs w:val="20"/>
              </w:rPr>
            </w:pPr>
            <w:r>
              <w:rPr>
                <w:sz w:val="20"/>
                <w:szCs w:val="20"/>
              </w:rPr>
              <w:t>B2B revenu</w:t>
            </w:r>
            <w:r>
              <w:rPr>
                <w:sz w:val="20"/>
                <w:szCs w:val="20"/>
              </w:rPr>
              <w:t>e</w:t>
            </w:r>
          </w:p>
        </w:tc>
        <w:tc>
          <w:tcPr>
            <w:tcW w:w="0" w:type="auto"/>
            <w:vAlign w:val="bottom"/>
            <w:hideMark/>
          </w:tcPr>
          <w:p w14:paraId="163FA36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26B618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C888495" w14:textId="77777777" w:rsidR="00000000" w:rsidRDefault="00EF48A2">
            <w:pPr>
              <w:pStyle w:val="a3"/>
              <w:spacing w:before="0" w:beforeAutospacing="0" w:after="0" w:afterAutospacing="0"/>
              <w:jc w:val="right"/>
              <w:rPr>
                <w:sz w:val="20"/>
                <w:szCs w:val="20"/>
              </w:rPr>
            </w:pPr>
            <w:r>
              <w:rPr>
                <w:sz w:val="20"/>
                <w:szCs w:val="20"/>
              </w:rPr>
              <w:t>64,40</w:t>
            </w:r>
            <w:r>
              <w:rPr>
                <w:sz w:val="20"/>
                <w:szCs w:val="20"/>
              </w:rPr>
              <w:t>9</w:t>
            </w:r>
          </w:p>
        </w:tc>
        <w:tc>
          <w:tcPr>
            <w:tcW w:w="0" w:type="auto"/>
            <w:noWrap/>
            <w:vAlign w:val="bottom"/>
            <w:hideMark/>
          </w:tcPr>
          <w:p w14:paraId="6C52FF2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1254E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4FF983"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823D708" w14:textId="77777777" w:rsidR="00000000" w:rsidRDefault="00EF48A2">
            <w:pPr>
              <w:pStyle w:val="a3"/>
              <w:spacing w:before="0" w:beforeAutospacing="0" w:after="0" w:afterAutospacing="0"/>
              <w:jc w:val="right"/>
              <w:rPr>
                <w:sz w:val="20"/>
                <w:szCs w:val="20"/>
              </w:rPr>
            </w:pPr>
            <w:r>
              <w:rPr>
                <w:sz w:val="20"/>
                <w:szCs w:val="20"/>
              </w:rPr>
              <w:t>38,91</w:t>
            </w:r>
            <w:r>
              <w:rPr>
                <w:sz w:val="20"/>
                <w:szCs w:val="20"/>
              </w:rPr>
              <w:t>4</w:t>
            </w:r>
          </w:p>
        </w:tc>
        <w:tc>
          <w:tcPr>
            <w:tcW w:w="0" w:type="auto"/>
            <w:noWrap/>
            <w:vAlign w:val="bottom"/>
            <w:hideMark/>
          </w:tcPr>
          <w:p w14:paraId="61FD097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61504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752A90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92AA86B" w14:textId="77777777" w:rsidR="00000000" w:rsidRDefault="00EF48A2">
            <w:pPr>
              <w:pStyle w:val="a3"/>
              <w:spacing w:before="0" w:beforeAutospacing="0" w:after="0" w:afterAutospacing="0"/>
              <w:jc w:val="right"/>
              <w:rPr>
                <w:sz w:val="20"/>
                <w:szCs w:val="20"/>
              </w:rPr>
            </w:pPr>
            <w:r>
              <w:rPr>
                <w:sz w:val="20"/>
                <w:szCs w:val="20"/>
              </w:rPr>
              <w:t>14,60</w:t>
            </w:r>
            <w:r>
              <w:rPr>
                <w:sz w:val="20"/>
                <w:szCs w:val="20"/>
              </w:rPr>
              <w:t>4</w:t>
            </w:r>
          </w:p>
        </w:tc>
        <w:tc>
          <w:tcPr>
            <w:tcW w:w="0" w:type="auto"/>
            <w:noWrap/>
            <w:vAlign w:val="bottom"/>
            <w:hideMark/>
          </w:tcPr>
          <w:p w14:paraId="448BB98F" w14:textId="77777777" w:rsidR="00000000" w:rsidRDefault="00EF48A2">
            <w:pPr>
              <w:pStyle w:val="a3"/>
              <w:spacing w:before="0" w:beforeAutospacing="0" w:after="0" w:afterAutospacing="0"/>
              <w:rPr>
                <w:sz w:val="20"/>
                <w:szCs w:val="20"/>
              </w:rPr>
            </w:pPr>
            <w:r>
              <w:rPr>
                <w:sz w:val="20"/>
                <w:szCs w:val="20"/>
              </w:rPr>
              <w:t> </w:t>
            </w:r>
          </w:p>
        </w:tc>
      </w:tr>
      <w:tr w:rsidR="00000000" w14:paraId="29541B93" w14:textId="77777777">
        <w:trPr>
          <w:divId w:val="1743986478"/>
          <w:trHeight w:val="200"/>
          <w:tblCellSpacing w:w="15" w:type="dxa"/>
        </w:trPr>
        <w:tc>
          <w:tcPr>
            <w:tcW w:w="0" w:type="auto"/>
            <w:vAlign w:val="bottom"/>
            <w:hideMark/>
          </w:tcPr>
          <w:p w14:paraId="0B52DB80" w14:textId="77777777" w:rsidR="00000000" w:rsidRDefault="00EF48A2">
            <w:pPr>
              <w:pStyle w:val="a3"/>
              <w:spacing w:before="0" w:beforeAutospacing="0" w:after="0" w:afterAutospacing="0"/>
              <w:rPr>
                <w:sz w:val="20"/>
                <w:szCs w:val="20"/>
              </w:rPr>
            </w:pPr>
            <w:r>
              <w:rPr>
                <w:sz w:val="20"/>
                <w:szCs w:val="20"/>
              </w:rPr>
              <w:t>B2C revenu</w:t>
            </w:r>
            <w:r>
              <w:rPr>
                <w:sz w:val="20"/>
                <w:szCs w:val="20"/>
              </w:rPr>
              <w:t>e</w:t>
            </w:r>
          </w:p>
        </w:tc>
        <w:tc>
          <w:tcPr>
            <w:tcW w:w="0" w:type="auto"/>
            <w:vAlign w:val="bottom"/>
            <w:hideMark/>
          </w:tcPr>
          <w:p w14:paraId="04BB7C2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796453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EA74DF" w14:textId="77777777" w:rsidR="00000000" w:rsidRDefault="00EF48A2">
            <w:pPr>
              <w:pStyle w:val="a3"/>
              <w:spacing w:before="0" w:beforeAutospacing="0" w:after="0" w:afterAutospacing="0"/>
              <w:jc w:val="right"/>
              <w:rPr>
                <w:sz w:val="20"/>
                <w:szCs w:val="20"/>
              </w:rPr>
            </w:pPr>
            <w:r>
              <w:rPr>
                <w:sz w:val="20"/>
                <w:szCs w:val="20"/>
              </w:rPr>
              <w:t>55,15</w:t>
            </w:r>
            <w:r>
              <w:rPr>
                <w:sz w:val="20"/>
                <w:szCs w:val="20"/>
              </w:rPr>
              <w:t>8</w:t>
            </w:r>
          </w:p>
        </w:tc>
        <w:tc>
          <w:tcPr>
            <w:tcW w:w="0" w:type="auto"/>
            <w:noWrap/>
            <w:vAlign w:val="bottom"/>
            <w:hideMark/>
          </w:tcPr>
          <w:p w14:paraId="1F926EB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FAD7AC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D4C158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AE207AC" w14:textId="77777777" w:rsidR="00000000" w:rsidRDefault="00EF48A2">
            <w:pPr>
              <w:pStyle w:val="a3"/>
              <w:spacing w:before="0" w:beforeAutospacing="0" w:after="0" w:afterAutospacing="0"/>
              <w:jc w:val="right"/>
              <w:rPr>
                <w:sz w:val="20"/>
                <w:szCs w:val="20"/>
              </w:rPr>
            </w:pPr>
            <w:r>
              <w:rPr>
                <w:sz w:val="20"/>
                <w:szCs w:val="20"/>
              </w:rPr>
              <w:t>74,75</w:t>
            </w:r>
            <w:r>
              <w:rPr>
                <w:sz w:val="20"/>
                <w:szCs w:val="20"/>
              </w:rPr>
              <w:t>7</w:t>
            </w:r>
          </w:p>
        </w:tc>
        <w:tc>
          <w:tcPr>
            <w:tcW w:w="0" w:type="auto"/>
            <w:noWrap/>
            <w:vAlign w:val="bottom"/>
            <w:hideMark/>
          </w:tcPr>
          <w:p w14:paraId="4C4D3D7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3B819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7E7D17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5B272E" w14:textId="77777777" w:rsidR="00000000" w:rsidRDefault="00EF48A2">
            <w:pPr>
              <w:pStyle w:val="a3"/>
              <w:spacing w:before="0" w:beforeAutospacing="0" w:after="0" w:afterAutospacing="0"/>
              <w:jc w:val="right"/>
              <w:rPr>
                <w:sz w:val="20"/>
                <w:szCs w:val="20"/>
              </w:rPr>
            </w:pPr>
            <w:r>
              <w:rPr>
                <w:sz w:val="20"/>
                <w:szCs w:val="20"/>
              </w:rPr>
              <w:t>61,58</w:t>
            </w:r>
            <w:r>
              <w:rPr>
                <w:sz w:val="20"/>
                <w:szCs w:val="20"/>
              </w:rPr>
              <w:t>6</w:t>
            </w:r>
          </w:p>
        </w:tc>
        <w:tc>
          <w:tcPr>
            <w:tcW w:w="0" w:type="auto"/>
            <w:noWrap/>
            <w:vAlign w:val="bottom"/>
            <w:hideMark/>
          </w:tcPr>
          <w:p w14:paraId="1AFAF9F6" w14:textId="77777777" w:rsidR="00000000" w:rsidRDefault="00EF48A2">
            <w:pPr>
              <w:pStyle w:val="a3"/>
              <w:spacing w:before="0" w:beforeAutospacing="0" w:after="0" w:afterAutospacing="0"/>
              <w:rPr>
                <w:sz w:val="20"/>
                <w:szCs w:val="20"/>
              </w:rPr>
            </w:pPr>
            <w:r>
              <w:rPr>
                <w:sz w:val="20"/>
                <w:szCs w:val="20"/>
              </w:rPr>
              <w:t> </w:t>
            </w:r>
          </w:p>
        </w:tc>
      </w:tr>
      <w:tr w:rsidR="00000000" w14:paraId="42BFAE83" w14:textId="77777777">
        <w:trPr>
          <w:divId w:val="1743986478"/>
          <w:trHeight w:val="200"/>
          <w:tblCellSpacing w:w="15" w:type="dxa"/>
        </w:trPr>
        <w:tc>
          <w:tcPr>
            <w:tcW w:w="0" w:type="auto"/>
            <w:vAlign w:val="bottom"/>
            <w:hideMark/>
          </w:tcPr>
          <w:p w14:paraId="1AB29BA4" w14:textId="77777777" w:rsidR="00000000" w:rsidRDefault="00EF48A2">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14:paraId="51098FC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6DCF39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57AF50E" w14:textId="77777777" w:rsidR="00000000" w:rsidRDefault="00EF48A2">
            <w:pPr>
              <w:pStyle w:val="a3"/>
              <w:spacing w:before="0" w:beforeAutospacing="0" w:after="0" w:afterAutospacing="0"/>
              <w:jc w:val="right"/>
              <w:rPr>
                <w:sz w:val="20"/>
                <w:szCs w:val="20"/>
              </w:rPr>
            </w:pPr>
            <w:r>
              <w:rPr>
                <w:sz w:val="20"/>
                <w:szCs w:val="20"/>
              </w:rPr>
              <w:t>119,56</w:t>
            </w:r>
            <w:r>
              <w:rPr>
                <w:sz w:val="20"/>
                <w:szCs w:val="20"/>
              </w:rPr>
              <w:t>7</w:t>
            </w:r>
          </w:p>
        </w:tc>
        <w:tc>
          <w:tcPr>
            <w:tcW w:w="0" w:type="auto"/>
            <w:noWrap/>
            <w:vAlign w:val="bottom"/>
            <w:hideMark/>
          </w:tcPr>
          <w:p w14:paraId="2917C8E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083A70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5AA9DB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D7152D8" w14:textId="77777777" w:rsidR="00000000" w:rsidRDefault="00EF48A2">
            <w:pPr>
              <w:pStyle w:val="a3"/>
              <w:spacing w:before="0" w:beforeAutospacing="0" w:after="0" w:afterAutospacing="0"/>
              <w:jc w:val="right"/>
              <w:rPr>
                <w:sz w:val="20"/>
                <w:szCs w:val="20"/>
              </w:rPr>
            </w:pPr>
            <w:r>
              <w:rPr>
                <w:sz w:val="20"/>
                <w:szCs w:val="20"/>
              </w:rPr>
              <w:t>113,67</w:t>
            </w:r>
            <w:r>
              <w:rPr>
                <w:sz w:val="20"/>
                <w:szCs w:val="20"/>
              </w:rPr>
              <w:t>1</w:t>
            </w:r>
          </w:p>
        </w:tc>
        <w:tc>
          <w:tcPr>
            <w:tcW w:w="0" w:type="auto"/>
            <w:noWrap/>
            <w:vAlign w:val="bottom"/>
            <w:hideMark/>
          </w:tcPr>
          <w:p w14:paraId="1F83E86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76CF1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2F491B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B8798FD" w14:textId="77777777" w:rsidR="00000000" w:rsidRDefault="00EF48A2">
            <w:pPr>
              <w:pStyle w:val="a3"/>
              <w:spacing w:before="0" w:beforeAutospacing="0" w:after="0" w:afterAutospacing="0"/>
              <w:jc w:val="right"/>
              <w:rPr>
                <w:sz w:val="20"/>
                <w:szCs w:val="20"/>
              </w:rPr>
            </w:pPr>
            <w:r>
              <w:rPr>
                <w:sz w:val="20"/>
                <w:szCs w:val="20"/>
              </w:rPr>
              <w:t>76,19</w:t>
            </w:r>
            <w:r>
              <w:rPr>
                <w:sz w:val="20"/>
                <w:szCs w:val="20"/>
              </w:rPr>
              <w:t>0</w:t>
            </w:r>
          </w:p>
        </w:tc>
        <w:tc>
          <w:tcPr>
            <w:tcW w:w="0" w:type="auto"/>
            <w:noWrap/>
            <w:vAlign w:val="bottom"/>
            <w:hideMark/>
          </w:tcPr>
          <w:p w14:paraId="5C04E485" w14:textId="77777777" w:rsidR="00000000" w:rsidRDefault="00EF48A2">
            <w:pPr>
              <w:pStyle w:val="a3"/>
              <w:spacing w:before="0" w:beforeAutospacing="0" w:after="0" w:afterAutospacing="0"/>
              <w:rPr>
                <w:sz w:val="20"/>
                <w:szCs w:val="20"/>
              </w:rPr>
            </w:pPr>
            <w:r>
              <w:rPr>
                <w:sz w:val="20"/>
                <w:szCs w:val="20"/>
              </w:rPr>
              <w:t> </w:t>
            </w:r>
          </w:p>
        </w:tc>
      </w:tr>
    </w:tbl>
    <w:p w14:paraId="4E96BC85" w14:textId="77777777" w:rsidR="00000000" w:rsidRDefault="00EF48A2">
      <w:pPr>
        <w:pStyle w:val="a3"/>
        <w:spacing w:before="180" w:beforeAutospacing="0" w:after="240" w:afterAutospacing="0"/>
        <w:jc w:val="both"/>
        <w:divId w:val="1743986478"/>
        <w:rPr>
          <w:sz w:val="20"/>
          <w:szCs w:val="20"/>
        </w:rPr>
      </w:pPr>
      <w:r>
        <w:rPr>
          <w:sz w:val="20"/>
          <w:szCs w:val="20"/>
        </w:rPr>
        <w:t>For the years ended December 31, 2022, 2021 and 2020, the majority of the Company’s revenues were generated from customers located in the United States</w:t>
      </w:r>
      <w:r>
        <w:rPr>
          <w:sz w:val="20"/>
          <w:szCs w:val="20"/>
        </w:rPr>
        <w:t>.</w:t>
      </w:r>
    </w:p>
    <w:p w14:paraId="07CB077F" w14:textId="77777777" w:rsidR="00000000" w:rsidRDefault="00EF48A2">
      <w:pPr>
        <w:pStyle w:val="a3"/>
        <w:spacing w:before="180" w:beforeAutospacing="0" w:after="240" w:afterAutospacing="0"/>
        <w:jc w:val="both"/>
        <w:divId w:val="1743986478"/>
        <w:rPr>
          <w:sz w:val="20"/>
          <w:szCs w:val="20"/>
        </w:rPr>
      </w:pPr>
      <w:r>
        <w:rPr>
          <w:sz w:val="20"/>
          <w:szCs w:val="20"/>
        </w:rPr>
        <w:t>For the year ended December 31, 2022, two customers represented</w:t>
      </w:r>
      <w:r>
        <w:rPr>
          <w:sz w:val="20"/>
          <w:szCs w:val="20"/>
        </w:rPr>
        <w:t xml:space="preserve"> </w:t>
      </w:r>
      <w:r>
        <w:rPr>
          <w:sz w:val="20"/>
          <w:szCs w:val="20"/>
        </w:rPr>
        <w:t>1</w:t>
      </w:r>
      <w:r>
        <w:rPr>
          <w:sz w:val="20"/>
          <w:szCs w:val="20"/>
        </w:rPr>
        <w:t>0</w:t>
      </w:r>
      <w:r>
        <w:rPr>
          <w:sz w:val="20"/>
          <w:szCs w:val="20"/>
        </w:rPr>
        <w:t>% or more of total revenue and no sin</w:t>
      </w:r>
      <w:r>
        <w:rPr>
          <w:sz w:val="20"/>
          <w:szCs w:val="20"/>
        </w:rPr>
        <w:t>gle customer represented</w:t>
      </w:r>
      <w:r>
        <w:rPr>
          <w:sz w:val="20"/>
          <w:szCs w:val="20"/>
        </w:rPr>
        <w:t xml:space="preserve"> </w:t>
      </w:r>
      <w:r>
        <w:rPr>
          <w:sz w:val="20"/>
          <w:szCs w:val="20"/>
        </w:rPr>
        <w:t>1</w:t>
      </w:r>
      <w:r>
        <w:rPr>
          <w:sz w:val="20"/>
          <w:szCs w:val="20"/>
        </w:rPr>
        <w:t>0</w:t>
      </w:r>
      <w:r>
        <w:rPr>
          <w:sz w:val="20"/>
          <w:szCs w:val="20"/>
        </w:rPr>
        <w:t>% or more of total revenue for the years ended December 31, 2021 and 2020</w:t>
      </w:r>
      <w:r>
        <w:rPr>
          <w:sz w:val="20"/>
          <w:szCs w:val="20"/>
        </w:rPr>
        <w:t>.</w:t>
      </w:r>
    </w:p>
    <w:p w14:paraId="12EB4A10" w14:textId="77777777" w:rsidR="00000000" w:rsidRDefault="00EF48A2">
      <w:pPr>
        <w:pStyle w:val="a3"/>
        <w:spacing w:before="240" w:beforeAutospacing="0" w:after="0" w:afterAutospacing="0"/>
        <w:jc w:val="both"/>
        <w:divId w:val="672680241"/>
        <w:rPr>
          <w:sz w:val="20"/>
          <w:szCs w:val="20"/>
        </w:rPr>
      </w:pPr>
      <w:r>
        <w:rPr>
          <w:i/>
          <w:iCs/>
          <w:sz w:val="20"/>
          <w:szCs w:val="20"/>
        </w:rPr>
        <w:t>Accounts Receivabl</w:t>
      </w:r>
      <w:r>
        <w:rPr>
          <w:i/>
          <w:iCs/>
          <w:sz w:val="20"/>
          <w:szCs w:val="20"/>
        </w:rPr>
        <w:t>e</w:t>
      </w:r>
    </w:p>
    <w:p w14:paraId="678500C2" w14:textId="77777777" w:rsidR="00000000" w:rsidRDefault="00EF48A2">
      <w:pPr>
        <w:pStyle w:val="a3"/>
        <w:spacing w:before="180" w:beforeAutospacing="0" w:after="0" w:afterAutospacing="0"/>
        <w:jc w:val="both"/>
        <w:divId w:val="672680241"/>
        <w:rPr>
          <w:sz w:val="20"/>
          <w:szCs w:val="20"/>
        </w:rPr>
      </w:pPr>
      <w:r>
        <w:rPr>
          <w:sz w:val="20"/>
          <w:szCs w:val="20"/>
        </w:rPr>
        <w:t xml:space="preserve">The Company had receivables related to revenue from contracts with enterprise clients of </w:t>
      </w:r>
      <w:r>
        <w:rPr>
          <w:sz w:val="20"/>
          <w:szCs w:val="20"/>
        </w:rPr>
        <w:t>$</w:t>
      </w:r>
      <w:r>
        <w:rPr>
          <w:sz w:val="20"/>
          <w:szCs w:val="20"/>
        </w:rPr>
        <w:t>7.</w:t>
      </w:r>
      <w:r>
        <w:rPr>
          <w:sz w:val="20"/>
          <w:szCs w:val="20"/>
        </w:rPr>
        <w:t>4</w:t>
      </w:r>
      <w:r>
        <w:rPr>
          <w:sz w:val="20"/>
          <w:szCs w:val="20"/>
        </w:rPr>
        <w:t xml:space="preserve"> million and </w:t>
      </w:r>
      <w:r>
        <w:rPr>
          <w:sz w:val="20"/>
          <w:szCs w:val="20"/>
        </w:rPr>
        <w:t>$</w:t>
      </w:r>
      <w:r>
        <w:rPr>
          <w:sz w:val="20"/>
          <w:szCs w:val="20"/>
        </w:rPr>
        <w:t>4.</w:t>
      </w:r>
      <w:r>
        <w:rPr>
          <w:sz w:val="20"/>
          <w:szCs w:val="20"/>
        </w:rPr>
        <w:t>0</w:t>
      </w:r>
      <w:r>
        <w:rPr>
          <w:sz w:val="20"/>
          <w:szCs w:val="20"/>
        </w:rPr>
        <w:t xml:space="preserve"> million at December 31, 2022 and December 31, 2021, respectively.</w:t>
      </w:r>
      <w:r>
        <w:rPr>
          <w:sz w:val="20"/>
          <w:szCs w:val="20"/>
        </w:rPr>
        <w:t xml:space="preserve"> </w:t>
      </w:r>
      <w:r>
        <w:rPr>
          <w:sz w:val="20"/>
          <w:szCs w:val="20"/>
        </w:rPr>
        <w:t xml:space="preserve">As of December 31, 2022 and 2021, the balance of receivables related to health </w:t>
      </w:r>
      <w:r>
        <w:rPr>
          <w:sz w:val="20"/>
          <w:szCs w:val="20"/>
        </w:rPr>
        <w:t xml:space="preserve">insurance plans and EAP organizations was </w:t>
      </w:r>
      <w:r>
        <w:rPr>
          <w:sz w:val="20"/>
          <w:szCs w:val="20"/>
        </w:rPr>
        <w:t>$</w:t>
      </w:r>
      <w:r>
        <w:rPr>
          <w:sz w:val="20"/>
          <w:szCs w:val="20"/>
        </w:rPr>
        <w:t>2.</w:t>
      </w:r>
      <w:r>
        <w:rPr>
          <w:sz w:val="20"/>
          <w:szCs w:val="20"/>
        </w:rPr>
        <w:t>2</w:t>
      </w:r>
      <w:r>
        <w:rPr>
          <w:sz w:val="20"/>
          <w:szCs w:val="20"/>
        </w:rPr>
        <w:t xml:space="preserve"> million and </w:t>
      </w:r>
      <w:r>
        <w:rPr>
          <w:sz w:val="20"/>
          <w:szCs w:val="20"/>
        </w:rPr>
        <w:t>$</w:t>
      </w:r>
      <w:r>
        <w:rPr>
          <w:sz w:val="20"/>
          <w:szCs w:val="20"/>
        </w:rPr>
        <w:t>1.</w:t>
      </w:r>
      <w:r>
        <w:rPr>
          <w:sz w:val="20"/>
          <w:szCs w:val="20"/>
        </w:rPr>
        <w:t>5</w:t>
      </w:r>
      <w:r>
        <w:rPr>
          <w:sz w:val="20"/>
          <w:szCs w:val="20"/>
        </w:rPr>
        <w:t xml:space="preserve"> million, respectively</w:t>
      </w:r>
      <w:r>
        <w:rPr>
          <w:sz w:val="20"/>
          <w:szCs w:val="20"/>
        </w:rPr>
        <w:t>.</w:t>
      </w:r>
    </w:p>
    <w:p w14:paraId="747AEE1C" w14:textId="77777777" w:rsidR="00000000" w:rsidRDefault="00EF48A2">
      <w:pPr>
        <w:pStyle w:val="a3"/>
        <w:spacing w:before="180" w:beforeAutospacing="0" w:after="0" w:afterAutospacing="0"/>
        <w:jc w:val="both"/>
        <w:divId w:val="672680241"/>
        <w:rPr>
          <w:sz w:val="20"/>
          <w:szCs w:val="20"/>
        </w:rPr>
      </w:pPr>
      <w:r>
        <w:rPr>
          <w:sz w:val="20"/>
          <w:szCs w:val="20"/>
        </w:rPr>
        <w:t>As of December 31, 2022, four customers represe</w:t>
      </w:r>
      <w:r>
        <w:rPr>
          <w:sz w:val="20"/>
          <w:szCs w:val="20"/>
        </w:rPr>
        <w:t>n</w:t>
      </w:r>
      <w:r>
        <w:rPr>
          <w:sz w:val="20"/>
          <w:szCs w:val="20"/>
        </w:rPr>
        <w:t>ted</w:t>
      </w:r>
      <w:r>
        <w:rPr>
          <w:sz w:val="20"/>
          <w:szCs w:val="20"/>
        </w:rPr>
        <w:t xml:space="preserve"> </w:t>
      </w:r>
      <w:r>
        <w:rPr>
          <w:sz w:val="20"/>
          <w:szCs w:val="20"/>
        </w:rPr>
        <w:t>10.</w:t>
      </w:r>
      <w:r>
        <w:rPr>
          <w:sz w:val="20"/>
          <w:szCs w:val="20"/>
        </w:rPr>
        <w:t>4</w:t>
      </w:r>
      <w:r>
        <w:rPr>
          <w:sz w:val="20"/>
          <w:szCs w:val="20"/>
        </w:rPr>
        <w:t>%,</w:t>
      </w:r>
      <w:r>
        <w:rPr>
          <w:sz w:val="20"/>
          <w:szCs w:val="20"/>
        </w:rPr>
        <w:t xml:space="preserve"> </w:t>
      </w:r>
      <w:r>
        <w:rPr>
          <w:sz w:val="20"/>
          <w:szCs w:val="20"/>
        </w:rPr>
        <w:t>15.</w:t>
      </w:r>
      <w:r>
        <w:rPr>
          <w:sz w:val="20"/>
          <w:szCs w:val="20"/>
        </w:rPr>
        <w:t>1</w:t>
      </w:r>
      <w:r>
        <w:rPr>
          <w:sz w:val="20"/>
          <w:szCs w:val="20"/>
        </w:rPr>
        <w:t>%,</w:t>
      </w:r>
      <w:r>
        <w:rPr>
          <w:sz w:val="20"/>
          <w:szCs w:val="20"/>
        </w:rPr>
        <w:t xml:space="preserve"> </w:t>
      </w:r>
      <w:r>
        <w:rPr>
          <w:sz w:val="20"/>
          <w:szCs w:val="20"/>
        </w:rPr>
        <w:t>16.</w:t>
      </w:r>
      <w:r>
        <w:rPr>
          <w:sz w:val="20"/>
          <w:szCs w:val="20"/>
        </w:rPr>
        <w:t>9</w:t>
      </w:r>
      <w:r>
        <w:rPr>
          <w:sz w:val="20"/>
          <w:szCs w:val="20"/>
        </w:rPr>
        <w:t>%,</w:t>
      </w:r>
      <w:r>
        <w:rPr>
          <w:sz w:val="20"/>
          <w:szCs w:val="20"/>
        </w:rPr>
        <w:t xml:space="preserve"> </w:t>
      </w:r>
      <w:r>
        <w:rPr>
          <w:sz w:val="20"/>
          <w:szCs w:val="20"/>
        </w:rPr>
        <w:t>25.</w:t>
      </w:r>
      <w:r>
        <w:rPr>
          <w:sz w:val="20"/>
          <w:szCs w:val="20"/>
        </w:rPr>
        <w:t>0</w:t>
      </w:r>
      <w:r>
        <w:rPr>
          <w:sz w:val="20"/>
          <w:szCs w:val="20"/>
        </w:rPr>
        <w:t>% of the accounts receivable balance. As of December 31, 2021, one customer represented</w:t>
      </w:r>
      <w:r>
        <w:rPr>
          <w:sz w:val="20"/>
          <w:szCs w:val="20"/>
        </w:rPr>
        <w:t xml:space="preserve"> </w:t>
      </w:r>
      <w:r>
        <w:rPr>
          <w:sz w:val="20"/>
          <w:szCs w:val="20"/>
        </w:rPr>
        <w:t>16.</w:t>
      </w:r>
      <w:r>
        <w:rPr>
          <w:sz w:val="20"/>
          <w:szCs w:val="20"/>
        </w:rPr>
        <w:t>8</w:t>
      </w:r>
      <w:r>
        <w:rPr>
          <w:sz w:val="20"/>
          <w:szCs w:val="20"/>
        </w:rPr>
        <w:t>% of the accounts receivable balance</w:t>
      </w:r>
      <w:r>
        <w:rPr>
          <w:sz w:val="20"/>
          <w:szCs w:val="20"/>
        </w:rPr>
        <w:t>.</w:t>
      </w:r>
    </w:p>
    <w:p w14:paraId="2B0DADFF" w14:textId="77777777" w:rsidR="00000000" w:rsidRDefault="00EF48A2">
      <w:pPr>
        <w:pStyle w:val="a3"/>
        <w:spacing w:before="240" w:beforeAutospacing="0" w:after="0" w:afterAutospacing="0"/>
        <w:jc w:val="both"/>
        <w:divId w:val="672680241"/>
        <w:rPr>
          <w:sz w:val="20"/>
          <w:szCs w:val="20"/>
        </w:rPr>
      </w:pPr>
      <w:r>
        <w:rPr>
          <w:i/>
          <w:iCs/>
          <w:sz w:val="20"/>
          <w:szCs w:val="20"/>
        </w:rPr>
        <w:t>Deferred Revenu</w:t>
      </w:r>
      <w:r>
        <w:rPr>
          <w:i/>
          <w:iCs/>
          <w:sz w:val="20"/>
          <w:szCs w:val="20"/>
        </w:rPr>
        <w:t>e</w:t>
      </w:r>
    </w:p>
    <w:p w14:paraId="46D8D2FF" w14:textId="77777777" w:rsidR="00000000" w:rsidRDefault="00EF48A2">
      <w:pPr>
        <w:pStyle w:val="a3"/>
        <w:spacing w:before="180" w:beforeAutospacing="0" w:after="0" w:afterAutospacing="0"/>
        <w:jc w:val="both"/>
        <w:divId w:val="672680241"/>
        <w:rPr>
          <w:sz w:val="20"/>
          <w:szCs w:val="20"/>
        </w:rPr>
      </w:pPr>
      <w:r>
        <w:rPr>
          <w:sz w:val="20"/>
          <w:szCs w:val="20"/>
        </w:rPr>
        <w:t xml:space="preserve">For the year ended December 31, 2022 and 2021, the Company recognized revenues of </w:t>
      </w:r>
      <w:r>
        <w:rPr>
          <w:sz w:val="20"/>
          <w:szCs w:val="20"/>
        </w:rPr>
        <w:t>$</w:t>
      </w:r>
      <w:r>
        <w:rPr>
          <w:sz w:val="20"/>
          <w:szCs w:val="20"/>
        </w:rPr>
        <w:t>6.</w:t>
      </w:r>
      <w:r>
        <w:rPr>
          <w:sz w:val="20"/>
          <w:szCs w:val="20"/>
        </w:rPr>
        <w:t>2</w:t>
      </w:r>
      <w:r>
        <w:rPr>
          <w:sz w:val="20"/>
          <w:szCs w:val="20"/>
        </w:rPr>
        <w:t xml:space="preserve"> million and </w:t>
      </w:r>
      <w:r>
        <w:rPr>
          <w:sz w:val="20"/>
          <w:szCs w:val="20"/>
        </w:rPr>
        <w:t>$</w:t>
      </w:r>
      <w:r>
        <w:rPr>
          <w:sz w:val="20"/>
          <w:szCs w:val="20"/>
        </w:rPr>
        <w:t>5.</w:t>
      </w:r>
      <w:r>
        <w:rPr>
          <w:sz w:val="20"/>
          <w:szCs w:val="20"/>
        </w:rPr>
        <w:t>2</w:t>
      </w:r>
      <w:r>
        <w:rPr>
          <w:sz w:val="20"/>
          <w:szCs w:val="20"/>
        </w:rPr>
        <w:t xml:space="preserve"> million, respectively, that were included in deferred revenues at the beginning of the year. As o</w:t>
      </w:r>
      <w:r>
        <w:rPr>
          <w:sz w:val="20"/>
          <w:szCs w:val="20"/>
        </w:rPr>
        <w:t>f</w:t>
      </w:r>
      <w:r>
        <w:rPr>
          <w:sz w:val="20"/>
          <w:szCs w:val="20"/>
        </w:rPr>
        <w:t xml:space="preserve"> </w:t>
      </w:r>
      <w:r>
        <w:rPr>
          <w:sz w:val="20"/>
          <w:szCs w:val="20"/>
        </w:rPr>
        <w:t>December 31, 2022, deferred revenue related mainly to the Company’s B2C subscription business</w:t>
      </w:r>
      <w:r>
        <w:rPr>
          <w:sz w:val="20"/>
          <w:szCs w:val="20"/>
        </w:rPr>
        <w:t>.</w:t>
      </w:r>
    </w:p>
    <w:p w14:paraId="072365CB" w14:textId="77777777" w:rsidR="00000000" w:rsidRDefault="00EF48A2">
      <w:pPr>
        <w:pStyle w:val="a3"/>
        <w:spacing w:before="360" w:beforeAutospacing="0" w:after="0" w:afterAutospacing="0"/>
        <w:divId w:val="1771973413"/>
        <w:rPr>
          <w:sz w:val="20"/>
          <w:szCs w:val="20"/>
        </w:rPr>
      </w:pPr>
      <w:r>
        <w:rPr>
          <w:b/>
          <w:bCs/>
          <w:sz w:val="20"/>
          <w:szCs w:val="20"/>
        </w:rPr>
        <w:t>NOTE 4. GOODWIL</w:t>
      </w:r>
      <w:r>
        <w:rPr>
          <w:b/>
          <w:bCs/>
          <w:sz w:val="20"/>
          <w:szCs w:val="20"/>
        </w:rPr>
        <w:t>L</w:t>
      </w:r>
    </w:p>
    <w:p w14:paraId="7404D876" w14:textId="77777777" w:rsidR="00000000" w:rsidRDefault="00EF48A2">
      <w:pPr>
        <w:pStyle w:val="a3"/>
        <w:spacing w:before="180" w:beforeAutospacing="0" w:after="0" w:afterAutospacing="0"/>
        <w:jc w:val="both"/>
        <w:divId w:val="1771973413"/>
        <w:rPr>
          <w:sz w:val="20"/>
          <w:szCs w:val="20"/>
        </w:rPr>
      </w:pPr>
      <w:r>
        <w:rPr>
          <w:sz w:val="20"/>
          <w:szCs w:val="20"/>
        </w:rPr>
        <w:t>For the year ended December 31, 2022, the Company decided to by-pass the qualitative assessment and proceed directly to step one of the impair</w:t>
      </w:r>
      <w:r>
        <w:rPr>
          <w:sz w:val="20"/>
          <w:szCs w:val="20"/>
        </w:rPr>
        <w:t xml:space="preserve">ment test. The Company operates as one reporting unit and the fair value of the reporting unit is estimated using quoted market prices of the Company’s stock in active markets. The annual impairment test indicated that the carrying amount of the reporting </w:t>
      </w:r>
      <w:r>
        <w:rPr>
          <w:sz w:val="20"/>
          <w:szCs w:val="20"/>
        </w:rPr>
        <w:t>unit exceeded its fair value, which was primarily due to the continuous decline in our market capitalization as a result of a deterioration of the current economic environment</w:t>
      </w:r>
      <w:r>
        <w:rPr>
          <w:sz w:val="20"/>
          <w:szCs w:val="20"/>
        </w:rPr>
        <w:t>.</w:t>
      </w:r>
    </w:p>
    <w:p w14:paraId="78F11E26" w14:textId="77777777" w:rsidR="00000000" w:rsidRDefault="00EF48A2">
      <w:pPr>
        <w:pStyle w:val="a3"/>
        <w:spacing w:before="180" w:beforeAutospacing="0" w:after="0" w:afterAutospacing="0"/>
        <w:jc w:val="both"/>
        <w:divId w:val="1771973413"/>
        <w:rPr>
          <w:sz w:val="20"/>
          <w:szCs w:val="20"/>
        </w:rPr>
      </w:pPr>
      <w:r>
        <w:rPr>
          <w:sz w:val="20"/>
          <w:szCs w:val="20"/>
        </w:rPr>
        <w:t>For the year ended December 31, 2022, the Company recorded a goodwill impairmen</w:t>
      </w:r>
      <w:r>
        <w:rPr>
          <w:sz w:val="20"/>
          <w:szCs w:val="20"/>
        </w:rPr>
        <w:t xml:space="preserve">t charge of </w:t>
      </w:r>
      <w:r>
        <w:rPr>
          <w:sz w:val="20"/>
          <w:szCs w:val="20"/>
        </w:rPr>
        <w:t>$</w:t>
      </w:r>
      <w:r>
        <w:rPr>
          <w:sz w:val="20"/>
          <w:szCs w:val="20"/>
        </w:rPr>
        <w:t>6.</w:t>
      </w:r>
      <w:r>
        <w:rPr>
          <w:sz w:val="20"/>
          <w:szCs w:val="20"/>
        </w:rPr>
        <w:t>1</w:t>
      </w:r>
      <w:r>
        <w:rPr>
          <w:sz w:val="20"/>
          <w:szCs w:val="20"/>
        </w:rPr>
        <w:t xml:space="preserve"> million. For the years ended December 31, 2021 and 2020, the Company did</w:t>
      </w:r>
      <w:r>
        <w:rPr>
          <w:sz w:val="20"/>
          <w:szCs w:val="20"/>
        </w:rPr>
        <w:t xml:space="preserve"> </w:t>
      </w:r>
      <w:r>
        <w:rPr>
          <w:sz w:val="20"/>
          <w:szCs w:val="20"/>
        </w:rPr>
        <w:t>n</w:t>
      </w:r>
      <w:r>
        <w:rPr>
          <w:sz w:val="20"/>
          <w:szCs w:val="20"/>
        </w:rPr>
        <w:t>o</w:t>
      </w:r>
      <w:r>
        <w:rPr>
          <w:sz w:val="20"/>
          <w:szCs w:val="20"/>
        </w:rPr>
        <w:t>t record any impairment charge of goodwill</w:t>
      </w:r>
      <w:r>
        <w:rPr>
          <w:sz w:val="20"/>
          <w:szCs w:val="20"/>
        </w:rPr>
        <w:t>.</w:t>
      </w:r>
    </w:p>
    <w:p w14:paraId="551E9E9A" w14:textId="77777777" w:rsidR="00000000" w:rsidRDefault="00EF48A2">
      <w:pPr>
        <w:pStyle w:val="a3"/>
        <w:spacing w:before="0" w:beforeAutospacing="0" w:after="0" w:afterAutospacing="0"/>
        <w:rPr>
          <w:sz w:val="20"/>
          <w:szCs w:val="20"/>
        </w:rPr>
      </w:pPr>
      <w:r>
        <w:rPr>
          <w:sz w:val="20"/>
          <w:szCs w:val="20"/>
        </w:rPr>
        <w:t> </w:t>
      </w:r>
    </w:p>
    <w:p w14:paraId="12B74B19" w14:textId="77777777" w:rsidR="00000000" w:rsidRDefault="00EF48A2">
      <w:pPr>
        <w:pStyle w:val="a3"/>
        <w:spacing w:before="0" w:beforeAutospacing="0" w:after="0" w:afterAutospacing="0"/>
        <w:jc w:val="center"/>
        <w:rPr>
          <w:sz w:val="20"/>
          <w:szCs w:val="20"/>
        </w:rPr>
      </w:pPr>
      <w:r>
        <w:rPr>
          <w:sz w:val="20"/>
          <w:szCs w:val="20"/>
        </w:rPr>
        <w:t>7</w:t>
      </w:r>
      <w:r>
        <w:rPr>
          <w:sz w:val="20"/>
          <w:szCs w:val="20"/>
        </w:rPr>
        <w:t>0</w:t>
      </w:r>
    </w:p>
    <w:p w14:paraId="1CC8A6B2" w14:textId="77777777" w:rsidR="00000000" w:rsidRDefault="00EF48A2">
      <w:pPr>
        <w:rPr>
          <w:rFonts w:eastAsia="Times New Roman"/>
        </w:rPr>
      </w:pPr>
      <w:r>
        <w:rPr>
          <w:rFonts w:eastAsia="Times New Roman"/>
        </w:rPr>
        <w:pict w14:anchorId="05C9C3EC">
          <v:rect id="_x0000_i1097" style="width:0;height:1.5pt" o:hralign="center" o:hrstd="t" o:hr="t" fillcolor="#a0a0a0" stroked="f"/>
        </w:pict>
      </w:r>
    </w:p>
    <w:p w14:paraId="58AFBF5F"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94D8F01" w14:textId="77777777" w:rsidR="00000000" w:rsidRDefault="00EF48A2">
      <w:pPr>
        <w:pStyle w:val="a3"/>
        <w:spacing w:before="0" w:beforeAutospacing="0" w:after="0" w:afterAutospacing="0"/>
        <w:rPr>
          <w:sz w:val="20"/>
          <w:szCs w:val="20"/>
        </w:rPr>
      </w:pPr>
      <w:r>
        <w:rPr>
          <w:sz w:val="20"/>
          <w:szCs w:val="20"/>
        </w:rPr>
        <w:t> </w:t>
      </w:r>
    </w:p>
    <w:p w14:paraId="5F73FDFE" w14:textId="77777777" w:rsidR="00000000" w:rsidRDefault="00EF48A2">
      <w:pPr>
        <w:pStyle w:val="a3"/>
        <w:spacing w:before="0" w:beforeAutospacing="0" w:after="0" w:afterAutospacing="0"/>
        <w:divId w:val="1875146178"/>
        <w:rPr>
          <w:sz w:val="20"/>
          <w:szCs w:val="20"/>
        </w:rPr>
      </w:pPr>
      <w:r>
        <w:rPr>
          <w:b/>
          <w:bCs/>
          <w:sz w:val="20"/>
          <w:szCs w:val="20"/>
        </w:rPr>
        <w:t>NOTE 5. INTANGIBLE ASSETS, NE</w:t>
      </w:r>
      <w:r>
        <w:rPr>
          <w:b/>
          <w:bCs/>
          <w:sz w:val="20"/>
          <w:szCs w:val="20"/>
        </w:rPr>
        <w:t>T</w:t>
      </w:r>
      <w:r>
        <w:rPr>
          <w:b/>
          <w:bCs/>
          <w:sz w:val="20"/>
          <w:szCs w:val="20"/>
        </w:rPr>
        <w:t xml:space="preserve"> </w:t>
      </w:r>
    </w:p>
    <w:p w14:paraId="7FE3D0F0" w14:textId="77777777" w:rsidR="00000000" w:rsidRDefault="00EF48A2">
      <w:pPr>
        <w:pStyle w:val="a3"/>
        <w:spacing w:before="180" w:beforeAutospacing="0" w:after="0" w:afterAutospacing="0"/>
        <w:jc w:val="both"/>
        <w:divId w:val="1699623908"/>
        <w:rPr>
          <w:sz w:val="20"/>
          <w:szCs w:val="20"/>
        </w:rPr>
      </w:pPr>
      <w:r>
        <w:rPr>
          <w:sz w:val="20"/>
          <w:szCs w:val="20"/>
        </w:rPr>
        <w:t>Intangible assets are comprised of the following</w:t>
      </w:r>
      <w:r>
        <w:rPr>
          <w:sz w:val="20"/>
          <w:szCs w:val="20"/>
        </w:rPr>
        <w:t>:</w:t>
      </w:r>
      <w:r>
        <w:rPr>
          <w:sz w:val="20"/>
          <w:szCs w:val="20"/>
        </w:rPr>
        <w:t xml:space="preserve"> </w:t>
      </w:r>
    </w:p>
    <w:p w14:paraId="61D374F5" w14:textId="77777777" w:rsidR="00000000" w:rsidRDefault="00EF48A2">
      <w:pPr>
        <w:pStyle w:val="a3"/>
        <w:spacing w:before="0" w:beforeAutospacing="0" w:after="0" w:afterAutospacing="0"/>
        <w:divId w:val="1699623908"/>
        <w:rPr>
          <w:sz w:val="20"/>
          <w:szCs w:val="20"/>
        </w:rPr>
      </w:pPr>
      <w:r>
        <w:t>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5980"/>
        <w:gridCol w:w="110"/>
        <w:gridCol w:w="160"/>
        <w:gridCol w:w="678"/>
        <w:gridCol w:w="110"/>
        <w:gridCol w:w="110"/>
        <w:gridCol w:w="160"/>
        <w:gridCol w:w="707"/>
        <w:gridCol w:w="125"/>
      </w:tblGrid>
      <w:tr w:rsidR="00000000" w14:paraId="1DCE03E5" w14:textId="77777777">
        <w:trPr>
          <w:divId w:val="1699623908"/>
          <w:tblCellSpacing w:w="15" w:type="dxa"/>
        </w:trPr>
        <w:tc>
          <w:tcPr>
            <w:tcW w:w="3806" w:type="pct"/>
            <w:vAlign w:val="center"/>
            <w:hideMark/>
          </w:tcPr>
          <w:p w14:paraId="083AB8E5" w14:textId="77777777" w:rsidR="00000000" w:rsidRDefault="00EF48A2">
            <w:pPr>
              <w:rPr>
                <w:sz w:val="20"/>
                <w:szCs w:val="20"/>
              </w:rPr>
            </w:pPr>
          </w:p>
        </w:tc>
        <w:tc>
          <w:tcPr>
            <w:tcW w:w="51" w:type="pct"/>
            <w:vAlign w:val="center"/>
            <w:hideMark/>
          </w:tcPr>
          <w:p w14:paraId="4FD3CD28" w14:textId="77777777" w:rsidR="00000000" w:rsidRDefault="00EF48A2">
            <w:pPr>
              <w:rPr>
                <w:rFonts w:eastAsia="Times New Roman"/>
                <w:sz w:val="20"/>
                <w:szCs w:val="20"/>
              </w:rPr>
            </w:pPr>
          </w:p>
        </w:tc>
        <w:tc>
          <w:tcPr>
            <w:tcW w:w="50" w:type="pct"/>
            <w:vAlign w:val="center"/>
            <w:hideMark/>
          </w:tcPr>
          <w:p w14:paraId="0B725891" w14:textId="77777777" w:rsidR="00000000" w:rsidRDefault="00EF48A2">
            <w:pPr>
              <w:rPr>
                <w:rFonts w:eastAsia="Times New Roman"/>
                <w:sz w:val="20"/>
                <w:szCs w:val="20"/>
              </w:rPr>
            </w:pPr>
          </w:p>
        </w:tc>
        <w:tc>
          <w:tcPr>
            <w:tcW w:w="436" w:type="pct"/>
            <w:vAlign w:val="center"/>
            <w:hideMark/>
          </w:tcPr>
          <w:p w14:paraId="3CBC6EC5" w14:textId="77777777" w:rsidR="00000000" w:rsidRDefault="00EF48A2">
            <w:pPr>
              <w:rPr>
                <w:rFonts w:eastAsia="Times New Roman"/>
                <w:sz w:val="20"/>
                <w:szCs w:val="20"/>
              </w:rPr>
            </w:pPr>
          </w:p>
        </w:tc>
        <w:tc>
          <w:tcPr>
            <w:tcW w:w="50" w:type="pct"/>
            <w:vAlign w:val="center"/>
            <w:hideMark/>
          </w:tcPr>
          <w:p w14:paraId="23F248F8" w14:textId="77777777" w:rsidR="00000000" w:rsidRDefault="00EF48A2">
            <w:pPr>
              <w:rPr>
                <w:rFonts w:eastAsia="Times New Roman"/>
                <w:sz w:val="20"/>
                <w:szCs w:val="20"/>
              </w:rPr>
            </w:pPr>
          </w:p>
        </w:tc>
        <w:tc>
          <w:tcPr>
            <w:tcW w:w="51" w:type="pct"/>
            <w:vAlign w:val="center"/>
            <w:hideMark/>
          </w:tcPr>
          <w:p w14:paraId="20E61DEC" w14:textId="77777777" w:rsidR="00000000" w:rsidRDefault="00EF48A2">
            <w:pPr>
              <w:rPr>
                <w:rFonts w:eastAsia="Times New Roman"/>
                <w:sz w:val="20"/>
                <w:szCs w:val="20"/>
              </w:rPr>
            </w:pPr>
          </w:p>
        </w:tc>
        <w:tc>
          <w:tcPr>
            <w:tcW w:w="50" w:type="pct"/>
            <w:vAlign w:val="center"/>
            <w:hideMark/>
          </w:tcPr>
          <w:p w14:paraId="3716B9AE" w14:textId="77777777" w:rsidR="00000000" w:rsidRDefault="00EF48A2">
            <w:pPr>
              <w:rPr>
                <w:rFonts w:eastAsia="Times New Roman"/>
                <w:sz w:val="20"/>
                <w:szCs w:val="20"/>
              </w:rPr>
            </w:pPr>
          </w:p>
        </w:tc>
        <w:tc>
          <w:tcPr>
            <w:tcW w:w="454" w:type="pct"/>
            <w:vAlign w:val="center"/>
            <w:hideMark/>
          </w:tcPr>
          <w:p w14:paraId="7DDE24F8" w14:textId="77777777" w:rsidR="00000000" w:rsidRDefault="00EF48A2">
            <w:pPr>
              <w:rPr>
                <w:rFonts w:eastAsia="Times New Roman"/>
                <w:sz w:val="20"/>
                <w:szCs w:val="20"/>
              </w:rPr>
            </w:pPr>
          </w:p>
        </w:tc>
        <w:tc>
          <w:tcPr>
            <w:tcW w:w="50" w:type="pct"/>
            <w:vAlign w:val="center"/>
            <w:hideMark/>
          </w:tcPr>
          <w:p w14:paraId="4E3D395A" w14:textId="77777777" w:rsidR="00000000" w:rsidRDefault="00EF48A2">
            <w:pPr>
              <w:rPr>
                <w:rFonts w:eastAsia="Times New Roman"/>
                <w:sz w:val="20"/>
                <w:szCs w:val="20"/>
              </w:rPr>
            </w:pPr>
          </w:p>
        </w:tc>
      </w:tr>
      <w:tr w:rsidR="00000000" w14:paraId="0CF49663" w14:textId="77777777">
        <w:trPr>
          <w:divId w:val="1699623908"/>
          <w:trHeight w:val="160"/>
          <w:tblCellSpacing w:w="15" w:type="dxa"/>
        </w:trPr>
        <w:tc>
          <w:tcPr>
            <w:tcW w:w="0" w:type="auto"/>
            <w:vAlign w:val="bottom"/>
            <w:hideMark/>
          </w:tcPr>
          <w:p w14:paraId="037825A3"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33488F98"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01B98899" w14:textId="77777777" w:rsidR="00000000" w:rsidRDefault="00EF48A2">
            <w:pPr>
              <w:pStyle w:val="a3"/>
              <w:spacing w:before="0" w:beforeAutospacing="0" w:after="0" w:afterAutospacing="0"/>
              <w:jc w:val="center"/>
              <w:rPr>
                <w:sz w:val="16"/>
                <w:szCs w:val="16"/>
              </w:rPr>
            </w:pPr>
            <w:r>
              <w:rPr>
                <w:b/>
                <w:bCs/>
                <w:sz w:val="16"/>
                <w:szCs w:val="16"/>
              </w:rPr>
              <w:t>As of December 31</w:t>
            </w:r>
            <w:r>
              <w:rPr>
                <w:b/>
                <w:bCs/>
                <w:sz w:val="16"/>
                <w:szCs w:val="16"/>
              </w:rPr>
              <w:t>,</w:t>
            </w:r>
          </w:p>
        </w:tc>
        <w:tc>
          <w:tcPr>
            <w:tcW w:w="0" w:type="auto"/>
            <w:vAlign w:val="bottom"/>
            <w:hideMark/>
          </w:tcPr>
          <w:p w14:paraId="45BA08E8"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714F6F70" w14:textId="77777777">
        <w:trPr>
          <w:divId w:val="1699623908"/>
          <w:trHeight w:val="160"/>
          <w:tblCellSpacing w:w="15" w:type="dxa"/>
        </w:trPr>
        <w:tc>
          <w:tcPr>
            <w:tcW w:w="0" w:type="auto"/>
            <w:vAlign w:val="bottom"/>
            <w:hideMark/>
          </w:tcPr>
          <w:p w14:paraId="1E39FFE0"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3219F8C9"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96A0AA4"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427045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47DDE0AF"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6016F12"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00EC2AF"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5409544" w14:textId="77777777">
        <w:trPr>
          <w:divId w:val="1699623908"/>
          <w:trHeight w:val="200"/>
          <w:tblCellSpacing w:w="15" w:type="dxa"/>
        </w:trPr>
        <w:tc>
          <w:tcPr>
            <w:tcW w:w="0" w:type="auto"/>
            <w:hideMark/>
          </w:tcPr>
          <w:p w14:paraId="0F7320EA" w14:textId="77777777" w:rsidR="00000000" w:rsidRDefault="00EF48A2">
            <w:pPr>
              <w:pStyle w:val="a3"/>
              <w:spacing w:before="0" w:beforeAutospacing="0" w:after="0" w:afterAutospacing="0"/>
              <w:rPr>
                <w:sz w:val="20"/>
                <w:szCs w:val="20"/>
              </w:rPr>
            </w:pPr>
            <w:r>
              <w:rPr>
                <w:sz w:val="20"/>
                <w:szCs w:val="20"/>
              </w:rPr>
              <w:t>Intangible assets with finite lives</w:t>
            </w:r>
            <w:r>
              <w:rPr>
                <w:sz w:val="20"/>
                <w:szCs w:val="20"/>
              </w:rPr>
              <w:t>:</w:t>
            </w:r>
          </w:p>
        </w:tc>
        <w:tc>
          <w:tcPr>
            <w:tcW w:w="0" w:type="auto"/>
            <w:vAlign w:val="bottom"/>
            <w:hideMark/>
          </w:tcPr>
          <w:p w14:paraId="4EC262FC"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25C3D4F"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7A8B86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EB7CDF8"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C65688E"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968D1AD" w14:textId="77777777" w:rsidR="00000000" w:rsidRDefault="00EF48A2">
            <w:pPr>
              <w:pStyle w:val="a3"/>
              <w:spacing w:before="0" w:beforeAutospacing="0" w:after="0" w:afterAutospacing="0"/>
              <w:jc w:val="right"/>
              <w:rPr>
                <w:sz w:val="20"/>
                <w:szCs w:val="20"/>
              </w:rPr>
            </w:pPr>
            <w:r>
              <w:rPr>
                <w:sz w:val="20"/>
                <w:szCs w:val="20"/>
              </w:rPr>
              <w:t> </w:t>
            </w:r>
          </w:p>
        </w:tc>
      </w:tr>
      <w:tr w:rsidR="00000000" w14:paraId="73CDE587" w14:textId="77777777">
        <w:trPr>
          <w:divId w:val="1699623908"/>
          <w:trHeight w:val="200"/>
          <w:tblCellSpacing w:w="15" w:type="dxa"/>
        </w:trPr>
        <w:tc>
          <w:tcPr>
            <w:tcW w:w="0" w:type="auto"/>
            <w:hideMark/>
          </w:tcPr>
          <w:p w14:paraId="09AB2D1F" w14:textId="77777777" w:rsidR="00000000" w:rsidRDefault="00EF48A2">
            <w:pPr>
              <w:pStyle w:val="a3"/>
              <w:spacing w:before="0" w:beforeAutospacing="0" w:after="0" w:afterAutospacing="0"/>
              <w:ind w:left="200"/>
              <w:rPr>
                <w:sz w:val="20"/>
                <w:szCs w:val="20"/>
              </w:rPr>
            </w:pPr>
            <w:r>
              <w:rPr>
                <w:sz w:val="20"/>
                <w:szCs w:val="20"/>
              </w:rPr>
              <w:t>Acquired technolog</w:t>
            </w:r>
            <w:r>
              <w:rPr>
                <w:sz w:val="20"/>
                <w:szCs w:val="20"/>
              </w:rPr>
              <w:t>y</w:t>
            </w:r>
          </w:p>
        </w:tc>
        <w:tc>
          <w:tcPr>
            <w:tcW w:w="0" w:type="auto"/>
            <w:vAlign w:val="bottom"/>
            <w:hideMark/>
          </w:tcPr>
          <w:p w14:paraId="06EEA27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BDB0BB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D5D4192" w14:textId="77777777" w:rsidR="00000000" w:rsidRDefault="00EF48A2">
            <w:pPr>
              <w:pStyle w:val="a3"/>
              <w:spacing w:before="0" w:beforeAutospacing="0" w:after="0" w:afterAutospacing="0"/>
              <w:jc w:val="right"/>
              <w:rPr>
                <w:sz w:val="20"/>
                <w:szCs w:val="20"/>
              </w:rPr>
            </w:pPr>
            <w:r>
              <w:rPr>
                <w:sz w:val="20"/>
                <w:szCs w:val="20"/>
              </w:rPr>
              <w:t>3,20</w:t>
            </w:r>
            <w:r>
              <w:rPr>
                <w:sz w:val="20"/>
                <w:szCs w:val="20"/>
              </w:rPr>
              <w:t>1</w:t>
            </w:r>
          </w:p>
        </w:tc>
        <w:tc>
          <w:tcPr>
            <w:tcW w:w="0" w:type="auto"/>
            <w:noWrap/>
            <w:vAlign w:val="bottom"/>
            <w:hideMark/>
          </w:tcPr>
          <w:p w14:paraId="2DA972E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AAD5B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CD5FC1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833D432" w14:textId="77777777" w:rsidR="00000000" w:rsidRDefault="00EF48A2">
            <w:pPr>
              <w:pStyle w:val="a3"/>
              <w:spacing w:before="0" w:beforeAutospacing="0" w:after="0" w:afterAutospacing="0"/>
              <w:jc w:val="right"/>
              <w:rPr>
                <w:sz w:val="20"/>
                <w:szCs w:val="20"/>
              </w:rPr>
            </w:pPr>
            <w:r>
              <w:rPr>
                <w:sz w:val="20"/>
                <w:szCs w:val="20"/>
              </w:rPr>
              <w:t>3,20</w:t>
            </w:r>
            <w:r>
              <w:rPr>
                <w:sz w:val="20"/>
                <w:szCs w:val="20"/>
              </w:rPr>
              <w:t>1</w:t>
            </w:r>
          </w:p>
        </w:tc>
        <w:tc>
          <w:tcPr>
            <w:tcW w:w="0" w:type="auto"/>
            <w:noWrap/>
            <w:vAlign w:val="bottom"/>
            <w:hideMark/>
          </w:tcPr>
          <w:p w14:paraId="67604898" w14:textId="77777777" w:rsidR="00000000" w:rsidRDefault="00EF48A2">
            <w:pPr>
              <w:pStyle w:val="a3"/>
              <w:spacing w:before="0" w:beforeAutospacing="0" w:after="0" w:afterAutospacing="0"/>
              <w:rPr>
                <w:sz w:val="20"/>
                <w:szCs w:val="20"/>
              </w:rPr>
            </w:pPr>
            <w:r>
              <w:rPr>
                <w:sz w:val="20"/>
                <w:szCs w:val="20"/>
              </w:rPr>
              <w:t> </w:t>
            </w:r>
          </w:p>
        </w:tc>
      </w:tr>
      <w:tr w:rsidR="00000000" w14:paraId="2CBDE8EB" w14:textId="77777777">
        <w:trPr>
          <w:divId w:val="1699623908"/>
          <w:trHeight w:val="200"/>
          <w:tblCellSpacing w:w="15" w:type="dxa"/>
        </w:trPr>
        <w:tc>
          <w:tcPr>
            <w:tcW w:w="0" w:type="auto"/>
            <w:hideMark/>
          </w:tcPr>
          <w:p w14:paraId="3CEB64FA" w14:textId="77777777" w:rsidR="00000000" w:rsidRDefault="00EF48A2">
            <w:pPr>
              <w:pStyle w:val="a3"/>
              <w:spacing w:before="0" w:beforeAutospacing="0" w:after="0" w:afterAutospacing="0"/>
              <w:ind w:left="200"/>
              <w:rPr>
                <w:sz w:val="20"/>
                <w:szCs w:val="20"/>
              </w:rPr>
            </w:pPr>
            <w:r>
              <w:rPr>
                <w:sz w:val="20"/>
                <w:szCs w:val="20"/>
              </w:rPr>
              <w:t>Customer relationshi</w:t>
            </w:r>
            <w:r>
              <w:rPr>
                <w:sz w:val="20"/>
                <w:szCs w:val="20"/>
              </w:rPr>
              <w:t>p</w:t>
            </w:r>
          </w:p>
        </w:tc>
        <w:tc>
          <w:tcPr>
            <w:tcW w:w="0" w:type="auto"/>
            <w:vAlign w:val="bottom"/>
            <w:hideMark/>
          </w:tcPr>
          <w:p w14:paraId="2D8DAB4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EEFADB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E700F2" w14:textId="77777777" w:rsidR="00000000" w:rsidRDefault="00EF48A2">
            <w:pPr>
              <w:pStyle w:val="a3"/>
              <w:spacing w:before="0" w:beforeAutospacing="0" w:after="0" w:afterAutospacing="0"/>
              <w:jc w:val="right"/>
              <w:rPr>
                <w:sz w:val="20"/>
                <w:szCs w:val="20"/>
              </w:rPr>
            </w:pPr>
            <w:r>
              <w:rPr>
                <w:sz w:val="20"/>
                <w:szCs w:val="20"/>
              </w:rPr>
              <w:t>1,35</w:t>
            </w:r>
            <w:r>
              <w:rPr>
                <w:sz w:val="20"/>
                <w:szCs w:val="20"/>
              </w:rPr>
              <w:t>0</w:t>
            </w:r>
          </w:p>
        </w:tc>
        <w:tc>
          <w:tcPr>
            <w:tcW w:w="0" w:type="auto"/>
            <w:noWrap/>
            <w:vAlign w:val="bottom"/>
            <w:hideMark/>
          </w:tcPr>
          <w:p w14:paraId="281C0CB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21C42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6E813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607A58" w14:textId="77777777" w:rsidR="00000000" w:rsidRDefault="00EF48A2">
            <w:pPr>
              <w:pStyle w:val="a3"/>
              <w:spacing w:before="0" w:beforeAutospacing="0" w:after="0" w:afterAutospacing="0"/>
              <w:jc w:val="right"/>
              <w:rPr>
                <w:sz w:val="20"/>
                <w:szCs w:val="20"/>
              </w:rPr>
            </w:pPr>
            <w:r>
              <w:rPr>
                <w:sz w:val="20"/>
                <w:szCs w:val="20"/>
              </w:rPr>
              <w:t>1,35</w:t>
            </w:r>
            <w:r>
              <w:rPr>
                <w:sz w:val="20"/>
                <w:szCs w:val="20"/>
              </w:rPr>
              <w:t>0</w:t>
            </w:r>
          </w:p>
        </w:tc>
        <w:tc>
          <w:tcPr>
            <w:tcW w:w="0" w:type="auto"/>
            <w:noWrap/>
            <w:vAlign w:val="bottom"/>
            <w:hideMark/>
          </w:tcPr>
          <w:p w14:paraId="7F424780" w14:textId="77777777" w:rsidR="00000000" w:rsidRDefault="00EF48A2">
            <w:pPr>
              <w:pStyle w:val="a3"/>
              <w:spacing w:before="0" w:beforeAutospacing="0" w:after="0" w:afterAutospacing="0"/>
              <w:rPr>
                <w:sz w:val="20"/>
                <w:szCs w:val="20"/>
              </w:rPr>
            </w:pPr>
            <w:r>
              <w:rPr>
                <w:sz w:val="20"/>
                <w:szCs w:val="20"/>
              </w:rPr>
              <w:t> </w:t>
            </w:r>
          </w:p>
        </w:tc>
      </w:tr>
      <w:tr w:rsidR="00000000" w14:paraId="50627CD7" w14:textId="77777777">
        <w:trPr>
          <w:divId w:val="1699623908"/>
          <w:trHeight w:val="200"/>
          <w:tblCellSpacing w:w="15" w:type="dxa"/>
        </w:trPr>
        <w:tc>
          <w:tcPr>
            <w:tcW w:w="0" w:type="auto"/>
            <w:hideMark/>
          </w:tcPr>
          <w:p w14:paraId="0C9D5D1C" w14:textId="77777777" w:rsidR="00000000" w:rsidRDefault="00EF48A2">
            <w:pPr>
              <w:pStyle w:val="a3"/>
              <w:spacing w:before="0" w:beforeAutospacing="0" w:after="0" w:afterAutospacing="0"/>
              <w:ind w:left="200"/>
              <w:rPr>
                <w:sz w:val="20"/>
                <w:szCs w:val="20"/>
              </w:rPr>
            </w:pPr>
            <w:r>
              <w:rPr>
                <w:sz w:val="20"/>
                <w:szCs w:val="20"/>
              </w:rPr>
              <w:t>Non-Competition agreemen</w:t>
            </w:r>
            <w:r>
              <w:rPr>
                <w:sz w:val="20"/>
                <w:szCs w:val="20"/>
              </w:rPr>
              <w:t>t</w:t>
            </w:r>
          </w:p>
        </w:tc>
        <w:tc>
          <w:tcPr>
            <w:tcW w:w="0" w:type="auto"/>
            <w:vAlign w:val="bottom"/>
            <w:hideMark/>
          </w:tcPr>
          <w:p w14:paraId="0C09B79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D3F89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DF47433" w14:textId="77777777" w:rsidR="00000000" w:rsidRDefault="00EF48A2">
            <w:pPr>
              <w:pStyle w:val="a3"/>
              <w:spacing w:before="0" w:beforeAutospacing="0" w:after="0" w:afterAutospacing="0"/>
              <w:jc w:val="right"/>
              <w:rPr>
                <w:sz w:val="20"/>
                <w:szCs w:val="20"/>
              </w:rPr>
            </w:pPr>
            <w:r>
              <w:rPr>
                <w:sz w:val="20"/>
                <w:szCs w:val="20"/>
              </w:rPr>
              <w:t>93</w:t>
            </w:r>
            <w:r>
              <w:rPr>
                <w:sz w:val="20"/>
                <w:szCs w:val="20"/>
              </w:rPr>
              <w:t>9</w:t>
            </w:r>
          </w:p>
        </w:tc>
        <w:tc>
          <w:tcPr>
            <w:tcW w:w="0" w:type="auto"/>
            <w:noWrap/>
            <w:vAlign w:val="bottom"/>
            <w:hideMark/>
          </w:tcPr>
          <w:p w14:paraId="661A9CF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604CB2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0F1A68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18F48D6" w14:textId="77777777" w:rsidR="00000000" w:rsidRDefault="00EF48A2">
            <w:pPr>
              <w:pStyle w:val="a3"/>
              <w:spacing w:before="0" w:beforeAutospacing="0" w:after="0" w:afterAutospacing="0"/>
              <w:jc w:val="right"/>
              <w:rPr>
                <w:sz w:val="20"/>
                <w:szCs w:val="20"/>
              </w:rPr>
            </w:pPr>
            <w:r>
              <w:rPr>
                <w:sz w:val="20"/>
                <w:szCs w:val="20"/>
              </w:rPr>
              <w:t>93</w:t>
            </w:r>
            <w:r>
              <w:rPr>
                <w:sz w:val="20"/>
                <w:szCs w:val="20"/>
              </w:rPr>
              <w:t>9</w:t>
            </w:r>
          </w:p>
        </w:tc>
        <w:tc>
          <w:tcPr>
            <w:tcW w:w="0" w:type="auto"/>
            <w:noWrap/>
            <w:vAlign w:val="bottom"/>
            <w:hideMark/>
          </w:tcPr>
          <w:p w14:paraId="20EA1CE0" w14:textId="77777777" w:rsidR="00000000" w:rsidRDefault="00EF48A2">
            <w:pPr>
              <w:pStyle w:val="a3"/>
              <w:spacing w:before="0" w:beforeAutospacing="0" w:after="0" w:afterAutospacing="0"/>
              <w:rPr>
                <w:sz w:val="20"/>
                <w:szCs w:val="20"/>
              </w:rPr>
            </w:pPr>
            <w:r>
              <w:rPr>
                <w:sz w:val="20"/>
                <w:szCs w:val="20"/>
              </w:rPr>
              <w:t> </w:t>
            </w:r>
          </w:p>
        </w:tc>
      </w:tr>
      <w:tr w:rsidR="00000000" w14:paraId="5BFC3159" w14:textId="77777777">
        <w:trPr>
          <w:divId w:val="1699623908"/>
          <w:trHeight w:val="200"/>
          <w:tblCellSpacing w:w="15" w:type="dxa"/>
        </w:trPr>
        <w:tc>
          <w:tcPr>
            <w:tcW w:w="0" w:type="auto"/>
            <w:vAlign w:val="bottom"/>
            <w:hideMark/>
          </w:tcPr>
          <w:p w14:paraId="6D5C182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18488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BA3E06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E3A195" w14:textId="77777777" w:rsidR="00000000" w:rsidRDefault="00EF48A2">
            <w:pPr>
              <w:pStyle w:val="a3"/>
              <w:spacing w:before="0" w:beforeAutospacing="0" w:after="0" w:afterAutospacing="0"/>
              <w:jc w:val="right"/>
              <w:rPr>
                <w:sz w:val="20"/>
                <w:szCs w:val="20"/>
              </w:rPr>
            </w:pPr>
            <w:r>
              <w:rPr>
                <w:sz w:val="20"/>
                <w:szCs w:val="20"/>
              </w:rPr>
              <w:t>5,49</w:t>
            </w:r>
            <w:r>
              <w:rPr>
                <w:sz w:val="20"/>
                <w:szCs w:val="20"/>
              </w:rPr>
              <w:t>0</w:t>
            </w:r>
          </w:p>
        </w:tc>
        <w:tc>
          <w:tcPr>
            <w:tcW w:w="0" w:type="auto"/>
            <w:noWrap/>
            <w:vAlign w:val="bottom"/>
            <w:hideMark/>
          </w:tcPr>
          <w:p w14:paraId="4FBACD3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C60D2B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9806E6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F17460D" w14:textId="77777777" w:rsidR="00000000" w:rsidRDefault="00EF48A2">
            <w:pPr>
              <w:pStyle w:val="a3"/>
              <w:spacing w:before="0" w:beforeAutospacing="0" w:after="0" w:afterAutospacing="0"/>
              <w:jc w:val="right"/>
              <w:rPr>
                <w:sz w:val="20"/>
                <w:szCs w:val="20"/>
              </w:rPr>
            </w:pPr>
            <w:r>
              <w:rPr>
                <w:sz w:val="20"/>
                <w:szCs w:val="20"/>
              </w:rPr>
              <w:t>5,49</w:t>
            </w:r>
            <w:r>
              <w:rPr>
                <w:sz w:val="20"/>
                <w:szCs w:val="20"/>
              </w:rPr>
              <w:t>0</w:t>
            </w:r>
          </w:p>
        </w:tc>
        <w:tc>
          <w:tcPr>
            <w:tcW w:w="0" w:type="auto"/>
            <w:noWrap/>
            <w:vAlign w:val="bottom"/>
            <w:hideMark/>
          </w:tcPr>
          <w:p w14:paraId="0AE706CA" w14:textId="77777777" w:rsidR="00000000" w:rsidRDefault="00EF48A2">
            <w:pPr>
              <w:pStyle w:val="a3"/>
              <w:spacing w:before="0" w:beforeAutospacing="0" w:after="0" w:afterAutospacing="0"/>
              <w:rPr>
                <w:sz w:val="20"/>
                <w:szCs w:val="20"/>
              </w:rPr>
            </w:pPr>
            <w:r>
              <w:rPr>
                <w:sz w:val="20"/>
                <w:szCs w:val="20"/>
              </w:rPr>
              <w:t> </w:t>
            </w:r>
          </w:p>
        </w:tc>
      </w:tr>
      <w:tr w:rsidR="00000000" w14:paraId="4A1E8321" w14:textId="77777777">
        <w:trPr>
          <w:divId w:val="1699623908"/>
          <w:trHeight w:val="200"/>
          <w:tblCellSpacing w:w="15" w:type="dxa"/>
        </w:trPr>
        <w:tc>
          <w:tcPr>
            <w:tcW w:w="0" w:type="auto"/>
            <w:hideMark/>
          </w:tcPr>
          <w:p w14:paraId="74FE057C" w14:textId="77777777" w:rsidR="00000000" w:rsidRDefault="00EF48A2">
            <w:pPr>
              <w:pStyle w:val="a3"/>
              <w:spacing w:before="0" w:beforeAutospacing="0" w:after="0" w:afterAutospacing="0"/>
              <w:rPr>
                <w:sz w:val="20"/>
                <w:szCs w:val="20"/>
              </w:rPr>
            </w:pPr>
            <w:r>
              <w:rPr>
                <w:sz w:val="20"/>
                <w:szCs w:val="20"/>
              </w:rPr>
              <w:t>Accumulated amortization</w:t>
            </w:r>
            <w:r>
              <w:rPr>
                <w:sz w:val="20"/>
                <w:szCs w:val="20"/>
              </w:rPr>
              <w:t>:</w:t>
            </w:r>
          </w:p>
        </w:tc>
        <w:tc>
          <w:tcPr>
            <w:tcW w:w="0" w:type="auto"/>
            <w:vAlign w:val="bottom"/>
            <w:hideMark/>
          </w:tcPr>
          <w:p w14:paraId="5025644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4585BA5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64B33D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E107F77"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9F6F98E"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2D0AA34" w14:textId="77777777" w:rsidR="00000000" w:rsidRDefault="00EF48A2">
            <w:pPr>
              <w:pStyle w:val="a3"/>
              <w:spacing w:before="0" w:beforeAutospacing="0" w:after="0" w:afterAutospacing="0"/>
              <w:jc w:val="right"/>
              <w:rPr>
                <w:sz w:val="20"/>
                <w:szCs w:val="20"/>
              </w:rPr>
            </w:pPr>
            <w:r>
              <w:rPr>
                <w:sz w:val="20"/>
                <w:szCs w:val="20"/>
              </w:rPr>
              <w:t> </w:t>
            </w:r>
          </w:p>
        </w:tc>
      </w:tr>
      <w:tr w:rsidR="00000000" w14:paraId="2204242F" w14:textId="77777777">
        <w:trPr>
          <w:divId w:val="1699623908"/>
          <w:trHeight w:val="200"/>
          <w:tblCellSpacing w:w="15" w:type="dxa"/>
        </w:trPr>
        <w:tc>
          <w:tcPr>
            <w:tcW w:w="0" w:type="auto"/>
            <w:hideMark/>
          </w:tcPr>
          <w:p w14:paraId="0F9954BE" w14:textId="77777777" w:rsidR="00000000" w:rsidRDefault="00EF48A2">
            <w:pPr>
              <w:pStyle w:val="a3"/>
              <w:spacing w:before="0" w:beforeAutospacing="0" w:after="0" w:afterAutospacing="0"/>
              <w:ind w:left="200"/>
              <w:rPr>
                <w:sz w:val="20"/>
                <w:szCs w:val="20"/>
              </w:rPr>
            </w:pPr>
            <w:r>
              <w:rPr>
                <w:sz w:val="20"/>
                <w:szCs w:val="20"/>
              </w:rPr>
              <w:t>Acquired technolog</w:t>
            </w:r>
            <w:r>
              <w:rPr>
                <w:sz w:val="20"/>
                <w:szCs w:val="20"/>
              </w:rPr>
              <w:t>y</w:t>
            </w:r>
          </w:p>
        </w:tc>
        <w:tc>
          <w:tcPr>
            <w:tcW w:w="0" w:type="auto"/>
            <w:vAlign w:val="bottom"/>
            <w:hideMark/>
          </w:tcPr>
          <w:p w14:paraId="0854C90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7AFE5E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212E39E" w14:textId="77777777" w:rsidR="00000000" w:rsidRDefault="00EF48A2">
            <w:pPr>
              <w:pStyle w:val="a3"/>
              <w:spacing w:before="0" w:beforeAutospacing="0" w:after="0" w:afterAutospacing="0"/>
              <w:jc w:val="right"/>
              <w:rPr>
                <w:sz w:val="20"/>
                <w:szCs w:val="20"/>
              </w:rPr>
            </w:pPr>
            <w:r>
              <w:rPr>
                <w:sz w:val="20"/>
                <w:szCs w:val="20"/>
              </w:rPr>
              <w:t>96</w:t>
            </w:r>
            <w:r>
              <w:rPr>
                <w:sz w:val="20"/>
                <w:szCs w:val="20"/>
              </w:rPr>
              <w:t>8</w:t>
            </w:r>
          </w:p>
        </w:tc>
        <w:tc>
          <w:tcPr>
            <w:tcW w:w="0" w:type="auto"/>
            <w:noWrap/>
            <w:vAlign w:val="bottom"/>
            <w:hideMark/>
          </w:tcPr>
          <w:p w14:paraId="59B3206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EF00E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703B1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3C82125" w14:textId="77777777" w:rsidR="00000000" w:rsidRDefault="00EF48A2">
            <w:pPr>
              <w:pStyle w:val="a3"/>
              <w:spacing w:before="0" w:beforeAutospacing="0" w:after="0" w:afterAutospacing="0"/>
              <w:jc w:val="right"/>
              <w:rPr>
                <w:sz w:val="20"/>
                <w:szCs w:val="20"/>
              </w:rPr>
            </w:pPr>
            <w:r>
              <w:rPr>
                <w:sz w:val="20"/>
                <w:szCs w:val="20"/>
              </w:rPr>
              <w:t>52</w:t>
            </w:r>
            <w:r>
              <w:rPr>
                <w:sz w:val="20"/>
                <w:szCs w:val="20"/>
              </w:rPr>
              <w:t>2</w:t>
            </w:r>
          </w:p>
        </w:tc>
        <w:tc>
          <w:tcPr>
            <w:tcW w:w="0" w:type="auto"/>
            <w:noWrap/>
            <w:vAlign w:val="bottom"/>
            <w:hideMark/>
          </w:tcPr>
          <w:p w14:paraId="4FAC59F6" w14:textId="77777777" w:rsidR="00000000" w:rsidRDefault="00EF48A2">
            <w:pPr>
              <w:pStyle w:val="a3"/>
              <w:spacing w:before="0" w:beforeAutospacing="0" w:after="0" w:afterAutospacing="0"/>
              <w:rPr>
                <w:sz w:val="20"/>
                <w:szCs w:val="20"/>
              </w:rPr>
            </w:pPr>
            <w:r>
              <w:rPr>
                <w:sz w:val="20"/>
                <w:szCs w:val="20"/>
              </w:rPr>
              <w:t> </w:t>
            </w:r>
          </w:p>
        </w:tc>
      </w:tr>
      <w:tr w:rsidR="00000000" w14:paraId="4A89DD8A" w14:textId="77777777">
        <w:trPr>
          <w:divId w:val="1699623908"/>
          <w:trHeight w:val="200"/>
          <w:tblCellSpacing w:w="15" w:type="dxa"/>
        </w:trPr>
        <w:tc>
          <w:tcPr>
            <w:tcW w:w="0" w:type="auto"/>
            <w:hideMark/>
          </w:tcPr>
          <w:p w14:paraId="13ECF58B" w14:textId="77777777" w:rsidR="00000000" w:rsidRDefault="00EF48A2">
            <w:pPr>
              <w:pStyle w:val="a3"/>
              <w:spacing w:before="0" w:beforeAutospacing="0" w:after="0" w:afterAutospacing="0"/>
              <w:ind w:left="200"/>
              <w:rPr>
                <w:sz w:val="20"/>
                <w:szCs w:val="20"/>
              </w:rPr>
            </w:pPr>
            <w:r>
              <w:rPr>
                <w:sz w:val="20"/>
                <w:szCs w:val="20"/>
              </w:rPr>
              <w:t>Customer relationshi</w:t>
            </w:r>
            <w:r>
              <w:rPr>
                <w:sz w:val="20"/>
                <w:szCs w:val="20"/>
              </w:rPr>
              <w:t>p</w:t>
            </w:r>
          </w:p>
        </w:tc>
        <w:tc>
          <w:tcPr>
            <w:tcW w:w="0" w:type="auto"/>
            <w:vAlign w:val="bottom"/>
            <w:hideMark/>
          </w:tcPr>
          <w:p w14:paraId="0494A08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4DE218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8B8CF0B" w14:textId="77777777" w:rsidR="00000000" w:rsidRDefault="00EF48A2">
            <w:pPr>
              <w:pStyle w:val="a3"/>
              <w:spacing w:before="0" w:beforeAutospacing="0" w:after="0" w:afterAutospacing="0"/>
              <w:jc w:val="right"/>
              <w:rPr>
                <w:sz w:val="20"/>
                <w:szCs w:val="20"/>
              </w:rPr>
            </w:pPr>
            <w:r>
              <w:rPr>
                <w:sz w:val="20"/>
                <w:szCs w:val="20"/>
              </w:rPr>
              <w:t>1,35</w:t>
            </w:r>
            <w:r>
              <w:rPr>
                <w:sz w:val="20"/>
                <w:szCs w:val="20"/>
              </w:rPr>
              <w:t>0</w:t>
            </w:r>
          </w:p>
        </w:tc>
        <w:tc>
          <w:tcPr>
            <w:tcW w:w="0" w:type="auto"/>
            <w:noWrap/>
            <w:vAlign w:val="bottom"/>
            <w:hideMark/>
          </w:tcPr>
          <w:p w14:paraId="14EBD02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59C7AD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F21B02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6F690F" w14:textId="77777777" w:rsidR="00000000" w:rsidRDefault="00EF48A2">
            <w:pPr>
              <w:pStyle w:val="a3"/>
              <w:spacing w:before="0" w:beforeAutospacing="0" w:after="0" w:afterAutospacing="0"/>
              <w:jc w:val="right"/>
              <w:rPr>
                <w:sz w:val="20"/>
                <w:szCs w:val="20"/>
              </w:rPr>
            </w:pPr>
            <w:r>
              <w:rPr>
                <w:sz w:val="20"/>
                <w:szCs w:val="20"/>
              </w:rPr>
              <w:t>1,18</w:t>
            </w:r>
            <w:r>
              <w:rPr>
                <w:sz w:val="20"/>
                <w:szCs w:val="20"/>
              </w:rPr>
              <w:t>6</w:t>
            </w:r>
          </w:p>
        </w:tc>
        <w:tc>
          <w:tcPr>
            <w:tcW w:w="0" w:type="auto"/>
            <w:noWrap/>
            <w:vAlign w:val="bottom"/>
            <w:hideMark/>
          </w:tcPr>
          <w:p w14:paraId="7F1E5AAF" w14:textId="77777777" w:rsidR="00000000" w:rsidRDefault="00EF48A2">
            <w:pPr>
              <w:pStyle w:val="a3"/>
              <w:spacing w:before="0" w:beforeAutospacing="0" w:after="0" w:afterAutospacing="0"/>
              <w:rPr>
                <w:sz w:val="20"/>
                <w:szCs w:val="20"/>
              </w:rPr>
            </w:pPr>
            <w:r>
              <w:rPr>
                <w:sz w:val="20"/>
                <w:szCs w:val="20"/>
              </w:rPr>
              <w:t> </w:t>
            </w:r>
          </w:p>
        </w:tc>
      </w:tr>
      <w:tr w:rsidR="00000000" w14:paraId="24EAA1D8" w14:textId="77777777">
        <w:trPr>
          <w:divId w:val="1699623908"/>
          <w:trHeight w:val="200"/>
          <w:tblCellSpacing w:w="15" w:type="dxa"/>
        </w:trPr>
        <w:tc>
          <w:tcPr>
            <w:tcW w:w="0" w:type="auto"/>
            <w:hideMark/>
          </w:tcPr>
          <w:p w14:paraId="2604DB9D" w14:textId="77777777" w:rsidR="00000000" w:rsidRDefault="00EF48A2">
            <w:pPr>
              <w:pStyle w:val="a3"/>
              <w:spacing w:before="0" w:beforeAutospacing="0" w:after="0" w:afterAutospacing="0"/>
              <w:ind w:left="200"/>
              <w:rPr>
                <w:sz w:val="20"/>
                <w:szCs w:val="20"/>
              </w:rPr>
            </w:pPr>
            <w:r>
              <w:rPr>
                <w:sz w:val="20"/>
                <w:szCs w:val="20"/>
              </w:rPr>
              <w:t>Non-Competition agreemen</w:t>
            </w:r>
            <w:r>
              <w:rPr>
                <w:sz w:val="20"/>
                <w:szCs w:val="20"/>
              </w:rPr>
              <w:t>t</w:t>
            </w:r>
          </w:p>
        </w:tc>
        <w:tc>
          <w:tcPr>
            <w:tcW w:w="0" w:type="auto"/>
            <w:vAlign w:val="bottom"/>
            <w:hideMark/>
          </w:tcPr>
          <w:p w14:paraId="2369DFC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FBA31D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5175542" w14:textId="77777777" w:rsidR="00000000" w:rsidRDefault="00EF48A2">
            <w:pPr>
              <w:pStyle w:val="a3"/>
              <w:spacing w:before="0" w:beforeAutospacing="0" w:after="0" w:afterAutospacing="0"/>
              <w:jc w:val="right"/>
              <w:rPr>
                <w:sz w:val="20"/>
                <w:szCs w:val="20"/>
              </w:rPr>
            </w:pPr>
            <w:r>
              <w:rPr>
                <w:sz w:val="20"/>
                <w:szCs w:val="20"/>
              </w:rPr>
              <w:t>64</w:t>
            </w:r>
            <w:r>
              <w:rPr>
                <w:sz w:val="20"/>
                <w:szCs w:val="20"/>
              </w:rPr>
              <w:t>3</w:t>
            </w:r>
          </w:p>
        </w:tc>
        <w:tc>
          <w:tcPr>
            <w:tcW w:w="0" w:type="auto"/>
            <w:noWrap/>
            <w:vAlign w:val="bottom"/>
            <w:hideMark/>
          </w:tcPr>
          <w:p w14:paraId="3B2E8F6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43F643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EF5568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50413E9" w14:textId="77777777" w:rsidR="00000000" w:rsidRDefault="00EF48A2">
            <w:pPr>
              <w:pStyle w:val="a3"/>
              <w:spacing w:before="0" w:beforeAutospacing="0" w:after="0" w:afterAutospacing="0"/>
              <w:jc w:val="right"/>
              <w:rPr>
                <w:sz w:val="20"/>
                <w:szCs w:val="20"/>
              </w:rPr>
            </w:pPr>
            <w:r>
              <w:rPr>
                <w:sz w:val="20"/>
                <w:szCs w:val="20"/>
              </w:rPr>
              <w:t>34</w:t>
            </w:r>
            <w:r>
              <w:rPr>
                <w:sz w:val="20"/>
                <w:szCs w:val="20"/>
              </w:rPr>
              <w:t>6</w:t>
            </w:r>
          </w:p>
        </w:tc>
        <w:tc>
          <w:tcPr>
            <w:tcW w:w="0" w:type="auto"/>
            <w:noWrap/>
            <w:vAlign w:val="bottom"/>
            <w:hideMark/>
          </w:tcPr>
          <w:p w14:paraId="387CC050" w14:textId="77777777" w:rsidR="00000000" w:rsidRDefault="00EF48A2">
            <w:pPr>
              <w:pStyle w:val="a3"/>
              <w:spacing w:before="0" w:beforeAutospacing="0" w:after="0" w:afterAutospacing="0"/>
              <w:rPr>
                <w:sz w:val="20"/>
                <w:szCs w:val="20"/>
              </w:rPr>
            </w:pPr>
            <w:r>
              <w:rPr>
                <w:sz w:val="20"/>
                <w:szCs w:val="20"/>
              </w:rPr>
              <w:t> </w:t>
            </w:r>
          </w:p>
        </w:tc>
      </w:tr>
      <w:tr w:rsidR="00000000" w14:paraId="08ACF3E9" w14:textId="77777777">
        <w:trPr>
          <w:divId w:val="1699623908"/>
          <w:trHeight w:val="200"/>
          <w:tblCellSpacing w:w="15" w:type="dxa"/>
        </w:trPr>
        <w:tc>
          <w:tcPr>
            <w:tcW w:w="0" w:type="auto"/>
            <w:vAlign w:val="bottom"/>
            <w:hideMark/>
          </w:tcPr>
          <w:p w14:paraId="584F9AB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0EEF74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A9163B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AB4629" w14:textId="77777777" w:rsidR="00000000" w:rsidRDefault="00EF48A2">
            <w:pPr>
              <w:pStyle w:val="a3"/>
              <w:spacing w:before="0" w:beforeAutospacing="0" w:after="0" w:afterAutospacing="0"/>
              <w:jc w:val="right"/>
              <w:rPr>
                <w:sz w:val="20"/>
                <w:szCs w:val="20"/>
              </w:rPr>
            </w:pPr>
            <w:r>
              <w:rPr>
                <w:sz w:val="20"/>
                <w:szCs w:val="20"/>
              </w:rPr>
              <w:t>2,96</w:t>
            </w:r>
            <w:r>
              <w:rPr>
                <w:sz w:val="20"/>
                <w:szCs w:val="20"/>
              </w:rPr>
              <w:t>1</w:t>
            </w:r>
          </w:p>
        </w:tc>
        <w:tc>
          <w:tcPr>
            <w:tcW w:w="0" w:type="auto"/>
            <w:noWrap/>
            <w:vAlign w:val="bottom"/>
            <w:hideMark/>
          </w:tcPr>
          <w:p w14:paraId="53AF80A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E7D79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F45BF6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1CC9135" w14:textId="77777777" w:rsidR="00000000" w:rsidRDefault="00EF48A2">
            <w:pPr>
              <w:pStyle w:val="a3"/>
              <w:spacing w:before="0" w:beforeAutospacing="0" w:after="0" w:afterAutospacing="0"/>
              <w:jc w:val="right"/>
              <w:rPr>
                <w:sz w:val="20"/>
                <w:szCs w:val="20"/>
              </w:rPr>
            </w:pPr>
            <w:r>
              <w:rPr>
                <w:sz w:val="20"/>
                <w:szCs w:val="20"/>
              </w:rPr>
              <w:t>2,05</w:t>
            </w:r>
            <w:r>
              <w:rPr>
                <w:sz w:val="20"/>
                <w:szCs w:val="20"/>
              </w:rPr>
              <w:t>4</w:t>
            </w:r>
          </w:p>
        </w:tc>
        <w:tc>
          <w:tcPr>
            <w:tcW w:w="0" w:type="auto"/>
            <w:noWrap/>
            <w:vAlign w:val="bottom"/>
            <w:hideMark/>
          </w:tcPr>
          <w:p w14:paraId="7FEB807B" w14:textId="77777777" w:rsidR="00000000" w:rsidRDefault="00EF48A2">
            <w:pPr>
              <w:pStyle w:val="a3"/>
              <w:spacing w:before="0" w:beforeAutospacing="0" w:after="0" w:afterAutospacing="0"/>
              <w:rPr>
                <w:sz w:val="20"/>
                <w:szCs w:val="20"/>
              </w:rPr>
            </w:pPr>
            <w:r>
              <w:rPr>
                <w:sz w:val="20"/>
                <w:szCs w:val="20"/>
              </w:rPr>
              <w:t> </w:t>
            </w:r>
          </w:p>
        </w:tc>
      </w:tr>
      <w:tr w:rsidR="00000000" w14:paraId="4E61FD26" w14:textId="77777777">
        <w:trPr>
          <w:divId w:val="1699623908"/>
          <w:trHeight w:val="200"/>
          <w:tblCellSpacing w:w="15" w:type="dxa"/>
        </w:trPr>
        <w:tc>
          <w:tcPr>
            <w:tcW w:w="0" w:type="auto"/>
            <w:hideMark/>
          </w:tcPr>
          <w:p w14:paraId="6E15E39F" w14:textId="77777777" w:rsidR="00000000" w:rsidRDefault="00EF48A2">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14:paraId="58CA2A8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ECE0F8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3768E5" w14:textId="77777777" w:rsidR="00000000" w:rsidRDefault="00EF48A2">
            <w:pPr>
              <w:pStyle w:val="a3"/>
              <w:spacing w:before="0" w:beforeAutospacing="0" w:after="0" w:afterAutospacing="0"/>
              <w:jc w:val="right"/>
              <w:rPr>
                <w:sz w:val="20"/>
                <w:szCs w:val="20"/>
              </w:rPr>
            </w:pPr>
            <w:r>
              <w:rPr>
                <w:sz w:val="20"/>
                <w:szCs w:val="20"/>
              </w:rPr>
              <w:t>2,52</w:t>
            </w:r>
            <w:r>
              <w:rPr>
                <w:sz w:val="20"/>
                <w:szCs w:val="20"/>
              </w:rPr>
              <w:t>9</w:t>
            </w:r>
          </w:p>
        </w:tc>
        <w:tc>
          <w:tcPr>
            <w:tcW w:w="0" w:type="auto"/>
            <w:noWrap/>
            <w:vAlign w:val="bottom"/>
            <w:hideMark/>
          </w:tcPr>
          <w:p w14:paraId="42BFD66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4913CF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2DD43E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D838D4C" w14:textId="77777777" w:rsidR="00000000" w:rsidRDefault="00EF48A2">
            <w:pPr>
              <w:pStyle w:val="a3"/>
              <w:spacing w:before="0" w:beforeAutospacing="0" w:after="0" w:afterAutospacing="0"/>
              <w:jc w:val="right"/>
              <w:rPr>
                <w:sz w:val="20"/>
                <w:szCs w:val="20"/>
              </w:rPr>
            </w:pPr>
            <w:r>
              <w:rPr>
                <w:sz w:val="20"/>
                <w:szCs w:val="20"/>
              </w:rPr>
              <w:t>3,43</w:t>
            </w:r>
            <w:r>
              <w:rPr>
                <w:sz w:val="20"/>
                <w:szCs w:val="20"/>
              </w:rPr>
              <w:t>6</w:t>
            </w:r>
          </w:p>
        </w:tc>
        <w:tc>
          <w:tcPr>
            <w:tcW w:w="0" w:type="auto"/>
            <w:noWrap/>
            <w:vAlign w:val="bottom"/>
            <w:hideMark/>
          </w:tcPr>
          <w:p w14:paraId="1AD09146" w14:textId="77777777" w:rsidR="00000000" w:rsidRDefault="00EF48A2">
            <w:pPr>
              <w:pStyle w:val="a3"/>
              <w:spacing w:before="0" w:beforeAutospacing="0" w:after="0" w:afterAutospacing="0"/>
              <w:rPr>
                <w:sz w:val="20"/>
                <w:szCs w:val="20"/>
              </w:rPr>
            </w:pPr>
            <w:r>
              <w:rPr>
                <w:sz w:val="20"/>
                <w:szCs w:val="20"/>
              </w:rPr>
              <w:t> </w:t>
            </w:r>
          </w:p>
        </w:tc>
      </w:tr>
    </w:tbl>
    <w:p w14:paraId="20398907" w14:textId="77777777" w:rsidR="00000000" w:rsidRDefault="00EF48A2">
      <w:pPr>
        <w:pStyle w:val="a3"/>
        <w:spacing w:before="180" w:beforeAutospacing="0" w:after="0" w:afterAutospacing="0"/>
        <w:jc w:val="both"/>
        <w:divId w:val="1875146178"/>
        <w:rPr>
          <w:sz w:val="20"/>
          <w:szCs w:val="20"/>
        </w:rPr>
      </w:pPr>
      <w:r>
        <w:rPr>
          <w:sz w:val="20"/>
          <w:szCs w:val="20"/>
        </w:rPr>
        <w:t>Amortization expe</w:t>
      </w:r>
      <w:r>
        <w:rPr>
          <w:sz w:val="20"/>
          <w:szCs w:val="20"/>
        </w:rPr>
        <w:t>n</w:t>
      </w:r>
      <w:r>
        <w:rPr>
          <w:sz w:val="20"/>
          <w:szCs w:val="20"/>
        </w:rPr>
        <w:t xml:space="preserve">se for intangible assets was </w:t>
      </w:r>
      <w:r>
        <w:rPr>
          <w:sz w:val="20"/>
          <w:szCs w:val="20"/>
        </w:rPr>
        <w:t>$</w:t>
      </w:r>
      <w:r>
        <w:rPr>
          <w:sz w:val="20"/>
          <w:szCs w:val="20"/>
        </w:rPr>
        <w:t>0.</w:t>
      </w:r>
      <w:r>
        <w:rPr>
          <w:sz w:val="20"/>
          <w:szCs w:val="20"/>
        </w:rPr>
        <w:t>9</w:t>
      </w:r>
      <w:r>
        <w:rPr>
          <w:sz w:val="20"/>
          <w:szCs w:val="20"/>
        </w:rPr>
        <w:t xml:space="preserve"> million for the year en</w:t>
      </w:r>
      <w:r>
        <w:rPr>
          <w:sz w:val="20"/>
          <w:szCs w:val="20"/>
        </w:rPr>
        <w:t>d</w:t>
      </w:r>
      <w:r>
        <w:rPr>
          <w:sz w:val="20"/>
          <w:szCs w:val="20"/>
        </w:rPr>
        <w:t>ed December 31, 2022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0.</w:t>
      </w:r>
      <w:r>
        <w:rPr>
          <w:sz w:val="20"/>
          <w:szCs w:val="20"/>
        </w:rPr>
        <w:t>3</w:t>
      </w:r>
      <w:r>
        <w:rPr>
          <w:sz w:val="20"/>
          <w:szCs w:val="20"/>
        </w:rPr>
        <w:t xml:space="preserve"> million for the years ended December 31, 2021 and 2020, respectively). Amortization related to intangible assets for acquired technology was included in cost of revenues and amortization related to intangible ass</w:t>
      </w:r>
      <w:r>
        <w:rPr>
          <w:sz w:val="20"/>
          <w:szCs w:val="20"/>
        </w:rPr>
        <w:t>ets for customer relationships was included in sales and marketing expenses in the Compan</w:t>
      </w:r>
      <w:r>
        <w:rPr>
          <w:sz w:val="20"/>
          <w:szCs w:val="20"/>
        </w:rPr>
        <w:t>y</w:t>
      </w:r>
      <w:r>
        <w:rPr>
          <w:sz w:val="20"/>
          <w:szCs w:val="20"/>
        </w:rPr>
        <w:t>’s consolidated statement of operations for the periods presented</w:t>
      </w:r>
      <w:r>
        <w:rPr>
          <w:sz w:val="20"/>
          <w:szCs w:val="20"/>
        </w:rPr>
        <w:t>.</w:t>
      </w:r>
    </w:p>
    <w:p w14:paraId="5A4A8C6F" w14:textId="77777777" w:rsidR="00000000" w:rsidRDefault="00EF48A2">
      <w:pPr>
        <w:pStyle w:val="a3"/>
        <w:spacing w:before="180" w:beforeAutospacing="0" w:after="180" w:afterAutospacing="0"/>
        <w:jc w:val="both"/>
        <w:divId w:val="1745910088"/>
        <w:rPr>
          <w:sz w:val="20"/>
          <w:szCs w:val="20"/>
        </w:rPr>
      </w:pPr>
      <w:r>
        <w:rPr>
          <w:sz w:val="20"/>
          <w:szCs w:val="20"/>
        </w:rPr>
        <w:t>Future amortization that will be charged to expense over the remaining life of the intangible asset</w:t>
      </w:r>
      <w:r>
        <w:rPr>
          <w:sz w:val="20"/>
          <w:szCs w:val="20"/>
        </w:rPr>
        <w:t>s as of December 31, 2022 is as follows</w:t>
      </w:r>
      <w:r>
        <w:rPr>
          <w:sz w:val="20"/>
          <w:szCs w:val="20"/>
        </w:rPr>
        <w:t>:</w:t>
      </w:r>
    </w:p>
    <w:tbl>
      <w:tblPr>
        <w:tblW w:w="4700" w:type="pct"/>
        <w:tblCellSpacing w:w="15" w:type="dxa"/>
        <w:tblCellMar>
          <w:top w:w="15" w:type="dxa"/>
          <w:left w:w="15" w:type="dxa"/>
          <w:bottom w:w="15" w:type="dxa"/>
          <w:right w:w="15" w:type="dxa"/>
        </w:tblCellMar>
        <w:tblLook w:val="04A0" w:firstRow="1" w:lastRow="0" w:firstColumn="1" w:lastColumn="0" w:noHBand="0" w:noVBand="1"/>
      </w:tblPr>
      <w:tblGrid>
        <w:gridCol w:w="6653"/>
        <w:gridCol w:w="110"/>
        <w:gridCol w:w="161"/>
        <w:gridCol w:w="759"/>
        <w:gridCol w:w="125"/>
      </w:tblGrid>
      <w:tr w:rsidR="00000000" w14:paraId="39D324D8" w14:textId="77777777">
        <w:trPr>
          <w:divId w:val="1745910088"/>
          <w:tblCellSpacing w:w="15" w:type="dxa"/>
        </w:trPr>
        <w:tc>
          <w:tcPr>
            <w:tcW w:w="4350" w:type="pct"/>
            <w:vAlign w:val="center"/>
            <w:hideMark/>
          </w:tcPr>
          <w:p w14:paraId="78FA75AF" w14:textId="77777777" w:rsidR="00000000" w:rsidRDefault="00EF48A2">
            <w:pPr>
              <w:rPr>
                <w:sz w:val="20"/>
                <w:szCs w:val="20"/>
              </w:rPr>
            </w:pPr>
          </w:p>
        </w:tc>
        <w:tc>
          <w:tcPr>
            <w:tcW w:w="52" w:type="pct"/>
            <w:vAlign w:val="center"/>
            <w:hideMark/>
          </w:tcPr>
          <w:p w14:paraId="3B81A1FA" w14:textId="77777777" w:rsidR="00000000" w:rsidRDefault="00EF48A2">
            <w:pPr>
              <w:rPr>
                <w:rFonts w:eastAsia="Times New Roman"/>
                <w:sz w:val="20"/>
                <w:szCs w:val="20"/>
              </w:rPr>
            </w:pPr>
          </w:p>
        </w:tc>
        <w:tc>
          <w:tcPr>
            <w:tcW w:w="50" w:type="pct"/>
            <w:vAlign w:val="center"/>
            <w:hideMark/>
          </w:tcPr>
          <w:p w14:paraId="772FC0C5" w14:textId="77777777" w:rsidR="00000000" w:rsidRDefault="00EF48A2">
            <w:pPr>
              <w:rPr>
                <w:rFonts w:eastAsia="Times New Roman"/>
                <w:sz w:val="20"/>
                <w:szCs w:val="20"/>
              </w:rPr>
            </w:pPr>
          </w:p>
        </w:tc>
        <w:tc>
          <w:tcPr>
            <w:tcW w:w="497" w:type="pct"/>
            <w:vAlign w:val="center"/>
            <w:hideMark/>
          </w:tcPr>
          <w:p w14:paraId="7E03344F" w14:textId="77777777" w:rsidR="00000000" w:rsidRDefault="00EF48A2">
            <w:pPr>
              <w:rPr>
                <w:rFonts w:eastAsia="Times New Roman"/>
                <w:sz w:val="20"/>
                <w:szCs w:val="20"/>
              </w:rPr>
            </w:pPr>
          </w:p>
        </w:tc>
        <w:tc>
          <w:tcPr>
            <w:tcW w:w="50" w:type="pct"/>
            <w:vAlign w:val="center"/>
            <w:hideMark/>
          </w:tcPr>
          <w:p w14:paraId="5BFAA685" w14:textId="77777777" w:rsidR="00000000" w:rsidRDefault="00EF48A2">
            <w:pPr>
              <w:rPr>
                <w:rFonts w:eastAsia="Times New Roman"/>
                <w:sz w:val="20"/>
                <w:szCs w:val="20"/>
              </w:rPr>
            </w:pPr>
          </w:p>
        </w:tc>
      </w:tr>
      <w:tr w:rsidR="00000000" w14:paraId="7DCE7B96" w14:textId="77777777">
        <w:trPr>
          <w:divId w:val="1745910088"/>
          <w:trHeight w:val="160"/>
          <w:tblCellSpacing w:w="15" w:type="dxa"/>
        </w:trPr>
        <w:tc>
          <w:tcPr>
            <w:tcW w:w="0" w:type="auto"/>
            <w:hideMark/>
          </w:tcPr>
          <w:p w14:paraId="743934DA" w14:textId="77777777" w:rsidR="00000000" w:rsidRDefault="00EF48A2">
            <w:pPr>
              <w:pStyle w:val="a3"/>
              <w:spacing w:before="0" w:beforeAutospacing="0" w:after="0" w:afterAutospacing="0"/>
              <w:rPr>
                <w:sz w:val="16"/>
                <w:szCs w:val="16"/>
              </w:rPr>
            </w:pPr>
            <w:r>
              <w:rPr>
                <w:sz w:val="16"/>
                <w:szCs w:val="16"/>
              </w:rPr>
              <w:t>December 31</w:t>
            </w:r>
            <w:r>
              <w:rPr>
                <w:sz w:val="16"/>
                <w:szCs w:val="16"/>
              </w:rPr>
              <w:t>,</w:t>
            </w:r>
          </w:p>
        </w:tc>
        <w:tc>
          <w:tcPr>
            <w:tcW w:w="0" w:type="auto"/>
            <w:vAlign w:val="bottom"/>
            <w:hideMark/>
          </w:tcPr>
          <w:p w14:paraId="51AD8CD9"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0A015234" w14:textId="77777777" w:rsidR="00000000" w:rsidRDefault="00EF48A2">
            <w:pPr>
              <w:pStyle w:val="a3"/>
              <w:spacing w:before="0" w:beforeAutospacing="0" w:after="0" w:afterAutospacing="0"/>
              <w:jc w:val="right"/>
              <w:rPr>
                <w:sz w:val="16"/>
                <w:szCs w:val="16"/>
              </w:rPr>
            </w:pPr>
            <w:r>
              <w:rPr>
                <w:i/>
                <w:iCs/>
                <w:sz w:val="16"/>
                <w:szCs w:val="16"/>
              </w:rPr>
              <w:t>In thousand</w:t>
            </w:r>
            <w:r>
              <w:rPr>
                <w:i/>
                <w:iCs/>
                <w:sz w:val="16"/>
                <w:szCs w:val="16"/>
              </w:rPr>
              <w:t>s</w:t>
            </w:r>
          </w:p>
        </w:tc>
        <w:tc>
          <w:tcPr>
            <w:tcW w:w="0" w:type="auto"/>
            <w:vAlign w:val="bottom"/>
            <w:hideMark/>
          </w:tcPr>
          <w:p w14:paraId="6FBB418C" w14:textId="77777777" w:rsidR="00000000" w:rsidRDefault="00EF48A2">
            <w:pPr>
              <w:pStyle w:val="a3"/>
              <w:spacing w:before="0" w:beforeAutospacing="0" w:after="0" w:afterAutospacing="0"/>
              <w:jc w:val="right"/>
              <w:rPr>
                <w:sz w:val="16"/>
                <w:szCs w:val="16"/>
              </w:rPr>
            </w:pPr>
            <w:r>
              <w:rPr>
                <w:sz w:val="16"/>
                <w:szCs w:val="16"/>
              </w:rPr>
              <w:t> </w:t>
            </w:r>
          </w:p>
        </w:tc>
      </w:tr>
      <w:tr w:rsidR="00000000" w14:paraId="30631198" w14:textId="77777777">
        <w:trPr>
          <w:divId w:val="1745910088"/>
          <w:trHeight w:val="200"/>
          <w:tblCellSpacing w:w="15" w:type="dxa"/>
        </w:trPr>
        <w:tc>
          <w:tcPr>
            <w:tcW w:w="0" w:type="auto"/>
            <w:hideMark/>
          </w:tcPr>
          <w:p w14:paraId="756820B3" w14:textId="77777777" w:rsidR="00000000" w:rsidRDefault="00EF48A2">
            <w:pPr>
              <w:pStyle w:val="a3"/>
              <w:spacing w:before="0" w:beforeAutospacing="0" w:after="0" w:afterAutospacing="0"/>
              <w:ind w:left="200"/>
              <w:rPr>
                <w:sz w:val="20"/>
                <w:szCs w:val="20"/>
              </w:rPr>
            </w:pPr>
            <w:r>
              <w:rPr>
                <w:sz w:val="20"/>
                <w:szCs w:val="20"/>
              </w:rPr>
              <w:t>202</w:t>
            </w:r>
            <w:r>
              <w:rPr>
                <w:sz w:val="20"/>
                <w:szCs w:val="20"/>
              </w:rPr>
              <w:t>3</w:t>
            </w:r>
          </w:p>
        </w:tc>
        <w:tc>
          <w:tcPr>
            <w:tcW w:w="0" w:type="auto"/>
            <w:vAlign w:val="bottom"/>
            <w:hideMark/>
          </w:tcPr>
          <w:p w14:paraId="36BB72E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034F0B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A02CD82" w14:textId="77777777" w:rsidR="00000000" w:rsidRDefault="00EF48A2">
            <w:pPr>
              <w:pStyle w:val="a3"/>
              <w:spacing w:before="0" w:beforeAutospacing="0" w:after="0" w:afterAutospacing="0"/>
              <w:jc w:val="right"/>
              <w:rPr>
                <w:sz w:val="20"/>
                <w:szCs w:val="20"/>
              </w:rPr>
            </w:pPr>
            <w:r>
              <w:rPr>
                <w:sz w:val="20"/>
                <w:szCs w:val="20"/>
              </w:rPr>
              <w:t>74</w:t>
            </w:r>
            <w:r>
              <w:rPr>
                <w:sz w:val="20"/>
                <w:szCs w:val="20"/>
              </w:rPr>
              <w:t>5</w:t>
            </w:r>
          </w:p>
        </w:tc>
        <w:tc>
          <w:tcPr>
            <w:tcW w:w="0" w:type="auto"/>
            <w:noWrap/>
            <w:vAlign w:val="bottom"/>
            <w:hideMark/>
          </w:tcPr>
          <w:p w14:paraId="7892BCD4" w14:textId="77777777" w:rsidR="00000000" w:rsidRDefault="00EF48A2">
            <w:pPr>
              <w:pStyle w:val="a3"/>
              <w:spacing w:before="0" w:beforeAutospacing="0" w:after="0" w:afterAutospacing="0"/>
              <w:rPr>
                <w:sz w:val="20"/>
                <w:szCs w:val="20"/>
              </w:rPr>
            </w:pPr>
            <w:r>
              <w:rPr>
                <w:sz w:val="20"/>
                <w:szCs w:val="20"/>
              </w:rPr>
              <w:t> </w:t>
            </w:r>
          </w:p>
        </w:tc>
      </w:tr>
      <w:tr w:rsidR="00000000" w14:paraId="5CFCF77C" w14:textId="77777777">
        <w:trPr>
          <w:divId w:val="1745910088"/>
          <w:trHeight w:val="200"/>
          <w:tblCellSpacing w:w="15" w:type="dxa"/>
        </w:trPr>
        <w:tc>
          <w:tcPr>
            <w:tcW w:w="0" w:type="auto"/>
            <w:hideMark/>
          </w:tcPr>
          <w:p w14:paraId="63A6C25E" w14:textId="77777777" w:rsidR="00000000" w:rsidRDefault="00EF48A2">
            <w:pPr>
              <w:pStyle w:val="a3"/>
              <w:spacing w:before="0" w:beforeAutospacing="0" w:after="0" w:afterAutospacing="0"/>
              <w:ind w:left="200"/>
              <w:rPr>
                <w:sz w:val="20"/>
                <w:szCs w:val="20"/>
              </w:rPr>
            </w:pPr>
            <w:r>
              <w:rPr>
                <w:sz w:val="20"/>
                <w:szCs w:val="20"/>
              </w:rPr>
              <w:t>202</w:t>
            </w:r>
            <w:r>
              <w:rPr>
                <w:sz w:val="20"/>
                <w:szCs w:val="20"/>
              </w:rPr>
              <w:t>4</w:t>
            </w:r>
          </w:p>
        </w:tc>
        <w:tc>
          <w:tcPr>
            <w:tcW w:w="0" w:type="auto"/>
            <w:vAlign w:val="bottom"/>
            <w:hideMark/>
          </w:tcPr>
          <w:p w14:paraId="0F7B7B4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F35E2B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1471A44" w14:textId="77777777" w:rsidR="00000000" w:rsidRDefault="00EF48A2">
            <w:pPr>
              <w:pStyle w:val="a3"/>
              <w:spacing w:before="0" w:beforeAutospacing="0" w:after="0" w:afterAutospacing="0"/>
              <w:jc w:val="right"/>
              <w:rPr>
                <w:sz w:val="20"/>
                <w:szCs w:val="20"/>
              </w:rPr>
            </w:pPr>
            <w:r>
              <w:rPr>
                <w:sz w:val="20"/>
                <w:szCs w:val="20"/>
              </w:rPr>
              <w:t>44</w:t>
            </w:r>
            <w:r>
              <w:rPr>
                <w:sz w:val="20"/>
                <w:szCs w:val="20"/>
              </w:rPr>
              <w:t>6</w:t>
            </w:r>
          </w:p>
        </w:tc>
        <w:tc>
          <w:tcPr>
            <w:tcW w:w="0" w:type="auto"/>
            <w:noWrap/>
            <w:vAlign w:val="bottom"/>
            <w:hideMark/>
          </w:tcPr>
          <w:p w14:paraId="3FC75462" w14:textId="77777777" w:rsidR="00000000" w:rsidRDefault="00EF48A2">
            <w:pPr>
              <w:pStyle w:val="a3"/>
              <w:spacing w:before="0" w:beforeAutospacing="0" w:after="0" w:afterAutospacing="0"/>
              <w:rPr>
                <w:sz w:val="20"/>
                <w:szCs w:val="20"/>
              </w:rPr>
            </w:pPr>
            <w:r>
              <w:rPr>
                <w:sz w:val="20"/>
                <w:szCs w:val="20"/>
              </w:rPr>
              <w:t> </w:t>
            </w:r>
          </w:p>
        </w:tc>
      </w:tr>
      <w:tr w:rsidR="00000000" w14:paraId="046FFAC5" w14:textId="77777777">
        <w:trPr>
          <w:divId w:val="1745910088"/>
          <w:trHeight w:val="200"/>
          <w:tblCellSpacing w:w="15" w:type="dxa"/>
        </w:trPr>
        <w:tc>
          <w:tcPr>
            <w:tcW w:w="0" w:type="auto"/>
            <w:hideMark/>
          </w:tcPr>
          <w:p w14:paraId="6FAF3F9D" w14:textId="77777777" w:rsidR="00000000" w:rsidRDefault="00EF48A2">
            <w:pPr>
              <w:pStyle w:val="a3"/>
              <w:spacing w:before="0" w:beforeAutospacing="0" w:after="0" w:afterAutospacing="0"/>
              <w:ind w:left="200"/>
              <w:rPr>
                <w:sz w:val="20"/>
                <w:szCs w:val="20"/>
              </w:rPr>
            </w:pPr>
            <w:r>
              <w:rPr>
                <w:sz w:val="20"/>
                <w:szCs w:val="20"/>
              </w:rPr>
              <w:t>202</w:t>
            </w:r>
            <w:r>
              <w:rPr>
                <w:sz w:val="20"/>
                <w:szCs w:val="20"/>
              </w:rPr>
              <w:t>5</w:t>
            </w:r>
          </w:p>
        </w:tc>
        <w:tc>
          <w:tcPr>
            <w:tcW w:w="0" w:type="auto"/>
            <w:vAlign w:val="bottom"/>
            <w:hideMark/>
          </w:tcPr>
          <w:p w14:paraId="312855A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369FB6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DE3FD6" w14:textId="77777777" w:rsidR="00000000" w:rsidRDefault="00EF48A2">
            <w:pPr>
              <w:pStyle w:val="a3"/>
              <w:spacing w:before="0" w:beforeAutospacing="0" w:after="0" w:afterAutospacing="0"/>
              <w:jc w:val="right"/>
              <w:rPr>
                <w:sz w:val="20"/>
                <w:szCs w:val="20"/>
              </w:rPr>
            </w:pPr>
            <w:r>
              <w:rPr>
                <w:sz w:val="20"/>
                <w:szCs w:val="20"/>
              </w:rPr>
              <w:t>44</w:t>
            </w:r>
            <w:r>
              <w:rPr>
                <w:sz w:val="20"/>
                <w:szCs w:val="20"/>
              </w:rPr>
              <w:t>6</w:t>
            </w:r>
          </w:p>
        </w:tc>
        <w:tc>
          <w:tcPr>
            <w:tcW w:w="0" w:type="auto"/>
            <w:noWrap/>
            <w:vAlign w:val="bottom"/>
            <w:hideMark/>
          </w:tcPr>
          <w:p w14:paraId="4043CF2E" w14:textId="77777777" w:rsidR="00000000" w:rsidRDefault="00EF48A2">
            <w:pPr>
              <w:pStyle w:val="a3"/>
              <w:spacing w:before="0" w:beforeAutospacing="0" w:after="0" w:afterAutospacing="0"/>
              <w:rPr>
                <w:sz w:val="20"/>
                <w:szCs w:val="20"/>
              </w:rPr>
            </w:pPr>
            <w:r>
              <w:rPr>
                <w:sz w:val="20"/>
                <w:szCs w:val="20"/>
              </w:rPr>
              <w:t> </w:t>
            </w:r>
          </w:p>
        </w:tc>
      </w:tr>
      <w:tr w:rsidR="00000000" w14:paraId="7A83EBE7" w14:textId="77777777">
        <w:trPr>
          <w:divId w:val="1745910088"/>
          <w:trHeight w:val="200"/>
          <w:tblCellSpacing w:w="15" w:type="dxa"/>
        </w:trPr>
        <w:tc>
          <w:tcPr>
            <w:tcW w:w="0" w:type="auto"/>
            <w:hideMark/>
          </w:tcPr>
          <w:p w14:paraId="56F40FFD" w14:textId="77777777" w:rsidR="00000000" w:rsidRDefault="00EF48A2">
            <w:pPr>
              <w:pStyle w:val="a3"/>
              <w:spacing w:before="0" w:beforeAutospacing="0" w:after="0" w:afterAutospacing="0"/>
              <w:ind w:left="200"/>
              <w:rPr>
                <w:sz w:val="20"/>
                <w:szCs w:val="20"/>
              </w:rPr>
            </w:pPr>
            <w:r>
              <w:rPr>
                <w:sz w:val="20"/>
                <w:szCs w:val="20"/>
              </w:rPr>
              <w:t>202</w:t>
            </w:r>
            <w:r>
              <w:rPr>
                <w:sz w:val="20"/>
                <w:szCs w:val="20"/>
              </w:rPr>
              <w:t>6</w:t>
            </w:r>
          </w:p>
        </w:tc>
        <w:tc>
          <w:tcPr>
            <w:tcW w:w="0" w:type="auto"/>
            <w:vAlign w:val="bottom"/>
            <w:hideMark/>
          </w:tcPr>
          <w:p w14:paraId="6C162E2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9F4A44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4FB846" w14:textId="77777777" w:rsidR="00000000" w:rsidRDefault="00EF48A2">
            <w:pPr>
              <w:pStyle w:val="a3"/>
              <w:spacing w:before="0" w:beforeAutospacing="0" w:after="0" w:afterAutospacing="0"/>
              <w:jc w:val="right"/>
              <w:rPr>
                <w:sz w:val="20"/>
                <w:szCs w:val="20"/>
              </w:rPr>
            </w:pPr>
            <w:r>
              <w:rPr>
                <w:sz w:val="20"/>
                <w:szCs w:val="20"/>
              </w:rPr>
              <w:t>44</w:t>
            </w:r>
            <w:r>
              <w:rPr>
                <w:sz w:val="20"/>
                <w:szCs w:val="20"/>
              </w:rPr>
              <w:t>6</w:t>
            </w:r>
          </w:p>
        </w:tc>
        <w:tc>
          <w:tcPr>
            <w:tcW w:w="0" w:type="auto"/>
            <w:noWrap/>
            <w:vAlign w:val="bottom"/>
            <w:hideMark/>
          </w:tcPr>
          <w:p w14:paraId="725D25E6" w14:textId="77777777" w:rsidR="00000000" w:rsidRDefault="00EF48A2">
            <w:pPr>
              <w:pStyle w:val="a3"/>
              <w:spacing w:before="0" w:beforeAutospacing="0" w:after="0" w:afterAutospacing="0"/>
              <w:rPr>
                <w:sz w:val="20"/>
                <w:szCs w:val="20"/>
              </w:rPr>
            </w:pPr>
            <w:r>
              <w:rPr>
                <w:sz w:val="20"/>
                <w:szCs w:val="20"/>
              </w:rPr>
              <w:t> </w:t>
            </w:r>
          </w:p>
        </w:tc>
      </w:tr>
      <w:tr w:rsidR="00000000" w14:paraId="550B03F4" w14:textId="77777777">
        <w:trPr>
          <w:divId w:val="1745910088"/>
          <w:trHeight w:val="200"/>
          <w:tblCellSpacing w:w="15" w:type="dxa"/>
        </w:trPr>
        <w:tc>
          <w:tcPr>
            <w:tcW w:w="0" w:type="auto"/>
            <w:hideMark/>
          </w:tcPr>
          <w:p w14:paraId="31FDE6CB" w14:textId="77777777" w:rsidR="00000000" w:rsidRDefault="00EF48A2">
            <w:pPr>
              <w:pStyle w:val="a3"/>
              <w:spacing w:before="0" w:beforeAutospacing="0" w:after="0" w:afterAutospacing="0"/>
              <w:ind w:left="200"/>
              <w:rPr>
                <w:sz w:val="20"/>
                <w:szCs w:val="20"/>
              </w:rPr>
            </w:pPr>
            <w:r>
              <w:rPr>
                <w:sz w:val="20"/>
                <w:szCs w:val="20"/>
              </w:rPr>
              <w:t>2027 and thereafte</w:t>
            </w:r>
            <w:r>
              <w:rPr>
                <w:sz w:val="20"/>
                <w:szCs w:val="20"/>
              </w:rPr>
              <w:t>r</w:t>
            </w:r>
          </w:p>
        </w:tc>
        <w:tc>
          <w:tcPr>
            <w:tcW w:w="0" w:type="auto"/>
            <w:vAlign w:val="bottom"/>
            <w:hideMark/>
          </w:tcPr>
          <w:p w14:paraId="748BC68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14CC9A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9E172AB" w14:textId="77777777" w:rsidR="00000000" w:rsidRDefault="00EF48A2">
            <w:pPr>
              <w:pStyle w:val="a3"/>
              <w:spacing w:before="0" w:beforeAutospacing="0" w:after="0" w:afterAutospacing="0"/>
              <w:jc w:val="right"/>
              <w:rPr>
                <w:sz w:val="20"/>
                <w:szCs w:val="20"/>
              </w:rPr>
            </w:pPr>
            <w:r>
              <w:rPr>
                <w:sz w:val="20"/>
                <w:szCs w:val="20"/>
              </w:rPr>
              <w:t>44</w:t>
            </w:r>
            <w:r>
              <w:rPr>
                <w:sz w:val="20"/>
                <w:szCs w:val="20"/>
              </w:rPr>
              <w:t>6</w:t>
            </w:r>
          </w:p>
        </w:tc>
        <w:tc>
          <w:tcPr>
            <w:tcW w:w="0" w:type="auto"/>
            <w:noWrap/>
            <w:vAlign w:val="bottom"/>
            <w:hideMark/>
          </w:tcPr>
          <w:p w14:paraId="08F90A41" w14:textId="77777777" w:rsidR="00000000" w:rsidRDefault="00EF48A2">
            <w:pPr>
              <w:pStyle w:val="a3"/>
              <w:spacing w:before="0" w:beforeAutospacing="0" w:after="0" w:afterAutospacing="0"/>
              <w:rPr>
                <w:sz w:val="20"/>
                <w:szCs w:val="20"/>
              </w:rPr>
            </w:pPr>
            <w:r>
              <w:rPr>
                <w:sz w:val="20"/>
                <w:szCs w:val="20"/>
              </w:rPr>
              <w:t> </w:t>
            </w:r>
          </w:p>
        </w:tc>
      </w:tr>
      <w:tr w:rsidR="00000000" w14:paraId="768ACA12" w14:textId="77777777">
        <w:trPr>
          <w:divId w:val="1745910088"/>
          <w:trHeight w:val="200"/>
          <w:tblCellSpacing w:w="15" w:type="dxa"/>
        </w:trPr>
        <w:tc>
          <w:tcPr>
            <w:tcW w:w="0" w:type="auto"/>
            <w:vAlign w:val="bottom"/>
            <w:hideMark/>
          </w:tcPr>
          <w:p w14:paraId="22A3852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637F70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C0C4A1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E833516" w14:textId="77777777" w:rsidR="00000000" w:rsidRDefault="00EF48A2">
            <w:pPr>
              <w:pStyle w:val="a3"/>
              <w:spacing w:before="0" w:beforeAutospacing="0" w:after="0" w:afterAutospacing="0"/>
              <w:jc w:val="right"/>
              <w:rPr>
                <w:sz w:val="20"/>
                <w:szCs w:val="20"/>
              </w:rPr>
            </w:pPr>
            <w:r>
              <w:rPr>
                <w:sz w:val="20"/>
                <w:szCs w:val="20"/>
              </w:rPr>
              <w:t>2,52</w:t>
            </w:r>
            <w:r>
              <w:rPr>
                <w:sz w:val="20"/>
                <w:szCs w:val="20"/>
              </w:rPr>
              <w:t>9</w:t>
            </w:r>
          </w:p>
        </w:tc>
        <w:tc>
          <w:tcPr>
            <w:tcW w:w="0" w:type="auto"/>
            <w:noWrap/>
            <w:vAlign w:val="bottom"/>
            <w:hideMark/>
          </w:tcPr>
          <w:p w14:paraId="6A9879F0" w14:textId="77777777" w:rsidR="00000000" w:rsidRDefault="00EF48A2">
            <w:pPr>
              <w:pStyle w:val="a3"/>
              <w:spacing w:before="0" w:beforeAutospacing="0" w:after="0" w:afterAutospacing="0"/>
              <w:rPr>
                <w:sz w:val="20"/>
                <w:szCs w:val="20"/>
              </w:rPr>
            </w:pPr>
            <w:r>
              <w:rPr>
                <w:sz w:val="20"/>
                <w:szCs w:val="20"/>
              </w:rPr>
              <w:t> </w:t>
            </w:r>
          </w:p>
        </w:tc>
      </w:tr>
    </w:tbl>
    <w:p w14:paraId="4577053B" w14:textId="77777777" w:rsidR="00000000" w:rsidRDefault="00EF48A2">
      <w:pPr>
        <w:pStyle w:val="a3"/>
        <w:spacing w:before="0" w:beforeAutospacing="0" w:after="0" w:afterAutospacing="0"/>
        <w:rPr>
          <w:sz w:val="20"/>
          <w:szCs w:val="20"/>
        </w:rPr>
      </w:pPr>
      <w:r>
        <w:rPr>
          <w:sz w:val="20"/>
          <w:szCs w:val="20"/>
        </w:rPr>
        <w:t> </w:t>
      </w:r>
    </w:p>
    <w:p w14:paraId="02108978" w14:textId="77777777" w:rsidR="00000000" w:rsidRDefault="00EF48A2">
      <w:pPr>
        <w:pStyle w:val="a3"/>
        <w:spacing w:before="180" w:beforeAutospacing="0" w:after="0" w:afterAutospacing="0"/>
        <w:divId w:val="1864246442"/>
        <w:rPr>
          <w:sz w:val="20"/>
          <w:szCs w:val="20"/>
        </w:rPr>
      </w:pPr>
      <w:r>
        <w:rPr>
          <w:b/>
          <w:bCs/>
          <w:sz w:val="20"/>
          <w:szCs w:val="20"/>
        </w:rPr>
        <w:t>NOTE 6. FAIR VALUE MEASUREMEN</w:t>
      </w:r>
      <w:r>
        <w:rPr>
          <w:b/>
          <w:bCs/>
          <w:sz w:val="20"/>
          <w:szCs w:val="20"/>
        </w:rPr>
        <w:t>T</w:t>
      </w:r>
      <w:r>
        <w:rPr>
          <w:b/>
          <w:bCs/>
          <w:sz w:val="20"/>
          <w:szCs w:val="20"/>
        </w:rPr>
        <w:t xml:space="preserve"> </w:t>
      </w:r>
    </w:p>
    <w:p w14:paraId="4F767CB0" w14:textId="77777777" w:rsidR="00000000" w:rsidRDefault="00EF48A2">
      <w:pPr>
        <w:pStyle w:val="a3"/>
        <w:spacing w:before="180" w:beforeAutospacing="0" w:after="0" w:afterAutospacing="0"/>
        <w:jc w:val="both"/>
        <w:divId w:val="1864246442"/>
        <w:rPr>
          <w:sz w:val="20"/>
          <w:szCs w:val="20"/>
        </w:rPr>
      </w:pPr>
      <w:r>
        <w:rPr>
          <w:sz w:val="20"/>
          <w:szCs w:val="20"/>
        </w:rPr>
        <w:t>The carrying value of the Company’s cash equivalents, accounts receivable, other current assets, accounts payable, and accrued liabilities approximate fair value because of the relatively short-term nature of the underlying assets. The Company’s Private Pl</w:t>
      </w:r>
      <w:r>
        <w:rPr>
          <w:sz w:val="20"/>
          <w:szCs w:val="20"/>
        </w:rPr>
        <w:t>acement Warrants are carried at fair value with changes in fair value recognized in earnings each period</w:t>
      </w:r>
      <w:r>
        <w:rPr>
          <w:sz w:val="20"/>
          <w:szCs w:val="20"/>
        </w:rPr>
        <w:t>.</w:t>
      </w:r>
    </w:p>
    <w:p w14:paraId="0F9A3958" w14:textId="77777777" w:rsidR="00000000" w:rsidRDefault="00EF48A2">
      <w:pPr>
        <w:pStyle w:val="a3"/>
        <w:spacing w:before="180" w:beforeAutospacing="0" w:after="0" w:afterAutospacing="0"/>
        <w:jc w:val="both"/>
        <w:divId w:val="1864246442"/>
        <w:rPr>
          <w:sz w:val="20"/>
          <w:szCs w:val="20"/>
        </w:rPr>
      </w:pPr>
      <w:r>
        <w:rPr>
          <w:sz w:val="20"/>
          <w:szCs w:val="20"/>
        </w:rPr>
        <w:t>The Private Placement Warrants assumed in connection with the consummation of the Business Combination and the closing of the Forward Purchase Agreeme</w:t>
      </w:r>
      <w:r>
        <w:rPr>
          <w:sz w:val="20"/>
          <w:szCs w:val="20"/>
        </w:rPr>
        <w:t>nt with the HEC Fund are accounted for as liabilities in accordance with ASC 815-40 and are presented within warrant liabilities in the accompanying consolidated balance sheets. The warrant liabilities were measured at fair value at inception and thereafte</w:t>
      </w:r>
      <w:r>
        <w:rPr>
          <w:sz w:val="20"/>
          <w:szCs w:val="20"/>
        </w:rPr>
        <w:t>r on a recurring, quarterly basis, with changes in fair value presented within financial (income) expense, net, in the consolidated statement of operations. The Private Placement Warrants were valued using the Black-Scholes-Merton Model, which is considere</w:t>
      </w:r>
      <w:r>
        <w:rPr>
          <w:sz w:val="20"/>
          <w:szCs w:val="20"/>
        </w:rPr>
        <w:t>d to be a Level 3 fair value measurement. The primary unobservable input utilized in determining the fair value of the Private Placement Warrants is the expected volatility of the Company’s common stock. For the year ended December 31, 2022, the Company ha</w:t>
      </w:r>
      <w:r>
        <w:rPr>
          <w:sz w:val="20"/>
          <w:szCs w:val="20"/>
        </w:rPr>
        <w:t>d gains related to the revaluation of the Private Placement Warrants of $3.1 million compared to $36.0 million for the year ended December 31, 2021</w:t>
      </w:r>
      <w:r>
        <w:rPr>
          <w:sz w:val="20"/>
          <w:szCs w:val="20"/>
        </w:rPr>
        <w:t>.</w:t>
      </w:r>
    </w:p>
    <w:p w14:paraId="2A96A170" w14:textId="77777777" w:rsidR="00000000" w:rsidRDefault="00EF48A2">
      <w:pPr>
        <w:pStyle w:val="a3"/>
        <w:spacing w:before="180" w:beforeAutospacing="0" w:after="0" w:afterAutospacing="0"/>
        <w:jc w:val="both"/>
        <w:divId w:val="1864246442"/>
        <w:rPr>
          <w:sz w:val="20"/>
          <w:szCs w:val="20"/>
        </w:rPr>
      </w:pPr>
      <w:r>
        <w:rPr>
          <w:sz w:val="20"/>
          <w:szCs w:val="20"/>
        </w:rPr>
        <w:t>Prior to the Business Combination, Old Talkspace had issued warrants to purchase its common stock and its S</w:t>
      </w:r>
      <w:r>
        <w:rPr>
          <w:sz w:val="20"/>
          <w:szCs w:val="20"/>
        </w:rPr>
        <w:t>eries D preferred stock. In connection with the Business Combination, the warrants to purchase Old Talkspace’s common stock and its Series D preferred stock were exercised and converted into common shares of the Company during June 2021. As of December 31,</w:t>
      </w:r>
      <w:r>
        <w:rPr>
          <w:sz w:val="20"/>
          <w:szCs w:val="20"/>
        </w:rPr>
        <w:t xml:space="preserve"> 2020, there were 60,000 outstanding warrants to purchase the Old Talkspace’s common stock for a price of $0.44 per share and 50,881 outstanding warrants to purchase the Company’s preferred D stock for a price of $2.75 per share. The inputs related to Ol</w:t>
      </w:r>
      <w:r>
        <w:rPr>
          <w:sz w:val="20"/>
          <w:szCs w:val="20"/>
        </w:rPr>
        <w:t>d</w:t>
      </w:r>
      <w:r>
        <w:rPr>
          <w:sz w:val="20"/>
          <w:szCs w:val="20"/>
        </w:rPr>
        <w:t xml:space="preserve"> </w:t>
      </w:r>
    </w:p>
    <w:p w14:paraId="6FBC0F90" w14:textId="77777777" w:rsidR="00000000" w:rsidRDefault="00EF48A2">
      <w:pPr>
        <w:pStyle w:val="a3"/>
        <w:spacing w:before="0" w:beforeAutospacing="0" w:after="0" w:afterAutospacing="0"/>
        <w:jc w:val="center"/>
        <w:divId w:val="1864246442"/>
        <w:rPr>
          <w:sz w:val="20"/>
          <w:szCs w:val="20"/>
        </w:rPr>
      </w:pPr>
      <w:r>
        <w:rPr>
          <w:sz w:val="20"/>
          <w:szCs w:val="20"/>
        </w:rPr>
        <w:t>7</w:t>
      </w:r>
      <w:r>
        <w:rPr>
          <w:sz w:val="20"/>
          <w:szCs w:val="20"/>
        </w:rPr>
        <w:t>1</w:t>
      </w:r>
    </w:p>
    <w:p w14:paraId="1CAE0B44" w14:textId="77777777" w:rsidR="00000000" w:rsidRDefault="00EF48A2">
      <w:pPr>
        <w:divId w:val="1864246442"/>
        <w:rPr>
          <w:rFonts w:eastAsia="Times New Roman"/>
          <w:sz w:val="20"/>
          <w:szCs w:val="20"/>
        </w:rPr>
      </w:pPr>
      <w:r>
        <w:rPr>
          <w:rFonts w:eastAsia="Times New Roman"/>
          <w:sz w:val="20"/>
          <w:szCs w:val="20"/>
        </w:rPr>
        <w:pict w14:anchorId="286DEE48">
          <v:rect id="_x0000_i1098" style="width:0;height:1.5pt" o:hralign="center" o:hrstd="t" o:hr="t" fillcolor="#a0a0a0" stroked="f"/>
        </w:pict>
      </w:r>
    </w:p>
    <w:p w14:paraId="5BF2DE3B" w14:textId="77777777" w:rsidR="00000000" w:rsidRDefault="00EF48A2">
      <w:pPr>
        <w:pStyle w:val="a3"/>
        <w:spacing w:before="0" w:beforeAutospacing="0" w:after="0" w:afterAutospacing="0"/>
        <w:divId w:val="1864246442"/>
        <w:rPr>
          <w:sz w:val="20"/>
          <w:szCs w:val="20"/>
        </w:rPr>
      </w:pPr>
      <w:hyperlink w:anchor="toc_page" w:history="1">
        <w:r>
          <w:rPr>
            <w:rStyle w:val="a4"/>
            <w:sz w:val="20"/>
            <w:szCs w:val="20"/>
          </w:rPr>
          <w:t>Table of Content</w:t>
        </w:r>
        <w:r>
          <w:rPr>
            <w:rStyle w:val="a4"/>
            <w:sz w:val="20"/>
            <w:szCs w:val="20"/>
          </w:rPr>
          <w:t>s</w:t>
        </w:r>
      </w:hyperlink>
    </w:p>
    <w:p w14:paraId="0F4475EC" w14:textId="77777777" w:rsidR="00000000" w:rsidRDefault="00EF48A2">
      <w:pPr>
        <w:pStyle w:val="a3"/>
        <w:spacing w:before="180" w:beforeAutospacing="0" w:after="0" w:afterAutospacing="0"/>
        <w:jc w:val="both"/>
        <w:divId w:val="1864246442"/>
        <w:rPr>
          <w:sz w:val="20"/>
          <w:szCs w:val="20"/>
        </w:rPr>
      </w:pPr>
      <w:r>
        <w:rPr>
          <w:sz w:val="20"/>
          <w:szCs w:val="20"/>
        </w:rPr>
        <w:t>Talkspace’</w:t>
      </w:r>
      <w:r>
        <w:rPr>
          <w:sz w:val="20"/>
          <w:szCs w:val="20"/>
        </w:rPr>
        <w:t xml:space="preserve">s share prices prior to the Business Combination were determined based on management’s assumptions and based on the Option Pricing Model (“OPM”). The fair value of the underlying preferred share price was determined by the board of directors. These inputs </w:t>
      </w:r>
      <w:r>
        <w:rPr>
          <w:sz w:val="20"/>
          <w:szCs w:val="20"/>
        </w:rPr>
        <w:t>were considered to be a Level 3 measurement</w:t>
      </w:r>
      <w:r>
        <w:rPr>
          <w:sz w:val="20"/>
          <w:szCs w:val="20"/>
        </w:rPr>
        <w:t>.</w:t>
      </w:r>
    </w:p>
    <w:p w14:paraId="506C9535" w14:textId="77777777" w:rsidR="00000000" w:rsidRDefault="00EF48A2">
      <w:pPr>
        <w:pStyle w:val="a3"/>
        <w:spacing w:before="180" w:beforeAutospacing="0" w:after="240" w:afterAutospacing="0"/>
        <w:jc w:val="both"/>
        <w:divId w:val="1864246442"/>
        <w:rPr>
          <w:sz w:val="20"/>
          <w:szCs w:val="20"/>
        </w:rPr>
      </w:pPr>
      <w:r>
        <w:rPr>
          <w:sz w:val="20"/>
          <w:szCs w:val="20"/>
        </w:rPr>
        <w:t>The following table presents the changes in the fair value of warrant liabilities during the year ended December 31, 2022 and 2021</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9"/>
        <w:gridCol w:w="110"/>
        <w:gridCol w:w="161"/>
        <w:gridCol w:w="669"/>
        <w:gridCol w:w="110"/>
        <w:gridCol w:w="110"/>
        <w:gridCol w:w="160"/>
        <w:gridCol w:w="732"/>
        <w:gridCol w:w="110"/>
        <w:gridCol w:w="110"/>
        <w:gridCol w:w="160"/>
        <w:gridCol w:w="727"/>
        <w:gridCol w:w="127"/>
        <w:gridCol w:w="110"/>
        <w:gridCol w:w="161"/>
        <w:gridCol w:w="821"/>
        <w:gridCol w:w="127"/>
        <w:gridCol w:w="110"/>
        <w:gridCol w:w="160"/>
        <w:gridCol w:w="727"/>
        <w:gridCol w:w="125"/>
      </w:tblGrid>
      <w:tr w:rsidR="00000000" w14:paraId="67F26093" w14:textId="77777777">
        <w:trPr>
          <w:divId w:val="1698121252"/>
          <w:tblCellSpacing w:w="15" w:type="dxa"/>
        </w:trPr>
        <w:tc>
          <w:tcPr>
            <w:tcW w:w="1753" w:type="pct"/>
            <w:vAlign w:val="center"/>
            <w:hideMark/>
          </w:tcPr>
          <w:p w14:paraId="70A4EE1D" w14:textId="77777777" w:rsidR="00000000" w:rsidRDefault="00EF48A2">
            <w:pPr>
              <w:rPr>
                <w:sz w:val="20"/>
                <w:szCs w:val="20"/>
              </w:rPr>
            </w:pPr>
          </w:p>
        </w:tc>
        <w:tc>
          <w:tcPr>
            <w:tcW w:w="71" w:type="pct"/>
            <w:vAlign w:val="center"/>
            <w:hideMark/>
          </w:tcPr>
          <w:p w14:paraId="024FC2E7" w14:textId="77777777" w:rsidR="00000000" w:rsidRDefault="00EF48A2">
            <w:pPr>
              <w:rPr>
                <w:rFonts w:eastAsia="Times New Roman"/>
                <w:sz w:val="20"/>
                <w:szCs w:val="20"/>
              </w:rPr>
            </w:pPr>
          </w:p>
        </w:tc>
        <w:tc>
          <w:tcPr>
            <w:tcW w:w="50" w:type="pct"/>
            <w:vAlign w:val="center"/>
            <w:hideMark/>
          </w:tcPr>
          <w:p w14:paraId="48F4CED7" w14:textId="77777777" w:rsidR="00000000" w:rsidRDefault="00EF48A2">
            <w:pPr>
              <w:rPr>
                <w:rFonts w:eastAsia="Times New Roman"/>
                <w:sz w:val="20"/>
                <w:szCs w:val="20"/>
              </w:rPr>
            </w:pPr>
          </w:p>
        </w:tc>
        <w:tc>
          <w:tcPr>
            <w:tcW w:w="462" w:type="pct"/>
            <w:vAlign w:val="center"/>
            <w:hideMark/>
          </w:tcPr>
          <w:p w14:paraId="72AFED6A" w14:textId="77777777" w:rsidR="00000000" w:rsidRDefault="00EF48A2">
            <w:pPr>
              <w:rPr>
                <w:rFonts w:eastAsia="Times New Roman"/>
                <w:sz w:val="20"/>
                <w:szCs w:val="20"/>
              </w:rPr>
            </w:pPr>
          </w:p>
        </w:tc>
        <w:tc>
          <w:tcPr>
            <w:tcW w:w="50" w:type="pct"/>
            <w:vAlign w:val="center"/>
            <w:hideMark/>
          </w:tcPr>
          <w:p w14:paraId="6233EE25" w14:textId="77777777" w:rsidR="00000000" w:rsidRDefault="00EF48A2">
            <w:pPr>
              <w:rPr>
                <w:rFonts w:eastAsia="Times New Roman"/>
                <w:sz w:val="20"/>
                <w:szCs w:val="20"/>
              </w:rPr>
            </w:pPr>
          </w:p>
        </w:tc>
        <w:tc>
          <w:tcPr>
            <w:tcW w:w="49" w:type="pct"/>
            <w:vAlign w:val="center"/>
            <w:hideMark/>
          </w:tcPr>
          <w:p w14:paraId="7D43FE58" w14:textId="77777777" w:rsidR="00000000" w:rsidRDefault="00EF48A2">
            <w:pPr>
              <w:rPr>
                <w:rFonts w:eastAsia="Times New Roman"/>
                <w:sz w:val="20"/>
                <w:szCs w:val="20"/>
              </w:rPr>
            </w:pPr>
          </w:p>
        </w:tc>
        <w:tc>
          <w:tcPr>
            <w:tcW w:w="50" w:type="pct"/>
            <w:vAlign w:val="center"/>
            <w:hideMark/>
          </w:tcPr>
          <w:p w14:paraId="34816E4E" w14:textId="77777777" w:rsidR="00000000" w:rsidRDefault="00EF48A2">
            <w:pPr>
              <w:rPr>
                <w:rFonts w:eastAsia="Times New Roman"/>
                <w:sz w:val="20"/>
                <w:szCs w:val="20"/>
              </w:rPr>
            </w:pPr>
          </w:p>
        </w:tc>
        <w:tc>
          <w:tcPr>
            <w:tcW w:w="490" w:type="pct"/>
            <w:vAlign w:val="center"/>
            <w:hideMark/>
          </w:tcPr>
          <w:p w14:paraId="64717562" w14:textId="77777777" w:rsidR="00000000" w:rsidRDefault="00EF48A2">
            <w:pPr>
              <w:rPr>
                <w:rFonts w:eastAsia="Times New Roman"/>
                <w:sz w:val="20"/>
                <w:szCs w:val="20"/>
              </w:rPr>
            </w:pPr>
          </w:p>
        </w:tc>
        <w:tc>
          <w:tcPr>
            <w:tcW w:w="50" w:type="pct"/>
            <w:vAlign w:val="center"/>
            <w:hideMark/>
          </w:tcPr>
          <w:p w14:paraId="6FB122A4" w14:textId="77777777" w:rsidR="00000000" w:rsidRDefault="00EF48A2">
            <w:pPr>
              <w:rPr>
                <w:rFonts w:eastAsia="Times New Roman"/>
                <w:sz w:val="20"/>
                <w:szCs w:val="20"/>
              </w:rPr>
            </w:pPr>
          </w:p>
        </w:tc>
        <w:tc>
          <w:tcPr>
            <w:tcW w:w="49" w:type="pct"/>
            <w:vAlign w:val="center"/>
            <w:hideMark/>
          </w:tcPr>
          <w:p w14:paraId="798AD8F2" w14:textId="77777777" w:rsidR="00000000" w:rsidRDefault="00EF48A2">
            <w:pPr>
              <w:rPr>
                <w:rFonts w:eastAsia="Times New Roman"/>
                <w:sz w:val="20"/>
                <w:szCs w:val="20"/>
              </w:rPr>
            </w:pPr>
          </w:p>
        </w:tc>
        <w:tc>
          <w:tcPr>
            <w:tcW w:w="50" w:type="pct"/>
            <w:vAlign w:val="center"/>
            <w:hideMark/>
          </w:tcPr>
          <w:p w14:paraId="5EB1C75B" w14:textId="77777777" w:rsidR="00000000" w:rsidRDefault="00EF48A2">
            <w:pPr>
              <w:rPr>
                <w:rFonts w:eastAsia="Times New Roman"/>
                <w:sz w:val="20"/>
                <w:szCs w:val="20"/>
              </w:rPr>
            </w:pPr>
          </w:p>
        </w:tc>
        <w:tc>
          <w:tcPr>
            <w:tcW w:w="487" w:type="pct"/>
            <w:vAlign w:val="center"/>
            <w:hideMark/>
          </w:tcPr>
          <w:p w14:paraId="6539C93F" w14:textId="77777777" w:rsidR="00000000" w:rsidRDefault="00EF48A2">
            <w:pPr>
              <w:rPr>
                <w:rFonts w:eastAsia="Times New Roman"/>
                <w:sz w:val="20"/>
                <w:szCs w:val="20"/>
              </w:rPr>
            </w:pPr>
          </w:p>
        </w:tc>
        <w:tc>
          <w:tcPr>
            <w:tcW w:w="50" w:type="pct"/>
            <w:vAlign w:val="center"/>
            <w:hideMark/>
          </w:tcPr>
          <w:p w14:paraId="74EA51E5" w14:textId="77777777" w:rsidR="00000000" w:rsidRDefault="00EF48A2">
            <w:pPr>
              <w:rPr>
                <w:rFonts w:eastAsia="Times New Roman"/>
                <w:sz w:val="20"/>
                <w:szCs w:val="20"/>
              </w:rPr>
            </w:pPr>
          </w:p>
        </w:tc>
        <w:tc>
          <w:tcPr>
            <w:tcW w:w="49" w:type="pct"/>
            <w:vAlign w:val="center"/>
            <w:hideMark/>
          </w:tcPr>
          <w:p w14:paraId="5C54C07E" w14:textId="77777777" w:rsidR="00000000" w:rsidRDefault="00EF48A2">
            <w:pPr>
              <w:rPr>
                <w:rFonts w:eastAsia="Times New Roman"/>
                <w:sz w:val="20"/>
                <w:szCs w:val="20"/>
              </w:rPr>
            </w:pPr>
          </w:p>
        </w:tc>
        <w:tc>
          <w:tcPr>
            <w:tcW w:w="50" w:type="pct"/>
            <w:vAlign w:val="center"/>
            <w:hideMark/>
          </w:tcPr>
          <w:p w14:paraId="3A6976D1" w14:textId="77777777" w:rsidR="00000000" w:rsidRDefault="00EF48A2">
            <w:pPr>
              <w:rPr>
                <w:rFonts w:eastAsia="Times New Roman"/>
                <w:sz w:val="20"/>
                <w:szCs w:val="20"/>
              </w:rPr>
            </w:pPr>
          </w:p>
        </w:tc>
        <w:tc>
          <w:tcPr>
            <w:tcW w:w="548" w:type="pct"/>
            <w:vAlign w:val="center"/>
            <w:hideMark/>
          </w:tcPr>
          <w:p w14:paraId="7B000FFB" w14:textId="77777777" w:rsidR="00000000" w:rsidRDefault="00EF48A2">
            <w:pPr>
              <w:rPr>
                <w:rFonts w:eastAsia="Times New Roman"/>
                <w:sz w:val="20"/>
                <w:szCs w:val="20"/>
              </w:rPr>
            </w:pPr>
          </w:p>
        </w:tc>
        <w:tc>
          <w:tcPr>
            <w:tcW w:w="50" w:type="pct"/>
            <w:vAlign w:val="center"/>
            <w:hideMark/>
          </w:tcPr>
          <w:p w14:paraId="4C720B24" w14:textId="77777777" w:rsidR="00000000" w:rsidRDefault="00EF48A2">
            <w:pPr>
              <w:rPr>
                <w:rFonts w:eastAsia="Times New Roman"/>
                <w:sz w:val="20"/>
                <w:szCs w:val="20"/>
              </w:rPr>
            </w:pPr>
          </w:p>
        </w:tc>
        <w:tc>
          <w:tcPr>
            <w:tcW w:w="49" w:type="pct"/>
            <w:vAlign w:val="center"/>
            <w:hideMark/>
          </w:tcPr>
          <w:p w14:paraId="4E2240C4" w14:textId="77777777" w:rsidR="00000000" w:rsidRDefault="00EF48A2">
            <w:pPr>
              <w:rPr>
                <w:rFonts w:eastAsia="Times New Roman"/>
                <w:sz w:val="20"/>
                <w:szCs w:val="20"/>
              </w:rPr>
            </w:pPr>
          </w:p>
        </w:tc>
        <w:tc>
          <w:tcPr>
            <w:tcW w:w="50" w:type="pct"/>
            <w:vAlign w:val="center"/>
            <w:hideMark/>
          </w:tcPr>
          <w:p w14:paraId="131B6D22" w14:textId="77777777" w:rsidR="00000000" w:rsidRDefault="00EF48A2">
            <w:pPr>
              <w:rPr>
                <w:rFonts w:eastAsia="Times New Roman"/>
                <w:sz w:val="20"/>
                <w:szCs w:val="20"/>
              </w:rPr>
            </w:pPr>
          </w:p>
        </w:tc>
        <w:tc>
          <w:tcPr>
            <w:tcW w:w="487" w:type="pct"/>
            <w:vAlign w:val="center"/>
            <w:hideMark/>
          </w:tcPr>
          <w:p w14:paraId="1E36613C" w14:textId="77777777" w:rsidR="00000000" w:rsidRDefault="00EF48A2">
            <w:pPr>
              <w:rPr>
                <w:rFonts w:eastAsia="Times New Roman"/>
                <w:sz w:val="20"/>
                <w:szCs w:val="20"/>
              </w:rPr>
            </w:pPr>
          </w:p>
        </w:tc>
        <w:tc>
          <w:tcPr>
            <w:tcW w:w="50" w:type="pct"/>
            <w:vAlign w:val="center"/>
            <w:hideMark/>
          </w:tcPr>
          <w:p w14:paraId="273CF0E6" w14:textId="77777777" w:rsidR="00000000" w:rsidRDefault="00EF48A2">
            <w:pPr>
              <w:rPr>
                <w:rFonts w:eastAsia="Times New Roman"/>
                <w:sz w:val="20"/>
                <w:szCs w:val="20"/>
              </w:rPr>
            </w:pPr>
          </w:p>
        </w:tc>
      </w:tr>
      <w:tr w:rsidR="00000000" w14:paraId="6893727C" w14:textId="77777777">
        <w:trPr>
          <w:divId w:val="1698121252"/>
          <w:trHeight w:val="160"/>
          <w:tblCellSpacing w:w="15" w:type="dxa"/>
        </w:trPr>
        <w:tc>
          <w:tcPr>
            <w:tcW w:w="0" w:type="auto"/>
            <w:vAlign w:val="bottom"/>
            <w:hideMark/>
          </w:tcPr>
          <w:p w14:paraId="586FCA02"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53A58A10" w14:textId="77777777" w:rsidR="00000000" w:rsidRDefault="00EF48A2">
            <w:pPr>
              <w:pStyle w:val="a3"/>
              <w:spacing w:before="0" w:beforeAutospacing="0" w:after="0" w:afterAutospacing="0"/>
              <w:rPr>
                <w:sz w:val="16"/>
                <w:szCs w:val="16"/>
              </w:rPr>
            </w:pPr>
            <w:r>
              <w:rPr>
                <w:sz w:val="16"/>
                <w:szCs w:val="16"/>
              </w:rPr>
              <w:t> </w:t>
            </w:r>
          </w:p>
        </w:tc>
        <w:tc>
          <w:tcPr>
            <w:tcW w:w="0" w:type="auto"/>
            <w:gridSpan w:val="18"/>
            <w:vAlign w:val="bottom"/>
            <w:hideMark/>
          </w:tcPr>
          <w:p w14:paraId="10AE71C4" w14:textId="77777777" w:rsidR="00000000" w:rsidRDefault="00EF48A2">
            <w:pPr>
              <w:pStyle w:val="a3"/>
              <w:spacing w:before="0" w:beforeAutospacing="0" w:after="0" w:afterAutospacing="0"/>
              <w:jc w:val="center"/>
              <w:rPr>
                <w:sz w:val="16"/>
                <w:szCs w:val="16"/>
              </w:rPr>
            </w:pPr>
            <w:r>
              <w:rPr>
                <w:b/>
                <w:bCs/>
                <w:sz w:val="16"/>
                <w:szCs w:val="16"/>
              </w:rPr>
              <w:t>Level 3 Liabilitie</w:t>
            </w:r>
            <w:r>
              <w:rPr>
                <w:b/>
                <w:bCs/>
                <w:sz w:val="16"/>
                <w:szCs w:val="16"/>
              </w:rPr>
              <w:t>s</w:t>
            </w:r>
          </w:p>
        </w:tc>
        <w:tc>
          <w:tcPr>
            <w:tcW w:w="0" w:type="auto"/>
            <w:vAlign w:val="bottom"/>
            <w:hideMark/>
          </w:tcPr>
          <w:p w14:paraId="0F4F198A"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0197C782" w14:textId="77777777">
        <w:trPr>
          <w:divId w:val="1698121252"/>
          <w:trHeight w:val="160"/>
          <w:tblCellSpacing w:w="15" w:type="dxa"/>
        </w:trPr>
        <w:tc>
          <w:tcPr>
            <w:tcW w:w="0" w:type="auto"/>
            <w:vAlign w:val="bottom"/>
            <w:hideMark/>
          </w:tcPr>
          <w:p w14:paraId="7B9BF774"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29711960" w14:textId="77777777" w:rsidR="00000000" w:rsidRDefault="00EF48A2">
            <w:pPr>
              <w:pStyle w:val="a3"/>
              <w:spacing w:before="0" w:beforeAutospacing="0" w:after="0" w:afterAutospacing="0"/>
              <w:rPr>
                <w:sz w:val="16"/>
                <w:szCs w:val="16"/>
              </w:rPr>
            </w:pPr>
            <w:r>
              <w:rPr>
                <w:sz w:val="16"/>
                <w:szCs w:val="16"/>
              </w:rPr>
              <w:t> </w:t>
            </w:r>
          </w:p>
        </w:tc>
        <w:tc>
          <w:tcPr>
            <w:tcW w:w="0" w:type="auto"/>
            <w:gridSpan w:val="18"/>
            <w:vAlign w:val="bottom"/>
            <w:hideMark/>
          </w:tcPr>
          <w:p w14:paraId="72E731A4" w14:textId="77777777" w:rsidR="00000000" w:rsidRDefault="00EF48A2">
            <w:pPr>
              <w:pStyle w:val="a3"/>
              <w:spacing w:before="0" w:beforeAutospacing="0" w:after="0" w:afterAutospacing="0"/>
              <w:jc w:val="center"/>
              <w:rPr>
                <w:sz w:val="16"/>
                <w:szCs w:val="16"/>
              </w:rPr>
            </w:pPr>
            <w:r>
              <w:rPr>
                <w:b/>
                <w:bCs/>
                <w:sz w:val="16"/>
                <w:szCs w:val="16"/>
              </w:rPr>
              <w:t>For the Year Ended December 31, 202</w:t>
            </w:r>
            <w:r>
              <w:rPr>
                <w:b/>
                <w:bCs/>
                <w:sz w:val="16"/>
                <w:szCs w:val="16"/>
              </w:rPr>
              <w:t>2</w:t>
            </w:r>
          </w:p>
        </w:tc>
        <w:tc>
          <w:tcPr>
            <w:tcW w:w="0" w:type="auto"/>
            <w:vAlign w:val="bottom"/>
            <w:hideMark/>
          </w:tcPr>
          <w:p w14:paraId="2A686281"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DC3E9DB" w14:textId="77777777">
        <w:trPr>
          <w:divId w:val="1698121252"/>
          <w:trHeight w:val="160"/>
          <w:tblCellSpacing w:w="15" w:type="dxa"/>
        </w:trPr>
        <w:tc>
          <w:tcPr>
            <w:tcW w:w="0" w:type="auto"/>
            <w:vAlign w:val="bottom"/>
            <w:hideMark/>
          </w:tcPr>
          <w:p w14:paraId="36CD7522"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031367F5"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1A87CF57" w14:textId="77777777" w:rsidR="00000000" w:rsidRDefault="00EF48A2">
            <w:pPr>
              <w:pStyle w:val="a3"/>
              <w:spacing w:before="0" w:beforeAutospacing="0" w:after="0" w:afterAutospacing="0"/>
              <w:jc w:val="center"/>
              <w:rPr>
                <w:sz w:val="16"/>
                <w:szCs w:val="16"/>
              </w:rPr>
            </w:pPr>
            <w:r>
              <w:rPr>
                <w:b/>
                <w:bCs/>
                <w:sz w:val="16"/>
                <w:szCs w:val="16"/>
              </w:rPr>
              <w:t>Beginning Balanc</w:t>
            </w:r>
            <w:r>
              <w:rPr>
                <w:b/>
                <w:bCs/>
                <w:sz w:val="16"/>
                <w:szCs w:val="16"/>
              </w:rPr>
              <w:t>e</w:t>
            </w:r>
          </w:p>
        </w:tc>
        <w:tc>
          <w:tcPr>
            <w:tcW w:w="0" w:type="auto"/>
            <w:vAlign w:val="bottom"/>
            <w:hideMark/>
          </w:tcPr>
          <w:p w14:paraId="6729EBF6"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4E4E256B"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6FE46AD" w14:textId="77777777" w:rsidR="00000000" w:rsidRDefault="00EF48A2">
            <w:pPr>
              <w:pStyle w:val="a3"/>
              <w:spacing w:before="0" w:beforeAutospacing="0" w:after="0" w:afterAutospacing="0"/>
              <w:jc w:val="center"/>
              <w:rPr>
                <w:sz w:val="16"/>
                <w:szCs w:val="16"/>
              </w:rPr>
            </w:pPr>
            <w:r>
              <w:rPr>
                <w:b/>
                <w:bCs/>
                <w:sz w:val="16"/>
                <w:szCs w:val="16"/>
              </w:rPr>
              <w:t>Purchases and Issuance</w:t>
            </w:r>
            <w:r>
              <w:rPr>
                <w:b/>
                <w:bCs/>
                <w:sz w:val="16"/>
                <w:szCs w:val="16"/>
              </w:rPr>
              <w:t>s</w:t>
            </w:r>
          </w:p>
        </w:tc>
        <w:tc>
          <w:tcPr>
            <w:tcW w:w="0" w:type="auto"/>
            <w:vAlign w:val="bottom"/>
            <w:hideMark/>
          </w:tcPr>
          <w:p w14:paraId="03EA154C"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463FABCC"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3AE8AE0" w14:textId="77777777" w:rsidR="00000000" w:rsidRDefault="00EF48A2">
            <w:pPr>
              <w:pStyle w:val="a3"/>
              <w:spacing w:before="0" w:beforeAutospacing="0" w:after="0" w:afterAutospacing="0"/>
              <w:jc w:val="center"/>
              <w:rPr>
                <w:sz w:val="16"/>
                <w:szCs w:val="16"/>
              </w:rPr>
            </w:pPr>
            <w:r>
              <w:rPr>
                <w:b/>
                <w:bCs/>
                <w:sz w:val="16"/>
                <w:szCs w:val="16"/>
              </w:rPr>
              <w:t>Change in Fair Valu</w:t>
            </w:r>
            <w:r>
              <w:rPr>
                <w:b/>
                <w:bCs/>
                <w:sz w:val="16"/>
                <w:szCs w:val="16"/>
              </w:rPr>
              <w:t>e</w:t>
            </w:r>
          </w:p>
        </w:tc>
        <w:tc>
          <w:tcPr>
            <w:tcW w:w="0" w:type="auto"/>
            <w:vAlign w:val="bottom"/>
            <w:hideMark/>
          </w:tcPr>
          <w:p w14:paraId="2A127E1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27BA2C7"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207A24" w14:textId="77777777" w:rsidR="00000000" w:rsidRDefault="00EF48A2">
            <w:pPr>
              <w:pStyle w:val="a3"/>
              <w:spacing w:before="0" w:beforeAutospacing="0" w:after="0" w:afterAutospacing="0"/>
              <w:jc w:val="center"/>
              <w:rPr>
                <w:sz w:val="16"/>
                <w:szCs w:val="16"/>
              </w:rPr>
            </w:pPr>
            <w:r>
              <w:rPr>
                <w:b/>
                <w:bCs/>
                <w:sz w:val="16"/>
                <w:szCs w:val="16"/>
              </w:rPr>
              <w:t>Converted into Equit</w:t>
            </w:r>
            <w:r>
              <w:rPr>
                <w:b/>
                <w:bCs/>
                <w:sz w:val="16"/>
                <w:szCs w:val="16"/>
              </w:rPr>
              <w:t>y</w:t>
            </w:r>
          </w:p>
        </w:tc>
        <w:tc>
          <w:tcPr>
            <w:tcW w:w="0" w:type="auto"/>
            <w:vAlign w:val="bottom"/>
            <w:hideMark/>
          </w:tcPr>
          <w:p w14:paraId="04FAACB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FC0C937"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1F40990" w14:textId="77777777" w:rsidR="00000000" w:rsidRDefault="00EF48A2">
            <w:pPr>
              <w:pStyle w:val="a3"/>
              <w:spacing w:before="0" w:beforeAutospacing="0" w:after="0" w:afterAutospacing="0"/>
              <w:jc w:val="center"/>
              <w:rPr>
                <w:sz w:val="16"/>
                <w:szCs w:val="16"/>
              </w:rPr>
            </w:pPr>
            <w:r>
              <w:rPr>
                <w:b/>
                <w:bCs/>
                <w:sz w:val="16"/>
                <w:szCs w:val="16"/>
              </w:rPr>
              <w:t>Ending Balanc</w:t>
            </w:r>
            <w:r>
              <w:rPr>
                <w:b/>
                <w:bCs/>
                <w:sz w:val="16"/>
                <w:szCs w:val="16"/>
              </w:rPr>
              <w:t>e</w:t>
            </w:r>
          </w:p>
        </w:tc>
        <w:tc>
          <w:tcPr>
            <w:tcW w:w="0" w:type="auto"/>
            <w:vAlign w:val="bottom"/>
            <w:hideMark/>
          </w:tcPr>
          <w:p w14:paraId="4A1FB733"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508CA28" w14:textId="77777777">
        <w:trPr>
          <w:divId w:val="1698121252"/>
          <w:trHeight w:val="200"/>
          <w:tblCellSpacing w:w="15" w:type="dxa"/>
        </w:trPr>
        <w:tc>
          <w:tcPr>
            <w:tcW w:w="0" w:type="auto"/>
            <w:hideMark/>
          </w:tcPr>
          <w:p w14:paraId="1FEF5798" w14:textId="77777777" w:rsidR="00000000" w:rsidRDefault="00EF48A2">
            <w:pPr>
              <w:pStyle w:val="a3"/>
              <w:spacing w:before="0" w:beforeAutospacing="0" w:after="0" w:afterAutospacing="0"/>
              <w:rPr>
                <w:sz w:val="20"/>
                <w:szCs w:val="20"/>
              </w:rPr>
            </w:pPr>
            <w:r>
              <w:rPr>
                <w:sz w:val="20"/>
                <w:szCs w:val="20"/>
              </w:rPr>
              <w:t>Private Placement Warrant</w:t>
            </w:r>
            <w:r>
              <w:rPr>
                <w:sz w:val="20"/>
                <w:szCs w:val="20"/>
              </w:rPr>
              <w:t>s</w:t>
            </w:r>
          </w:p>
        </w:tc>
        <w:tc>
          <w:tcPr>
            <w:tcW w:w="0" w:type="auto"/>
            <w:vAlign w:val="bottom"/>
            <w:hideMark/>
          </w:tcPr>
          <w:p w14:paraId="3C001E5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97B07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559910F" w14:textId="77777777" w:rsidR="00000000" w:rsidRDefault="00EF48A2">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14:paraId="481EBF6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EA16273"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704AD10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1421865"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FAE912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03D41F"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78ED82B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ABCEEC3" w14:textId="77777777" w:rsidR="00000000" w:rsidRDefault="00EF48A2">
            <w:pPr>
              <w:pStyle w:val="a3"/>
              <w:spacing w:before="0" w:beforeAutospacing="0" w:after="0" w:afterAutospacing="0"/>
              <w:jc w:val="right"/>
              <w:rPr>
                <w:sz w:val="20"/>
                <w:szCs w:val="20"/>
              </w:rPr>
            </w:pPr>
            <w:r>
              <w:rPr>
                <w:sz w:val="20"/>
                <w:szCs w:val="20"/>
              </w:rPr>
              <w:t>(3,13</w:t>
            </w:r>
            <w:r>
              <w:rPr>
                <w:sz w:val="20"/>
                <w:szCs w:val="20"/>
              </w:rPr>
              <w:t>1</w:t>
            </w:r>
          </w:p>
        </w:tc>
        <w:tc>
          <w:tcPr>
            <w:tcW w:w="0" w:type="auto"/>
            <w:noWrap/>
            <w:vAlign w:val="bottom"/>
            <w:hideMark/>
          </w:tcPr>
          <w:p w14:paraId="4D209CE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73069F6"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75E01F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C7E6DD3"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6947EC4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3F40B9"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20A2BB2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DF24E4A" w14:textId="77777777" w:rsidR="00000000" w:rsidRDefault="00EF48A2">
            <w:pPr>
              <w:pStyle w:val="a3"/>
              <w:spacing w:before="0" w:beforeAutospacing="0" w:after="0" w:afterAutospacing="0"/>
              <w:jc w:val="right"/>
              <w:rPr>
                <w:sz w:val="20"/>
                <w:szCs w:val="20"/>
              </w:rPr>
            </w:pPr>
            <w:r>
              <w:rPr>
                <w:sz w:val="20"/>
                <w:szCs w:val="20"/>
              </w:rPr>
              <w:t>93</w:t>
            </w:r>
            <w:r>
              <w:rPr>
                <w:sz w:val="20"/>
                <w:szCs w:val="20"/>
              </w:rPr>
              <w:t>9</w:t>
            </w:r>
          </w:p>
        </w:tc>
        <w:tc>
          <w:tcPr>
            <w:tcW w:w="0" w:type="auto"/>
            <w:noWrap/>
            <w:vAlign w:val="bottom"/>
            <w:hideMark/>
          </w:tcPr>
          <w:p w14:paraId="73B22A2C" w14:textId="77777777" w:rsidR="00000000" w:rsidRDefault="00EF48A2">
            <w:pPr>
              <w:pStyle w:val="a3"/>
              <w:spacing w:before="0" w:beforeAutospacing="0" w:after="0" w:afterAutospacing="0"/>
              <w:rPr>
                <w:sz w:val="20"/>
                <w:szCs w:val="20"/>
              </w:rPr>
            </w:pPr>
            <w:r>
              <w:rPr>
                <w:sz w:val="20"/>
                <w:szCs w:val="20"/>
              </w:rPr>
              <w:t> </w:t>
            </w:r>
          </w:p>
        </w:tc>
      </w:tr>
      <w:tr w:rsidR="00000000" w14:paraId="20133D5E" w14:textId="77777777">
        <w:trPr>
          <w:divId w:val="1698121252"/>
          <w:tblCellSpacing w:w="15" w:type="dxa"/>
        </w:trPr>
        <w:tc>
          <w:tcPr>
            <w:tcW w:w="0" w:type="auto"/>
            <w:hideMark/>
          </w:tcPr>
          <w:p w14:paraId="0D4010D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DD3A7D4"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BDA5D09"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3300733"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490FCC7" w14:textId="77777777" w:rsidR="00000000" w:rsidRDefault="00EF48A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93E428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48BD00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2B9385F" w14:textId="77777777" w:rsidR="00000000" w:rsidRDefault="00EF48A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6B47073"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34AC0BF"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5D1387A" w14:textId="77777777" w:rsidR="00000000" w:rsidRDefault="00EF48A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670790A"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3E02A82"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9CB87B4" w14:textId="77777777" w:rsidR="00000000" w:rsidRDefault="00EF48A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021F35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181EAA2" w14:textId="77777777" w:rsidR="00000000" w:rsidRDefault="00EF48A2">
            <w:pPr>
              <w:pStyle w:val="a3"/>
              <w:spacing w:before="0" w:beforeAutospacing="0" w:after="0" w:afterAutospacing="0"/>
              <w:jc w:val="right"/>
              <w:rPr>
                <w:sz w:val="20"/>
                <w:szCs w:val="20"/>
              </w:rPr>
            </w:pPr>
            <w:r>
              <w:rPr>
                <w:sz w:val="20"/>
                <w:szCs w:val="20"/>
              </w:rPr>
              <w:t> </w:t>
            </w:r>
          </w:p>
        </w:tc>
      </w:tr>
      <w:tr w:rsidR="00000000" w14:paraId="56B0F0EE" w14:textId="77777777">
        <w:trPr>
          <w:divId w:val="1698121252"/>
          <w:trHeight w:val="160"/>
          <w:tblCellSpacing w:w="15" w:type="dxa"/>
        </w:trPr>
        <w:tc>
          <w:tcPr>
            <w:tcW w:w="0" w:type="auto"/>
            <w:hideMark/>
          </w:tcPr>
          <w:p w14:paraId="1D260403"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567497CB" w14:textId="77777777" w:rsidR="00000000" w:rsidRDefault="00EF48A2">
            <w:pPr>
              <w:pStyle w:val="a3"/>
              <w:spacing w:before="0" w:beforeAutospacing="0" w:after="0" w:afterAutospacing="0"/>
              <w:rPr>
                <w:sz w:val="16"/>
                <w:szCs w:val="16"/>
              </w:rPr>
            </w:pPr>
            <w:r>
              <w:rPr>
                <w:sz w:val="16"/>
                <w:szCs w:val="16"/>
              </w:rPr>
              <w:t> </w:t>
            </w:r>
          </w:p>
        </w:tc>
        <w:tc>
          <w:tcPr>
            <w:tcW w:w="0" w:type="auto"/>
            <w:gridSpan w:val="18"/>
            <w:vAlign w:val="bottom"/>
            <w:hideMark/>
          </w:tcPr>
          <w:p w14:paraId="51F02322" w14:textId="77777777" w:rsidR="00000000" w:rsidRDefault="00EF48A2">
            <w:pPr>
              <w:pStyle w:val="a3"/>
              <w:spacing w:before="0" w:beforeAutospacing="0" w:after="0" w:afterAutospacing="0"/>
              <w:jc w:val="center"/>
              <w:rPr>
                <w:sz w:val="16"/>
                <w:szCs w:val="16"/>
              </w:rPr>
            </w:pPr>
            <w:r>
              <w:rPr>
                <w:b/>
                <w:bCs/>
                <w:sz w:val="16"/>
                <w:szCs w:val="16"/>
              </w:rPr>
              <w:t>Level 3 Liabilitie</w:t>
            </w:r>
            <w:r>
              <w:rPr>
                <w:b/>
                <w:bCs/>
                <w:sz w:val="16"/>
                <w:szCs w:val="16"/>
              </w:rPr>
              <w:t>s</w:t>
            </w:r>
          </w:p>
        </w:tc>
        <w:tc>
          <w:tcPr>
            <w:tcW w:w="0" w:type="auto"/>
            <w:vAlign w:val="bottom"/>
            <w:hideMark/>
          </w:tcPr>
          <w:p w14:paraId="0480A7C5"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75C61B18" w14:textId="77777777">
        <w:trPr>
          <w:divId w:val="1698121252"/>
          <w:trHeight w:val="160"/>
          <w:tblCellSpacing w:w="15" w:type="dxa"/>
        </w:trPr>
        <w:tc>
          <w:tcPr>
            <w:tcW w:w="0" w:type="auto"/>
            <w:vAlign w:val="bottom"/>
            <w:hideMark/>
          </w:tcPr>
          <w:p w14:paraId="5D17B56C"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7197DDB4" w14:textId="77777777" w:rsidR="00000000" w:rsidRDefault="00EF48A2">
            <w:pPr>
              <w:pStyle w:val="a3"/>
              <w:spacing w:before="0" w:beforeAutospacing="0" w:after="0" w:afterAutospacing="0"/>
              <w:rPr>
                <w:sz w:val="16"/>
                <w:szCs w:val="16"/>
              </w:rPr>
            </w:pPr>
            <w:r>
              <w:rPr>
                <w:sz w:val="16"/>
                <w:szCs w:val="16"/>
              </w:rPr>
              <w:t> </w:t>
            </w:r>
          </w:p>
        </w:tc>
        <w:tc>
          <w:tcPr>
            <w:tcW w:w="0" w:type="auto"/>
            <w:gridSpan w:val="18"/>
            <w:vAlign w:val="bottom"/>
            <w:hideMark/>
          </w:tcPr>
          <w:p w14:paraId="6A212AB0" w14:textId="77777777" w:rsidR="00000000" w:rsidRDefault="00EF48A2">
            <w:pPr>
              <w:pStyle w:val="a3"/>
              <w:spacing w:before="0" w:beforeAutospacing="0" w:after="0" w:afterAutospacing="0"/>
              <w:jc w:val="center"/>
              <w:rPr>
                <w:sz w:val="16"/>
                <w:szCs w:val="16"/>
              </w:rPr>
            </w:pPr>
            <w:r>
              <w:rPr>
                <w:b/>
                <w:bCs/>
                <w:sz w:val="16"/>
                <w:szCs w:val="16"/>
              </w:rPr>
              <w:t>For the Year Ended December 31, 202</w:t>
            </w:r>
            <w:r>
              <w:rPr>
                <w:b/>
                <w:bCs/>
                <w:sz w:val="16"/>
                <w:szCs w:val="16"/>
              </w:rPr>
              <w:t>1</w:t>
            </w:r>
          </w:p>
        </w:tc>
        <w:tc>
          <w:tcPr>
            <w:tcW w:w="0" w:type="auto"/>
            <w:vAlign w:val="bottom"/>
            <w:hideMark/>
          </w:tcPr>
          <w:p w14:paraId="156F9C26"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21953FAF" w14:textId="77777777">
        <w:trPr>
          <w:divId w:val="1698121252"/>
          <w:trHeight w:val="160"/>
          <w:tblCellSpacing w:w="15" w:type="dxa"/>
        </w:trPr>
        <w:tc>
          <w:tcPr>
            <w:tcW w:w="0" w:type="auto"/>
            <w:vAlign w:val="bottom"/>
            <w:hideMark/>
          </w:tcPr>
          <w:p w14:paraId="4C0A57E3"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43DA7628"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2EF3BC71" w14:textId="77777777" w:rsidR="00000000" w:rsidRDefault="00EF48A2">
            <w:pPr>
              <w:pStyle w:val="a3"/>
              <w:spacing w:before="0" w:beforeAutospacing="0" w:after="0" w:afterAutospacing="0"/>
              <w:jc w:val="center"/>
              <w:rPr>
                <w:sz w:val="16"/>
                <w:szCs w:val="16"/>
              </w:rPr>
            </w:pPr>
            <w:r>
              <w:rPr>
                <w:b/>
                <w:bCs/>
                <w:sz w:val="16"/>
                <w:szCs w:val="16"/>
              </w:rPr>
              <w:t>Beginning Balanc</w:t>
            </w:r>
            <w:r>
              <w:rPr>
                <w:b/>
                <w:bCs/>
                <w:sz w:val="16"/>
                <w:szCs w:val="16"/>
              </w:rPr>
              <w:t>e</w:t>
            </w:r>
          </w:p>
        </w:tc>
        <w:tc>
          <w:tcPr>
            <w:tcW w:w="0" w:type="auto"/>
            <w:vAlign w:val="bottom"/>
            <w:hideMark/>
          </w:tcPr>
          <w:p w14:paraId="579101B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70FB619B"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DC63E0" w14:textId="77777777" w:rsidR="00000000" w:rsidRDefault="00EF48A2">
            <w:pPr>
              <w:pStyle w:val="a3"/>
              <w:spacing w:before="0" w:beforeAutospacing="0" w:after="0" w:afterAutospacing="0"/>
              <w:jc w:val="center"/>
              <w:rPr>
                <w:sz w:val="16"/>
                <w:szCs w:val="16"/>
              </w:rPr>
            </w:pPr>
            <w:r>
              <w:rPr>
                <w:b/>
                <w:bCs/>
                <w:sz w:val="16"/>
                <w:szCs w:val="16"/>
              </w:rPr>
              <w:t>Purchases and Issuance</w:t>
            </w:r>
            <w:r>
              <w:rPr>
                <w:b/>
                <w:bCs/>
                <w:sz w:val="16"/>
                <w:szCs w:val="16"/>
              </w:rPr>
              <w:t>s</w:t>
            </w:r>
          </w:p>
        </w:tc>
        <w:tc>
          <w:tcPr>
            <w:tcW w:w="0" w:type="auto"/>
            <w:vAlign w:val="bottom"/>
            <w:hideMark/>
          </w:tcPr>
          <w:p w14:paraId="7FF09037"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4AD99A52"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9021DDF" w14:textId="77777777" w:rsidR="00000000" w:rsidRDefault="00EF48A2">
            <w:pPr>
              <w:pStyle w:val="a3"/>
              <w:spacing w:before="0" w:beforeAutospacing="0" w:after="0" w:afterAutospacing="0"/>
              <w:jc w:val="center"/>
              <w:rPr>
                <w:sz w:val="16"/>
                <w:szCs w:val="16"/>
              </w:rPr>
            </w:pPr>
            <w:r>
              <w:rPr>
                <w:b/>
                <w:bCs/>
                <w:sz w:val="16"/>
                <w:szCs w:val="16"/>
              </w:rPr>
              <w:t>Change in fair Valu</w:t>
            </w:r>
            <w:r>
              <w:rPr>
                <w:b/>
                <w:bCs/>
                <w:sz w:val="16"/>
                <w:szCs w:val="16"/>
              </w:rPr>
              <w:t>e</w:t>
            </w:r>
          </w:p>
        </w:tc>
        <w:tc>
          <w:tcPr>
            <w:tcW w:w="0" w:type="auto"/>
            <w:vAlign w:val="bottom"/>
            <w:hideMark/>
          </w:tcPr>
          <w:p w14:paraId="0140C4F0"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CCFE542"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E9AE60D" w14:textId="77777777" w:rsidR="00000000" w:rsidRDefault="00EF48A2">
            <w:pPr>
              <w:pStyle w:val="a3"/>
              <w:spacing w:before="0" w:beforeAutospacing="0" w:after="0" w:afterAutospacing="0"/>
              <w:jc w:val="center"/>
              <w:rPr>
                <w:sz w:val="16"/>
                <w:szCs w:val="16"/>
              </w:rPr>
            </w:pPr>
            <w:r>
              <w:rPr>
                <w:b/>
                <w:bCs/>
                <w:sz w:val="16"/>
                <w:szCs w:val="16"/>
              </w:rPr>
              <w:t>Converted into Equit</w:t>
            </w:r>
            <w:r>
              <w:rPr>
                <w:b/>
                <w:bCs/>
                <w:sz w:val="16"/>
                <w:szCs w:val="16"/>
              </w:rPr>
              <w:t>y</w:t>
            </w:r>
          </w:p>
        </w:tc>
        <w:tc>
          <w:tcPr>
            <w:tcW w:w="0" w:type="auto"/>
            <w:vAlign w:val="bottom"/>
            <w:hideMark/>
          </w:tcPr>
          <w:p w14:paraId="5778543B"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E4432F3"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963741C" w14:textId="77777777" w:rsidR="00000000" w:rsidRDefault="00EF48A2">
            <w:pPr>
              <w:pStyle w:val="a3"/>
              <w:spacing w:before="0" w:beforeAutospacing="0" w:after="0" w:afterAutospacing="0"/>
              <w:jc w:val="center"/>
              <w:rPr>
                <w:sz w:val="16"/>
                <w:szCs w:val="16"/>
              </w:rPr>
            </w:pPr>
            <w:r>
              <w:rPr>
                <w:b/>
                <w:bCs/>
                <w:sz w:val="16"/>
                <w:szCs w:val="16"/>
              </w:rPr>
              <w:t>Ending Balanc</w:t>
            </w:r>
            <w:r>
              <w:rPr>
                <w:b/>
                <w:bCs/>
                <w:sz w:val="16"/>
                <w:szCs w:val="16"/>
              </w:rPr>
              <w:t>e</w:t>
            </w:r>
          </w:p>
        </w:tc>
        <w:tc>
          <w:tcPr>
            <w:tcW w:w="0" w:type="auto"/>
            <w:vAlign w:val="bottom"/>
            <w:hideMark/>
          </w:tcPr>
          <w:p w14:paraId="576A3C39"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21BC157B" w14:textId="77777777">
        <w:trPr>
          <w:divId w:val="1698121252"/>
          <w:trHeight w:val="200"/>
          <w:tblCellSpacing w:w="15" w:type="dxa"/>
        </w:trPr>
        <w:tc>
          <w:tcPr>
            <w:tcW w:w="0" w:type="auto"/>
            <w:hideMark/>
          </w:tcPr>
          <w:p w14:paraId="75B8E268" w14:textId="77777777" w:rsidR="00000000" w:rsidRDefault="00EF48A2">
            <w:pPr>
              <w:pStyle w:val="a3"/>
              <w:spacing w:before="0" w:beforeAutospacing="0" w:after="0" w:afterAutospacing="0"/>
              <w:rPr>
                <w:sz w:val="20"/>
                <w:szCs w:val="20"/>
              </w:rPr>
            </w:pPr>
            <w:r>
              <w:rPr>
                <w:sz w:val="20"/>
                <w:szCs w:val="20"/>
              </w:rPr>
              <w:t>Private Placement Warrant</w:t>
            </w:r>
            <w:r>
              <w:rPr>
                <w:sz w:val="20"/>
                <w:szCs w:val="20"/>
              </w:rPr>
              <w:t>s</w:t>
            </w:r>
          </w:p>
        </w:tc>
        <w:tc>
          <w:tcPr>
            <w:tcW w:w="0" w:type="auto"/>
            <w:vAlign w:val="bottom"/>
            <w:hideMark/>
          </w:tcPr>
          <w:p w14:paraId="50D294B5"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399FD75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4161567"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1E3FEB9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53E7553"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827A6B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434028A" w14:textId="77777777" w:rsidR="00000000" w:rsidRDefault="00EF48A2">
            <w:pPr>
              <w:pStyle w:val="a3"/>
              <w:spacing w:before="0" w:beforeAutospacing="0" w:after="0" w:afterAutospacing="0"/>
              <w:jc w:val="right"/>
              <w:rPr>
                <w:sz w:val="20"/>
                <w:szCs w:val="20"/>
              </w:rPr>
            </w:pPr>
            <w:r>
              <w:rPr>
                <w:sz w:val="20"/>
                <w:szCs w:val="20"/>
              </w:rPr>
              <w:t>40,27</w:t>
            </w:r>
            <w:r>
              <w:rPr>
                <w:sz w:val="20"/>
                <w:szCs w:val="20"/>
              </w:rPr>
              <w:t>8</w:t>
            </w:r>
          </w:p>
        </w:tc>
        <w:tc>
          <w:tcPr>
            <w:tcW w:w="0" w:type="auto"/>
            <w:noWrap/>
            <w:vAlign w:val="bottom"/>
            <w:hideMark/>
          </w:tcPr>
          <w:p w14:paraId="1A52413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09D006C"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02260B7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892EB71" w14:textId="77777777" w:rsidR="00000000" w:rsidRDefault="00EF48A2">
            <w:pPr>
              <w:pStyle w:val="a3"/>
              <w:spacing w:before="0" w:beforeAutospacing="0" w:after="0" w:afterAutospacing="0"/>
              <w:jc w:val="right"/>
              <w:rPr>
                <w:sz w:val="20"/>
                <w:szCs w:val="20"/>
              </w:rPr>
            </w:pPr>
            <w:r>
              <w:rPr>
                <w:sz w:val="20"/>
                <w:szCs w:val="20"/>
              </w:rPr>
              <w:t>(36,20</w:t>
            </w:r>
            <w:r>
              <w:rPr>
                <w:sz w:val="20"/>
                <w:szCs w:val="20"/>
              </w:rPr>
              <w:t>8</w:t>
            </w:r>
          </w:p>
        </w:tc>
        <w:tc>
          <w:tcPr>
            <w:tcW w:w="0" w:type="auto"/>
            <w:noWrap/>
            <w:vAlign w:val="bottom"/>
            <w:hideMark/>
          </w:tcPr>
          <w:p w14:paraId="075EF04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0355E74"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7A75645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496DBD0"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A7B604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285F19"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59D538D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3F28C7C" w14:textId="77777777" w:rsidR="00000000" w:rsidRDefault="00EF48A2">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14:paraId="6B045EF7" w14:textId="77777777" w:rsidR="00000000" w:rsidRDefault="00EF48A2">
            <w:pPr>
              <w:pStyle w:val="a3"/>
              <w:spacing w:before="0" w:beforeAutospacing="0" w:after="0" w:afterAutospacing="0"/>
              <w:rPr>
                <w:sz w:val="20"/>
                <w:szCs w:val="20"/>
              </w:rPr>
            </w:pPr>
            <w:r>
              <w:rPr>
                <w:sz w:val="20"/>
                <w:szCs w:val="20"/>
              </w:rPr>
              <w:t> </w:t>
            </w:r>
          </w:p>
        </w:tc>
      </w:tr>
      <w:tr w:rsidR="00000000" w14:paraId="64E2E7B2" w14:textId="77777777">
        <w:trPr>
          <w:divId w:val="1698121252"/>
          <w:trHeight w:val="200"/>
          <w:tblCellSpacing w:w="15" w:type="dxa"/>
        </w:trPr>
        <w:tc>
          <w:tcPr>
            <w:tcW w:w="0" w:type="auto"/>
            <w:hideMark/>
          </w:tcPr>
          <w:p w14:paraId="4790CAF4" w14:textId="77777777" w:rsidR="00000000" w:rsidRDefault="00EF48A2">
            <w:pPr>
              <w:pStyle w:val="a3"/>
              <w:spacing w:before="0" w:beforeAutospacing="0" w:after="0" w:afterAutospacing="0"/>
              <w:rPr>
                <w:sz w:val="20"/>
                <w:szCs w:val="20"/>
              </w:rPr>
            </w:pPr>
            <w:r>
              <w:rPr>
                <w:sz w:val="20"/>
                <w:szCs w:val="20"/>
              </w:rPr>
              <w:t>Old Talkspace Warrant</w:t>
            </w:r>
            <w:r>
              <w:rPr>
                <w:sz w:val="20"/>
                <w:szCs w:val="20"/>
              </w:rPr>
              <w:t>s</w:t>
            </w:r>
          </w:p>
        </w:tc>
        <w:tc>
          <w:tcPr>
            <w:tcW w:w="0" w:type="auto"/>
            <w:vAlign w:val="bottom"/>
            <w:hideMark/>
          </w:tcPr>
          <w:p w14:paraId="18C6C01F"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BC511B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244A87C" w14:textId="77777777" w:rsidR="00000000" w:rsidRDefault="00EF48A2">
            <w:pPr>
              <w:pStyle w:val="a3"/>
              <w:spacing w:before="0" w:beforeAutospacing="0" w:after="0" w:afterAutospacing="0"/>
              <w:jc w:val="right"/>
              <w:rPr>
                <w:sz w:val="20"/>
                <w:szCs w:val="20"/>
              </w:rPr>
            </w:pPr>
            <w:r>
              <w:rPr>
                <w:sz w:val="20"/>
                <w:szCs w:val="20"/>
              </w:rPr>
              <w:t>44</w:t>
            </w:r>
            <w:r>
              <w:rPr>
                <w:sz w:val="20"/>
                <w:szCs w:val="20"/>
              </w:rPr>
              <w:t>4</w:t>
            </w:r>
          </w:p>
        </w:tc>
        <w:tc>
          <w:tcPr>
            <w:tcW w:w="0" w:type="auto"/>
            <w:noWrap/>
            <w:vAlign w:val="bottom"/>
            <w:hideMark/>
          </w:tcPr>
          <w:p w14:paraId="4F00A08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1BEC4E"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5845572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72E80A9"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4E0AC46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1CE083"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04DDAD3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74A4C6D" w14:textId="77777777" w:rsidR="00000000" w:rsidRDefault="00EF48A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0862D5B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AD27A4"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57D6A2D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031A091" w14:textId="77777777" w:rsidR="00000000" w:rsidRDefault="00EF48A2">
            <w:pPr>
              <w:pStyle w:val="a3"/>
              <w:spacing w:before="0" w:beforeAutospacing="0" w:after="0" w:afterAutospacing="0"/>
              <w:jc w:val="right"/>
              <w:rPr>
                <w:sz w:val="20"/>
                <w:szCs w:val="20"/>
              </w:rPr>
            </w:pPr>
            <w:r>
              <w:rPr>
                <w:sz w:val="20"/>
                <w:szCs w:val="20"/>
              </w:rPr>
              <w:t>(60</w:t>
            </w:r>
            <w:r>
              <w:rPr>
                <w:sz w:val="20"/>
                <w:szCs w:val="20"/>
              </w:rPr>
              <w:t>9</w:t>
            </w:r>
          </w:p>
        </w:tc>
        <w:tc>
          <w:tcPr>
            <w:tcW w:w="0" w:type="auto"/>
            <w:noWrap/>
            <w:vAlign w:val="bottom"/>
            <w:hideMark/>
          </w:tcPr>
          <w:p w14:paraId="6AE9B6A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31259E0"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20EBB6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A38D7EE"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1C09A0E" w14:textId="77777777" w:rsidR="00000000" w:rsidRDefault="00EF48A2">
            <w:pPr>
              <w:pStyle w:val="a3"/>
              <w:spacing w:before="0" w:beforeAutospacing="0" w:after="0" w:afterAutospacing="0"/>
              <w:rPr>
                <w:sz w:val="20"/>
                <w:szCs w:val="20"/>
              </w:rPr>
            </w:pPr>
            <w:r>
              <w:rPr>
                <w:sz w:val="20"/>
                <w:szCs w:val="20"/>
              </w:rPr>
              <w:t> </w:t>
            </w:r>
          </w:p>
        </w:tc>
      </w:tr>
    </w:tbl>
    <w:p w14:paraId="6FDF84FB" w14:textId="77777777" w:rsidR="00000000" w:rsidRDefault="00EF48A2">
      <w:pPr>
        <w:pStyle w:val="a3"/>
        <w:spacing w:before="240" w:beforeAutospacing="0" w:after="0" w:afterAutospacing="0"/>
        <w:jc w:val="both"/>
        <w:divId w:val="1864246442"/>
        <w:rPr>
          <w:sz w:val="20"/>
          <w:szCs w:val="20"/>
        </w:rPr>
      </w:pPr>
      <w:r>
        <w:rPr>
          <w:sz w:val="20"/>
          <w:szCs w:val="20"/>
        </w:rPr>
        <w:t>In connection with the consummation of the Business Combination, the Company also acquired Public Warrants from HEC and also issued equity warrants to certain consultants. The Company determined these warrants met the criteria to be classified as equity in</w:t>
      </w:r>
      <w:r>
        <w:rPr>
          <w:sz w:val="20"/>
          <w:szCs w:val="20"/>
        </w:rPr>
        <w:t xml:space="preserve"> accordance with ASC 815-40. The Company valued these warrants using the instrument’s publicly listed trading price on the date of acquisition or issuance, where applicable, and included in additional paid-in capital within stockholder’s deficit. </w:t>
      </w:r>
      <w:r>
        <w:rPr>
          <w:sz w:val="20"/>
          <w:szCs w:val="20"/>
        </w:rPr>
        <w:t>T</w:t>
      </w:r>
      <w:r>
        <w:rPr>
          <w:sz w:val="20"/>
          <w:szCs w:val="20"/>
        </w:rPr>
        <w:t>his is c</w:t>
      </w:r>
      <w:r>
        <w:rPr>
          <w:sz w:val="20"/>
          <w:szCs w:val="20"/>
        </w:rPr>
        <w:t>onsidered to be a non-recurring Level 1 measurement due to the use of an observable market quote in an active market</w:t>
      </w:r>
      <w:r>
        <w:rPr>
          <w:sz w:val="20"/>
          <w:szCs w:val="20"/>
        </w:rPr>
        <w:t>.</w:t>
      </w:r>
    </w:p>
    <w:p w14:paraId="6CFD91E8" w14:textId="77777777" w:rsidR="00000000" w:rsidRDefault="00EF48A2">
      <w:pPr>
        <w:pStyle w:val="a3"/>
        <w:spacing w:before="360" w:beforeAutospacing="0" w:after="0" w:afterAutospacing="0"/>
        <w:divId w:val="397901753"/>
        <w:rPr>
          <w:sz w:val="20"/>
          <w:szCs w:val="20"/>
        </w:rPr>
      </w:pPr>
      <w:r>
        <w:rPr>
          <w:b/>
          <w:bCs/>
          <w:sz w:val="20"/>
          <w:szCs w:val="20"/>
        </w:rPr>
        <w:t>NOTE 7. COMMITMENTS AND CONTINGENT LIABILITIE</w:t>
      </w:r>
      <w:r>
        <w:rPr>
          <w:b/>
          <w:bCs/>
          <w:sz w:val="20"/>
          <w:szCs w:val="20"/>
        </w:rPr>
        <w:t>S</w:t>
      </w:r>
      <w:r>
        <w:rPr>
          <w:b/>
          <w:bCs/>
          <w:sz w:val="20"/>
          <w:szCs w:val="20"/>
        </w:rPr>
        <w:t xml:space="preserve"> </w:t>
      </w:r>
    </w:p>
    <w:p w14:paraId="56D373E1" w14:textId="77777777" w:rsidR="00000000" w:rsidRDefault="00EF48A2">
      <w:pPr>
        <w:pStyle w:val="a3"/>
        <w:spacing w:before="240" w:beforeAutospacing="0" w:after="0" w:afterAutospacing="0"/>
        <w:divId w:val="397901753"/>
        <w:rPr>
          <w:sz w:val="20"/>
          <w:szCs w:val="20"/>
        </w:rPr>
      </w:pPr>
      <w:r>
        <w:rPr>
          <w:b/>
          <w:bCs/>
          <w:sz w:val="20"/>
          <w:szCs w:val="20"/>
        </w:rPr>
        <w:t>Contingencie</w:t>
      </w:r>
      <w:r>
        <w:rPr>
          <w:b/>
          <w:bCs/>
          <w:sz w:val="20"/>
          <w:szCs w:val="20"/>
        </w:rPr>
        <w:t>s</w:t>
      </w:r>
    </w:p>
    <w:p w14:paraId="09116FA9" w14:textId="77777777" w:rsidR="00000000" w:rsidRDefault="00EF48A2">
      <w:pPr>
        <w:pStyle w:val="a3"/>
        <w:spacing w:before="180" w:beforeAutospacing="0" w:after="0" w:afterAutospacing="0"/>
        <w:jc w:val="both"/>
        <w:divId w:val="397901753"/>
        <w:rPr>
          <w:sz w:val="20"/>
          <w:szCs w:val="20"/>
        </w:rPr>
      </w:pPr>
      <w:r>
        <w:rPr>
          <w:sz w:val="20"/>
          <w:szCs w:val="20"/>
        </w:rPr>
        <w:t xml:space="preserve">In January 2022, the Company and certain of its current and former officers </w:t>
      </w:r>
      <w:r>
        <w:rPr>
          <w:sz w:val="20"/>
          <w:szCs w:val="20"/>
        </w:rPr>
        <w:t>and directors were named as defendants in securities class action complaints filed in the United States District Court for the Southern District of New York under the case headings: (1) Baron v. Talkspace et al., No. 22-cv-00163 (S.D.N.Y.) and (2) Valdez v</w:t>
      </w:r>
      <w:r>
        <w:rPr>
          <w:sz w:val="20"/>
          <w:szCs w:val="20"/>
        </w:rPr>
        <w:t>. Talkspace et al., No. 22-cv-00840 (S.D.N.Y.). These securities actions asserted violations of sections 10(b), 14(a) and 20(a) of the Securities Exchange Act of 1934 and SEC Rules 10b-5 and 14a-9 promulgated thereunder. These actions generally relate to p</w:t>
      </w:r>
      <w:r>
        <w:rPr>
          <w:sz w:val="20"/>
          <w:szCs w:val="20"/>
        </w:rPr>
        <w:t>ublic disclosures and statements by the Company in connection with its merger with HEC. In June 2022, these actions were consolidated under the caption In re Talkspace, Inc. Securities Litigation (the “Consolidated Securities Action”)</w:t>
      </w:r>
      <w:r>
        <w:rPr>
          <w:sz w:val="20"/>
          <w:szCs w:val="20"/>
        </w:rPr>
        <w:t>.</w:t>
      </w:r>
      <w:r>
        <w:rPr>
          <w:sz w:val="20"/>
          <w:szCs w:val="20"/>
        </w:rPr>
        <w:t xml:space="preserve"> </w:t>
      </w:r>
    </w:p>
    <w:p w14:paraId="7CF54F9A" w14:textId="77777777" w:rsidR="00000000" w:rsidRDefault="00EF48A2">
      <w:pPr>
        <w:pStyle w:val="a3"/>
        <w:spacing w:before="180" w:beforeAutospacing="0" w:after="0" w:afterAutospacing="0"/>
        <w:jc w:val="both"/>
        <w:divId w:val="397901753"/>
        <w:rPr>
          <w:sz w:val="20"/>
          <w:szCs w:val="20"/>
        </w:rPr>
      </w:pPr>
      <w:r>
        <w:rPr>
          <w:sz w:val="20"/>
          <w:szCs w:val="20"/>
        </w:rPr>
        <w:t>In December 2022, t</w:t>
      </w:r>
      <w:r>
        <w:rPr>
          <w:sz w:val="20"/>
          <w:szCs w:val="20"/>
        </w:rPr>
        <w:t>he company’s subsidiary Tailwind Merger Sub II, LLC, certain of the Company’s current and former directors and officers, and others were named as defendants in a putative class action complaint filed in the Delaware Court of Chancery under the case caption</w:t>
      </w:r>
      <w:r>
        <w:rPr>
          <w:sz w:val="20"/>
          <w:szCs w:val="20"/>
        </w:rPr>
        <w:t xml:space="preserve"> Valdez v. Braunstein, et al., Case No. 2022-1148 (the “Delaware Action”). The Delaware Action asserts claims for breach of fiduciary duty and aiding and abetting breach of fiduciary duty relating to the merger with HEC, among other things, based on many o</w:t>
      </w:r>
      <w:r>
        <w:rPr>
          <w:sz w:val="20"/>
          <w:szCs w:val="20"/>
        </w:rPr>
        <w:t>f the same facts at issue in the Consolidated Securities Action. The complaint seeks, among other things damages on behalf of putative class members who did not redeem their shares in connection with the Company’s merger with HEC</w:t>
      </w:r>
      <w:r>
        <w:rPr>
          <w:sz w:val="20"/>
          <w:szCs w:val="20"/>
        </w:rPr>
        <w:t>.</w:t>
      </w:r>
    </w:p>
    <w:p w14:paraId="69FBC366" w14:textId="77777777" w:rsidR="00000000" w:rsidRDefault="00EF48A2">
      <w:pPr>
        <w:pStyle w:val="a3"/>
        <w:spacing w:before="180" w:beforeAutospacing="0" w:after="0" w:afterAutospacing="0"/>
        <w:jc w:val="both"/>
        <w:divId w:val="397901753"/>
        <w:rPr>
          <w:sz w:val="20"/>
          <w:szCs w:val="20"/>
        </w:rPr>
      </w:pPr>
      <w:r>
        <w:rPr>
          <w:sz w:val="20"/>
          <w:szCs w:val="20"/>
        </w:rPr>
        <w:t>In February 2023, the Com</w:t>
      </w:r>
      <w:r>
        <w:rPr>
          <w:sz w:val="20"/>
          <w:szCs w:val="20"/>
        </w:rPr>
        <w:t>pany resolved the Consolidated Securities Action and the Delaware Action through mediation. The settlement resolves these litigations with respect to all named defendants. The Company recorded an accrual for its respective share of the settlement agreement</w:t>
      </w:r>
      <w:r>
        <w:rPr>
          <w:sz w:val="20"/>
          <w:szCs w:val="20"/>
        </w:rPr>
        <w:t xml:space="preserve"> as of December 31, 2022. The settlement will have to be approved by the court, which the Company expects will occur in the second or third quarter of 2023</w:t>
      </w:r>
      <w:r>
        <w:rPr>
          <w:sz w:val="20"/>
          <w:szCs w:val="20"/>
        </w:rPr>
        <w:t>.</w:t>
      </w:r>
    </w:p>
    <w:p w14:paraId="7A841504" w14:textId="77777777" w:rsidR="00000000" w:rsidRDefault="00EF48A2">
      <w:pPr>
        <w:pStyle w:val="a3"/>
        <w:spacing w:before="180" w:beforeAutospacing="0" w:after="0" w:afterAutospacing="0"/>
        <w:jc w:val="both"/>
        <w:divId w:val="397901753"/>
        <w:rPr>
          <w:sz w:val="20"/>
          <w:szCs w:val="20"/>
        </w:rPr>
      </w:pPr>
      <w:r>
        <w:rPr>
          <w:sz w:val="20"/>
          <w:szCs w:val="20"/>
        </w:rPr>
        <w:t xml:space="preserve">In June and July 2022, two individuals filed stockholder derivative lawsuits purportedly on behalf </w:t>
      </w:r>
      <w:r>
        <w:rPr>
          <w:sz w:val="20"/>
          <w:szCs w:val="20"/>
        </w:rPr>
        <w:t>of Talkspace in the United States District Court for the Southern District of New York under the case captions: (1) Odsvall v. Oren Frank et al., No. 22-cv-05016 (S.D.N.Y.) and (2) Nayman v. Berg, et al., No. 22-cv-06258 (S.D.N.Y.), which were subsequently</w:t>
      </w:r>
      <w:r>
        <w:rPr>
          <w:sz w:val="20"/>
          <w:szCs w:val="20"/>
        </w:rPr>
        <w:t xml:space="preserve"> consolidated (the “Derivative Action”). The Derivative Action names certain of the Company’s current and former officers and directors as defendants and the Company as a nominal defendant. The Derivative Action asserts claims for violations of federal sec</w:t>
      </w:r>
      <w:r>
        <w:rPr>
          <w:sz w:val="20"/>
          <w:szCs w:val="20"/>
        </w:rPr>
        <w:t>urities laws, breach of fiduciary duty, and aiding and abetting breaches of fiduciary duty relating to the merger with HEC, among other things, based on many of the same facts at issue in the Consolidated Securities Action. In February 2023 the parties agr</w:t>
      </w:r>
      <w:r>
        <w:rPr>
          <w:sz w:val="20"/>
          <w:szCs w:val="20"/>
        </w:rPr>
        <w:t>eed t</w:t>
      </w:r>
      <w:r>
        <w:rPr>
          <w:sz w:val="20"/>
          <w:szCs w:val="20"/>
        </w:rPr>
        <w:t>o</w:t>
      </w:r>
      <w:r>
        <w:rPr>
          <w:sz w:val="20"/>
          <w:szCs w:val="20"/>
        </w:rPr>
        <w:t xml:space="preserve"> </w:t>
      </w:r>
    </w:p>
    <w:p w14:paraId="3827290C" w14:textId="77777777" w:rsidR="00000000" w:rsidRDefault="00EF48A2">
      <w:pPr>
        <w:pStyle w:val="a3"/>
        <w:spacing w:before="0" w:beforeAutospacing="0" w:after="0" w:afterAutospacing="0"/>
        <w:jc w:val="center"/>
        <w:divId w:val="397901753"/>
        <w:rPr>
          <w:sz w:val="20"/>
          <w:szCs w:val="20"/>
        </w:rPr>
      </w:pPr>
      <w:r>
        <w:rPr>
          <w:sz w:val="20"/>
          <w:szCs w:val="20"/>
        </w:rPr>
        <w:t>7</w:t>
      </w:r>
      <w:r>
        <w:rPr>
          <w:sz w:val="20"/>
          <w:szCs w:val="20"/>
        </w:rPr>
        <w:t>2</w:t>
      </w:r>
    </w:p>
    <w:p w14:paraId="515E8F18" w14:textId="77777777" w:rsidR="00000000" w:rsidRDefault="00EF48A2">
      <w:pPr>
        <w:divId w:val="397901753"/>
        <w:rPr>
          <w:rFonts w:eastAsia="Times New Roman"/>
          <w:sz w:val="20"/>
          <w:szCs w:val="20"/>
        </w:rPr>
      </w:pPr>
      <w:r>
        <w:rPr>
          <w:rFonts w:eastAsia="Times New Roman"/>
          <w:sz w:val="20"/>
          <w:szCs w:val="20"/>
        </w:rPr>
        <w:pict w14:anchorId="1C5B06D1">
          <v:rect id="_x0000_i1099" style="width:0;height:1.5pt" o:hralign="center" o:hrstd="t" o:hr="t" fillcolor="#a0a0a0" stroked="f"/>
        </w:pict>
      </w:r>
    </w:p>
    <w:p w14:paraId="33A46E7A" w14:textId="77777777" w:rsidR="00000000" w:rsidRDefault="00EF48A2">
      <w:pPr>
        <w:pStyle w:val="a3"/>
        <w:spacing w:before="0" w:beforeAutospacing="0" w:after="0" w:afterAutospacing="0"/>
        <w:divId w:val="397901753"/>
        <w:rPr>
          <w:sz w:val="20"/>
          <w:szCs w:val="20"/>
        </w:rPr>
      </w:pPr>
      <w:hyperlink w:anchor="toc_page" w:history="1">
        <w:r>
          <w:rPr>
            <w:rStyle w:val="a4"/>
            <w:sz w:val="20"/>
            <w:szCs w:val="20"/>
          </w:rPr>
          <w:t>Table of Content</w:t>
        </w:r>
        <w:r>
          <w:rPr>
            <w:rStyle w:val="a4"/>
            <w:sz w:val="20"/>
            <w:szCs w:val="20"/>
          </w:rPr>
          <w:t>s</w:t>
        </w:r>
      </w:hyperlink>
    </w:p>
    <w:p w14:paraId="462F013B" w14:textId="77777777" w:rsidR="00000000" w:rsidRDefault="00EF48A2">
      <w:pPr>
        <w:pStyle w:val="a3"/>
        <w:spacing w:before="180" w:beforeAutospacing="0" w:after="0" w:afterAutospacing="0"/>
        <w:jc w:val="both"/>
        <w:divId w:val="397901753"/>
        <w:rPr>
          <w:sz w:val="20"/>
          <w:szCs w:val="20"/>
        </w:rPr>
      </w:pPr>
      <w:r>
        <w:rPr>
          <w:sz w:val="20"/>
          <w:szCs w:val="20"/>
        </w:rPr>
        <w:t>resolve the Derivative Action with respect to all named defendants in exchange for the Company’s agreement to implement certain changes to its Governance envir</w:t>
      </w:r>
      <w:r>
        <w:rPr>
          <w:sz w:val="20"/>
          <w:szCs w:val="20"/>
        </w:rPr>
        <w:t>onment. The settlement will have to be approved by the court, which the Company expects will occur in the second or third quarter of 2023. The Company is responsible for payment of legal fees to the counsel representing the plaintiffs in the Derivative Act</w:t>
      </w:r>
      <w:r>
        <w:rPr>
          <w:sz w:val="20"/>
          <w:szCs w:val="20"/>
        </w:rPr>
        <w:t>ion. The Company accrued the estimated total legal fees as of December 31, 2022</w:t>
      </w:r>
      <w:r>
        <w:rPr>
          <w:sz w:val="20"/>
          <w:szCs w:val="20"/>
        </w:rPr>
        <w:t>.</w:t>
      </w:r>
    </w:p>
    <w:p w14:paraId="144F1625" w14:textId="77777777" w:rsidR="00000000" w:rsidRDefault="00EF48A2">
      <w:pPr>
        <w:pStyle w:val="a3"/>
        <w:spacing w:before="180" w:beforeAutospacing="0" w:after="0" w:afterAutospacing="0"/>
        <w:jc w:val="both"/>
        <w:divId w:val="397901753"/>
        <w:rPr>
          <w:sz w:val="20"/>
          <w:szCs w:val="20"/>
        </w:rPr>
      </w:pPr>
      <w:r>
        <w:rPr>
          <w:sz w:val="20"/>
          <w:szCs w:val="20"/>
        </w:rPr>
        <w:t>In addition to the foregoing, the Company may in the future be involved in various legal proceedings, claims and litigation that arise in the normal course of business. The Co</w:t>
      </w:r>
      <w:r>
        <w:rPr>
          <w:sz w:val="20"/>
          <w:szCs w:val="20"/>
        </w:rPr>
        <w:t>mpany accrues for estimated loss contingencies related to legal matters when available information indicates that it is probable a liability had been incurred and the Company can reasonably estimate the amount of that loss. In many proceedings, however, it</w:t>
      </w:r>
      <w:r>
        <w:rPr>
          <w:sz w:val="20"/>
          <w:szCs w:val="20"/>
        </w:rPr>
        <w:t xml:space="preserve"> is inherently difficult to determine whether any loss is probable or even possible or to estimate the amount of any loss. In addition, even where a loss is possible or an exposure to loss exists in excess of the liability already accrued with respect to a</w:t>
      </w:r>
      <w:r>
        <w:rPr>
          <w:sz w:val="20"/>
          <w:szCs w:val="20"/>
        </w:rPr>
        <w:t xml:space="preserve"> previously recognized loss contingency, it is often not possible to reasonably estimate the size of the possible loss or range of loss or possible additional losses or range of additional losses</w:t>
      </w:r>
      <w:r>
        <w:rPr>
          <w:sz w:val="20"/>
          <w:szCs w:val="20"/>
        </w:rPr>
        <w:t>.</w:t>
      </w:r>
    </w:p>
    <w:p w14:paraId="39113786" w14:textId="77777777" w:rsidR="00000000" w:rsidRDefault="00EF48A2">
      <w:pPr>
        <w:pStyle w:val="a3"/>
        <w:spacing w:before="0" w:beforeAutospacing="0" w:after="0" w:afterAutospacing="0"/>
        <w:divId w:val="397901753"/>
        <w:rPr>
          <w:sz w:val="20"/>
          <w:szCs w:val="20"/>
        </w:rPr>
      </w:pPr>
      <w:r>
        <w:rPr>
          <w:sz w:val="20"/>
          <w:szCs w:val="20"/>
        </w:rPr>
        <w:br/>
      </w:r>
      <w:r>
        <w:rPr>
          <w:b/>
          <w:bCs/>
          <w:i/>
          <w:iCs/>
          <w:sz w:val="20"/>
          <w:szCs w:val="20"/>
        </w:rPr>
        <w:t>Warranties and Indemnificatio</w:t>
      </w:r>
      <w:r>
        <w:rPr>
          <w:b/>
          <w:bCs/>
          <w:i/>
          <w:iCs/>
          <w:sz w:val="20"/>
          <w:szCs w:val="20"/>
        </w:rPr>
        <w:t>n</w:t>
      </w:r>
      <w:r>
        <w:rPr>
          <w:b/>
          <w:bCs/>
          <w:i/>
          <w:iCs/>
          <w:sz w:val="20"/>
          <w:szCs w:val="20"/>
        </w:rPr>
        <w:t xml:space="preserve"> </w:t>
      </w:r>
    </w:p>
    <w:p w14:paraId="648BDE5A" w14:textId="77777777" w:rsidR="00000000" w:rsidRDefault="00EF48A2">
      <w:pPr>
        <w:pStyle w:val="a3"/>
        <w:spacing w:before="180" w:beforeAutospacing="0" w:after="0" w:afterAutospacing="0"/>
        <w:jc w:val="both"/>
        <w:divId w:val="397901753"/>
        <w:rPr>
          <w:sz w:val="20"/>
          <w:szCs w:val="20"/>
        </w:rPr>
      </w:pPr>
      <w:r>
        <w:rPr>
          <w:sz w:val="20"/>
          <w:szCs w:val="20"/>
        </w:rPr>
        <w:t>The Company’s arrangements generally include certain provisions for indemnifying clients against liabilities if there is a breach of a client’s data or if the Company’s service infringes a third party’s intellectual property</w:t>
      </w:r>
      <w:r>
        <w:rPr>
          <w:sz w:val="20"/>
          <w:szCs w:val="20"/>
        </w:rPr>
        <w:t xml:space="preserve"> rights. To date, the Company has not incurred any material costs as a result of such indemnifications</w:t>
      </w:r>
      <w:r>
        <w:rPr>
          <w:sz w:val="20"/>
          <w:szCs w:val="20"/>
        </w:rPr>
        <w:t>.</w:t>
      </w:r>
    </w:p>
    <w:p w14:paraId="64DE1842" w14:textId="77777777" w:rsidR="00000000" w:rsidRDefault="00EF48A2">
      <w:pPr>
        <w:pStyle w:val="a3"/>
        <w:spacing w:before="180" w:beforeAutospacing="0" w:after="0" w:afterAutospacing="0"/>
        <w:jc w:val="both"/>
        <w:divId w:val="397901753"/>
        <w:rPr>
          <w:sz w:val="20"/>
          <w:szCs w:val="20"/>
        </w:rPr>
      </w:pPr>
      <w:r>
        <w:rPr>
          <w:sz w:val="20"/>
          <w:szCs w:val="20"/>
        </w:rPr>
        <w:t>The Company has also agreed to indemnify its directors and executive officers for costs associated with any fees, expenses, judgments, fines and settlem</w:t>
      </w:r>
      <w:r>
        <w:rPr>
          <w:sz w:val="20"/>
          <w:szCs w:val="20"/>
        </w:rPr>
        <w:t xml:space="preserve">ent amounts incurred by any of these persons in any action or proceeding to which any of those persons is, or is threatened to be, made a party by reason of the person’s service as a director or officer, including any action by the Company, arising out of </w:t>
      </w:r>
      <w:r>
        <w:rPr>
          <w:sz w:val="20"/>
          <w:szCs w:val="20"/>
        </w:rPr>
        <w:t>that person’s services as a director or officer or that person’s services provided to any other company or enterprise at the Company’s request. The Company maintains director and officer liability insurance coverage that would generally enable it to recove</w:t>
      </w:r>
      <w:r>
        <w:rPr>
          <w:sz w:val="20"/>
          <w:szCs w:val="20"/>
        </w:rPr>
        <w:t>r a portion of any future amounts paid. The Company may also be subject to indemnification obligations by law with respect to the actions of its employees under certain circumstances and in certain jurisdictions</w:t>
      </w:r>
      <w:r>
        <w:rPr>
          <w:sz w:val="20"/>
          <w:szCs w:val="20"/>
        </w:rPr>
        <w:t>.</w:t>
      </w:r>
    </w:p>
    <w:p w14:paraId="37557597" w14:textId="77777777" w:rsidR="00000000" w:rsidRDefault="00EF48A2">
      <w:pPr>
        <w:pStyle w:val="a3"/>
        <w:spacing w:before="360" w:beforeAutospacing="0" w:after="0" w:afterAutospacing="0"/>
        <w:divId w:val="406146908"/>
        <w:rPr>
          <w:sz w:val="20"/>
          <w:szCs w:val="20"/>
        </w:rPr>
      </w:pPr>
      <w:r>
        <w:rPr>
          <w:b/>
          <w:bCs/>
          <w:sz w:val="20"/>
          <w:szCs w:val="20"/>
        </w:rPr>
        <w:t>NOTE 8. PROPERTY AND EQUIPMENT, NE</w:t>
      </w:r>
      <w:r>
        <w:rPr>
          <w:b/>
          <w:bCs/>
          <w:sz w:val="20"/>
          <w:szCs w:val="20"/>
        </w:rPr>
        <w:t>T</w:t>
      </w:r>
    </w:p>
    <w:p w14:paraId="648D04FC" w14:textId="77777777" w:rsidR="00000000" w:rsidRDefault="00EF48A2">
      <w:pPr>
        <w:pStyle w:val="a3"/>
        <w:spacing w:before="180" w:beforeAutospacing="0" w:after="180" w:afterAutospacing="0"/>
        <w:jc w:val="both"/>
        <w:divId w:val="757483619"/>
        <w:rPr>
          <w:sz w:val="20"/>
          <w:szCs w:val="20"/>
        </w:rPr>
      </w:pPr>
      <w:r>
        <w:rPr>
          <w:sz w:val="20"/>
          <w:szCs w:val="20"/>
        </w:rPr>
        <w:t>Propert</w:t>
      </w:r>
      <w:r>
        <w:rPr>
          <w:sz w:val="20"/>
          <w:szCs w:val="20"/>
        </w:rPr>
        <w:t>y and equipment, net consist of the following</w:t>
      </w:r>
      <w:r>
        <w:rPr>
          <w:sz w:val="20"/>
          <w:szCs w:val="20"/>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6036"/>
        <w:gridCol w:w="110"/>
        <w:gridCol w:w="160"/>
        <w:gridCol w:w="683"/>
        <w:gridCol w:w="127"/>
        <w:gridCol w:w="110"/>
        <w:gridCol w:w="160"/>
        <w:gridCol w:w="695"/>
        <w:gridCol w:w="142"/>
      </w:tblGrid>
      <w:tr w:rsidR="00000000" w14:paraId="19EF99C2" w14:textId="77777777">
        <w:trPr>
          <w:divId w:val="757483619"/>
          <w:tblCellSpacing w:w="15" w:type="dxa"/>
        </w:trPr>
        <w:tc>
          <w:tcPr>
            <w:tcW w:w="3808" w:type="pct"/>
            <w:vAlign w:val="center"/>
            <w:hideMark/>
          </w:tcPr>
          <w:p w14:paraId="11051D4D" w14:textId="77777777" w:rsidR="00000000" w:rsidRDefault="00EF48A2">
            <w:pPr>
              <w:rPr>
                <w:sz w:val="20"/>
                <w:szCs w:val="20"/>
              </w:rPr>
            </w:pPr>
          </w:p>
        </w:tc>
        <w:tc>
          <w:tcPr>
            <w:tcW w:w="50" w:type="pct"/>
            <w:vAlign w:val="center"/>
            <w:hideMark/>
          </w:tcPr>
          <w:p w14:paraId="0C41E014" w14:textId="77777777" w:rsidR="00000000" w:rsidRDefault="00EF48A2">
            <w:pPr>
              <w:rPr>
                <w:rFonts w:eastAsia="Times New Roman"/>
                <w:sz w:val="20"/>
                <w:szCs w:val="20"/>
              </w:rPr>
            </w:pPr>
          </w:p>
        </w:tc>
        <w:tc>
          <w:tcPr>
            <w:tcW w:w="50" w:type="pct"/>
            <w:vAlign w:val="center"/>
            <w:hideMark/>
          </w:tcPr>
          <w:p w14:paraId="563E0F38" w14:textId="77777777" w:rsidR="00000000" w:rsidRDefault="00EF48A2">
            <w:pPr>
              <w:rPr>
                <w:rFonts w:eastAsia="Times New Roman"/>
                <w:sz w:val="20"/>
                <w:szCs w:val="20"/>
              </w:rPr>
            </w:pPr>
          </w:p>
        </w:tc>
        <w:tc>
          <w:tcPr>
            <w:tcW w:w="441" w:type="pct"/>
            <w:vAlign w:val="center"/>
            <w:hideMark/>
          </w:tcPr>
          <w:p w14:paraId="25DABAC7" w14:textId="77777777" w:rsidR="00000000" w:rsidRDefault="00EF48A2">
            <w:pPr>
              <w:rPr>
                <w:rFonts w:eastAsia="Times New Roman"/>
                <w:sz w:val="20"/>
                <w:szCs w:val="20"/>
              </w:rPr>
            </w:pPr>
          </w:p>
        </w:tc>
        <w:tc>
          <w:tcPr>
            <w:tcW w:w="50" w:type="pct"/>
            <w:vAlign w:val="center"/>
            <w:hideMark/>
          </w:tcPr>
          <w:p w14:paraId="533C1931" w14:textId="77777777" w:rsidR="00000000" w:rsidRDefault="00EF48A2">
            <w:pPr>
              <w:rPr>
                <w:rFonts w:eastAsia="Times New Roman"/>
                <w:sz w:val="20"/>
                <w:szCs w:val="20"/>
              </w:rPr>
            </w:pPr>
          </w:p>
        </w:tc>
        <w:tc>
          <w:tcPr>
            <w:tcW w:w="50" w:type="pct"/>
            <w:vAlign w:val="center"/>
            <w:hideMark/>
          </w:tcPr>
          <w:p w14:paraId="439F4FC8" w14:textId="77777777" w:rsidR="00000000" w:rsidRDefault="00EF48A2">
            <w:pPr>
              <w:rPr>
                <w:rFonts w:eastAsia="Times New Roman"/>
                <w:sz w:val="20"/>
                <w:szCs w:val="20"/>
              </w:rPr>
            </w:pPr>
          </w:p>
        </w:tc>
        <w:tc>
          <w:tcPr>
            <w:tcW w:w="50" w:type="pct"/>
            <w:vAlign w:val="center"/>
            <w:hideMark/>
          </w:tcPr>
          <w:p w14:paraId="51C48379" w14:textId="77777777" w:rsidR="00000000" w:rsidRDefault="00EF48A2">
            <w:pPr>
              <w:rPr>
                <w:rFonts w:eastAsia="Times New Roman"/>
                <w:sz w:val="20"/>
                <w:szCs w:val="20"/>
              </w:rPr>
            </w:pPr>
          </w:p>
        </w:tc>
        <w:tc>
          <w:tcPr>
            <w:tcW w:w="448" w:type="pct"/>
            <w:vAlign w:val="center"/>
            <w:hideMark/>
          </w:tcPr>
          <w:p w14:paraId="7AF48E4C" w14:textId="77777777" w:rsidR="00000000" w:rsidRDefault="00EF48A2">
            <w:pPr>
              <w:rPr>
                <w:rFonts w:eastAsia="Times New Roman"/>
                <w:sz w:val="20"/>
                <w:szCs w:val="20"/>
              </w:rPr>
            </w:pPr>
          </w:p>
        </w:tc>
        <w:tc>
          <w:tcPr>
            <w:tcW w:w="50" w:type="pct"/>
            <w:vAlign w:val="center"/>
            <w:hideMark/>
          </w:tcPr>
          <w:p w14:paraId="1303F58B" w14:textId="77777777" w:rsidR="00000000" w:rsidRDefault="00EF48A2">
            <w:pPr>
              <w:rPr>
                <w:rFonts w:eastAsia="Times New Roman"/>
                <w:sz w:val="20"/>
                <w:szCs w:val="20"/>
              </w:rPr>
            </w:pPr>
          </w:p>
        </w:tc>
      </w:tr>
      <w:tr w:rsidR="00000000" w14:paraId="746D2AA4" w14:textId="77777777">
        <w:trPr>
          <w:divId w:val="757483619"/>
          <w:trHeight w:val="160"/>
          <w:tblCellSpacing w:w="15" w:type="dxa"/>
        </w:trPr>
        <w:tc>
          <w:tcPr>
            <w:tcW w:w="0" w:type="auto"/>
            <w:vAlign w:val="bottom"/>
            <w:hideMark/>
          </w:tcPr>
          <w:p w14:paraId="17EA6D2A"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176A94E4" w14:textId="77777777" w:rsidR="00000000" w:rsidRDefault="00EF48A2">
            <w:pPr>
              <w:pStyle w:val="a3"/>
              <w:spacing w:before="0" w:beforeAutospacing="0" w:after="0" w:afterAutospacing="0"/>
              <w:rPr>
                <w:sz w:val="16"/>
                <w:szCs w:val="16"/>
              </w:rPr>
            </w:pPr>
            <w:r>
              <w:rPr>
                <w:sz w:val="16"/>
                <w:szCs w:val="16"/>
              </w:rPr>
              <w:t> </w:t>
            </w:r>
          </w:p>
        </w:tc>
        <w:tc>
          <w:tcPr>
            <w:tcW w:w="0" w:type="auto"/>
            <w:gridSpan w:val="6"/>
            <w:vAlign w:val="bottom"/>
            <w:hideMark/>
          </w:tcPr>
          <w:p w14:paraId="6EDE9DE1" w14:textId="77777777" w:rsidR="00000000" w:rsidRDefault="00EF48A2">
            <w:pPr>
              <w:pStyle w:val="a3"/>
              <w:spacing w:before="0" w:beforeAutospacing="0" w:after="0" w:afterAutospacing="0"/>
              <w:jc w:val="center"/>
              <w:rPr>
                <w:sz w:val="16"/>
                <w:szCs w:val="16"/>
              </w:rPr>
            </w:pPr>
            <w:r>
              <w:rPr>
                <w:b/>
                <w:bCs/>
                <w:sz w:val="16"/>
                <w:szCs w:val="16"/>
              </w:rPr>
              <w:t>As of December 31</w:t>
            </w:r>
            <w:r>
              <w:rPr>
                <w:b/>
                <w:bCs/>
                <w:sz w:val="16"/>
                <w:szCs w:val="16"/>
              </w:rPr>
              <w:t>,</w:t>
            </w:r>
          </w:p>
        </w:tc>
        <w:tc>
          <w:tcPr>
            <w:tcW w:w="0" w:type="auto"/>
            <w:vAlign w:val="bottom"/>
            <w:hideMark/>
          </w:tcPr>
          <w:p w14:paraId="6D5BC3A3"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FFFB658" w14:textId="77777777">
        <w:trPr>
          <w:divId w:val="757483619"/>
          <w:trHeight w:val="160"/>
          <w:tblCellSpacing w:w="15" w:type="dxa"/>
        </w:trPr>
        <w:tc>
          <w:tcPr>
            <w:tcW w:w="0" w:type="auto"/>
            <w:vAlign w:val="bottom"/>
            <w:hideMark/>
          </w:tcPr>
          <w:p w14:paraId="1B09BB1C"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5F5BD971"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61B1ADB3"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8618A36"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51001FD2"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0CD18BD7"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DEE74B2"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5BF9868" w14:textId="77777777">
        <w:trPr>
          <w:divId w:val="757483619"/>
          <w:trHeight w:val="200"/>
          <w:tblCellSpacing w:w="15" w:type="dxa"/>
        </w:trPr>
        <w:tc>
          <w:tcPr>
            <w:tcW w:w="0" w:type="auto"/>
            <w:vAlign w:val="bottom"/>
            <w:hideMark/>
          </w:tcPr>
          <w:p w14:paraId="3003141A" w14:textId="77777777" w:rsidR="00000000" w:rsidRDefault="00EF48A2">
            <w:pPr>
              <w:pStyle w:val="a3"/>
              <w:spacing w:before="0" w:beforeAutospacing="0" w:after="0" w:afterAutospacing="0"/>
              <w:rPr>
                <w:sz w:val="20"/>
                <w:szCs w:val="20"/>
              </w:rPr>
            </w:pPr>
            <w:r>
              <w:rPr>
                <w:sz w:val="20"/>
                <w:szCs w:val="20"/>
              </w:rPr>
              <w:t>Computer equipment and softwar</w:t>
            </w:r>
            <w:r>
              <w:rPr>
                <w:sz w:val="20"/>
                <w:szCs w:val="20"/>
              </w:rPr>
              <w:t>e</w:t>
            </w:r>
          </w:p>
        </w:tc>
        <w:tc>
          <w:tcPr>
            <w:tcW w:w="0" w:type="auto"/>
            <w:vAlign w:val="bottom"/>
            <w:hideMark/>
          </w:tcPr>
          <w:p w14:paraId="012703E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0CCD82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D8D5551" w14:textId="77777777" w:rsidR="00000000" w:rsidRDefault="00EF48A2">
            <w:pPr>
              <w:pStyle w:val="a3"/>
              <w:spacing w:before="0" w:beforeAutospacing="0" w:after="0" w:afterAutospacing="0"/>
              <w:jc w:val="right"/>
              <w:rPr>
                <w:sz w:val="20"/>
                <w:szCs w:val="20"/>
              </w:rPr>
            </w:pPr>
            <w:r>
              <w:rPr>
                <w:sz w:val="20"/>
                <w:szCs w:val="20"/>
              </w:rPr>
              <w:t>1,31</w:t>
            </w:r>
            <w:r>
              <w:rPr>
                <w:sz w:val="20"/>
                <w:szCs w:val="20"/>
              </w:rPr>
              <w:t>9</w:t>
            </w:r>
          </w:p>
        </w:tc>
        <w:tc>
          <w:tcPr>
            <w:tcW w:w="0" w:type="auto"/>
            <w:noWrap/>
            <w:vAlign w:val="bottom"/>
            <w:hideMark/>
          </w:tcPr>
          <w:p w14:paraId="120EE11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FDEE37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4C8FC1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D7C9AA3" w14:textId="77777777" w:rsidR="00000000" w:rsidRDefault="00EF48A2">
            <w:pPr>
              <w:pStyle w:val="a3"/>
              <w:spacing w:before="0" w:beforeAutospacing="0" w:after="0" w:afterAutospacing="0"/>
              <w:jc w:val="right"/>
              <w:rPr>
                <w:sz w:val="20"/>
                <w:szCs w:val="20"/>
              </w:rPr>
            </w:pPr>
            <w:r>
              <w:rPr>
                <w:sz w:val="20"/>
                <w:szCs w:val="20"/>
              </w:rPr>
              <w:t>92</w:t>
            </w:r>
            <w:r>
              <w:rPr>
                <w:sz w:val="20"/>
                <w:szCs w:val="20"/>
              </w:rPr>
              <w:t>6</w:t>
            </w:r>
          </w:p>
        </w:tc>
        <w:tc>
          <w:tcPr>
            <w:tcW w:w="0" w:type="auto"/>
            <w:noWrap/>
            <w:vAlign w:val="bottom"/>
            <w:hideMark/>
          </w:tcPr>
          <w:p w14:paraId="2045183D" w14:textId="77777777" w:rsidR="00000000" w:rsidRDefault="00EF48A2">
            <w:pPr>
              <w:pStyle w:val="a3"/>
              <w:spacing w:before="0" w:beforeAutospacing="0" w:after="0" w:afterAutospacing="0"/>
              <w:rPr>
                <w:sz w:val="20"/>
                <w:szCs w:val="20"/>
              </w:rPr>
            </w:pPr>
            <w:r>
              <w:rPr>
                <w:sz w:val="20"/>
                <w:szCs w:val="20"/>
              </w:rPr>
              <w:t> </w:t>
            </w:r>
          </w:p>
        </w:tc>
      </w:tr>
      <w:tr w:rsidR="00000000" w14:paraId="7CB87B11" w14:textId="77777777">
        <w:trPr>
          <w:divId w:val="757483619"/>
          <w:trHeight w:val="200"/>
          <w:tblCellSpacing w:w="15" w:type="dxa"/>
        </w:trPr>
        <w:tc>
          <w:tcPr>
            <w:tcW w:w="0" w:type="auto"/>
            <w:vAlign w:val="bottom"/>
            <w:hideMark/>
          </w:tcPr>
          <w:p w14:paraId="724682C1" w14:textId="77777777" w:rsidR="00000000" w:rsidRDefault="00EF48A2">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14:paraId="1613101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45C09A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9EB55B1" w14:textId="77777777" w:rsidR="00000000" w:rsidRDefault="00EF48A2">
            <w:pPr>
              <w:pStyle w:val="a3"/>
              <w:spacing w:before="0" w:beforeAutospacing="0" w:after="0" w:afterAutospacing="0"/>
              <w:jc w:val="right"/>
              <w:rPr>
                <w:sz w:val="20"/>
                <w:szCs w:val="20"/>
              </w:rPr>
            </w:pPr>
            <w:r>
              <w:rPr>
                <w:sz w:val="20"/>
                <w:szCs w:val="20"/>
              </w:rPr>
              <w:t>(</w:t>
            </w:r>
            <w:r>
              <w:rPr>
                <w:sz w:val="20"/>
                <w:szCs w:val="20"/>
              </w:rPr>
              <w:t>64</w:t>
            </w:r>
            <w:r>
              <w:rPr>
                <w:sz w:val="20"/>
                <w:szCs w:val="20"/>
              </w:rPr>
              <w:t>2</w:t>
            </w:r>
          </w:p>
        </w:tc>
        <w:tc>
          <w:tcPr>
            <w:tcW w:w="0" w:type="auto"/>
            <w:noWrap/>
            <w:vAlign w:val="bottom"/>
            <w:hideMark/>
          </w:tcPr>
          <w:p w14:paraId="24430AE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B05B16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472CD4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33ACE81" w14:textId="77777777" w:rsidR="00000000" w:rsidRDefault="00EF48A2">
            <w:pPr>
              <w:pStyle w:val="a3"/>
              <w:spacing w:before="0" w:beforeAutospacing="0" w:after="0" w:afterAutospacing="0"/>
              <w:jc w:val="right"/>
              <w:rPr>
                <w:sz w:val="20"/>
                <w:szCs w:val="20"/>
              </w:rPr>
            </w:pPr>
            <w:r>
              <w:rPr>
                <w:sz w:val="20"/>
                <w:szCs w:val="20"/>
              </w:rPr>
              <w:t>(</w:t>
            </w:r>
            <w:r>
              <w:rPr>
                <w:sz w:val="20"/>
                <w:szCs w:val="20"/>
              </w:rPr>
              <w:t>30</w:t>
            </w:r>
            <w:r>
              <w:rPr>
                <w:sz w:val="20"/>
                <w:szCs w:val="20"/>
              </w:rPr>
              <w:t>2</w:t>
            </w:r>
          </w:p>
        </w:tc>
        <w:tc>
          <w:tcPr>
            <w:tcW w:w="0" w:type="auto"/>
            <w:noWrap/>
            <w:vAlign w:val="bottom"/>
            <w:hideMark/>
          </w:tcPr>
          <w:p w14:paraId="2210E1F0" w14:textId="77777777" w:rsidR="00000000" w:rsidRDefault="00EF48A2">
            <w:pPr>
              <w:pStyle w:val="a3"/>
              <w:spacing w:before="0" w:beforeAutospacing="0" w:after="0" w:afterAutospacing="0"/>
              <w:rPr>
                <w:sz w:val="20"/>
                <w:szCs w:val="20"/>
              </w:rPr>
            </w:pPr>
            <w:r>
              <w:rPr>
                <w:sz w:val="20"/>
                <w:szCs w:val="20"/>
              </w:rPr>
              <w:t>)</w:t>
            </w:r>
          </w:p>
        </w:tc>
      </w:tr>
      <w:tr w:rsidR="00000000" w14:paraId="57704E33" w14:textId="77777777">
        <w:trPr>
          <w:divId w:val="757483619"/>
          <w:trHeight w:val="200"/>
          <w:tblCellSpacing w:w="15" w:type="dxa"/>
        </w:trPr>
        <w:tc>
          <w:tcPr>
            <w:tcW w:w="0" w:type="auto"/>
            <w:vAlign w:val="bottom"/>
            <w:hideMark/>
          </w:tcPr>
          <w:p w14:paraId="4C5634EF" w14:textId="77777777" w:rsidR="00000000" w:rsidRDefault="00EF48A2">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14:paraId="2239951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61A164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1D6A4F4" w14:textId="77777777" w:rsidR="00000000" w:rsidRDefault="00EF48A2">
            <w:pPr>
              <w:pStyle w:val="a3"/>
              <w:spacing w:before="0" w:beforeAutospacing="0" w:after="0" w:afterAutospacing="0"/>
              <w:jc w:val="right"/>
              <w:rPr>
                <w:sz w:val="20"/>
                <w:szCs w:val="20"/>
              </w:rPr>
            </w:pPr>
            <w:r>
              <w:rPr>
                <w:sz w:val="20"/>
                <w:szCs w:val="20"/>
              </w:rPr>
              <w:t>67</w:t>
            </w:r>
            <w:r>
              <w:rPr>
                <w:sz w:val="20"/>
                <w:szCs w:val="20"/>
              </w:rPr>
              <w:t>7</w:t>
            </w:r>
          </w:p>
        </w:tc>
        <w:tc>
          <w:tcPr>
            <w:tcW w:w="0" w:type="auto"/>
            <w:noWrap/>
            <w:vAlign w:val="bottom"/>
            <w:hideMark/>
          </w:tcPr>
          <w:p w14:paraId="2282C65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E00873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50715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A191C6E" w14:textId="77777777" w:rsidR="00000000" w:rsidRDefault="00EF48A2">
            <w:pPr>
              <w:pStyle w:val="a3"/>
              <w:spacing w:before="0" w:beforeAutospacing="0" w:after="0" w:afterAutospacing="0"/>
              <w:jc w:val="right"/>
              <w:rPr>
                <w:sz w:val="20"/>
                <w:szCs w:val="20"/>
              </w:rPr>
            </w:pPr>
            <w:r>
              <w:rPr>
                <w:sz w:val="20"/>
                <w:szCs w:val="20"/>
              </w:rPr>
              <w:t>62</w:t>
            </w:r>
            <w:r>
              <w:rPr>
                <w:sz w:val="20"/>
                <w:szCs w:val="20"/>
              </w:rPr>
              <w:t>4</w:t>
            </w:r>
          </w:p>
        </w:tc>
        <w:tc>
          <w:tcPr>
            <w:tcW w:w="0" w:type="auto"/>
            <w:noWrap/>
            <w:vAlign w:val="bottom"/>
            <w:hideMark/>
          </w:tcPr>
          <w:p w14:paraId="70646B2B" w14:textId="77777777" w:rsidR="00000000" w:rsidRDefault="00EF48A2">
            <w:pPr>
              <w:pStyle w:val="a3"/>
              <w:spacing w:before="0" w:beforeAutospacing="0" w:after="0" w:afterAutospacing="0"/>
              <w:rPr>
                <w:sz w:val="20"/>
                <w:szCs w:val="20"/>
              </w:rPr>
            </w:pPr>
            <w:r>
              <w:rPr>
                <w:sz w:val="20"/>
                <w:szCs w:val="20"/>
              </w:rPr>
              <w:t> </w:t>
            </w:r>
          </w:p>
        </w:tc>
      </w:tr>
    </w:tbl>
    <w:p w14:paraId="0A74E4DB" w14:textId="77777777" w:rsidR="00000000" w:rsidRDefault="00EF48A2">
      <w:pPr>
        <w:pStyle w:val="a3"/>
        <w:spacing w:before="180" w:beforeAutospacing="0" w:after="0" w:afterAutospacing="0"/>
        <w:jc w:val="both"/>
        <w:divId w:val="406146908"/>
        <w:rPr>
          <w:sz w:val="20"/>
          <w:szCs w:val="20"/>
        </w:rPr>
      </w:pPr>
      <w:r>
        <w:rPr>
          <w:sz w:val="20"/>
          <w:szCs w:val="20"/>
        </w:rPr>
        <w:t xml:space="preserve">Depreciation expense, included in general and administrative expense in the consolidated statement of operations, was </w:t>
      </w:r>
      <w:r>
        <w:rPr>
          <w:sz w:val="20"/>
          <w:szCs w:val="20"/>
        </w:rPr>
        <w:t>$</w:t>
      </w:r>
      <w:r>
        <w:rPr>
          <w:sz w:val="20"/>
          <w:szCs w:val="20"/>
        </w:rPr>
        <w:t>0.</w:t>
      </w:r>
      <w:r>
        <w:rPr>
          <w:sz w:val="20"/>
          <w:szCs w:val="20"/>
        </w:rPr>
        <w:t>4</w:t>
      </w:r>
      <w:r>
        <w:rPr>
          <w:sz w:val="20"/>
          <w:szCs w:val="20"/>
        </w:rPr>
        <w:t xml:space="preserve"> million, </w:t>
      </w:r>
      <w:r>
        <w:rPr>
          <w:sz w:val="20"/>
          <w:szCs w:val="20"/>
        </w:rPr>
        <w:t>$</w:t>
      </w:r>
      <w:r>
        <w:rPr>
          <w:sz w:val="20"/>
          <w:szCs w:val="20"/>
        </w:rPr>
        <w:t>0.</w:t>
      </w:r>
      <w:r>
        <w:rPr>
          <w:sz w:val="20"/>
          <w:szCs w:val="20"/>
        </w:rPr>
        <w:t>2</w:t>
      </w:r>
      <w:r>
        <w:rPr>
          <w:sz w:val="20"/>
          <w:szCs w:val="20"/>
        </w:rPr>
        <w:t xml:space="preserve"> million and </w:t>
      </w:r>
      <w:r>
        <w:rPr>
          <w:sz w:val="20"/>
          <w:szCs w:val="20"/>
        </w:rPr>
        <w:t>$</w:t>
      </w:r>
      <w:r>
        <w:rPr>
          <w:sz w:val="20"/>
          <w:szCs w:val="20"/>
        </w:rPr>
        <w:t>0.</w:t>
      </w:r>
      <w:r>
        <w:rPr>
          <w:sz w:val="20"/>
          <w:szCs w:val="20"/>
        </w:rPr>
        <w:t>1</w:t>
      </w:r>
      <w:r>
        <w:rPr>
          <w:sz w:val="20"/>
          <w:szCs w:val="20"/>
        </w:rPr>
        <w:t xml:space="preserve"> million for the years ended December 31, 2022, 2021 and 2020, respectively</w:t>
      </w:r>
      <w:r>
        <w:rPr>
          <w:sz w:val="20"/>
          <w:szCs w:val="20"/>
        </w:rPr>
        <w:t>.</w:t>
      </w:r>
    </w:p>
    <w:p w14:paraId="417C4F5E" w14:textId="77777777" w:rsidR="00000000" w:rsidRDefault="00EF48A2">
      <w:pPr>
        <w:pStyle w:val="a3"/>
        <w:spacing w:before="360" w:beforeAutospacing="0" w:after="0" w:afterAutospacing="0"/>
        <w:divId w:val="315644740"/>
        <w:rPr>
          <w:sz w:val="20"/>
          <w:szCs w:val="20"/>
        </w:rPr>
      </w:pPr>
      <w:r>
        <w:rPr>
          <w:b/>
          <w:bCs/>
          <w:sz w:val="20"/>
          <w:szCs w:val="20"/>
        </w:rPr>
        <w:t>NOTE 9. LEASE</w:t>
      </w:r>
      <w:r>
        <w:rPr>
          <w:b/>
          <w:bCs/>
          <w:sz w:val="20"/>
          <w:szCs w:val="20"/>
        </w:rPr>
        <w:t>S</w:t>
      </w:r>
    </w:p>
    <w:p w14:paraId="58FDB0A0" w14:textId="77777777" w:rsidR="00000000" w:rsidRDefault="00EF48A2">
      <w:pPr>
        <w:pStyle w:val="a3"/>
        <w:spacing w:before="180" w:beforeAutospacing="0" w:after="0" w:afterAutospacing="0"/>
        <w:jc w:val="both"/>
        <w:divId w:val="315644740"/>
        <w:rPr>
          <w:sz w:val="20"/>
          <w:szCs w:val="20"/>
        </w:rPr>
      </w:pPr>
      <w:r>
        <w:rPr>
          <w:sz w:val="20"/>
          <w:szCs w:val="20"/>
        </w:rPr>
        <w:t>In November 2022, the Company entered into a long-term lease agreement lease for new office space in New York, NY. This operating lease expires</w:t>
      </w:r>
      <w:r>
        <w:rPr>
          <w:sz w:val="20"/>
          <w:szCs w:val="20"/>
        </w:rPr>
        <w:t xml:space="preserve"> </w:t>
      </w:r>
      <w:r>
        <w:rPr>
          <w:sz w:val="20"/>
          <w:szCs w:val="20"/>
        </w:rPr>
        <w:t>two year</w:t>
      </w:r>
      <w:r>
        <w:rPr>
          <w:sz w:val="20"/>
          <w:szCs w:val="20"/>
        </w:rPr>
        <w:t>s</w:t>
      </w:r>
      <w:r>
        <w:rPr>
          <w:sz w:val="20"/>
          <w:szCs w:val="20"/>
        </w:rPr>
        <w:t xml:space="preserve"> from the commencement date and has the option to be renewed for an additional year. The Company recogn</w:t>
      </w:r>
      <w:r>
        <w:rPr>
          <w:sz w:val="20"/>
          <w:szCs w:val="20"/>
        </w:rPr>
        <w:t xml:space="preserve">ized ROU lease asset and lease liability based on the present value of the future minimum lease payments at the lease commencement date. The Company did not include the renewal options as part of the ROU lease asset and lease liability at the commencement </w:t>
      </w:r>
      <w:r>
        <w:rPr>
          <w:sz w:val="20"/>
          <w:szCs w:val="20"/>
        </w:rPr>
        <w:t>date as it was not reasonably certain that the renewal option will be exercised. The Company used incremental borrowing rates based on the estimated rate of interest for collateralized borrowing over a similar term of the lease payments at commencement dat</w:t>
      </w:r>
      <w:r>
        <w:rPr>
          <w:sz w:val="20"/>
          <w:szCs w:val="20"/>
        </w:rPr>
        <w:t>e in determining the present value of future payments. As of December 31, 2022, the weighted-average remaining lease term was</w:t>
      </w:r>
      <w:r>
        <w:rPr>
          <w:sz w:val="20"/>
          <w:szCs w:val="20"/>
        </w:rPr>
        <w:t xml:space="preserve"> </w:t>
      </w:r>
      <w:r>
        <w:rPr>
          <w:sz w:val="20"/>
          <w:szCs w:val="20"/>
        </w:rPr>
        <w:t>1.8</w:t>
      </w:r>
      <w:r>
        <w:rPr>
          <w:sz w:val="20"/>
          <w:szCs w:val="20"/>
        </w:rPr>
        <w:t>3</w:t>
      </w:r>
      <w:r>
        <w:rPr>
          <w:sz w:val="20"/>
          <w:szCs w:val="20"/>
        </w:rPr>
        <w:t xml:space="preserve"> years and weighted-average discount rate was</w:t>
      </w:r>
      <w:r>
        <w:rPr>
          <w:sz w:val="20"/>
          <w:szCs w:val="20"/>
        </w:rPr>
        <w:t xml:space="preserve"> </w:t>
      </w:r>
      <w:r>
        <w:rPr>
          <w:sz w:val="20"/>
          <w:szCs w:val="20"/>
        </w:rPr>
        <w:t>7.1</w:t>
      </w:r>
      <w:r>
        <w:rPr>
          <w:sz w:val="20"/>
          <w:szCs w:val="20"/>
        </w:rPr>
        <w:t>7</w:t>
      </w:r>
      <w:r>
        <w:rPr>
          <w:sz w:val="20"/>
          <w:szCs w:val="20"/>
        </w:rPr>
        <w:t>%. As of December 31, 2022, the</w:t>
      </w:r>
      <w:r>
        <w:rPr>
          <w:sz w:val="20"/>
          <w:szCs w:val="20"/>
        </w:rPr>
        <w:t xml:space="preserve"> </w:t>
      </w:r>
      <w:r>
        <w:rPr>
          <w:sz w:val="20"/>
          <w:szCs w:val="20"/>
        </w:rPr>
        <w:t>ROU lease asse</w:t>
      </w:r>
      <w:r>
        <w:rPr>
          <w:sz w:val="20"/>
          <w:szCs w:val="20"/>
        </w:rPr>
        <w:t>t</w:t>
      </w:r>
      <w:r>
        <w:rPr>
          <w:sz w:val="20"/>
          <w:szCs w:val="20"/>
        </w:rPr>
        <w:t xml:space="preserve"> was of </w:t>
      </w:r>
      <w:r>
        <w:rPr>
          <w:sz w:val="20"/>
          <w:szCs w:val="20"/>
        </w:rPr>
        <w:t>$</w:t>
      </w:r>
      <w:r>
        <w:rPr>
          <w:sz w:val="20"/>
          <w:szCs w:val="20"/>
        </w:rPr>
        <w:t>0.</w:t>
      </w:r>
      <w:r>
        <w:rPr>
          <w:sz w:val="20"/>
          <w:szCs w:val="20"/>
        </w:rPr>
        <w:t>4</w:t>
      </w:r>
      <w:r>
        <w:rPr>
          <w:sz w:val="20"/>
          <w:szCs w:val="20"/>
        </w:rPr>
        <w:t xml:space="preserve"> million and is i</w:t>
      </w:r>
      <w:r>
        <w:rPr>
          <w:sz w:val="20"/>
          <w:szCs w:val="20"/>
        </w:rPr>
        <w:t xml:space="preserve">ncluded within the "Other assets" line item in the consolidated balance sheet. As of December 31, 2022, the short-term portion of the lease liability was </w:t>
      </w:r>
      <w:r>
        <w:rPr>
          <w:sz w:val="20"/>
          <w:szCs w:val="20"/>
        </w:rPr>
        <w:t>$</w:t>
      </w:r>
      <w:r>
        <w:rPr>
          <w:sz w:val="20"/>
          <w:szCs w:val="20"/>
        </w:rPr>
        <w:t>0.</w:t>
      </w:r>
      <w:r>
        <w:rPr>
          <w:sz w:val="20"/>
          <w:szCs w:val="20"/>
        </w:rPr>
        <w:t>2</w:t>
      </w:r>
      <w:r>
        <w:rPr>
          <w:sz w:val="20"/>
          <w:szCs w:val="20"/>
        </w:rPr>
        <w:t xml:space="preserve"> million and is included within the "Accrued expenses and other current liabilities" line item in </w:t>
      </w:r>
      <w:r>
        <w:rPr>
          <w:sz w:val="20"/>
          <w:szCs w:val="20"/>
        </w:rPr>
        <w:t xml:space="preserve">the consolidated balance sheet. As of December 31, 2022, the long-term portion of the lease liability was </w:t>
      </w:r>
      <w:r>
        <w:rPr>
          <w:sz w:val="20"/>
          <w:szCs w:val="20"/>
        </w:rPr>
        <w:t>$</w:t>
      </w:r>
      <w:r>
        <w:rPr>
          <w:sz w:val="20"/>
          <w:szCs w:val="20"/>
        </w:rPr>
        <w:t>0.</w:t>
      </w:r>
      <w:r>
        <w:rPr>
          <w:sz w:val="20"/>
          <w:szCs w:val="20"/>
        </w:rPr>
        <w:t>3</w:t>
      </w:r>
      <w:r>
        <w:rPr>
          <w:sz w:val="20"/>
          <w:szCs w:val="20"/>
        </w:rPr>
        <w:t xml:space="preserve"> million and is included within the "Other liabilities" line item in the consolidated balance sheet. Operating lease costs recognized for the year</w:t>
      </w:r>
      <w:r>
        <w:rPr>
          <w:sz w:val="20"/>
          <w:szCs w:val="20"/>
        </w:rPr>
        <w:t xml:space="preserve"> ended December 31, 2022 were immaterial</w:t>
      </w:r>
      <w:r>
        <w:rPr>
          <w:sz w:val="20"/>
          <w:szCs w:val="20"/>
        </w:rPr>
        <w:t>.</w:t>
      </w:r>
    </w:p>
    <w:p w14:paraId="176DBE0C" w14:textId="77777777" w:rsidR="00000000" w:rsidRDefault="00EF48A2">
      <w:pPr>
        <w:pStyle w:val="a3"/>
        <w:spacing w:before="0" w:beforeAutospacing="0" w:after="0" w:afterAutospacing="0"/>
        <w:jc w:val="center"/>
        <w:divId w:val="315644740"/>
        <w:rPr>
          <w:sz w:val="20"/>
          <w:szCs w:val="20"/>
        </w:rPr>
      </w:pPr>
      <w:r>
        <w:rPr>
          <w:sz w:val="20"/>
          <w:szCs w:val="20"/>
        </w:rPr>
        <w:t>7</w:t>
      </w:r>
      <w:r>
        <w:rPr>
          <w:sz w:val="20"/>
          <w:szCs w:val="20"/>
        </w:rPr>
        <w:t>3</w:t>
      </w:r>
    </w:p>
    <w:p w14:paraId="6820969E" w14:textId="77777777" w:rsidR="00000000" w:rsidRDefault="00EF48A2">
      <w:pPr>
        <w:divId w:val="315644740"/>
        <w:rPr>
          <w:rFonts w:eastAsia="Times New Roman"/>
          <w:sz w:val="20"/>
          <w:szCs w:val="20"/>
        </w:rPr>
      </w:pPr>
      <w:r>
        <w:rPr>
          <w:rFonts w:eastAsia="Times New Roman"/>
          <w:sz w:val="20"/>
          <w:szCs w:val="20"/>
        </w:rPr>
        <w:pict w14:anchorId="6B213E6A">
          <v:rect id="_x0000_i1100" style="width:0;height:1.5pt" o:hralign="center" o:hrstd="t" o:hr="t" fillcolor="#a0a0a0" stroked="f"/>
        </w:pict>
      </w:r>
    </w:p>
    <w:p w14:paraId="453F1772" w14:textId="77777777" w:rsidR="00000000" w:rsidRDefault="00EF48A2">
      <w:pPr>
        <w:pStyle w:val="a3"/>
        <w:spacing w:before="0" w:beforeAutospacing="0" w:after="0" w:afterAutospacing="0"/>
        <w:divId w:val="315644740"/>
        <w:rPr>
          <w:sz w:val="20"/>
          <w:szCs w:val="20"/>
        </w:rPr>
      </w:pPr>
      <w:hyperlink w:anchor="toc_page" w:history="1">
        <w:r>
          <w:rPr>
            <w:rStyle w:val="a4"/>
            <w:sz w:val="20"/>
            <w:szCs w:val="20"/>
          </w:rPr>
          <w:t>Table of Content</w:t>
        </w:r>
        <w:r>
          <w:rPr>
            <w:rStyle w:val="a4"/>
            <w:sz w:val="20"/>
            <w:szCs w:val="20"/>
          </w:rPr>
          <w:t>s</w:t>
        </w:r>
      </w:hyperlink>
    </w:p>
    <w:p w14:paraId="20734768" w14:textId="77777777" w:rsidR="00000000" w:rsidRDefault="00EF48A2">
      <w:pPr>
        <w:pStyle w:val="a3"/>
        <w:spacing w:before="180" w:beforeAutospacing="0" w:after="0" w:afterAutospacing="0"/>
        <w:jc w:val="both"/>
        <w:divId w:val="315644740"/>
        <w:rPr>
          <w:sz w:val="20"/>
          <w:szCs w:val="20"/>
        </w:rPr>
      </w:pPr>
      <w:r>
        <w:rPr>
          <w:sz w:val="20"/>
          <w:szCs w:val="20"/>
        </w:rPr>
        <w:t>In addition, the Company's wholly owned subsidiary, Groop Internet Platform LTD, located in Israel, leases its operating faci</w:t>
      </w:r>
      <w:r>
        <w:rPr>
          <w:sz w:val="20"/>
          <w:szCs w:val="20"/>
        </w:rPr>
        <w:t>lities under a month-to-month operating lease agreement. Leases with an initial term of 12 months or less are not recorded on the balance sheet. The Company recognizes rent expense for these leases on a straight-line basis over the lease term. Rent expense</w:t>
      </w:r>
      <w:r>
        <w:rPr>
          <w:sz w:val="20"/>
          <w:szCs w:val="20"/>
        </w:rPr>
        <w:t xml:space="preserve"> related to these leases for the years ended December 31, 2022, 2021 and 2020 was </w:t>
      </w:r>
      <w:r>
        <w:rPr>
          <w:sz w:val="20"/>
          <w:szCs w:val="20"/>
        </w:rPr>
        <w:t>$</w:t>
      </w:r>
      <w:r>
        <w:rPr>
          <w:sz w:val="20"/>
          <w:szCs w:val="20"/>
        </w:rPr>
        <w:t>0.</w:t>
      </w:r>
      <w:r>
        <w:rPr>
          <w:sz w:val="20"/>
          <w:szCs w:val="20"/>
        </w:rPr>
        <w:t>2</w:t>
      </w:r>
      <w:r>
        <w:rPr>
          <w:sz w:val="20"/>
          <w:szCs w:val="20"/>
        </w:rPr>
        <w:t xml:space="preserve"> million,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0.</w:t>
      </w:r>
      <w:r>
        <w:rPr>
          <w:sz w:val="20"/>
          <w:szCs w:val="20"/>
        </w:rPr>
        <w:t>5</w:t>
      </w:r>
      <w:r>
        <w:rPr>
          <w:sz w:val="20"/>
          <w:szCs w:val="20"/>
        </w:rPr>
        <w:t xml:space="preserve"> million, respectively</w:t>
      </w:r>
      <w:r>
        <w:rPr>
          <w:sz w:val="20"/>
          <w:szCs w:val="20"/>
        </w:rPr>
        <w:t>.</w:t>
      </w:r>
    </w:p>
    <w:p w14:paraId="01873634" w14:textId="77777777" w:rsidR="00000000" w:rsidRDefault="00EF48A2">
      <w:pPr>
        <w:pStyle w:val="a3"/>
        <w:spacing w:before="180" w:beforeAutospacing="0" w:after="180" w:afterAutospacing="0"/>
        <w:jc w:val="both"/>
        <w:divId w:val="947086470"/>
        <w:rPr>
          <w:sz w:val="20"/>
          <w:szCs w:val="20"/>
        </w:rPr>
      </w:pPr>
      <w:r>
        <w:rPr>
          <w:sz w:val="20"/>
          <w:szCs w:val="20"/>
        </w:rPr>
        <w:t>The following table outlines the maturities of the Company’s lease liabilities as of December 31, 2022</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05"/>
        <w:gridCol w:w="173"/>
        <w:gridCol w:w="161"/>
        <w:gridCol w:w="1925"/>
        <w:gridCol w:w="142"/>
      </w:tblGrid>
      <w:tr w:rsidR="00000000" w14:paraId="751797AE" w14:textId="77777777">
        <w:trPr>
          <w:divId w:val="947086470"/>
          <w:tblCellSpacing w:w="15" w:type="dxa"/>
        </w:trPr>
        <w:tc>
          <w:tcPr>
            <w:tcW w:w="3618" w:type="pct"/>
            <w:vAlign w:val="center"/>
            <w:hideMark/>
          </w:tcPr>
          <w:p w14:paraId="3B371F10" w14:textId="77777777" w:rsidR="00000000" w:rsidRDefault="00EF48A2">
            <w:pPr>
              <w:rPr>
                <w:sz w:val="20"/>
                <w:szCs w:val="20"/>
              </w:rPr>
            </w:pPr>
          </w:p>
        </w:tc>
        <w:tc>
          <w:tcPr>
            <w:tcW w:w="101" w:type="pct"/>
            <w:vAlign w:val="center"/>
            <w:hideMark/>
          </w:tcPr>
          <w:p w14:paraId="4CAF8F2A" w14:textId="77777777" w:rsidR="00000000" w:rsidRDefault="00EF48A2">
            <w:pPr>
              <w:rPr>
                <w:rFonts w:eastAsia="Times New Roman"/>
                <w:sz w:val="20"/>
                <w:szCs w:val="20"/>
              </w:rPr>
            </w:pPr>
          </w:p>
        </w:tc>
        <w:tc>
          <w:tcPr>
            <w:tcW w:w="50" w:type="pct"/>
            <w:vAlign w:val="center"/>
            <w:hideMark/>
          </w:tcPr>
          <w:p w14:paraId="06142836" w14:textId="77777777" w:rsidR="00000000" w:rsidRDefault="00EF48A2">
            <w:pPr>
              <w:rPr>
                <w:rFonts w:eastAsia="Times New Roman"/>
                <w:sz w:val="20"/>
                <w:szCs w:val="20"/>
              </w:rPr>
            </w:pPr>
          </w:p>
        </w:tc>
        <w:tc>
          <w:tcPr>
            <w:tcW w:w="1179" w:type="pct"/>
            <w:vAlign w:val="center"/>
            <w:hideMark/>
          </w:tcPr>
          <w:p w14:paraId="4E574CF3" w14:textId="77777777" w:rsidR="00000000" w:rsidRDefault="00EF48A2">
            <w:pPr>
              <w:rPr>
                <w:rFonts w:eastAsia="Times New Roman"/>
                <w:sz w:val="20"/>
                <w:szCs w:val="20"/>
              </w:rPr>
            </w:pPr>
          </w:p>
        </w:tc>
        <w:tc>
          <w:tcPr>
            <w:tcW w:w="50" w:type="pct"/>
            <w:vAlign w:val="center"/>
            <w:hideMark/>
          </w:tcPr>
          <w:p w14:paraId="062FDC00" w14:textId="77777777" w:rsidR="00000000" w:rsidRDefault="00EF48A2">
            <w:pPr>
              <w:rPr>
                <w:rFonts w:eastAsia="Times New Roman"/>
                <w:sz w:val="20"/>
                <w:szCs w:val="20"/>
              </w:rPr>
            </w:pPr>
          </w:p>
        </w:tc>
      </w:tr>
      <w:tr w:rsidR="00000000" w14:paraId="1951A317" w14:textId="77777777">
        <w:trPr>
          <w:divId w:val="947086470"/>
          <w:trHeight w:val="160"/>
          <w:tblCellSpacing w:w="15" w:type="dxa"/>
        </w:trPr>
        <w:tc>
          <w:tcPr>
            <w:tcW w:w="0" w:type="auto"/>
            <w:hideMark/>
          </w:tcPr>
          <w:p w14:paraId="2522EA72" w14:textId="77777777" w:rsidR="00000000" w:rsidRDefault="00EF48A2">
            <w:pPr>
              <w:pStyle w:val="a3"/>
              <w:spacing w:before="0" w:beforeAutospacing="0" w:after="0" w:afterAutospacing="0"/>
              <w:rPr>
                <w:sz w:val="16"/>
                <w:szCs w:val="16"/>
              </w:rPr>
            </w:pPr>
            <w:r>
              <w:rPr>
                <w:sz w:val="16"/>
                <w:szCs w:val="16"/>
              </w:rPr>
              <w:t>Decem</w:t>
            </w:r>
            <w:r>
              <w:rPr>
                <w:sz w:val="16"/>
                <w:szCs w:val="16"/>
              </w:rPr>
              <w:t>ber 31</w:t>
            </w:r>
            <w:r>
              <w:rPr>
                <w:sz w:val="16"/>
                <w:szCs w:val="16"/>
              </w:rPr>
              <w:t>,</w:t>
            </w:r>
          </w:p>
        </w:tc>
        <w:tc>
          <w:tcPr>
            <w:tcW w:w="0" w:type="auto"/>
            <w:vAlign w:val="bottom"/>
            <w:hideMark/>
          </w:tcPr>
          <w:p w14:paraId="4788D12F"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66CDD3A2" w14:textId="77777777" w:rsidR="00000000" w:rsidRDefault="00EF48A2">
            <w:pPr>
              <w:pStyle w:val="a3"/>
              <w:spacing w:before="0" w:beforeAutospacing="0" w:after="0" w:afterAutospacing="0"/>
              <w:jc w:val="right"/>
              <w:rPr>
                <w:sz w:val="16"/>
                <w:szCs w:val="16"/>
              </w:rPr>
            </w:pPr>
            <w:r>
              <w:rPr>
                <w:i/>
                <w:iCs/>
                <w:sz w:val="16"/>
                <w:szCs w:val="16"/>
              </w:rPr>
              <w:t>In thousand</w:t>
            </w:r>
            <w:r>
              <w:rPr>
                <w:i/>
                <w:iCs/>
                <w:sz w:val="16"/>
                <w:szCs w:val="16"/>
              </w:rPr>
              <w:t>s</w:t>
            </w:r>
          </w:p>
        </w:tc>
        <w:tc>
          <w:tcPr>
            <w:tcW w:w="0" w:type="auto"/>
            <w:vAlign w:val="bottom"/>
            <w:hideMark/>
          </w:tcPr>
          <w:p w14:paraId="013CECB6" w14:textId="77777777" w:rsidR="00000000" w:rsidRDefault="00EF48A2">
            <w:pPr>
              <w:pStyle w:val="a3"/>
              <w:spacing w:before="0" w:beforeAutospacing="0" w:after="0" w:afterAutospacing="0"/>
              <w:jc w:val="right"/>
              <w:rPr>
                <w:sz w:val="16"/>
                <w:szCs w:val="16"/>
              </w:rPr>
            </w:pPr>
            <w:r>
              <w:rPr>
                <w:sz w:val="16"/>
                <w:szCs w:val="16"/>
              </w:rPr>
              <w:t> </w:t>
            </w:r>
          </w:p>
        </w:tc>
      </w:tr>
      <w:tr w:rsidR="00000000" w14:paraId="7A63292D" w14:textId="77777777">
        <w:trPr>
          <w:divId w:val="947086470"/>
          <w:trHeight w:val="200"/>
          <w:tblCellSpacing w:w="15" w:type="dxa"/>
        </w:trPr>
        <w:tc>
          <w:tcPr>
            <w:tcW w:w="0" w:type="auto"/>
            <w:hideMark/>
          </w:tcPr>
          <w:p w14:paraId="6BEA59D5" w14:textId="77777777" w:rsidR="00000000" w:rsidRDefault="00EF48A2">
            <w:pPr>
              <w:pStyle w:val="a3"/>
              <w:spacing w:before="0" w:beforeAutospacing="0" w:after="0" w:afterAutospacing="0"/>
              <w:ind w:left="200"/>
              <w:rPr>
                <w:sz w:val="20"/>
                <w:szCs w:val="20"/>
              </w:rPr>
            </w:pPr>
            <w:r>
              <w:rPr>
                <w:sz w:val="20"/>
                <w:szCs w:val="20"/>
              </w:rPr>
              <w:t>202</w:t>
            </w:r>
            <w:r>
              <w:rPr>
                <w:sz w:val="20"/>
                <w:szCs w:val="20"/>
              </w:rPr>
              <w:t>3</w:t>
            </w:r>
          </w:p>
        </w:tc>
        <w:tc>
          <w:tcPr>
            <w:tcW w:w="0" w:type="auto"/>
            <w:vAlign w:val="bottom"/>
            <w:hideMark/>
          </w:tcPr>
          <w:p w14:paraId="188539B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A0461A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523D9CE" w14:textId="77777777" w:rsidR="00000000" w:rsidRDefault="00EF48A2">
            <w:pPr>
              <w:pStyle w:val="a3"/>
              <w:spacing w:before="0" w:beforeAutospacing="0" w:after="0" w:afterAutospacing="0"/>
              <w:jc w:val="right"/>
              <w:rPr>
                <w:sz w:val="20"/>
                <w:szCs w:val="20"/>
              </w:rPr>
            </w:pPr>
            <w:r>
              <w:rPr>
                <w:sz w:val="20"/>
                <w:szCs w:val="20"/>
              </w:rPr>
              <w:t>27</w:t>
            </w:r>
            <w:r>
              <w:rPr>
                <w:sz w:val="20"/>
                <w:szCs w:val="20"/>
              </w:rPr>
              <w:t>0</w:t>
            </w:r>
          </w:p>
        </w:tc>
        <w:tc>
          <w:tcPr>
            <w:tcW w:w="0" w:type="auto"/>
            <w:noWrap/>
            <w:vAlign w:val="bottom"/>
            <w:hideMark/>
          </w:tcPr>
          <w:p w14:paraId="6B6770E6" w14:textId="77777777" w:rsidR="00000000" w:rsidRDefault="00EF48A2">
            <w:pPr>
              <w:pStyle w:val="a3"/>
              <w:spacing w:before="0" w:beforeAutospacing="0" w:after="0" w:afterAutospacing="0"/>
              <w:rPr>
                <w:sz w:val="20"/>
                <w:szCs w:val="20"/>
              </w:rPr>
            </w:pPr>
            <w:r>
              <w:rPr>
                <w:sz w:val="20"/>
                <w:szCs w:val="20"/>
              </w:rPr>
              <w:t> </w:t>
            </w:r>
          </w:p>
        </w:tc>
      </w:tr>
      <w:tr w:rsidR="00000000" w14:paraId="29912A4F" w14:textId="77777777">
        <w:trPr>
          <w:divId w:val="947086470"/>
          <w:trHeight w:val="200"/>
          <w:tblCellSpacing w:w="15" w:type="dxa"/>
        </w:trPr>
        <w:tc>
          <w:tcPr>
            <w:tcW w:w="0" w:type="auto"/>
            <w:hideMark/>
          </w:tcPr>
          <w:p w14:paraId="492FACD7" w14:textId="77777777" w:rsidR="00000000" w:rsidRDefault="00EF48A2">
            <w:pPr>
              <w:pStyle w:val="a3"/>
              <w:spacing w:before="0" w:beforeAutospacing="0" w:after="0" w:afterAutospacing="0"/>
              <w:ind w:left="200"/>
              <w:rPr>
                <w:sz w:val="20"/>
                <w:szCs w:val="20"/>
              </w:rPr>
            </w:pPr>
            <w:r>
              <w:rPr>
                <w:sz w:val="20"/>
                <w:szCs w:val="20"/>
              </w:rPr>
              <w:t>202</w:t>
            </w:r>
            <w:r>
              <w:rPr>
                <w:sz w:val="20"/>
                <w:szCs w:val="20"/>
              </w:rPr>
              <w:t>4</w:t>
            </w:r>
          </w:p>
        </w:tc>
        <w:tc>
          <w:tcPr>
            <w:tcW w:w="0" w:type="auto"/>
            <w:vAlign w:val="bottom"/>
            <w:hideMark/>
          </w:tcPr>
          <w:p w14:paraId="450699E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94C39E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C55D863" w14:textId="77777777" w:rsidR="00000000" w:rsidRDefault="00EF48A2">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14:paraId="345B31C5" w14:textId="77777777" w:rsidR="00000000" w:rsidRDefault="00EF48A2">
            <w:pPr>
              <w:pStyle w:val="a3"/>
              <w:spacing w:before="0" w:beforeAutospacing="0" w:after="0" w:afterAutospacing="0"/>
              <w:rPr>
                <w:sz w:val="20"/>
                <w:szCs w:val="20"/>
              </w:rPr>
            </w:pPr>
            <w:r>
              <w:rPr>
                <w:sz w:val="20"/>
                <w:szCs w:val="20"/>
              </w:rPr>
              <w:t> </w:t>
            </w:r>
          </w:p>
        </w:tc>
      </w:tr>
      <w:tr w:rsidR="00000000" w14:paraId="2AD7DA14" w14:textId="77777777">
        <w:trPr>
          <w:divId w:val="947086470"/>
          <w:trHeight w:val="200"/>
          <w:tblCellSpacing w:w="15" w:type="dxa"/>
        </w:trPr>
        <w:tc>
          <w:tcPr>
            <w:tcW w:w="0" w:type="auto"/>
            <w:hideMark/>
          </w:tcPr>
          <w:p w14:paraId="4110E713" w14:textId="77777777" w:rsidR="00000000" w:rsidRDefault="00EF48A2">
            <w:pPr>
              <w:pStyle w:val="a3"/>
              <w:spacing w:before="0" w:beforeAutospacing="0" w:after="0" w:afterAutospacing="0"/>
              <w:ind w:left="200"/>
              <w:rPr>
                <w:sz w:val="20"/>
                <w:szCs w:val="20"/>
              </w:rPr>
            </w:pPr>
            <w:r>
              <w:rPr>
                <w:sz w:val="20"/>
                <w:szCs w:val="20"/>
              </w:rPr>
              <w:t>Total undiscounted lease payment</w:t>
            </w:r>
            <w:r>
              <w:rPr>
                <w:sz w:val="20"/>
                <w:szCs w:val="20"/>
              </w:rPr>
              <w:t>s</w:t>
            </w:r>
          </w:p>
        </w:tc>
        <w:tc>
          <w:tcPr>
            <w:tcW w:w="0" w:type="auto"/>
            <w:vAlign w:val="bottom"/>
            <w:hideMark/>
          </w:tcPr>
          <w:p w14:paraId="407D9D9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E1393F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01FD946" w14:textId="77777777" w:rsidR="00000000" w:rsidRDefault="00EF48A2">
            <w:pPr>
              <w:pStyle w:val="a3"/>
              <w:spacing w:before="0" w:beforeAutospacing="0" w:after="0" w:afterAutospacing="0"/>
              <w:jc w:val="right"/>
              <w:rPr>
                <w:sz w:val="20"/>
                <w:szCs w:val="20"/>
              </w:rPr>
            </w:pPr>
            <w:r>
              <w:rPr>
                <w:sz w:val="20"/>
                <w:szCs w:val="20"/>
              </w:rPr>
              <w:t>49</w:t>
            </w:r>
            <w:r>
              <w:rPr>
                <w:sz w:val="20"/>
                <w:szCs w:val="20"/>
              </w:rPr>
              <w:t>5</w:t>
            </w:r>
          </w:p>
        </w:tc>
        <w:tc>
          <w:tcPr>
            <w:tcW w:w="0" w:type="auto"/>
            <w:noWrap/>
            <w:vAlign w:val="bottom"/>
            <w:hideMark/>
          </w:tcPr>
          <w:p w14:paraId="20DF1FE8" w14:textId="77777777" w:rsidR="00000000" w:rsidRDefault="00EF48A2">
            <w:pPr>
              <w:pStyle w:val="a3"/>
              <w:spacing w:before="0" w:beforeAutospacing="0" w:after="0" w:afterAutospacing="0"/>
              <w:rPr>
                <w:sz w:val="20"/>
                <w:szCs w:val="20"/>
              </w:rPr>
            </w:pPr>
            <w:r>
              <w:rPr>
                <w:sz w:val="20"/>
                <w:szCs w:val="20"/>
              </w:rPr>
              <w:t> </w:t>
            </w:r>
          </w:p>
        </w:tc>
      </w:tr>
      <w:tr w:rsidR="00000000" w14:paraId="15DA798A" w14:textId="77777777">
        <w:trPr>
          <w:divId w:val="947086470"/>
          <w:trHeight w:val="200"/>
          <w:tblCellSpacing w:w="15" w:type="dxa"/>
        </w:trPr>
        <w:tc>
          <w:tcPr>
            <w:tcW w:w="0" w:type="auto"/>
            <w:hideMark/>
          </w:tcPr>
          <w:p w14:paraId="35D60017" w14:textId="77777777" w:rsidR="00000000" w:rsidRDefault="00EF48A2">
            <w:pPr>
              <w:pStyle w:val="a3"/>
              <w:spacing w:before="0" w:beforeAutospacing="0" w:after="0" w:afterAutospacing="0"/>
              <w:ind w:left="200"/>
              <w:rPr>
                <w:sz w:val="20"/>
                <w:szCs w:val="20"/>
              </w:rPr>
            </w:pPr>
            <w:r>
              <w:rPr>
                <w:sz w:val="20"/>
                <w:szCs w:val="20"/>
              </w:rPr>
              <w:t>Less interes</w:t>
            </w:r>
            <w:r>
              <w:rPr>
                <w:sz w:val="20"/>
                <w:szCs w:val="20"/>
              </w:rPr>
              <w:t>t</w:t>
            </w:r>
          </w:p>
        </w:tc>
        <w:tc>
          <w:tcPr>
            <w:tcW w:w="0" w:type="auto"/>
            <w:vAlign w:val="bottom"/>
            <w:hideMark/>
          </w:tcPr>
          <w:p w14:paraId="6DCE4F7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CC662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777D79" w14:textId="77777777" w:rsidR="00000000" w:rsidRDefault="00EF48A2">
            <w:pPr>
              <w:pStyle w:val="a3"/>
              <w:spacing w:before="0" w:beforeAutospacing="0" w:after="0" w:afterAutospacing="0"/>
              <w:jc w:val="right"/>
              <w:rPr>
                <w:sz w:val="20"/>
                <w:szCs w:val="20"/>
              </w:rPr>
            </w:pPr>
            <w:r>
              <w:rPr>
                <w:sz w:val="20"/>
                <w:szCs w:val="20"/>
              </w:rPr>
              <w:t>(</w:t>
            </w:r>
            <w:r>
              <w:rPr>
                <w:sz w:val="20"/>
                <w:szCs w:val="20"/>
              </w:rPr>
              <w:t>2</w:t>
            </w:r>
            <w:r>
              <w:rPr>
                <w:sz w:val="20"/>
                <w:szCs w:val="20"/>
              </w:rPr>
              <w:t>9</w:t>
            </w:r>
          </w:p>
        </w:tc>
        <w:tc>
          <w:tcPr>
            <w:tcW w:w="0" w:type="auto"/>
            <w:noWrap/>
            <w:vAlign w:val="bottom"/>
            <w:hideMark/>
          </w:tcPr>
          <w:p w14:paraId="5D15513D" w14:textId="77777777" w:rsidR="00000000" w:rsidRDefault="00EF48A2">
            <w:pPr>
              <w:pStyle w:val="a3"/>
              <w:spacing w:before="0" w:beforeAutospacing="0" w:after="0" w:afterAutospacing="0"/>
              <w:rPr>
                <w:sz w:val="20"/>
                <w:szCs w:val="20"/>
              </w:rPr>
            </w:pPr>
            <w:r>
              <w:rPr>
                <w:sz w:val="20"/>
                <w:szCs w:val="20"/>
              </w:rPr>
              <w:t>)</w:t>
            </w:r>
          </w:p>
        </w:tc>
      </w:tr>
      <w:tr w:rsidR="00000000" w14:paraId="251D696A" w14:textId="77777777">
        <w:trPr>
          <w:divId w:val="947086470"/>
          <w:trHeight w:val="200"/>
          <w:tblCellSpacing w:w="15" w:type="dxa"/>
        </w:trPr>
        <w:tc>
          <w:tcPr>
            <w:tcW w:w="0" w:type="auto"/>
            <w:vAlign w:val="bottom"/>
            <w:hideMark/>
          </w:tcPr>
          <w:p w14:paraId="79755794" w14:textId="77777777" w:rsidR="00000000" w:rsidRDefault="00EF48A2">
            <w:pPr>
              <w:pStyle w:val="a3"/>
              <w:spacing w:before="0" w:beforeAutospacing="0" w:after="0" w:afterAutospacing="0"/>
              <w:rPr>
                <w:sz w:val="20"/>
                <w:szCs w:val="20"/>
              </w:rPr>
            </w:pPr>
            <w:r>
              <w:rPr>
                <w:sz w:val="20"/>
                <w:szCs w:val="20"/>
              </w:rPr>
              <w:t>Present value of operating lease liabilit</w:t>
            </w:r>
            <w:r>
              <w:rPr>
                <w:sz w:val="20"/>
                <w:szCs w:val="20"/>
              </w:rPr>
              <w:t>y</w:t>
            </w:r>
          </w:p>
        </w:tc>
        <w:tc>
          <w:tcPr>
            <w:tcW w:w="0" w:type="auto"/>
            <w:vAlign w:val="bottom"/>
            <w:hideMark/>
          </w:tcPr>
          <w:p w14:paraId="25ADCEA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7DE1A0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E98BF27" w14:textId="77777777" w:rsidR="00000000" w:rsidRDefault="00EF48A2">
            <w:pPr>
              <w:pStyle w:val="a3"/>
              <w:spacing w:before="0" w:beforeAutospacing="0" w:after="0" w:afterAutospacing="0"/>
              <w:jc w:val="right"/>
              <w:rPr>
                <w:sz w:val="20"/>
                <w:szCs w:val="20"/>
              </w:rPr>
            </w:pPr>
            <w:r>
              <w:rPr>
                <w:sz w:val="20"/>
                <w:szCs w:val="20"/>
              </w:rPr>
              <w:t>46</w:t>
            </w:r>
            <w:r>
              <w:rPr>
                <w:sz w:val="20"/>
                <w:szCs w:val="20"/>
              </w:rPr>
              <w:t>6</w:t>
            </w:r>
          </w:p>
        </w:tc>
        <w:tc>
          <w:tcPr>
            <w:tcW w:w="0" w:type="auto"/>
            <w:noWrap/>
            <w:vAlign w:val="bottom"/>
            <w:hideMark/>
          </w:tcPr>
          <w:p w14:paraId="04EA21C0" w14:textId="77777777" w:rsidR="00000000" w:rsidRDefault="00EF48A2">
            <w:pPr>
              <w:pStyle w:val="a3"/>
              <w:spacing w:before="0" w:beforeAutospacing="0" w:after="0" w:afterAutospacing="0"/>
              <w:rPr>
                <w:sz w:val="20"/>
                <w:szCs w:val="20"/>
              </w:rPr>
            </w:pPr>
            <w:r>
              <w:rPr>
                <w:sz w:val="20"/>
                <w:szCs w:val="20"/>
              </w:rPr>
              <w:t> </w:t>
            </w:r>
          </w:p>
        </w:tc>
      </w:tr>
    </w:tbl>
    <w:p w14:paraId="7461D6DB" w14:textId="77777777" w:rsidR="00000000" w:rsidRDefault="00EF48A2">
      <w:pPr>
        <w:pStyle w:val="a3"/>
        <w:spacing w:before="0" w:beforeAutospacing="0" w:after="0" w:afterAutospacing="0"/>
        <w:rPr>
          <w:sz w:val="20"/>
          <w:szCs w:val="20"/>
        </w:rPr>
      </w:pPr>
      <w:r>
        <w:rPr>
          <w:sz w:val="20"/>
          <w:szCs w:val="20"/>
        </w:rPr>
        <w:t> </w:t>
      </w:r>
    </w:p>
    <w:p w14:paraId="687C771B" w14:textId="77777777" w:rsidR="00000000" w:rsidRDefault="00EF48A2">
      <w:pPr>
        <w:pStyle w:val="a3"/>
        <w:spacing w:before="240" w:beforeAutospacing="0" w:after="0" w:afterAutospacing="0"/>
        <w:divId w:val="1564831319"/>
        <w:rPr>
          <w:sz w:val="20"/>
          <w:szCs w:val="20"/>
        </w:rPr>
      </w:pPr>
      <w:r>
        <w:rPr>
          <w:b/>
          <w:bCs/>
          <w:sz w:val="20"/>
          <w:szCs w:val="20"/>
        </w:rPr>
        <w:t>NOTE 10. CAPITAL STOC</w:t>
      </w:r>
      <w:r>
        <w:rPr>
          <w:b/>
          <w:bCs/>
          <w:sz w:val="20"/>
          <w:szCs w:val="20"/>
        </w:rPr>
        <w:t>K</w:t>
      </w:r>
    </w:p>
    <w:p w14:paraId="09F24837" w14:textId="77777777" w:rsidR="00000000" w:rsidRDefault="00EF48A2">
      <w:pPr>
        <w:pStyle w:val="a3"/>
        <w:spacing w:before="180" w:beforeAutospacing="0" w:after="0" w:afterAutospacing="0"/>
        <w:jc w:val="both"/>
        <w:divId w:val="1564831319"/>
        <w:rPr>
          <w:sz w:val="20"/>
          <w:szCs w:val="20"/>
        </w:rPr>
      </w:pPr>
      <w:r>
        <w:rPr>
          <w:sz w:val="20"/>
          <w:szCs w:val="20"/>
        </w:rPr>
        <w:t>The Company’</w:t>
      </w:r>
      <w:r>
        <w:rPr>
          <w:sz w:val="20"/>
          <w:szCs w:val="20"/>
        </w:rPr>
        <w:t>s authorized capital stock consists of (a)</w:t>
      </w:r>
      <w:r>
        <w:rPr>
          <w:sz w:val="20"/>
          <w:szCs w:val="20"/>
        </w:rPr>
        <w:t xml:space="preserve"> </w:t>
      </w:r>
      <w:r>
        <w:rPr>
          <w:sz w:val="20"/>
          <w:szCs w:val="20"/>
        </w:rPr>
        <w:t>1,000,000,00</w:t>
      </w:r>
      <w:r>
        <w:rPr>
          <w:sz w:val="20"/>
          <w:szCs w:val="20"/>
        </w:rPr>
        <w:t>0</w:t>
      </w:r>
      <w:r>
        <w:rPr>
          <w:sz w:val="20"/>
          <w:szCs w:val="20"/>
        </w:rPr>
        <w:t xml:space="preserve"> shares of common stock, par value </w:t>
      </w:r>
      <w:r>
        <w:rPr>
          <w:sz w:val="20"/>
          <w:szCs w:val="20"/>
        </w:rPr>
        <w:t>$</w:t>
      </w:r>
      <w:r>
        <w:rPr>
          <w:sz w:val="20"/>
          <w:szCs w:val="20"/>
        </w:rPr>
        <w:t>0.000</w:t>
      </w:r>
      <w:r>
        <w:rPr>
          <w:sz w:val="20"/>
          <w:szCs w:val="20"/>
        </w:rPr>
        <w:t>1</w:t>
      </w:r>
      <w:r>
        <w:rPr>
          <w:sz w:val="20"/>
          <w:szCs w:val="20"/>
        </w:rPr>
        <w:t xml:space="preserve"> per share; and (b)</w:t>
      </w:r>
      <w:r>
        <w:rPr>
          <w:sz w:val="20"/>
          <w:szCs w:val="20"/>
        </w:rPr>
        <w:t xml:space="preserve"> </w:t>
      </w:r>
      <w:r>
        <w:rPr>
          <w:sz w:val="20"/>
          <w:szCs w:val="20"/>
        </w:rPr>
        <w:t>100,000,00</w:t>
      </w:r>
      <w:r>
        <w:rPr>
          <w:sz w:val="20"/>
          <w:szCs w:val="20"/>
        </w:rPr>
        <w:t>0</w:t>
      </w:r>
      <w:r>
        <w:rPr>
          <w:sz w:val="20"/>
          <w:szCs w:val="20"/>
        </w:rPr>
        <w:t xml:space="preserve"> shares of preferred stock, par value </w:t>
      </w:r>
      <w:r>
        <w:rPr>
          <w:sz w:val="20"/>
          <w:szCs w:val="20"/>
        </w:rPr>
        <w:t>$</w:t>
      </w:r>
      <w:r>
        <w:rPr>
          <w:sz w:val="20"/>
          <w:szCs w:val="20"/>
        </w:rPr>
        <w:t>0.000</w:t>
      </w:r>
      <w:r>
        <w:rPr>
          <w:sz w:val="20"/>
          <w:szCs w:val="20"/>
        </w:rPr>
        <w:t>1</w:t>
      </w:r>
      <w:r>
        <w:rPr>
          <w:sz w:val="20"/>
          <w:szCs w:val="20"/>
        </w:rPr>
        <w:t xml:space="preserve"> per share. As of December 31, 2022 and 2021 there were</w:t>
      </w:r>
      <w:r>
        <w:rPr>
          <w:sz w:val="20"/>
          <w:szCs w:val="20"/>
        </w:rPr>
        <w:t xml:space="preserve"> </w:t>
      </w:r>
      <w:r>
        <w:rPr>
          <w:sz w:val="20"/>
          <w:szCs w:val="20"/>
        </w:rPr>
        <w:t>12,780,00</w:t>
      </w:r>
      <w:r>
        <w:rPr>
          <w:sz w:val="20"/>
          <w:szCs w:val="20"/>
        </w:rPr>
        <w:t>0</w:t>
      </w:r>
      <w:r>
        <w:rPr>
          <w:sz w:val="20"/>
          <w:szCs w:val="20"/>
        </w:rPr>
        <w:t xml:space="preserve"> Private Placeme</w:t>
      </w:r>
      <w:r>
        <w:rPr>
          <w:sz w:val="20"/>
          <w:szCs w:val="20"/>
        </w:rPr>
        <w:t>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 at an exercise price of </w:t>
      </w:r>
      <w:r>
        <w:rPr>
          <w:sz w:val="20"/>
          <w:szCs w:val="20"/>
        </w:rPr>
        <w:t>$</w:t>
      </w:r>
      <w:r>
        <w:rPr>
          <w:sz w:val="20"/>
          <w:szCs w:val="20"/>
        </w:rPr>
        <w:t>11.5</w:t>
      </w:r>
      <w:r>
        <w:rPr>
          <w:sz w:val="20"/>
          <w:szCs w:val="20"/>
        </w:rPr>
        <w:t>0</w:t>
      </w:r>
      <w:r>
        <w:rPr>
          <w:sz w:val="20"/>
          <w:szCs w:val="20"/>
        </w:rPr>
        <w:t xml:space="preserve"> per share. As of December 31, 2022 and 2021,</w:t>
      </w:r>
      <w:r>
        <w:rPr>
          <w:sz w:val="20"/>
          <w:szCs w:val="20"/>
        </w:rPr>
        <w:t xml:space="preserve"> </w:t>
      </w:r>
      <w:r>
        <w:rPr>
          <w:sz w:val="20"/>
          <w:szCs w:val="20"/>
        </w:rPr>
        <w:t>n</w:t>
      </w:r>
      <w:r>
        <w:rPr>
          <w:sz w:val="20"/>
          <w:szCs w:val="20"/>
        </w:rPr>
        <w:t>o</w:t>
      </w:r>
      <w:r>
        <w:rPr>
          <w:sz w:val="20"/>
          <w:szCs w:val="20"/>
        </w:rPr>
        <w:t xml:space="preserve"> shares of preferred stock were issued or outstanding</w:t>
      </w:r>
      <w:r>
        <w:rPr>
          <w:sz w:val="20"/>
          <w:szCs w:val="20"/>
        </w:rPr>
        <w:t>.</w:t>
      </w:r>
    </w:p>
    <w:p w14:paraId="2EC90DB2" w14:textId="77777777" w:rsidR="00000000" w:rsidRDefault="00EF48A2">
      <w:pPr>
        <w:pStyle w:val="a3"/>
        <w:spacing w:before="360" w:beforeAutospacing="0" w:after="0" w:afterAutospacing="0"/>
        <w:divId w:val="1765371821"/>
        <w:rPr>
          <w:sz w:val="20"/>
          <w:szCs w:val="20"/>
        </w:rPr>
      </w:pPr>
      <w:r>
        <w:rPr>
          <w:b/>
          <w:bCs/>
          <w:sz w:val="20"/>
          <w:szCs w:val="20"/>
        </w:rPr>
        <w:t>NOTE 11</w:t>
      </w:r>
      <w:r>
        <w:rPr>
          <w:b/>
          <w:bCs/>
          <w:sz w:val="20"/>
          <w:szCs w:val="20"/>
        </w:rPr>
        <w:t>.</w:t>
      </w:r>
      <w:r>
        <w:rPr>
          <w:b/>
          <w:bCs/>
        </w:rPr>
        <w:t xml:space="preserve"> </w:t>
      </w:r>
      <w:r>
        <w:rPr>
          <w:b/>
          <w:bCs/>
          <w:sz w:val="20"/>
          <w:szCs w:val="20"/>
        </w:rPr>
        <w:t>SHARE-BASED COMPENSATIO</w:t>
      </w:r>
      <w:r>
        <w:rPr>
          <w:b/>
          <w:bCs/>
          <w:sz w:val="20"/>
          <w:szCs w:val="20"/>
        </w:rPr>
        <w:t>N</w:t>
      </w:r>
    </w:p>
    <w:p w14:paraId="721F237A" w14:textId="77777777" w:rsidR="00000000" w:rsidRDefault="00EF48A2">
      <w:pPr>
        <w:pStyle w:val="a3"/>
        <w:spacing w:before="180" w:beforeAutospacing="0" w:after="0" w:afterAutospacing="0"/>
        <w:jc w:val="both"/>
        <w:divId w:val="1765371821"/>
        <w:rPr>
          <w:sz w:val="20"/>
          <w:szCs w:val="20"/>
        </w:rPr>
      </w:pPr>
      <w:r>
        <w:rPr>
          <w:sz w:val="20"/>
          <w:szCs w:val="20"/>
        </w:rPr>
        <w:t xml:space="preserve">The Company adopted the 2014 Stock Incentive Plan (the “2014 Plan”) pursuant to which incentive and nonqualified stock options and stock purchase rights to purchase the Company’s common stock may be granted to officers, employees, </w:t>
      </w:r>
      <w:r>
        <w:rPr>
          <w:sz w:val="20"/>
          <w:szCs w:val="20"/>
        </w:rPr>
        <w:t>directors, consultants and service providers</w:t>
      </w:r>
      <w:r>
        <w:rPr>
          <w:sz w:val="20"/>
          <w:szCs w:val="20"/>
        </w:rPr>
        <w:t>.</w:t>
      </w:r>
      <w:r>
        <w:rPr>
          <w:sz w:val="20"/>
          <w:szCs w:val="20"/>
        </w:rPr>
        <w:t xml:space="preserve"> </w:t>
      </w:r>
    </w:p>
    <w:p w14:paraId="2FA0F9E8" w14:textId="77777777" w:rsidR="00000000" w:rsidRDefault="00EF48A2">
      <w:pPr>
        <w:pStyle w:val="a3"/>
        <w:spacing w:before="180" w:beforeAutospacing="0" w:after="0" w:afterAutospacing="0"/>
        <w:jc w:val="both"/>
        <w:divId w:val="1765371821"/>
        <w:rPr>
          <w:sz w:val="20"/>
          <w:szCs w:val="20"/>
        </w:rPr>
      </w:pPr>
      <w:r>
        <w:rPr>
          <w:sz w:val="20"/>
          <w:szCs w:val="20"/>
        </w:rPr>
        <w:t>In connection with the closing of the Business Combination, the Company adopted the 2021 Incentive Award Plan (the “2021 Plan”) under which the Company may grant cash and equity incentive awards to officers, e</w:t>
      </w:r>
      <w:r>
        <w:rPr>
          <w:sz w:val="20"/>
          <w:szCs w:val="20"/>
        </w:rPr>
        <w:t>mployees, directors, consultants and service providers in order to attract, motivate and retain the talent. In connection with the effectiveness of the 2021 Plan, no further awards will be granted under the 2014 Plan</w:t>
      </w:r>
      <w:r>
        <w:rPr>
          <w:sz w:val="20"/>
          <w:szCs w:val="20"/>
        </w:rPr>
        <w:t>.</w:t>
      </w:r>
    </w:p>
    <w:p w14:paraId="4D9FF30D" w14:textId="77777777" w:rsidR="00000000" w:rsidRDefault="00EF48A2">
      <w:pPr>
        <w:pStyle w:val="a3"/>
        <w:spacing w:before="180" w:beforeAutospacing="0" w:after="0" w:afterAutospacing="0"/>
        <w:jc w:val="both"/>
        <w:divId w:val="1765371821"/>
        <w:rPr>
          <w:sz w:val="20"/>
          <w:szCs w:val="20"/>
        </w:rPr>
      </w:pPr>
      <w:r>
        <w:rPr>
          <w:sz w:val="20"/>
          <w:szCs w:val="20"/>
        </w:rPr>
        <w:t xml:space="preserve">In connection with the closing of the </w:t>
      </w:r>
      <w:r>
        <w:rPr>
          <w:sz w:val="20"/>
          <w:szCs w:val="20"/>
        </w:rPr>
        <w:t xml:space="preserve">Business Combination, the Company also adopted the 2021 Employee Stock Purchase Plan (the “2021 ESPP”) under which employees of Talkspace and its participating subsidiaries are provided with the opportunity to purchase Talkspace common stock at a discount </w:t>
      </w:r>
      <w:r>
        <w:rPr>
          <w:sz w:val="20"/>
          <w:szCs w:val="20"/>
        </w:rPr>
        <w:t>through accumulated payroll deductions during successive offering periods. As of December 31, 2022, no employee stock purchases have been made under the 2021 ESPP</w:t>
      </w:r>
      <w:r>
        <w:rPr>
          <w:sz w:val="20"/>
          <w:szCs w:val="20"/>
        </w:rPr>
        <w:t>.</w:t>
      </w:r>
    </w:p>
    <w:p w14:paraId="0C3C154A" w14:textId="77777777" w:rsidR="00000000" w:rsidRDefault="00EF48A2">
      <w:pPr>
        <w:pStyle w:val="a3"/>
        <w:spacing w:before="180" w:beforeAutospacing="0" w:after="0" w:afterAutospacing="0"/>
        <w:jc w:val="both"/>
        <w:divId w:val="1765371821"/>
        <w:rPr>
          <w:sz w:val="20"/>
          <w:szCs w:val="20"/>
        </w:rPr>
      </w:pPr>
      <w:r>
        <w:rPr>
          <w:sz w:val="20"/>
          <w:szCs w:val="20"/>
        </w:rPr>
        <w:t>All stock-based awards are measured based on the grant date fair value and are generally rec</w:t>
      </w:r>
      <w:r>
        <w:rPr>
          <w:sz w:val="20"/>
          <w:szCs w:val="20"/>
        </w:rPr>
        <w:t>ognized on a straight-line basis in the Company’s consolidated statement of operations over the period during which the employee is required to perform services in exchange for the award</w:t>
      </w:r>
      <w:r>
        <w:rPr>
          <w:sz w:val="20"/>
          <w:szCs w:val="20"/>
        </w:rPr>
        <w:t>.</w:t>
      </w:r>
    </w:p>
    <w:p w14:paraId="78096A02" w14:textId="77777777" w:rsidR="00000000" w:rsidRDefault="00EF48A2">
      <w:pPr>
        <w:pStyle w:val="a3"/>
        <w:spacing w:before="0" w:beforeAutospacing="0" w:after="0" w:afterAutospacing="0"/>
        <w:divId w:val="1765371821"/>
        <w:rPr>
          <w:sz w:val="20"/>
          <w:szCs w:val="20"/>
        </w:rPr>
      </w:pPr>
      <w:r>
        <w:rPr>
          <w:sz w:val="20"/>
          <w:szCs w:val="20"/>
        </w:rPr>
        <w:t> </w:t>
      </w:r>
    </w:p>
    <w:p w14:paraId="1C34BC6D" w14:textId="77777777" w:rsidR="00000000" w:rsidRDefault="00EF48A2">
      <w:pPr>
        <w:pStyle w:val="a3"/>
        <w:spacing w:before="0" w:beforeAutospacing="0" w:after="0" w:afterAutospacing="0"/>
        <w:jc w:val="center"/>
        <w:divId w:val="1765371821"/>
        <w:rPr>
          <w:sz w:val="20"/>
          <w:szCs w:val="20"/>
        </w:rPr>
      </w:pPr>
      <w:r>
        <w:rPr>
          <w:sz w:val="20"/>
          <w:szCs w:val="20"/>
        </w:rPr>
        <w:t>7</w:t>
      </w:r>
      <w:r>
        <w:rPr>
          <w:sz w:val="20"/>
          <w:szCs w:val="20"/>
        </w:rPr>
        <w:t>4</w:t>
      </w:r>
    </w:p>
    <w:p w14:paraId="2E2D5214" w14:textId="77777777" w:rsidR="00000000" w:rsidRDefault="00EF48A2">
      <w:pPr>
        <w:divId w:val="1765371821"/>
        <w:rPr>
          <w:rFonts w:eastAsia="Times New Roman"/>
        </w:rPr>
      </w:pPr>
      <w:r>
        <w:rPr>
          <w:rFonts w:eastAsia="Times New Roman"/>
        </w:rPr>
        <w:pict w14:anchorId="75645513">
          <v:rect id="_x0000_i1101" style="width:0;height:1.5pt" o:hralign="center" o:hrstd="t" o:hr="t" fillcolor="#a0a0a0" stroked="f"/>
        </w:pict>
      </w:r>
    </w:p>
    <w:p w14:paraId="1BB290C0" w14:textId="77777777" w:rsidR="00000000" w:rsidRDefault="00EF48A2">
      <w:pPr>
        <w:pStyle w:val="a3"/>
        <w:spacing w:before="0" w:beforeAutospacing="0" w:after="0" w:afterAutospacing="0"/>
        <w:divId w:val="1765371821"/>
        <w:rPr>
          <w:sz w:val="20"/>
          <w:szCs w:val="20"/>
        </w:rPr>
      </w:pPr>
      <w:hyperlink w:anchor="toc_page" w:history="1">
        <w:r>
          <w:rPr>
            <w:rStyle w:val="a4"/>
            <w:sz w:val="20"/>
            <w:szCs w:val="20"/>
          </w:rPr>
          <w:t>Table of Content</w:t>
        </w:r>
        <w:r>
          <w:rPr>
            <w:rStyle w:val="a4"/>
            <w:sz w:val="20"/>
            <w:szCs w:val="20"/>
          </w:rPr>
          <w:t>s</w:t>
        </w:r>
      </w:hyperlink>
    </w:p>
    <w:p w14:paraId="2C67D42B" w14:textId="77777777" w:rsidR="00000000" w:rsidRDefault="00EF48A2">
      <w:pPr>
        <w:pStyle w:val="a3"/>
        <w:spacing w:before="240" w:beforeAutospacing="0" w:after="0" w:afterAutospacing="0"/>
        <w:jc w:val="both"/>
        <w:divId w:val="1765371821"/>
        <w:rPr>
          <w:sz w:val="20"/>
          <w:szCs w:val="20"/>
        </w:rPr>
      </w:pPr>
      <w:r>
        <w:rPr>
          <w:b/>
          <w:bCs/>
          <w:i/>
          <w:iCs/>
          <w:sz w:val="20"/>
          <w:szCs w:val="20"/>
        </w:rPr>
        <w:t>Stock Option</w:t>
      </w:r>
      <w:r>
        <w:rPr>
          <w:b/>
          <w:bCs/>
          <w:i/>
          <w:iCs/>
          <w:sz w:val="20"/>
          <w:szCs w:val="20"/>
        </w:rPr>
        <w:t>s</w:t>
      </w:r>
    </w:p>
    <w:p w14:paraId="264334DD" w14:textId="77777777" w:rsidR="00000000" w:rsidRDefault="00EF48A2">
      <w:pPr>
        <w:pStyle w:val="a3"/>
        <w:spacing w:before="180" w:beforeAutospacing="0" w:after="240" w:afterAutospacing="0"/>
        <w:jc w:val="both"/>
        <w:divId w:val="1765371821"/>
        <w:rPr>
          <w:sz w:val="20"/>
          <w:szCs w:val="20"/>
        </w:rPr>
      </w:pPr>
      <w:r>
        <w:rPr>
          <w:sz w:val="20"/>
          <w:szCs w:val="20"/>
        </w:rPr>
        <w:t>Stock options generally vest over a four-year period and are exercisable a maximum period of ten years.</w:t>
      </w:r>
      <w:r>
        <w:rPr>
          <w:sz w:val="20"/>
          <w:szCs w:val="20"/>
        </w:rPr>
        <w:t xml:space="preserve"> </w:t>
      </w:r>
      <w:r>
        <w:rPr>
          <w:sz w:val="20"/>
          <w:szCs w:val="20"/>
        </w:rPr>
        <w:t>A summary of the Company’s stock option activity for the year ended December 31, 2022 is as follows:</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44"/>
        <w:gridCol w:w="110"/>
        <w:gridCol w:w="110"/>
        <w:gridCol w:w="960"/>
        <w:gridCol w:w="127"/>
        <w:gridCol w:w="110"/>
        <w:gridCol w:w="161"/>
        <w:gridCol w:w="931"/>
        <w:gridCol w:w="110"/>
        <w:gridCol w:w="110"/>
        <w:gridCol w:w="111"/>
        <w:gridCol w:w="786"/>
        <w:gridCol w:w="110"/>
        <w:gridCol w:w="110"/>
        <w:gridCol w:w="160"/>
        <w:gridCol w:w="900"/>
        <w:gridCol w:w="125"/>
      </w:tblGrid>
      <w:tr w:rsidR="00000000" w14:paraId="2E80D5FA" w14:textId="77777777">
        <w:trPr>
          <w:divId w:val="2029677417"/>
          <w:tblCellSpacing w:w="15" w:type="dxa"/>
        </w:trPr>
        <w:tc>
          <w:tcPr>
            <w:tcW w:w="1798" w:type="pct"/>
            <w:vAlign w:val="center"/>
            <w:hideMark/>
          </w:tcPr>
          <w:p w14:paraId="7B4FC172" w14:textId="77777777" w:rsidR="00000000" w:rsidRDefault="00EF48A2">
            <w:pPr>
              <w:rPr>
                <w:sz w:val="20"/>
                <w:szCs w:val="20"/>
              </w:rPr>
            </w:pPr>
          </w:p>
        </w:tc>
        <w:tc>
          <w:tcPr>
            <w:tcW w:w="3" w:type="pct"/>
            <w:vAlign w:val="center"/>
            <w:hideMark/>
          </w:tcPr>
          <w:p w14:paraId="3DBD3756" w14:textId="77777777" w:rsidR="00000000" w:rsidRDefault="00EF48A2">
            <w:pPr>
              <w:rPr>
                <w:rFonts w:eastAsia="Times New Roman"/>
                <w:sz w:val="20"/>
                <w:szCs w:val="20"/>
              </w:rPr>
            </w:pPr>
          </w:p>
        </w:tc>
        <w:tc>
          <w:tcPr>
            <w:tcW w:w="50" w:type="pct"/>
            <w:vAlign w:val="center"/>
            <w:hideMark/>
          </w:tcPr>
          <w:p w14:paraId="1F00C113" w14:textId="77777777" w:rsidR="00000000" w:rsidRDefault="00EF48A2">
            <w:pPr>
              <w:rPr>
                <w:rFonts w:eastAsia="Times New Roman"/>
                <w:sz w:val="20"/>
                <w:szCs w:val="20"/>
              </w:rPr>
            </w:pPr>
          </w:p>
        </w:tc>
        <w:tc>
          <w:tcPr>
            <w:tcW w:w="732" w:type="pct"/>
            <w:vAlign w:val="center"/>
            <w:hideMark/>
          </w:tcPr>
          <w:p w14:paraId="7AFBBFC7" w14:textId="77777777" w:rsidR="00000000" w:rsidRDefault="00EF48A2">
            <w:pPr>
              <w:rPr>
                <w:rFonts w:eastAsia="Times New Roman"/>
                <w:sz w:val="20"/>
                <w:szCs w:val="20"/>
              </w:rPr>
            </w:pPr>
          </w:p>
        </w:tc>
        <w:tc>
          <w:tcPr>
            <w:tcW w:w="50" w:type="pct"/>
            <w:vAlign w:val="center"/>
            <w:hideMark/>
          </w:tcPr>
          <w:p w14:paraId="26F9393E" w14:textId="77777777" w:rsidR="00000000" w:rsidRDefault="00EF48A2">
            <w:pPr>
              <w:rPr>
                <w:rFonts w:eastAsia="Times New Roman"/>
                <w:sz w:val="20"/>
                <w:szCs w:val="20"/>
              </w:rPr>
            </w:pPr>
          </w:p>
        </w:tc>
        <w:tc>
          <w:tcPr>
            <w:tcW w:w="10" w:type="pct"/>
            <w:vAlign w:val="center"/>
            <w:hideMark/>
          </w:tcPr>
          <w:p w14:paraId="4215D46B" w14:textId="77777777" w:rsidR="00000000" w:rsidRDefault="00EF48A2">
            <w:pPr>
              <w:rPr>
                <w:rFonts w:eastAsia="Times New Roman"/>
                <w:sz w:val="20"/>
                <w:szCs w:val="20"/>
              </w:rPr>
            </w:pPr>
          </w:p>
        </w:tc>
        <w:tc>
          <w:tcPr>
            <w:tcW w:w="50" w:type="pct"/>
            <w:vAlign w:val="center"/>
            <w:hideMark/>
          </w:tcPr>
          <w:p w14:paraId="5A82DEFE" w14:textId="77777777" w:rsidR="00000000" w:rsidRDefault="00EF48A2">
            <w:pPr>
              <w:rPr>
                <w:rFonts w:eastAsia="Times New Roman"/>
                <w:sz w:val="20"/>
                <w:szCs w:val="20"/>
              </w:rPr>
            </w:pPr>
          </w:p>
        </w:tc>
        <w:tc>
          <w:tcPr>
            <w:tcW w:w="727" w:type="pct"/>
            <w:vAlign w:val="center"/>
            <w:hideMark/>
          </w:tcPr>
          <w:p w14:paraId="69B1931B" w14:textId="77777777" w:rsidR="00000000" w:rsidRDefault="00EF48A2">
            <w:pPr>
              <w:rPr>
                <w:rFonts w:eastAsia="Times New Roman"/>
                <w:sz w:val="20"/>
                <w:szCs w:val="20"/>
              </w:rPr>
            </w:pPr>
          </w:p>
        </w:tc>
        <w:tc>
          <w:tcPr>
            <w:tcW w:w="50" w:type="pct"/>
            <w:vAlign w:val="center"/>
            <w:hideMark/>
          </w:tcPr>
          <w:p w14:paraId="5C657508" w14:textId="77777777" w:rsidR="00000000" w:rsidRDefault="00EF48A2">
            <w:pPr>
              <w:rPr>
                <w:rFonts w:eastAsia="Times New Roman"/>
                <w:sz w:val="20"/>
                <w:szCs w:val="20"/>
              </w:rPr>
            </w:pPr>
          </w:p>
        </w:tc>
        <w:tc>
          <w:tcPr>
            <w:tcW w:w="3" w:type="pct"/>
            <w:vAlign w:val="center"/>
            <w:hideMark/>
          </w:tcPr>
          <w:p w14:paraId="3B47A845" w14:textId="77777777" w:rsidR="00000000" w:rsidRDefault="00EF48A2">
            <w:pPr>
              <w:rPr>
                <w:rFonts w:eastAsia="Times New Roman"/>
                <w:sz w:val="20"/>
                <w:szCs w:val="20"/>
              </w:rPr>
            </w:pPr>
          </w:p>
        </w:tc>
        <w:tc>
          <w:tcPr>
            <w:tcW w:w="50" w:type="pct"/>
            <w:vAlign w:val="center"/>
            <w:hideMark/>
          </w:tcPr>
          <w:p w14:paraId="470F3C47" w14:textId="77777777" w:rsidR="00000000" w:rsidRDefault="00EF48A2">
            <w:pPr>
              <w:rPr>
                <w:rFonts w:eastAsia="Times New Roman"/>
                <w:sz w:val="20"/>
                <w:szCs w:val="20"/>
              </w:rPr>
            </w:pPr>
          </w:p>
        </w:tc>
        <w:tc>
          <w:tcPr>
            <w:tcW w:w="615" w:type="pct"/>
            <w:vAlign w:val="center"/>
            <w:hideMark/>
          </w:tcPr>
          <w:p w14:paraId="2E884823" w14:textId="77777777" w:rsidR="00000000" w:rsidRDefault="00EF48A2">
            <w:pPr>
              <w:rPr>
                <w:rFonts w:eastAsia="Times New Roman"/>
                <w:sz w:val="20"/>
                <w:szCs w:val="20"/>
              </w:rPr>
            </w:pPr>
          </w:p>
        </w:tc>
        <w:tc>
          <w:tcPr>
            <w:tcW w:w="50" w:type="pct"/>
            <w:vAlign w:val="center"/>
            <w:hideMark/>
          </w:tcPr>
          <w:p w14:paraId="3D44201C" w14:textId="77777777" w:rsidR="00000000" w:rsidRDefault="00EF48A2">
            <w:pPr>
              <w:rPr>
                <w:rFonts w:eastAsia="Times New Roman"/>
                <w:sz w:val="20"/>
                <w:szCs w:val="20"/>
              </w:rPr>
            </w:pPr>
          </w:p>
        </w:tc>
        <w:tc>
          <w:tcPr>
            <w:tcW w:w="10" w:type="pct"/>
            <w:vAlign w:val="center"/>
            <w:hideMark/>
          </w:tcPr>
          <w:p w14:paraId="7990B141" w14:textId="77777777" w:rsidR="00000000" w:rsidRDefault="00EF48A2">
            <w:pPr>
              <w:rPr>
                <w:rFonts w:eastAsia="Times New Roman"/>
                <w:sz w:val="20"/>
                <w:szCs w:val="20"/>
              </w:rPr>
            </w:pPr>
          </w:p>
        </w:tc>
        <w:tc>
          <w:tcPr>
            <w:tcW w:w="50" w:type="pct"/>
            <w:vAlign w:val="center"/>
            <w:hideMark/>
          </w:tcPr>
          <w:p w14:paraId="3EECF7B6" w14:textId="77777777" w:rsidR="00000000" w:rsidRDefault="00EF48A2">
            <w:pPr>
              <w:rPr>
                <w:rFonts w:eastAsia="Times New Roman"/>
                <w:sz w:val="20"/>
                <w:szCs w:val="20"/>
              </w:rPr>
            </w:pPr>
          </w:p>
        </w:tc>
        <w:tc>
          <w:tcPr>
            <w:tcW w:w="697" w:type="pct"/>
            <w:vAlign w:val="center"/>
            <w:hideMark/>
          </w:tcPr>
          <w:p w14:paraId="23E7C694" w14:textId="77777777" w:rsidR="00000000" w:rsidRDefault="00EF48A2">
            <w:pPr>
              <w:rPr>
                <w:rFonts w:eastAsia="Times New Roman"/>
                <w:sz w:val="20"/>
                <w:szCs w:val="20"/>
              </w:rPr>
            </w:pPr>
          </w:p>
        </w:tc>
        <w:tc>
          <w:tcPr>
            <w:tcW w:w="50" w:type="pct"/>
            <w:vAlign w:val="center"/>
            <w:hideMark/>
          </w:tcPr>
          <w:p w14:paraId="0DB9DDDB" w14:textId="77777777" w:rsidR="00000000" w:rsidRDefault="00EF48A2">
            <w:pPr>
              <w:rPr>
                <w:rFonts w:eastAsia="Times New Roman"/>
                <w:sz w:val="20"/>
                <w:szCs w:val="20"/>
              </w:rPr>
            </w:pPr>
          </w:p>
        </w:tc>
      </w:tr>
      <w:tr w:rsidR="00000000" w14:paraId="4F64C33C" w14:textId="77777777">
        <w:trPr>
          <w:divId w:val="2029677417"/>
          <w:trHeight w:val="160"/>
          <w:tblCellSpacing w:w="15" w:type="dxa"/>
        </w:trPr>
        <w:tc>
          <w:tcPr>
            <w:tcW w:w="0" w:type="auto"/>
            <w:vAlign w:val="bottom"/>
            <w:hideMark/>
          </w:tcPr>
          <w:p w14:paraId="1F9DB33C" w14:textId="77777777" w:rsidR="00000000" w:rsidRDefault="00EF48A2">
            <w:pPr>
              <w:pStyle w:val="a3"/>
              <w:spacing w:before="0" w:beforeAutospacing="0" w:after="0" w:afterAutospacing="0"/>
              <w:rPr>
                <w:sz w:val="16"/>
                <w:szCs w:val="16"/>
              </w:rPr>
            </w:pPr>
            <w:r>
              <w:rPr>
                <w:sz w:val="16"/>
                <w:szCs w:val="16"/>
              </w:rPr>
              <w:t> </w:t>
            </w:r>
          </w:p>
        </w:tc>
        <w:tc>
          <w:tcPr>
            <w:tcW w:w="0" w:type="auto"/>
            <w:vAlign w:val="bottom"/>
            <w:hideMark/>
          </w:tcPr>
          <w:p w14:paraId="7FF1CF59"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14:paraId="7AAC7F44" w14:textId="77777777" w:rsidR="00000000" w:rsidRDefault="00EF48A2">
            <w:pPr>
              <w:pStyle w:val="a3"/>
              <w:spacing w:before="0" w:beforeAutospacing="0" w:after="0" w:afterAutospacing="0"/>
              <w:jc w:val="center"/>
              <w:rPr>
                <w:sz w:val="16"/>
                <w:szCs w:val="16"/>
              </w:rPr>
            </w:pPr>
            <w:r>
              <w:rPr>
                <w:b/>
                <w:bCs/>
                <w:sz w:val="16"/>
                <w:szCs w:val="16"/>
              </w:rPr>
              <w:t>Year ended December 31, 202</w:t>
            </w:r>
            <w:r>
              <w:rPr>
                <w:b/>
                <w:bCs/>
                <w:sz w:val="16"/>
                <w:szCs w:val="16"/>
              </w:rPr>
              <w:t>2</w:t>
            </w:r>
          </w:p>
        </w:tc>
        <w:tc>
          <w:tcPr>
            <w:tcW w:w="0" w:type="auto"/>
            <w:vAlign w:val="bottom"/>
            <w:hideMark/>
          </w:tcPr>
          <w:p w14:paraId="469B504F"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1208D50" w14:textId="77777777">
        <w:trPr>
          <w:divId w:val="2029677417"/>
          <w:trHeight w:val="160"/>
          <w:tblCellSpacing w:w="15" w:type="dxa"/>
        </w:trPr>
        <w:tc>
          <w:tcPr>
            <w:tcW w:w="0" w:type="auto"/>
            <w:vAlign w:val="bottom"/>
            <w:hideMark/>
          </w:tcPr>
          <w:p w14:paraId="67A2BB26"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68F27F49"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A0A1599" w14:textId="77777777" w:rsidR="00000000" w:rsidRDefault="00EF48A2">
            <w:pPr>
              <w:pStyle w:val="a3"/>
              <w:spacing w:before="0" w:beforeAutospacing="0" w:after="0" w:afterAutospacing="0"/>
              <w:jc w:val="center"/>
              <w:rPr>
                <w:sz w:val="16"/>
                <w:szCs w:val="16"/>
              </w:rPr>
            </w:pPr>
            <w:r>
              <w:rPr>
                <w:b/>
                <w:bCs/>
                <w:sz w:val="16"/>
                <w:szCs w:val="16"/>
              </w:rPr>
              <w:t>Number of</w:t>
            </w:r>
            <w:r>
              <w:rPr>
                <w:b/>
                <w:bCs/>
                <w:sz w:val="16"/>
                <w:szCs w:val="16"/>
              </w:rPr>
              <w:br/>
              <w:t>option</w:t>
            </w:r>
            <w:r>
              <w:rPr>
                <w:b/>
                <w:bCs/>
                <w:sz w:val="16"/>
                <w:szCs w:val="16"/>
              </w:rPr>
              <w:t>s</w:t>
            </w:r>
          </w:p>
        </w:tc>
        <w:tc>
          <w:tcPr>
            <w:tcW w:w="0" w:type="auto"/>
            <w:vAlign w:val="bottom"/>
            <w:hideMark/>
          </w:tcPr>
          <w:p w14:paraId="2FEB4EA6"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7134F564"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7B6FB49" w14:textId="77777777" w:rsidR="00000000" w:rsidRDefault="00EF48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14:paraId="61D2E00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71E97BCE"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53F7311" w14:textId="77777777" w:rsidR="00000000" w:rsidRDefault="00EF48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contractual</w:t>
            </w:r>
            <w:r>
              <w:rPr>
                <w:b/>
                <w:bCs/>
                <w:sz w:val="16"/>
                <w:szCs w:val="16"/>
              </w:rPr>
              <w:br/>
              <w:t>term (in years</w:t>
            </w:r>
            <w:r>
              <w:rPr>
                <w:b/>
                <w:bCs/>
                <w:sz w:val="16"/>
                <w:szCs w:val="16"/>
              </w:rPr>
              <w:t>)</w:t>
            </w:r>
          </w:p>
        </w:tc>
        <w:tc>
          <w:tcPr>
            <w:tcW w:w="0" w:type="auto"/>
            <w:vAlign w:val="bottom"/>
            <w:hideMark/>
          </w:tcPr>
          <w:p w14:paraId="0E2E15F1"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90C6BF6"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C9672B2" w14:textId="77777777" w:rsidR="00000000" w:rsidRDefault="00EF48A2">
            <w:pPr>
              <w:pStyle w:val="a3"/>
              <w:spacing w:before="0" w:beforeAutospacing="0" w:after="0" w:afterAutospacing="0"/>
              <w:jc w:val="center"/>
              <w:rPr>
                <w:sz w:val="16"/>
                <w:szCs w:val="16"/>
              </w:rPr>
            </w:pPr>
            <w:r>
              <w:rPr>
                <w:b/>
                <w:bCs/>
                <w:sz w:val="16"/>
                <w:szCs w:val="16"/>
              </w:rPr>
              <w:t>Aggregate</w:t>
            </w:r>
            <w:r>
              <w:rPr>
                <w:b/>
                <w:bCs/>
                <w:sz w:val="16"/>
                <w:szCs w:val="16"/>
              </w:rPr>
              <w:br/>
              <w:t>intrinsic value</w:t>
            </w:r>
            <w:r>
              <w:rPr>
                <w:b/>
                <w:bCs/>
                <w:sz w:val="16"/>
                <w:szCs w:val="16"/>
              </w:rPr>
              <w:t xml:space="preserve"> </w:t>
            </w:r>
            <w:r>
              <w:rPr>
                <w:b/>
                <w:bCs/>
                <w:sz w:val="11"/>
                <w:szCs w:val="11"/>
              </w:rPr>
              <w:t>(1)</w:t>
            </w:r>
            <w:r>
              <w:rPr>
                <w:b/>
                <w:bCs/>
                <w:sz w:val="11"/>
                <w:szCs w:val="11"/>
              </w:rPr>
              <w:br/>
            </w:r>
            <w:r>
              <w:rPr>
                <w:i/>
                <w:iCs/>
                <w:sz w:val="16"/>
                <w:szCs w:val="16"/>
              </w:rPr>
              <w:t>(in thousands</w:t>
            </w:r>
            <w:r>
              <w:rPr>
                <w:i/>
                <w:iCs/>
                <w:sz w:val="16"/>
                <w:szCs w:val="16"/>
              </w:rPr>
              <w:t>)</w:t>
            </w:r>
          </w:p>
        </w:tc>
        <w:tc>
          <w:tcPr>
            <w:tcW w:w="0" w:type="auto"/>
            <w:vAlign w:val="bottom"/>
            <w:hideMark/>
          </w:tcPr>
          <w:p w14:paraId="02BABE3B"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D5E2FB7" w14:textId="77777777">
        <w:trPr>
          <w:divId w:val="2029677417"/>
          <w:trHeight w:val="200"/>
          <w:tblCellSpacing w:w="15" w:type="dxa"/>
        </w:trPr>
        <w:tc>
          <w:tcPr>
            <w:tcW w:w="0" w:type="auto"/>
            <w:hideMark/>
          </w:tcPr>
          <w:p w14:paraId="68DA1286" w14:textId="77777777" w:rsidR="00000000" w:rsidRDefault="00EF48A2">
            <w:pPr>
              <w:pStyle w:val="a3"/>
              <w:spacing w:before="0" w:beforeAutospacing="0" w:after="0" w:afterAutospacing="0"/>
              <w:rPr>
                <w:sz w:val="20"/>
                <w:szCs w:val="20"/>
              </w:rPr>
            </w:pPr>
            <w:r>
              <w:rPr>
                <w:sz w:val="20"/>
                <w:szCs w:val="20"/>
              </w:rPr>
              <w:t>Outstanding at beginning of yea</w:t>
            </w:r>
            <w:r>
              <w:rPr>
                <w:sz w:val="20"/>
                <w:szCs w:val="20"/>
              </w:rPr>
              <w:t>r</w:t>
            </w:r>
          </w:p>
        </w:tc>
        <w:tc>
          <w:tcPr>
            <w:tcW w:w="0" w:type="auto"/>
            <w:vAlign w:val="bottom"/>
            <w:hideMark/>
          </w:tcPr>
          <w:p w14:paraId="1105951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E3486B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020F6A4" w14:textId="77777777" w:rsidR="00000000" w:rsidRDefault="00EF48A2">
            <w:pPr>
              <w:pStyle w:val="a3"/>
              <w:spacing w:before="0" w:beforeAutospacing="0" w:after="0" w:afterAutospacing="0"/>
              <w:jc w:val="right"/>
              <w:rPr>
                <w:sz w:val="20"/>
                <w:szCs w:val="20"/>
              </w:rPr>
            </w:pPr>
            <w:r>
              <w:rPr>
                <w:sz w:val="20"/>
                <w:szCs w:val="20"/>
              </w:rPr>
              <w:t>19,494,20</w:t>
            </w:r>
            <w:r>
              <w:rPr>
                <w:sz w:val="20"/>
                <w:szCs w:val="20"/>
              </w:rPr>
              <w:t>2</w:t>
            </w:r>
          </w:p>
        </w:tc>
        <w:tc>
          <w:tcPr>
            <w:tcW w:w="0" w:type="auto"/>
            <w:noWrap/>
            <w:vAlign w:val="bottom"/>
            <w:hideMark/>
          </w:tcPr>
          <w:p w14:paraId="6BA2DB7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1C9BDDE"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385C77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E42D816" w14:textId="77777777" w:rsidR="00000000" w:rsidRDefault="00EF48A2">
            <w:pPr>
              <w:pStyle w:val="a3"/>
              <w:spacing w:before="0" w:beforeAutospacing="0" w:after="0" w:afterAutospacing="0"/>
              <w:jc w:val="right"/>
              <w:rPr>
                <w:sz w:val="20"/>
                <w:szCs w:val="20"/>
              </w:rPr>
            </w:pPr>
            <w:r>
              <w:rPr>
                <w:sz w:val="20"/>
                <w:szCs w:val="20"/>
              </w:rPr>
              <w:t>1.9</w:t>
            </w:r>
            <w:r>
              <w:rPr>
                <w:sz w:val="20"/>
                <w:szCs w:val="20"/>
              </w:rPr>
              <w:t>5</w:t>
            </w:r>
          </w:p>
        </w:tc>
        <w:tc>
          <w:tcPr>
            <w:tcW w:w="0" w:type="auto"/>
            <w:noWrap/>
            <w:vAlign w:val="bottom"/>
            <w:hideMark/>
          </w:tcPr>
          <w:p w14:paraId="3568770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3AAC90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9EF76C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2AB6FBB" w14:textId="77777777" w:rsidR="00000000" w:rsidRDefault="00EF48A2">
            <w:pPr>
              <w:pStyle w:val="a3"/>
              <w:spacing w:before="0" w:beforeAutospacing="0" w:after="0" w:afterAutospacing="0"/>
              <w:jc w:val="right"/>
              <w:rPr>
                <w:sz w:val="20"/>
                <w:szCs w:val="20"/>
              </w:rPr>
            </w:pPr>
            <w:r>
              <w:rPr>
                <w:sz w:val="20"/>
                <w:szCs w:val="20"/>
              </w:rPr>
              <w:t>6.8</w:t>
            </w:r>
            <w:r>
              <w:rPr>
                <w:sz w:val="20"/>
                <w:szCs w:val="20"/>
              </w:rPr>
              <w:t>8</w:t>
            </w:r>
          </w:p>
        </w:tc>
        <w:tc>
          <w:tcPr>
            <w:tcW w:w="0" w:type="auto"/>
            <w:noWrap/>
            <w:vAlign w:val="bottom"/>
            <w:hideMark/>
          </w:tcPr>
          <w:p w14:paraId="05EA137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FF91DA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2F3C90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D741126" w14:textId="77777777" w:rsidR="00000000" w:rsidRDefault="00EF48A2">
            <w:pPr>
              <w:pStyle w:val="a3"/>
              <w:spacing w:before="0" w:beforeAutospacing="0" w:after="0" w:afterAutospacing="0"/>
              <w:jc w:val="right"/>
              <w:rPr>
                <w:sz w:val="20"/>
                <w:szCs w:val="20"/>
              </w:rPr>
            </w:pPr>
            <w:r>
              <w:rPr>
                <w:sz w:val="20"/>
                <w:szCs w:val="20"/>
              </w:rPr>
              <w:t>19,21</w:t>
            </w:r>
            <w:r>
              <w:rPr>
                <w:sz w:val="20"/>
                <w:szCs w:val="20"/>
              </w:rPr>
              <w:t>4</w:t>
            </w:r>
          </w:p>
        </w:tc>
        <w:tc>
          <w:tcPr>
            <w:tcW w:w="0" w:type="auto"/>
            <w:noWrap/>
            <w:vAlign w:val="bottom"/>
            <w:hideMark/>
          </w:tcPr>
          <w:p w14:paraId="58C29F18" w14:textId="77777777" w:rsidR="00000000" w:rsidRDefault="00EF48A2">
            <w:pPr>
              <w:pStyle w:val="a3"/>
              <w:spacing w:before="0" w:beforeAutospacing="0" w:after="0" w:afterAutospacing="0"/>
              <w:rPr>
                <w:sz w:val="20"/>
                <w:szCs w:val="20"/>
              </w:rPr>
            </w:pPr>
            <w:r>
              <w:rPr>
                <w:sz w:val="20"/>
                <w:szCs w:val="20"/>
              </w:rPr>
              <w:t> </w:t>
            </w:r>
          </w:p>
        </w:tc>
      </w:tr>
      <w:tr w:rsidR="00000000" w14:paraId="7018FCB9" w14:textId="77777777">
        <w:trPr>
          <w:divId w:val="2029677417"/>
          <w:trHeight w:val="200"/>
          <w:tblCellSpacing w:w="15" w:type="dxa"/>
        </w:trPr>
        <w:tc>
          <w:tcPr>
            <w:tcW w:w="0" w:type="auto"/>
            <w:hideMark/>
          </w:tcPr>
          <w:p w14:paraId="61594AB5" w14:textId="77777777" w:rsidR="00000000" w:rsidRDefault="00EF48A2">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14:paraId="3993E9A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A788F9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E28F2A9" w14:textId="77777777" w:rsidR="00000000" w:rsidRDefault="00EF48A2">
            <w:pPr>
              <w:pStyle w:val="a3"/>
              <w:spacing w:before="0" w:beforeAutospacing="0" w:after="0" w:afterAutospacing="0"/>
              <w:jc w:val="right"/>
              <w:rPr>
                <w:sz w:val="20"/>
                <w:szCs w:val="20"/>
              </w:rPr>
            </w:pPr>
            <w:r>
              <w:rPr>
                <w:sz w:val="20"/>
                <w:szCs w:val="20"/>
              </w:rPr>
              <w:t>4,175,21</w:t>
            </w:r>
            <w:r>
              <w:rPr>
                <w:sz w:val="20"/>
                <w:szCs w:val="20"/>
              </w:rPr>
              <w:t>2</w:t>
            </w:r>
          </w:p>
        </w:tc>
        <w:tc>
          <w:tcPr>
            <w:tcW w:w="0" w:type="auto"/>
            <w:noWrap/>
            <w:vAlign w:val="bottom"/>
            <w:hideMark/>
          </w:tcPr>
          <w:p w14:paraId="03F22BC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C85C71B"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33344CE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76D138" w14:textId="77777777" w:rsidR="00000000" w:rsidRDefault="00EF48A2">
            <w:pPr>
              <w:pStyle w:val="a3"/>
              <w:spacing w:before="0" w:beforeAutospacing="0" w:after="0" w:afterAutospacing="0"/>
              <w:jc w:val="right"/>
              <w:rPr>
                <w:sz w:val="20"/>
                <w:szCs w:val="20"/>
              </w:rPr>
            </w:pPr>
            <w:r>
              <w:rPr>
                <w:sz w:val="20"/>
                <w:szCs w:val="20"/>
              </w:rPr>
              <w:t>1.2</w:t>
            </w:r>
            <w:r>
              <w:rPr>
                <w:sz w:val="20"/>
                <w:szCs w:val="20"/>
              </w:rPr>
              <w:t>9</w:t>
            </w:r>
          </w:p>
        </w:tc>
        <w:tc>
          <w:tcPr>
            <w:tcW w:w="0" w:type="auto"/>
            <w:noWrap/>
            <w:vAlign w:val="bottom"/>
            <w:hideMark/>
          </w:tcPr>
          <w:p w14:paraId="01453DF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67FB6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825BA14"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A604DA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B900F4E"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0A8050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8D64B71" w14:textId="77777777" w:rsidR="00000000" w:rsidRDefault="00EF48A2">
            <w:pPr>
              <w:pStyle w:val="a3"/>
              <w:spacing w:before="0" w:beforeAutospacing="0" w:after="0" w:afterAutospacing="0"/>
              <w:jc w:val="right"/>
              <w:rPr>
                <w:sz w:val="20"/>
                <w:szCs w:val="20"/>
              </w:rPr>
            </w:pPr>
            <w:r>
              <w:rPr>
                <w:sz w:val="20"/>
                <w:szCs w:val="20"/>
              </w:rPr>
              <w:t> </w:t>
            </w:r>
          </w:p>
        </w:tc>
      </w:tr>
      <w:tr w:rsidR="00000000" w14:paraId="72C95AD3" w14:textId="77777777">
        <w:trPr>
          <w:divId w:val="2029677417"/>
          <w:trHeight w:val="200"/>
          <w:tblCellSpacing w:w="15" w:type="dxa"/>
        </w:trPr>
        <w:tc>
          <w:tcPr>
            <w:tcW w:w="0" w:type="auto"/>
            <w:hideMark/>
          </w:tcPr>
          <w:p w14:paraId="09A43AC6" w14:textId="77777777" w:rsidR="00000000" w:rsidRDefault="00EF48A2">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14:paraId="7C6F714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A58B4B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8198BC0" w14:textId="77777777" w:rsidR="00000000" w:rsidRDefault="00EF48A2">
            <w:pPr>
              <w:pStyle w:val="a3"/>
              <w:spacing w:before="0" w:beforeAutospacing="0" w:after="0" w:afterAutospacing="0"/>
              <w:jc w:val="right"/>
              <w:rPr>
                <w:sz w:val="20"/>
                <w:szCs w:val="20"/>
              </w:rPr>
            </w:pPr>
            <w:r>
              <w:rPr>
                <w:sz w:val="20"/>
                <w:szCs w:val="20"/>
              </w:rPr>
              <w:t>(</w:t>
            </w:r>
            <w:r>
              <w:rPr>
                <w:sz w:val="20"/>
                <w:szCs w:val="20"/>
              </w:rPr>
              <w:t>5,331,63</w:t>
            </w:r>
            <w:r>
              <w:rPr>
                <w:sz w:val="20"/>
                <w:szCs w:val="20"/>
              </w:rPr>
              <w:t>4</w:t>
            </w:r>
          </w:p>
        </w:tc>
        <w:tc>
          <w:tcPr>
            <w:tcW w:w="0" w:type="auto"/>
            <w:noWrap/>
            <w:vAlign w:val="bottom"/>
            <w:hideMark/>
          </w:tcPr>
          <w:p w14:paraId="2713123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1AF0DDE"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53B3CC7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3B81B18" w14:textId="77777777" w:rsidR="00000000" w:rsidRDefault="00EF48A2">
            <w:pPr>
              <w:pStyle w:val="a3"/>
              <w:spacing w:before="0" w:beforeAutospacing="0" w:after="0" w:afterAutospacing="0"/>
              <w:jc w:val="right"/>
              <w:rPr>
                <w:sz w:val="20"/>
                <w:szCs w:val="20"/>
              </w:rPr>
            </w:pPr>
            <w:r>
              <w:rPr>
                <w:sz w:val="20"/>
                <w:szCs w:val="20"/>
              </w:rPr>
              <w:t>0.5</w:t>
            </w:r>
            <w:r>
              <w:rPr>
                <w:sz w:val="20"/>
                <w:szCs w:val="20"/>
              </w:rPr>
              <w:t>7</w:t>
            </w:r>
          </w:p>
        </w:tc>
        <w:tc>
          <w:tcPr>
            <w:tcW w:w="0" w:type="auto"/>
            <w:noWrap/>
            <w:vAlign w:val="bottom"/>
            <w:hideMark/>
          </w:tcPr>
          <w:p w14:paraId="38F4391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C3F0B3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99EDB8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E57D47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A7F4CBF"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0B021F6"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013CDC1" w14:textId="77777777" w:rsidR="00000000" w:rsidRDefault="00EF48A2">
            <w:pPr>
              <w:pStyle w:val="a3"/>
              <w:spacing w:before="0" w:beforeAutospacing="0" w:after="0" w:afterAutospacing="0"/>
              <w:jc w:val="right"/>
              <w:rPr>
                <w:sz w:val="20"/>
                <w:szCs w:val="20"/>
              </w:rPr>
            </w:pPr>
            <w:r>
              <w:rPr>
                <w:sz w:val="20"/>
                <w:szCs w:val="20"/>
              </w:rPr>
              <w:t> </w:t>
            </w:r>
          </w:p>
        </w:tc>
      </w:tr>
      <w:tr w:rsidR="00000000" w14:paraId="419D28D2" w14:textId="77777777">
        <w:trPr>
          <w:divId w:val="2029677417"/>
          <w:trHeight w:val="200"/>
          <w:tblCellSpacing w:w="15" w:type="dxa"/>
        </w:trPr>
        <w:tc>
          <w:tcPr>
            <w:tcW w:w="0" w:type="auto"/>
            <w:hideMark/>
          </w:tcPr>
          <w:p w14:paraId="31AE3834" w14:textId="77777777" w:rsidR="00000000" w:rsidRDefault="00EF48A2">
            <w:pPr>
              <w:pStyle w:val="a3"/>
              <w:spacing w:before="0" w:beforeAutospacing="0" w:after="0" w:afterAutospacing="0"/>
              <w:rPr>
                <w:sz w:val="20"/>
                <w:szCs w:val="20"/>
              </w:rPr>
            </w:pPr>
            <w:r>
              <w:rPr>
                <w:sz w:val="20"/>
                <w:szCs w:val="20"/>
              </w:rPr>
              <w:t>Forfeite</w:t>
            </w:r>
            <w:r>
              <w:rPr>
                <w:sz w:val="20"/>
                <w:szCs w:val="20"/>
              </w:rPr>
              <w:t>d</w:t>
            </w:r>
          </w:p>
        </w:tc>
        <w:tc>
          <w:tcPr>
            <w:tcW w:w="0" w:type="auto"/>
            <w:vAlign w:val="bottom"/>
            <w:hideMark/>
          </w:tcPr>
          <w:p w14:paraId="03AEFDE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50618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BAA8F4" w14:textId="77777777" w:rsidR="00000000" w:rsidRDefault="00EF48A2">
            <w:pPr>
              <w:pStyle w:val="a3"/>
              <w:spacing w:before="0" w:beforeAutospacing="0" w:after="0" w:afterAutospacing="0"/>
              <w:jc w:val="right"/>
              <w:rPr>
                <w:sz w:val="20"/>
                <w:szCs w:val="20"/>
              </w:rPr>
            </w:pPr>
            <w:r>
              <w:rPr>
                <w:sz w:val="20"/>
                <w:szCs w:val="20"/>
              </w:rPr>
              <w:t>(</w:t>
            </w:r>
            <w:r>
              <w:rPr>
                <w:sz w:val="20"/>
                <w:szCs w:val="20"/>
              </w:rPr>
              <w:t>1,461,45</w:t>
            </w:r>
            <w:r>
              <w:rPr>
                <w:sz w:val="20"/>
                <w:szCs w:val="20"/>
              </w:rPr>
              <w:t>4</w:t>
            </w:r>
          </w:p>
        </w:tc>
        <w:tc>
          <w:tcPr>
            <w:tcW w:w="0" w:type="auto"/>
            <w:noWrap/>
            <w:vAlign w:val="bottom"/>
            <w:hideMark/>
          </w:tcPr>
          <w:p w14:paraId="64F0469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0D03623"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7EB9DA8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00F942" w14:textId="77777777" w:rsidR="00000000" w:rsidRDefault="00EF48A2">
            <w:pPr>
              <w:pStyle w:val="a3"/>
              <w:spacing w:before="0" w:beforeAutospacing="0" w:after="0" w:afterAutospacing="0"/>
              <w:jc w:val="right"/>
              <w:rPr>
                <w:sz w:val="20"/>
                <w:szCs w:val="20"/>
              </w:rPr>
            </w:pPr>
            <w:r>
              <w:rPr>
                <w:sz w:val="20"/>
                <w:szCs w:val="20"/>
              </w:rPr>
              <w:t>4.0</w:t>
            </w:r>
            <w:r>
              <w:rPr>
                <w:sz w:val="20"/>
                <w:szCs w:val="20"/>
              </w:rPr>
              <w:t>4</w:t>
            </w:r>
          </w:p>
        </w:tc>
        <w:tc>
          <w:tcPr>
            <w:tcW w:w="0" w:type="auto"/>
            <w:noWrap/>
            <w:vAlign w:val="bottom"/>
            <w:hideMark/>
          </w:tcPr>
          <w:p w14:paraId="2F6723D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D66777"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64C05D7"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D88D92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5FEA088"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461374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0928FA2"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74E3B1A" w14:textId="77777777">
        <w:trPr>
          <w:divId w:val="2029677417"/>
          <w:trHeight w:val="200"/>
          <w:tblCellSpacing w:w="15" w:type="dxa"/>
        </w:trPr>
        <w:tc>
          <w:tcPr>
            <w:tcW w:w="0" w:type="auto"/>
            <w:hideMark/>
          </w:tcPr>
          <w:p w14:paraId="4533DA94" w14:textId="77777777" w:rsidR="00000000" w:rsidRDefault="00EF48A2">
            <w:pPr>
              <w:pStyle w:val="a3"/>
              <w:spacing w:before="0" w:beforeAutospacing="0" w:after="0" w:afterAutospacing="0"/>
              <w:rPr>
                <w:sz w:val="20"/>
                <w:szCs w:val="20"/>
              </w:rPr>
            </w:pPr>
            <w:r>
              <w:rPr>
                <w:sz w:val="20"/>
                <w:szCs w:val="20"/>
              </w:rPr>
              <w:t>Outstanding at end of year</w:t>
            </w:r>
            <w:r>
              <w:rPr>
                <w:sz w:val="20"/>
                <w:szCs w:val="20"/>
              </w:rPr>
              <w:t xml:space="preserve"> </w:t>
            </w:r>
            <w:r>
              <w:rPr>
                <w:sz w:val="13"/>
                <w:szCs w:val="13"/>
              </w:rPr>
              <w:t>(2</w:t>
            </w:r>
            <w:r>
              <w:rPr>
                <w:sz w:val="13"/>
                <w:szCs w:val="13"/>
              </w:rPr>
              <w:t>)</w:t>
            </w:r>
          </w:p>
        </w:tc>
        <w:tc>
          <w:tcPr>
            <w:tcW w:w="0" w:type="auto"/>
            <w:vAlign w:val="bottom"/>
            <w:hideMark/>
          </w:tcPr>
          <w:p w14:paraId="715534E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CDAA92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B97278A" w14:textId="77777777" w:rsidR="00000000" w:rsidRDefault="00EF48A2">
            <w:pPr>
              <w:pStyle w:val="a3"/>
              <w:spacing w:before="0" w:beforeAutospacing="0" w:after="0" w:afterAutospacing="0"/>
              <w:jc w:val="right"/>
              <w:rPr>
                <w:sz w:val="20"/>
                <w:szCs w:val="20"/>
              </w:rPr>
            </w:pPr>
            <w:r>
              <w:rPr>
                <w:sz w:val="20"/>
                <w:szCs w:val="20"/>
              </w:rPr>
              <w:t>16,876,32</w:t>
            </w:r>
            <w:r>
              <w:rPr>
                <w:sz w:val="20"/>
                <w:szCs w:val="20"/>
              </w:rPr>
              <w:t>6</w:t>
            </w:r>
          </w:p>
        </w:tc>
        <w:tc>
          <w:tcPr>
            <w:tcW w:w="0" w:type="auto"/>
            <w:noWrap/>
            <w:vAlign w:val="bottom"/>
            <w:hideMark/>
          </w:tcPr>
          <w:p w14:paraId="10D496C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6A9FCC1"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0252607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D4C763A" w14:textId="77777777" w:rsidR="00000000" w:rsidRDefault="00EF48A2">
            <w:pPr>
              <w:pStyle w:val="a3"/>
              <w:spacing w:before="0" w:beforeAutospacing="0" w:after="0" w:afterAutospacing="0"/>
              <w:jc w:val="right"/>
              <w:rPr>
                <w:sz w:val="20"/>
                <w:szCs w:val="20"/>
              </w:rPr>
            </w:pPr>
            <w:r>
              <w:rPr>
                <w:sz w:val="20"/>
                <w:szCs w:val="20"/>
              </w:rPr>
              <w:t>2.0</w:t>
            </w:r>
            <w:r>
              <w:rPr>
                <w:sz w:val="20"/>
                <w:szCs w:val="20"/>
              </w:rPr>
              <w:t>3</w:t>
            </w:r>
          </w:p>
        </w:tc>
        <w:tc>
          <w:tcPr>
            <w:tcW w:w="0" w:type="auto"/>
            <w:noWrap/>
            <w:vAlign w:val="bottom"/>
            <w:hideMark/>
          </w:tcPr>
          <w:p w14:paraId="6960483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DC053B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65810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88B42E" w14:textId="77777777" w:rsidR="00000000" w:rsidRDefault="00EF48A2">
            <w:pPr>
              <w:pStyle w:val="a3"/>
              <w:spacing w:before="0" w:beforeAutospacing="0" w:after="0" w:afterAutospacing="0"/>
              <w:jc w:val="right"/>
              <w:rPr>
                <w:sz w:val="20"/>
                <w:szCs w:val="20"/>
              </w:rPr>
            </w:pPr>
            <w:r>
              <w:rPr>
                <w:sz w:val="20"/>
                <w:szCs w:val="20"/>
              </w:rPr>
              <w:t>7.2</w:t>
            </w:r>
            <w:r>
              <w:rPr>
                <w:sz w:val="20"/>
                <w:szCs w:val="20"/>
              </w:rPr>
              <w:t>6</w:t>
            </w:r>
          </w:p>
        </w:tc>
        <w:tc>
          <w:tcPr>
            <w:tcW w:w="0" w:type="auto"/>
            <w:noWrap/>
            <w:vAlign w:val="bottom"/>
            <w:hideMark/>
          </w:tcPr>
          <w:p w14:paraId="0675154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4BE83C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BD28FE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7E89C77" w14:textId="77777777" w:rsidR="00000000" w:rsidRDefault="00EF48A2">
            <w:pPr>
              <w:pStyle w:val="a3"/>
              <w:spacing w:before="0" w:beforeAutospacing="0" w:after="0" w:afterAutospacing="0"/>
              <w:jc w:val="right"/>
              <w:rPr>
                <w:sz w:val="20"/>
                <w:szCs w:val="20"/>
              </w:rPr>
            </w:pPr>
            <w:r>
              <w:rPr>
                <w:sz w:val="20"/>
                <w:szCs w:val="20"/>
              </w:rPr>
              <w:t>1,13</w:t>
            </w:r>
            <w:r>
              <w:rPr>
                <w:sz w:val="20"/>
                <w:szCs w:val="20"/>
              </w:rPr>
              <w:t>5</w:t>
            </w:r>
          </w:p>
        </w:tc>
        <w:tc>
          <w:tcPr>
            <w:tcW w:w="0" w:type="auto"/>
            <w:noWrap/>
            <w:vAlign w:val="bottom"/>
            <w:hideMark/>
          </w:tcPr>
          <w:p w14:paraId="41C75680" w14:textId="77777777" w:rsidR="00000000" w:rsidRDefault="00EF48A2">
            <w:pPr>
              <w:pStyle w:val="a3"/>
              <w:spacing w:before="0" w:beforeAutospacing="0" w:after="0" w:afterAutospacing="0"/>
              <w:rPr>
                <w:sz w:val="20"/>
                <w:szCs w:val="20"/>
              </w:rPr>
            </w:pPr>
            <w:r>
              <w:rPr>
                <w:sz w:val="20"/>
                <w:szCs w:val="20"/>
              </w:rPr>
              <w:t> </w:t>
            </w:r>
          </w:p>
        </w:tc>
      </w:tr>
      <w:tr w:rsidR="00000000" w14:paraId="0FABCE7F" w14:textId="77777777">
        <w:trPr>
          <w:divId w:val="2029677417"/>
          <w:trHeight w:val="200"/>
          <w:tblCellSpacing w:w="15" w:type="dxa"/>
        </w:trPr>
        <w:tc>
          <w:tcPr>
            <w:tcW w:w="0" w:type="auto"/>
            <w:hideMark/>
          </w:tcPr>
          <w:p w14:paraId="2F3E1CAD" w14:textId="77777777" w:rsidR="00000000" w:rsidRDefault="00EF48A2">
            <w:pPr>
              <w:pStyle w:val="a3"/>
              <w:spacing w:before="0" w:beforeAutospacing="0" w:after="0" w:afterAutospacing="0"/>
              <w:rPr>
                <w:sz w:val="20"/>
                <w:szCs w:val="20"/>
              </w:rPr>
            </w:pPr>
            <w:r>
              <w:rPr>
                <w:sz w:val="20"/>
                <w:szCs w:val="20"/>
              </w:rPr>
              <w:t>Exercisable at end of yea</w:t>
            </w:r>
            <w:r>
              <w:rPr>
                <w:sz w:val="20"/>
                <w:szCs w:val="20"/>
              </w:rPr>
              <w:t>r</w:t>
            </w:r>
          </w:p>
        </w:tc>
        <w:tc>
          <w:tcPr>
            <w:tcW w:w="0" w:type="auto"/>
            <w:vAlign w:val="bottom"/>
            <w:hideMark/>
          </w:tcPr>
          <w:p w14:paraId="7CDEF69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0A694E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1AA8B86" w14:textId="77777777" w:rsidR="00000000" w:rsidRDefault="00EF48A2">
            <w:pPr>
              <w:pStyle w:val="a3"/>
              <w:spacing w:before="0" w:beforeAutospacing="0" w:after="0" w:afterAutospacing="0"/>
              <w:jc w:val="right"/>
              <w:rPr>
                <w:sz w:val="20"/>
                <w:szCs w:val="20"/>
              </w:rPr>
            </w:pPr>
            <w:r>
              <w:rPr>
                <w:sz w:val="20"/>
                <w:szCs w:val="20"/>
              </w:rPr>
              <w:t>11,641,66</w:t>
            </w:r>
            <w:r>
              <w:rPr>
                <w:sz w:val="20"/>
                <w:szCs w:val="20"/>
              </w:rPr>
              <w:t>3</w:t>
            </w:r>
          </w:p>
        </w:tc>
        <w:tc>
          <w:tcPr>
            <w:tcW w:w="0" w:type="auto"/>
            <w:noWrap/>
            <w:vAlign w:val="bottom"/>
            <w:hideMark/>
          </w:tcPr>
          <w:p w14:paraId="66B7835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35D35B"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0FA197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5B07233" w14:textId="77777777" w:rsidR="00000000" w:rsidRDefault="00EF48A2">
            <w:pPr>
              <w:pStyle w:val="a3"/>
              <w:spacing w:before="0" w:beforeAutospacing="0" w:after="0" w:afterAutospacing="0"/>
              <w:jc w:val="right"/>
              <w:rPr>
                <w:sz w:val="20"/>
                <w:szCs w:val="20"/>
              </w:rPr>
            </w:pPr>
            <w:r>
              <w:rPr>
                <w:sz w:val="20"/>
                <w:szCs w:val="20"/>
              </w:rPr>
              <w:t>1.4</w:t>
            </w:r>
            <w:r>
              <w:rPr>
                <w:sz w:val="20"/>
                <w:szCs w:val="20"/>
              </w:rPr>
              <w:t>4</w:t>
            </w:r>
          </w:p>
        </w:tc>
        <w:tc>
          <w:tcPr>
            <w:tcW w:w="0" w:type="auto"/>
            <w:noWrap/>
            <w:vAlign w:val="bottom"/>
            <w:hideMark/>
          </w:tcPr>
          <w:p w14:paraId="3D1A0BA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B3E12E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768372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19C4F0" w14:textId="77777777" w:rsidR="00000000" w:rsidRDefault="00EF48A2">
            <w:pPr>
              <w:pStyle w:val="a3"/>
              <w:spacing w:before="0" w:beforeAutospacing="0" w:after="0" w:afterAutospacing="0"/>
              <w:jc w:val="right"/>
              <w:rPr>
                <w:sz w:val="20"/>
                <w:szCs w:val="20"/>
              </w:rPr>
            </w:pPr>
            <w:r>
              <w:rPr>
                <w:sz w:val="20"/>
                <w:szCs w:val="20"/>
              </w:rPr>
              <w:t>6.5</w:t>
            </w:r>
            <w:r>
              <w:rPr>
                <w:sz w:val="20"/>
                <w:szCs w:val="20"/>
              </w:rPr>
              <w:t>0</w:t>
            </w:r>
          </w:p>
        </w:tc>
        <w:tc>
          <w:tcPr>
            <w:tcW w:w="0" w:type="auto"/>
            <w:noWrap/>
            <w:vAlign w:val="bottom"/>
            <w:hideMark/>
          </w:tcPr>
          <w:p w14:paraId="2BA5143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70634F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42AA22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29C65E6" w14:textId="77777777" w:rsidR="00000000" w:rsidRDefault="00EF48A2">
            <w:pPr>
              <w:pStyle w:val="a3"/>
              <w:spacing w:before="0" w:beforeAutospacing="0" w:after="0" w:afterAutospacing="0"/>
              <w:jc w:val="right"/>
              <w:rPr>
                <w:sz w:val="20"/>
                <w:szCs w:val="20"/>
              </w:rPr>
            </w:pPr>
            <w:r>
              <w:rPr>
                <w:sz w:val="20"/>
                <w:szCs w:val="20"/>
              </w:rPr>
              <w:t>1,13</w:t>
            </w:r>
            <w:r>
              <w:rPr>
                <w:sz w:val="20"/>
                <w:szCs w:val="20"/>
              </w:rPr>
              <w:t>5</w:t>
            </w:r>
          </w:p>
        </w:tc>
        <w:tc>
          <w:tcPr>
            <w:tcW w:w="0" w:type="auto"/>
            <w:noWrap/>
            <w:vAlign w:val="bottom"/>
            <w:hideMark/>
          </w:tcPr>
          <w:p w14:paraId="34FE0252" w14:textId="77777777" w:rsidR="00000000" w:rsidRDefault="00EF48A2">
            <w:pPr>
              <w:pStyle w:val="a3"/>
              <w:spacing w:before="0" w:beforeAutospacing="0" w:after="0" w:afterAutospacing="0"/>
              <w:rPr>
                <w:sz w:val="20"/>
                <w:szCs w:val="20"/>
              </w:rPr>
            </w:pPr>
            <w:r>
              <w:rPr>
                <w:sz w:val="20"/>
                <w:szCs w:val="20"/>
              </w:rPr>
              <w:t> </w:t>
            </w:r>
          </w:p>
        </w:tc>
      </w:tr>
    </w:tbl>
    <w:p w14:paraId="4D1D9549" w14:textId="77777777" w:rsidR="00000000" w:rsidRDefault="00EF48A2">
      <w:pPr>
        <w:pStyle w:val="a3"/>
        <w:spacing w:before="0" w:beforeAutospacing="0" w:after="0" w:afterAutospacing="0"/>
        <w:jc w:val="center"/>
        <w:divId w:val="2029677417"/>
        <w:rPr>
          <w:sz w:val="20"/>
          <w:szCs w:val="20"/>
        </w:rPr>
      </w:pPr>
      <w:r>
        <w:rPr>
          <w:sz w:val="17"/>
          <w:szCs w:val="17"/>
        </w:rPr>
        <w:t> </w:t>
      </w:r>
    </w:p>
    <w:p w14:paraId="02F4DF60" w14:textId="77777777" w:rsidR="00000000" w:rsidRDefault="00EF48A2">
      <w:pPr>
        <w:jc w:val="both"/>
        <w:divId w:val="1540627846"/>
        <w:rPr>
          <w:rFonts w:eastAsia="Times New Roman"/>
          <w:sz w:val="20"/>
          <w:szCs w:val="20"/>
        </w:rPr>
      </w:pPr>
      <w:r>
        <w:rPr>
          <w:rFonts w:eastAsia="Times New Roman"/>
          <w:sz w:val="17"/>
          <w:szCs w:val="17"/>
        </w:rPr>
        <w:t>(1</w:t>
      </w:r>
      <w:r>
        <w:rPr>
          <w:rFonts w:eastAsia="Times New Roman"/>
          <w:sz w:val="17"/>
          <w:szCs w:val="17"/>
        </w:rPr>
        <w:t>)</w:t>
      </w:r>
    </w:p>
    <w:p w14:paraId="072A0ECA" w14:textId="77777777" w:rsidR="00000000" w:rsidRDefault="00EF48A2">
      <w:pPr>
        <w:jc w:val="both"/>
        <w:divId w:val="1249969905"/>
        <w:rPr>
          <w:rFonts w:eastAsia="Times New Roman"/>
          <w:sz w:val="20"/>
          <w:szCs w:val="20"/>
        </w:rPr>
      </w:pPr>
      <w:r>
        <w:rPr>
          <w:rFonts w:eastAsia="Times New Roman"/>
          <w:sz w:val="17"/>
          <w:szCs w:val="17"/>
        </w:rPr>
        <w:t>The aggregate intrinsic value of options outstanding at end of the year and options exercisable at end of the year does not include</w:t>
      </w:r>
      <w:r>
        <w:rPr>
          <w:rFonts w:eastAsia="Times New Roman"/>
          <w:sz w:val="17"/>
          <w:szCs w:val="17"/>
        </w:rPr>
        <w:t xml:space="preserve"> </w:t>
      </w:r>
      <w:r>
        <w:rPr>
          <w:rFonts w:eastAsia="Times New Roman"/>
          <w:sz w:val="17"/>
          <w:szCs w:val="17"/>
        </w:rPr>
        <w:t>11,861,42</w:t>
      </w:r>
      <w:r>
        <w:rPr>
          <w:rFonts w:eastAsia="Times New Roman"/>
          <w:sz w:val="17"/>
          <w:szCs w:val="17"/>
        </w:rPr>
        <w:t>6</w:t>
      </w:r>
      <w:r>
        <w:rPr>
          <w:rFonts w:eastAsia="Times New Roman"/>
          <w:sz w:val="17"/>
          <w:szCs w:val="17"/>
        </w:rPr>
        <w:t xml:space="preserve"> and</w:t>
      </w:r>
      <w:r>
        <w:rPr>
          <w:rFonts w:eastAsia="Times New Roman"/>
          <w:sz w:val="17"/>
          <w:szCs w:val="17"/>
        </w:rPr>
        <w:t xml:space="preserve"> </w:t>
      </w:r>
      <w:r>
        <w:rPr>
          <w:rFonts w:eastAsia="Times New Roman"/>
          <w:sz w:val="17"/>
          <w:szCs w:val="17"/>
        </w:rPr>
        <w:t>6,626,76</w:t>
      </w:r>
      <w:r>
        <w:rPr>
          <w:rFonts w:eastAsia="Times New Roman"/>
          <w:sz w:val="17"/>
          <w:szCs w:val="17"/>
        </w:rPr>
        <w:t>5</w:t>
      </w:r>
      <w:r>
        <w:rPr>
          <w:rFonts w:eastAsia="Times New Roman"/>
          <w:sz w:val="17"/>
          <w:szCs w:val="17"/>
        </w:rPr>
        <w:t xml:space="preserve"> options that are out of the money, respectively</w:t>
      </w:r>
      <w:r>
        <w:rPr>
          <w:rFonts w:eastAsia="Times New Roman"/>
          <w:sz w:val="17"/>
          <w:szCs w:val="17"/>
        </w:rPr>
        <w:t>.</w:t>
      </w:r>
    </w:p>
    <w:p w14:paraId="7386159A" w14:textId="77777777" w:rsidR="00000000" w:rsidRDefault="00EF48A2">
      <w:pPr>
        <w:jc w:val="both"/>
        <w:divId w:val="1864399607"/>
        <w:rPr>
          <w:rFonts w:eastAsia="Times New Roman"/>
          <w:sz w:val="20"/>
          <w:szCs w:val="20"/>
        </w:rPr>
      </w:pPr>
      <w:r>
        <w:rPr>
          <w:rFonts w:eastAsia="Times New Roman"/>
          <w:sz w:val="17"/>
          <w:szCs w:val="17"/>
        </w:rPr>
        <w:t>(2</w:t>
      </w:r>
      <w:r>
        <w:rPr>
          <w:rFonts w:eastAsia="Times New Roman"/>
          <w:sz w:val="17"/>
          <w:szCs w:val="17"/>
        </w:rPr>
        <w:t>)</w:t>
      </w:r>
    </w:p>
    <w:p w14:paraId="79F7AAF2" w14:textId="77777777" w:rsidR="00000000" w:rsidRDefault="00EF48A2">
      <w:pPr>
        <w:jc w:val="both"/>
        <w:divId w:val="914971557"/>
        <w:rPr>
          <w:rFonts w:eastAsia="Times New Roman"/>
          <w:sz w:val="20"/>
          <w:szCs w:val="20"/>
        </w:rPr>
      </w:pPr>
      <w:r>
        <w:rPr>
          <w:rFonts w:eastAsia="Times New Roman"/>
          <w:sz w:val="17"/>
          <w:szCs w:val="17"/>
        </w:rPr>
        <w:t>Excludes</w:t>
      </w:r>
      <w:r>
        <w:rPr>
          <w:rFonts w:eastAsia="Times New Roman"/>
          <w:sz w:val="17"/>
          <w:szCs w:val="17"/>
        </w:rPr>
        <w:t xml:space="preserve"> </w:t>
      </w:r>
      <w:r>
        <w:rPr>
          <w:rFonts w:eastAsia="Times New Roman"/>
          <w:sz w:val="17"/>
          <w:szCs w:val="17"/>
        </w:rPr>
        <w:t>650,00</w:t>
      </w:r>
      <w:r>
        <w:rPr>
          <w:rFonts w:eastAsia="Times New Roman"/>
          <w:sz w:val="17"/>
          <w:szCs w:val="17"/>
        </w:rPr>
        <w:t>0</w:t>
      </w:r>
      <w:r>
        <w:rPr>
          <w:rFonts w:eastAsia="Times New Roman"/>
          <w:sz w:val="17"/>
          <w:szCs w:val="17"/>
        </w:rPr>
        <w:t xml:space="preserve"> fully-vested options with an </w:t>
      </w:r>
      <w:r>
        <w:rPr>
          <w:rFonts w:eastAsia="Times New Roman"/>
          <w:sz w:val="17"/>
          <w:szCs w:val="17"/>
        </w:rPr>
        <w:t xml:space="preserve">exercise price of </w:t>
      </w:r>
      <w:r>
        <w:rPr>
          <w:rFonts w:eastAsia="Times New Roman"/>
          <w:sz w:val="17"/>
          <w:szCs w:val="17"/>
        </w:rPr>
        <w:t>$</w:t>
      </w:r>
      <w:r>
        <w:rPr>
          <w:rFonts w:eastAsia="Times New Roman"/>
          <w:sz w:val="17"/>
          <w:szCs w:val="17"/>
        </w:rPr>
        <w:t>11.5</w:t>
      </w:r>
      <w:r>
        <w:rPr>
          <w:rFonts w:eastAsia="Times New Roman"/>
          <w:sz w:val="17"/>
          <w:szCs w:val="17"/>
        </w:rPr>
        <w:t>0</w:t>
      </w:r>
      <w:r>
        <w:rPr>
          <w:rFonts w:eastAsia="Times New Roman"/>
          <w:sz w:val="17"/>
          <w:szCs w:val="17"/>
        </w:rPr>
        <w:t xml:space="preserve"> issued in June 2021 to a consultant in connection with the Business Combination.</w:t>
      </w:r>
      <w:r>
        <w:rPr>
          <w:rFonts w:eastAsia="Times New Roman"/>
          <w:sz w:val="17"/>
          <w:szCs w:val="17"/>
        </w:rPr>
        <w:t xml:space="preserve"> </w:t>
      </w:r>
    </w:p>
    <w:p w14:paraId="2D65FA21" w14:textId="77777777" w:rsidR="00000000" w:rsidRDefault="00EF48A2">
      <w:pPr>
        <w:pStyle w:val="a3"/>
        <w:spacing w:before="240" w:beforeAutospacing="0" w:after="0" w:afterAutospacing="0"/>
        <w:jc w:val="both"/>
        <w:divId w:val="1765371821"/>
        <w:rPr>
          <w:sz w:val="20"/>
          <w:szCs w:val="20"/>
        </w:rPr>
      </w:pPr>
      <w:r>
        <w:rPr>
          <w:sz w:val="20"/>
          <w:szCs w:val="20"/>
        </w:rPr>
        <w:t xml:space="preserve">The weighted average grant-date fair value of stock options granted to employees during the years ended December 31, 2022 and 2021 was </w:t>
      </w:r>
      <w:r>
        <w:rPr>
          <w:sz w:val="20"/>
          <w:szCs w:val="20"/>
        </w:rPr>
        <w:t>$</w:t>
      </w:r>
      <w:r>
        <w:rPr>
          <w:sz w:val="20"/>
          <w:szCs w:val="20"/>
        </w:rPr>
        <w:t>0.8</w:t>
      </w:r>
      <w:r>
        <w:rPr>
          <w:sz w:val="20"/>
          <w:szCs w:val="20"/>
        </w:rPr>
        <w:t>8</w:t>
      </w:r>
      <w:r>
        <w:rPr>
          <w:sz w:val="20"/>
          <w:szCs w:val="20"/>
        </w:rPr>
        <w:t xml:space="preserve"> and </w:t>
      </w:r>
      <w:r>
        <w:rPr>
          <w:sz w:val="20"/>
          <w:szCs w:val="20"/>
        </w:rPr>
        <w:t>$</w:t>
      </w:r>
      <w:r>
        <w:rPr>
          <w:sz w:val="20"/>
          <w:szCs w:val="20"/>
        </w:rPr>
        <w:t>3.8</w:t>
      </w:r>
      <w:r>
        <w:rPr>
          <w:sz w:val="20"/>
          <w:szCs w:val="20"/>
        </w:rPr>
        <w:t>1</w:t>
      </w:r>
      <w:r>
        <w:rPr>
          <w:sz w:val="20"/>
          <w:szCs w:val="20"/>
        </w:rPr>
        <w:t xml:space="preserve"> per share, respectively</w:t>
      </w:r>
      <w:r>
        <w:rPr>
          <w:sz w:val="20"/>
          <w:szCs w:val="20"/>
        </w:rPr>
        <w:t>.</w:t>
      </w:r>
    </w:p>
    <w:p w14:paraId="3C399357" w14:textId="77777777" w:rsidR="00000000" w:rsidRDefault="00EF48A2">
      <w:pPr>
        <w:pStyle w:val="a3"/>
        <w:spacing w:before="180" w:beforeAutospacing="0" w:after="180" w:afterAutospacing="0"/>
        <w:jc w:val="both"/>
        <w:divId w:val="1089698608"/>
        <w:rPr>
          <w:sz w:val="20"/>
          <w:szCs w:val="20"/>
        </w:rPr>
      </w:pPr>
      <w:r>
        <w:rPr>
          <w:sz w:val="20"/>
          <w:szCs w:val="20"/>
        </w:rPr>
        <w:t>The fair value for options granted for the years ended December 31, 2022, 2021 and 2020 was estimated on the date of grant using a Black-Scholes-Merton options pricing model with the following weighted average assumptions</w:t>
      </w:r>
      <w:r>
        <w:rPr>
          <w:sz w:val="20"/>
          <w:szCs w:val="20"/>
        </w:rPr>
        <w:t>:</w:t>
      </w:r>
      <w:r>
        <w:rPr>
          <w:sz w:val="20"/>
          <w:szCs w:val="20"/>
        </w:rPr>
        <w:t xml:space="preserve"> </w:t>
      </w:r>
    </w:p>
    <w:tbl>
      <w:tblPr>
        <w:tblW w:w="4550" w:type="pct"/>
        <w:tblCellSpacing w:w="15" w:type="dxa"/>
        <w:tblCellMar>
          <w:top w:w="15" w:type="dxa"/>
          <w:left w:w="15" w:type="dxa"/>
          <w:bottom w:w="15" w:type="dxa"/>
          <w:right w:w="15" w:type="dxa"/>
        </w:tblCellMar>
        <w:tblLook w:val="04A0" w:firstRow="1" w:lastRow="0" w:firstColumn="1" w:lastColumn="0" w:noHBand="0" w:noVBand="1"/>
      </w:tblPr>
      <w:tblGrid>
        <w:gridCol w:w="3110"/>
        <w:gridCol w:w="110"/>
        <w:gridCol w:w="1351"/>
        <w:gridCol w:w="110"/>
        <w:gridCol w:w="1349"/>
        <w:gridCol w:w="110"/>
        <w:gridCol w:w="1418"/>
      </w:tblGrid>
      <w:tr w:rsidR="00000000" w14:paraId="235B1B01" w14:textId="77777777">
        <w:trPr>
          <w:divId w:val="1089698608"/>
          <w:tblCellSpacing w:w="15" w:type="dxa"/>
        </w:trPr>
        <w:tc>
          <w:tcPr>
            <w:tcW w:w="2093" w:type="pct"/>
            <w:vAlign w:val="center"/>
            <w:hideMark/>
          </w:tcPr>
          <w:p w14:paraId="07D631CC" w14:textId="77777777" w:rsidR="00000000" w:rsidRDefault="00EF48A2">
            <w:pPr>
              <w:rPr>
                <w:sz w:val="20"/>
                <w:szCs w:val="20"/>
              </w:rPr>
            </w:pPr>
          </w:p>
        </w:tc>
        <w:tc>
          <w:tcPr>
            <w:tcW w:w="55" w:type="pct"/>
            <w:vAlign w:val="center"/>
            <w:hideMark/>
          </w:tcPr>
          <w:p w14:paraId="3F4113A2" w14:textId="77777777" w:rsidR="00000000" w:rsidRDefault="00EF48A2">
            <w:pPr>
              <w:rPr>
                <w:rFonts w:eastAsia="Times New Roman"/>
                <w:sz w:val="20"/>
                <w:szCs w:val="20"/>
              </w:rPr>
            </w:pPr>
          </w:p>
        </w:tc>
        <w:tc>
          <w:tcPr>
            <w:tcW w:w="902" w:type="pct"/>
            <w:vAlign w:val="center"/>
            <w:hideMark/>
          </w:tcPr>
          <w:p w14:paraId="3E9B145B" w14:textId="77777777" w:rsidR="00000000" w:rsidRDefault="00EF48A2">
            <w:pPr>
              <w:rPr>
                <w:rFonts w:eastAsia="Times New Roman"/>
                <w:sz w:val="20"/>
                <w:szCs w:val="20"/>
              </w:rPr>
            </w:pPr>
          </w:p>
        </w:tc>
        <w:tc>
          <w:tcPr>
            <w:tcW w:w="54" w:type="pct"/>
            <w:vAlign w:val="center"/>
            <w:hideMark/>
          </w:tcPr>
          <w:p w14:paraId="5E68AD1D" w14:textId="77777777" w:rsidR="00000000" w:rsidRDefault="00EF48A2">
            <w:pPr>
              <w:rPr>
                <w:rFonts w:eastAsia="Times New Roman"/>
                <w:sz w:val="20"/>
                <w:szCs w:val="20"/>
              </w:rPr>
            </w:pPr>
          </w:p>
        </w:tc>
        <w:tc>
          <w:tcPr>
            <w:tcW w:w="901" w:type="pct"/>
            <w:vAlign w:val="center"/>
            <w:hideMark/>
          </w:tcPr>
          <w:p w14:paraId="70C62B5E" w14:textId="77777777" w:rsidR="00000000" w:rsidRDefault="00EF48A2">
            <w:pPr>
              <w:rPr>
                <w:rFonts w:eastAsia="Times New Roman"/>
                <w:sz w:val="20"/>
                <w:szCs w:val="20"/>
              </w:rPr>
            </w:pPr>
          </w:p>
        </w:tc>
        <w:tc>
          <w:tcPr>
            <w:tcW w:w="54" w:type="pct"/>
            <w:vAlign w:val="center"/>
            <w:hideMark/>
          </w:tcPr>
          <w:p w14:paraId="7D7A9C52" w14:textId="77777777" w:rsidR="00000000" w:rsidRDefault="00EF48A2">
            <w:pPr>
              <w:rPr>
                <w:rFonts w:eastAsia="Times New Roman"/>
                <w:sz w:val="20"/>
                <w:szCs w:val="20"/>
              </w:rPr>
            </w:pPr>
          </w:p>
        </w:tc>
        <w:tc>
          <w:tcPr>
            <w:tcW w:w="937" w:type="pct"/>
            <w:vAlign w:val="center"/>
            <w:hideMark/>
          </w:tcPr>
          <w:p w14:paraId="63CBFAA3" w14:textId="77777777" w:rsidR="00000000" w:rsidRDefault="00EF48A2">
            <w:pPr>
              <w:rPr>
                <w:rFonts w:eastAsia="Times New Roman"/>
                <w:sz w:val="20"/>
                <w:szCs w:val="20"/>
              </w:rPr>
            </w:pPr>
          </w:p>
        </w:tc>
      </w:tr>
      <w:tr w:rsidR="00000000" w14:paraId="49E12497" w14:textId="77777777">
        <w:trPr>
          <w:divId w:val="1089698608"/>
          <w:trHeight w:val="160"/>
          <w:tblCellSpacing w:w="15" w:type="dxa"/>
        </w:trPr>
        <w:tc>
          <w:tcPr>
            <w:tcW w:w="0" w:type="auto"/>
            <w:vAlign w:val="bottom"/>
            <w:hideMark/>
          </w:tcPr>
          <w:p w14:paraId="7927BC64"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04735007"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5"/>
            <w:vAlign w:val="bottom"/>
            <w:hideMark/>
          </w:tcPr>
          <w:p w14:paraId="56D1CE38" w14:textId="77777777" w:rsidR="00000000" w:rsidRDefault="00EF48A2">
            <w:pPr>
              <w:pStyle w:val="a3"/>
              <w:spacing w:before="0" w:beforeAutospacing="0" w:after="0" w:afterAutospacing="0"/>
              <w:jc w:val="center"/>
              <w:rPr>
                <w:sz w:val="16"/>
                <w:szCs w:val="16"/>
              </w:rPr>
            </w:pPr>
            <w:r>
              <w:rPr>
                <w:b/>
                <w:bCs/>
                <w:sz w:val="16"/>
                <w:szCs w:val="16"/>
              </w:rPr>
              <w:t>Years ended December 31</w:t>
            </w:r>
            <w:r>
              <w:rPr>
                <w:b/>
                <w:bCs/>
                <w:sz w:val="16"/>
                <w:szCs w:val="16"/>
              </w:rPr>
              <w:t>,</w:t>
            </w:r>
          </w:p>
        </w:tc>
      </w:tr>
      <w:tr w:rsidR="00000000" w14:paraId="5A6FB3C8" w14:textId="77777777">
        <w:trPr>
          <w:divId w:val="1089698608"/>
          <w:trHeight w:val="160"/>
          <w:tblCellSpacing w:w="15" w:type="dxa"/>
        </w:trPr>
        <w:tc>
          <w:tcPr>
            <w:tcW w:w="0" w:type="auto"/>
            <w:vAlign w:val="bottom"/>
            <w:hideMark/>
          </w:tcPr>
          <w:p w14:paraId="5D45A46C"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53C1AED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485CF4EC"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12CEFE1"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3FB6507"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E5F92A8"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38A446C"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r>
      <w:tr w:rsidR="00000000" w14:paraId="51746671" w14:textId="77777777">
        <w:trPr>
          <w:divId w:val="1089698608"/>
          <w:trHeight w:val="200"/>
          <w:tblCellSpacing w:w="15" w:type="dxa"/>
        </w:trPr>
        <w:tc>
          <w:tcPr>
            <w:tcW w:w="0" w:type="auto"/>
            <w:hideMark/>
          </w:tcPr>
          <w:p w14:paraId="0A50E39D" w14:textId="77777777" w:rsidR="00000000" w:rsidRDefault="00EF48A2">
            <w:pPr>
              <w:pStyle w:val="a3"/>
              <w:spacing w:before="0" w:beforeAutospacing="0" w:after="0" w:afterAutospacing="0"/>
              <w:rPr>
                <w:sz w:val="20"/>
                <w:szCs w:val="20"/>
              </w:rPr>
            </w:pPr>
            <w:r>
              <w:rPr>
                <w:sz w:val="20"/>
                <w:szCs w:val="20"/>
              </w:rPr>
              <w:t>Dividend yield</w:t>
            </w:r>
            <w:r>
              <w:rPr>
                <w:sz w:val="20"/>
                <w:szCs w:val="20"/>
              </w:rPr>
              <w:t xml:space="preserve"> </w:t>
            </w:r>
            <w:r>
              <w:rPr>
                <w:sz w:val="13"/>
                <w:szCs w:val="13"/>
              </w:rPr>
              <w:t>(1</w:t>
            </w:r>
            <w:r>
              <w:rPr>
                <w:sz w:val="13"/>
                <w:szCs w:val="13"/>
              </w:rPr>
              <w:t>)</w:t>
            </w:r>
          </w:p>
        </w:tc>
        <w:tc>
          <w:tcPr>
            <w:tcW w:w="0" w:type="auto"/>
            <w:vAlign w:val="bottom"/>
            <w:hideMark/>
          </w:tcPr>
          <w:p w14:paraId="5C38BD5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C4EBD5" w14:textId="77777777" w:rsidR="00000000" w:rsidRDefault="00EF48A2">
            <w:pPr>
              <w:pStyle w:val="a3"/>
              <w:spacing w:before="0" w:beforeAutospacing="0" w:after="0" w:afterAutospacing="0"/>
              <w:jc w:val="center"/>
              <w:rPr>
                <w:sz w:val="20"/>
                <w:szCs w:val="20"/>
              </w:rPr>
            </w:pPr>
            <w:r>
              <w:rPr>
                <w:sz w:val="20"/>
                <w:szCs w:val="20"/>
              </w:rPr>
              <w:t>0</w:t>
            </w:r>
            <w:r>
              <w:rPr>
                <w:sz w:val="20"/>
                <w:szCs w:val="20"/>
              </w:rPr>
              <w:t>%</w:t>
            </w:r>
          </w:p>
        </w:tc>
        <w:tc>
          <w:tcPr>
            <w:tcW w:w="0" w:type="auto"/>
            <w:vAlign w:val="bottom"/>
            <w:hideMark/>
          </w:tcPr>
          <w:p w14:paraId="2897FE7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098B32" w14:textId="77777777" w:rsidR="00000000" w:rsidRDefault="00EF48A2">
            <w:pPr>
              <w:pStyle w:val="a3"/>
              <w:spacing w:before="0" w:beforeAutospacing="0" w:after="0" w:afterAutospacing="0"/>
              <w:jc w:val="center"/>
              <w:rPr>
                <w:sz w:val="20"/>
                <w:szCs w:val="20"/>
              </w:rPr>
            </w:pPr>
            <w:r>
              <w:rPr>
                <w:sz w:val="20"/>
                <w:szCs w:val="20"/>
              </w:rPr>
              <w:t>0</w:t>
            </w:r>
            <w:r>
              <w:rPr>
                <w:sz w:val="20"/>
                <w:szCs w:val="20"/>
              </w:rPr>
              <w:t>%</w:t>
            </w:r>
          </w:p>
        </w:tc>
        <w:tc>
          <w:tcPr>
            <w:tcW w:w="0" w:type="auto"/>
            <w:vAlign w:val="bottom"/>
            <w:hideMark/>
          </w:tcPr>
          <w:p w14:paraId="0B2DDBF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95BCA7F" w14:textId="77777777" w:rsidR="00000000" w:rsidRDefault="00EF48A2">
            <w:pPr>
              <w:pStyle w:val="a3"/>
              <w:spacing w:before="0" w:beforeAutospacing="0" w:after="0" w:afterAutospacing="0"/>
              <w:jc w:val="center"/>
              <w:rPr>
                <w:sz w:val="20"/>
                <w:szCs w:val="20"/>
              </w:rPr>
            </w:pPr>
            <w:r>
              <w:rPr>
                <w:sz w:val="20"/>
                <w:szCs w:val="20"/>
              </w:rPr>
              <w:t>0</w:t>
            </w:r>
            <w:r>
              <w:rPr>
                <w:sz w:val="20"/>
                <w:szCs w:val="20"/>
              </w:rPr>
              <w:t>%</w:t>
            </w:r>
          </w:p>
        </w:tc>
      </w:tr>
      <w:tr w:rsidR="00000000" w14:paraId="4C379263" w14:textId="77777777">
        <w:trPr>
          <w:divId w:val="1089698608"/>
          <w:trHeight w:val="200"/>
          <w:tblCellSpacing w:w="15" w:type="dxa"/>
        </w:trPr>
        <w:tc>
          <w:tcPr>
            <w:tcW w:w="0" w:type="auto"/>
            <w:hideMark/>
          </w:tcPr>
          <w:p w14:paraId="798AE413" w14:textId="77777777" w:rsidR="00000000" w:rsidRDefault="00EF48A2">
            <w:pPr>
              <w:pStyle w:val="a3"/>
              <w:spacing w:before="0" w:beforeAutospacing="0" w:after="0" w:afterAutospacing="0"/>
              <w:rPr>
                <w:sz w:val="20"/>
                <w:szCs w:val="20"/>
              </w:rPr>
            </w:pPr>
            <w:r>
              <w:rPr>
                <w:sz w:val="20"/>
                <w:szCs w:val="20"/>
              </w:rPr>
              <w:t>Expected volatility</w:t>
            </w:r>
            <w:r>
              <w:rPr>
                <w:sz w:val="20"/>
                <w:szCs w:val="20"/>
              </w:rPr>
              <w:t xml:space="preserve"> </w:t>
            </w:r>
            <w:r>
              <w:rPr>
                <w:sz w:val="13"/>
                <w:szCs w:val="13"/>
              </w:rPr>
              <w:t>(2</w:t>
            </w:r>
            <w:r>
              <w:rPr>
                <w:sz w:val="13"/>
                <w:szCs w:val="13"/>
              </w:rPr>
              <w:t>)</w:t>
            </w:r>
          </w:p>
        </w:tc>
        <w:tc>
          <w:tcPr>
            <w:tcW w:w="0" w:type="auto"/>
            <w:vAlign w:val="bottom"/>
            <w:hideMark/>
          </w:tcPr>
          <w:p w14:paraId="605CA3B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D0266CB" w14:textId="77777777" w:rsidR="00000000" w:rsidRDefault="00EF48A2">
            <w:pPr>
              <w:pStyle w:val="a3"/>
              <w:spacing w:before="0" w:beforeAutospacing="0" w:after="0" w:afterAutospacing="0"/>
              <w:jc w:val="center"/>
              <w:rPr>
                <w:sz w:val="20"/>
                <w:szCs w:val="20"/>
              </w:rPr>
            </w:pPr>
            <w:r>
              <w:rPr>
                <w:sz w:val="20"/>
                <w:szCs w:val="20"/>
              </w:rPr>
              <w:t>66.8</w:t>
            </w:r>
            <w:r>
              <w:rPr>
                <w:sz w:val="20"/>
                <w:szCs w:val="20"/>
              </w:rPr>
              <w:t>0</w:t>
            </w:r>
            <w:r>
              <w:rPr>
                <w:sz w:val="20"/>
                <w:szCs w:val="20"/>
              </w:rPr>
              <w:t>%</w:t>
            </w:r>
            <w:r>
              <w:rPr>
                <w:sz w:val="20"/>
                <w:szCs w:val="20"/>
              </w:rPr>
              <w:t>-</w:t>
            </w:r>
            <w:r>
              <w:rPr>
                <w:sz w:val="20"/>
                <w:szCs w:val="20"/>
              </w:rPr>
              <w:t>86.1</w:t>
            </w:r>
            <w:r>
              <w:rPr>
                <w:sz w:val="20"/>
                <w:szCs w:val="20"/>
              </w:rPr>
              <w:t>3</w:t>
            </w:r>
            <w:r>
              <w:rPr>
                <w:sz w:val="20"/>
                <w:szCs w:val="20"/>
              </w:rPr>
              <w:t>%</w:t>
            </w:r>
          </w:p>
        </w:tc>
        <w:tc>
          <w:tcPr>
            <w:tcW w:w="0" w:type="auto"/>
            <w:vAlign w:val="bottom"/>
            <w:hideMark/>
          </w:tcPr>
          <w:p w14:paraId="402E717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C45F90" w14:textId="77777777" w:rsidR="00000000" w:rsidRDefault="00EF48A2">
            <w:pPr>
              <w:pStyle w:val="a3"/>
              <w:spacing w:before="0" w:beforeAutospacing="0" w:after="0" w:afterAutospacing="0"/>
              <w:jc w:val="center"/>
              <w:rPr>
                <w:sz w:val="20"/>
                <w:szCs w:val="20"/>
              </w:rPr>
            </w:pPr>
            <w:r>
              <w:rPr>
                <w:sz w:val="20"/>
                <w:szCs w:val="20"/>
              </w:rPr>
              <w:t>65.0</w:t>
            </w:r>
            <w:r>
              <w:rPr>
                <w:sz w:val="20"/>
                <w:szCs w:val="20"/>
              </w:rPr>
              <w:t>0</w:t>
            </w:r>
            <w:r>
              <w:rPr>
                <w:sz w:val="20"/>
                <w:szCs w:val="20"/>
              </w:rPr>
              <w:t>%</w:t>
            </w:r>
            <w:r>
              <w:rPr>
                <w:sz w:val="20"/>
                <w:szCs w:val="20"/>
              </w:rPr>
              <w:t>-</w:t>
            </w:r>
            <w:r>
              <w:rPr>
                <w:sz w:val="20"/>
                <w:szCs w:val="20"/>
              </w:rPr>
              <w:t>75.2</w:t>
            </w:r>
            <w:r>
              <w:rPr>
                <w:sz w:val="20"/>
                <w:szCs w:val="20"/>
              </w:rPr>
              <w:t>3</w:t>
            </w:r>
            <w:r>
              <w:rPr>
                <w:sz w:val="20"/>
                <w:szCs w:val="20"/>
              </w:rPr>
              <w:t>%</w:t>
            </w:r>
          </w:p>
        </w:tc>
        <w:tc>
          <w:tcPr>
            <w:tcW w:w="0" w:type="auto"/>
            <w:vAlign w:val="bottom"/>
            <w:hideMark/>
          </w:tcPr>
          <w:p w14:paraId="1892F60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F50E6F" w14:textId="77777777" w:rsidR="00000000" w:rsidRDefault="00EF48A2">
            <w:pPr>
              <w:pStyle w:val="a3"/>
              <w:spacing w:before="0" w:beforeAutospacing="0" w:after="0" w:afterAutospacing="0"/>
              <w:jc w:val="center"/>
              <w:rPr>
                <w:sz w:val="20"/>
                <w:szCs w:val="20"/>
              </w:rPr>
            </w:pPr>
            <w:r>
              <w:rPr>
                <w:sz w:val="20"/>
                <w:szCs w:val="20"/>
              </w:rPr>
              <w:t>53.9</w:t>
            </w:r>
            <w:r>
              <w:rPr>
                <w:sz w:val="20"/>
                <w:szCs w:val="20"/>
              </w:rPr>
              <w:t>6</w:t>
            </w:r>
            <w:r>
              <w:rPr>
                <w:sz w:val="20"/>
                <w:szCs w:val="20"/>
              </w:rPr>
              <w:t>%</w:t>
            </w:r>
            <w:r>
              <w:rPr>
                <w:sz w:val="20"/>
                <w:szCs w:val="20"/>
              </w:rPr>
              <w:t>-</w:t>
            </w:r>
            <w:r>
              <w:rPr>
                <w:sz w:val="20"/>
                <w:szCs w:val="20"/>
              </w:rPr>
              <w:t>66.5</w:t>
            </w:r>
            <w:r>
              <w:rPr>
                <w:sz w:val="20"/>
                <w:szCs w:val="20"/>
              </w:rPr>
              <w:t>5</w:t>
            </w:r>
            <w:r>
              <w:rPr>
                <w:sz w:val="20"/>
                <w:szCs w:val="20"/>
              </w:rPr>
              <w:t>%</w:t>
            </w:r>
          </w:p>
        </w:tc>
      </w:tr>
      <w:tr w:rsidR="00000000" w14:paraId="7001D23B" w14:textId="77777777">
        <w:trPr>
          <w:divId w:val="1089698608"/>
          <w:trHeight w:val="200"/>
          <w:tblCellSpacing w:w="15" w:type="dxa"/>
        </w:trPr>
        <w:tc>
          <w:tcPr>
            <w:tcW w:w="0" w:type="auto"/>
            <w:hideMark/>
          </w:tcPr>
          <w:p w14:paraId="0AF7C68C" w14:textId="77777777" w:rsidR="00000000" w:rsidRDefault="00EF48A2">
            <w:pPr>
              <w:pStyle w:val="a3"/>
              <w:spacing w:before="0" w:beforeAutospacing="0" w:after="0" w:afterAutospacing="0"/>
              <w:rPr>
                <w:sz w:val="20"/>
                <w:szCs w:val="20"/>
              </w:rPr>
            </w:pPr>
            <w:r>
              <w:rPr>
                <w:sz w:val="20"/>
                <w:szCs w:val="20"/>
              </w:rPr>
              <w:t>Risk-free interest rate</w:t>
            </w:r>
            <w:r>
              <w:rPr>
                <w:sz w:val="20"/>
                <w:szCs w:val="20"/>
              </w:rPr>
              <w:t xml:space="preserve"> </w:t>
            </w:r>
            <w:r>
              <w:rPr>
                <w:sz w:val="13"/>
                <w:szCs w:val="13"/>
              </w:rPr>
              <w:t>(3</w:t>
            </w:r>
            <w:r>
              <w:rPr>
                <w:sz w:val="13"/>
                <w:szCs w:val="13"/>
              </w:rPr>
              <w:t>)</w:t>
            </w:r>
          </w:p>
        </w:tc>
        <w:tc>
          <w:tcPr>
            <w:tcW w:w="0" w:type="auto"/>
            <w:vAlign w:val="bottom"/>
            <w:hideMark/>
          </w:tcPr>
          <w:p w14:paraId="5E888F8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7F6D708" w14:textId="77777777" w:rsidR="00000000" w:rsidRDefault="00EF48A2">
            <w:pPr>
              <w:pStyle w:val="a3"/>
              <w:spacing w:before="0" w:beforeAutospacing="0" w:after="0" w:afterAutospacing="0"/>
              <w:jc w:val="center"/>
              <w:rPr>
                <w:sz w:val="20"/>
                <w:szCs w:val="20"/>
              </w:rPr>
            </w:pPr>
            <w:r>
              <w:rPr>
                <w:sz w:val="20"/>
                <w:szCs w:val="20"/>
              </w:rPr>
              <w:t>1.7</w:t>
            </w:r>
            <w:r>
              <w:rPr>
                <w:sz w:val="20"/>
                <w:szCs w:val="20"/>
              </w:rPr>
              <w:t>6</w:t>
            </w:r>
            <w:r>
              <w:rPr>
                <w:sz w:val="20"/>
                <w:szCs w:val="20"/>
              </w:rPr>
              <w:t>%</w:t>
            </w:r>
            <w:r>
              <w:rPr>
                <w:sz w:val="20"/>
                <w:szCs w:val="20"/>
              </w:rPr>
              <w:t>-</w:t>
            </w:r>
            <w:r>
              <w:rPr>
                <w:sz w:val="20"/>
                <w:szCs w:val="20"/>
              </w:rPr>
              <w:t>4.1</w:t>
            </w:r>
            <w:r>
              <w:rPr>
                <w:sz w:val="20"/>
                <w:szCs w:val="20"/>
              </w:rPr>
              <w:t>1</w:t>
            </w:r>
            <w:r>
              <w:rPr>
                <w:sz w:val="20"/>
                <w:szCs w:val="20"/>
              </w:rPr>
              <w:t>%</w:t>
            </w:r>
          </w:p>
        </w:tc>
        <w:tc>
          <w:tcPr>
            <w:tcW w:w="0" w:type="auto"/>
            <w:vAlign w:val="bottom"/>
            <w:hideMark/>
          </w:tcPr>
          <w:p w14:paraId="13A40F1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7E3E69C" w14:textId="77777777" w:rsidR="00000000" w:rsidRDefault="00EF48A2">
            <w:pPr>
              <w:pStyle w:val="a3"/>
              <w:spacing w:before="0" w:beforeAutospacing="0" w:after="0" w:afterAutospacing="0"/>
              <w:jc w:val="center"/>
              <w:rPr>
                <w:sz w:val="20"/>
                <w:szCs w:val="20"/>
              </w:rPr>
            </w:pPr>
            <w:r>
              <w:rPr>
                <w:sz w:val="20"/>
                <w:szCs w:val="20"/>
              </w:rPr>
              <w:t>0.6</w:t>
            </w:r>
            <w:r>
              <w:rPr>
                <w:sz w:val="20"/>
                <w:szCs w:val="20"/>
              </w:rPr>
              <w:t>6</w:t>
            </w:r>
            <w:r>
              <w:rPr>
                <w:sz w:val="20"/>
                <w:szCs w:val="20"/>
              </w:rPr>
              <w:t>%</w:t>
            </w:r>
            <w:r>
              <w:rPr>
                <w:sz w:val="20"/>
                <w:szCs w:val="20"/>
              </w:rPr>
              <w:t>-</w:t>
            </w:r>
            <w:r>
              <w:rPr>
                <w:sz w:val="20"/>
                <w:szCs w:val="20"/>
              </w:rPr>
              <w:t>1.3</w:t>
            </w:r>
            <w:r>
              <w:rPr>
                <w:sz w:val="20"/>
                <w:szCs w:val="20"/>
              </w:rPr>
              <w:t>9</w:t>
            </w:r>
            <w:r>
              <w:rPr>
                <w:sz w:val="20"/>
                <w:szCs w:val="20"/>
              </w:rPr>
              <w:t>%</w:t>
            </w:r>
          </w:p>
        </w:tc>
        <w:tc>
          <w:tcPr>
            <w:tcW w:w="0" w:type="auto"/>
            <w:vAlign w:val="bottom"/>
            <w:hideMark/>
          </w:tcPr>
          <w:p w14:paraId="1D12AED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0C9279E" w14:textId="77777777" w:rsidR="00000000" w:rsidRDefault="00EF48A2">
            <w:pPr>
              <w:pStyle w:val="a3"/>
              <w:spacing w:before="0" w:beforeAutospacing="0" w:after="0" w:afterAutospacing="0"/>
              <w:jc w:val="center"/>
              <w:rPr>
                <w:sz w:val="20"/>
                <w:szCs w:val="20"/>
              </w:rPr>
            </w:pPr>
            <w:r>
              <w:rPr>
                <w:sz w:val="20"/>
                <w:szCs w:val="20"/>
              </w:rPr>
              <w:t>0.2</w:t>
            </w:r>
            <w:r>
              <w:rPr>
                <w:sz w:val="20"/>
                <w:szCs w:val="20"/>
              </w:rPr>
              <w:t>5</w:t>
            </w:r>
            <w:r>
              <w:rPr>
                <w:sz w:val="20"/>
                <w:szCs w:val="20"/>
              </w:rPr>
              <w:t>%</w:t>
            </w:r>
            <w:r>
              <w:rPr>
                <w:sz w:val="20"/>
                <w:szCs w:val="20"/>
              </w:rPr>
              <w:t>-</w:t>
            </w:r>
            <w:r>
              <w:rPr>
                <w:sz w:val="20"/>
                <w:szCs w:val="20"/>
              </w:rPr>
              <w:t>1.4</w:t>
            </w:r>
            <w:r>
              <w:rPr>
                <w:sz w:val="20"/>
                <w:szCs w:val="20"/>
              </w:rPr>
              <w:t>5</w:t>
            </w:r>
            <w:r>
              <w:rPr>
                <w:sz w:val="20"/>
                <w:szCs w:val="20"/>
              </w:rPr>
              <w:t>%</w:t>
            </w:r>
          </w:p>
        </w:tc>
      </w:tr>
      <w:tr w:rsidR="00000000" w14:paraId="5F280AAA" w14:textId="77777777">
        <w:trPr>
          <w:divId w:val="1089698608"/>
          <w:trHeight w:val="200"/>
          <w:tblCellSpacing w:w="15" w:type="dxa"/>
        </w:trPr>
        <w:tc>
          <w:tcPr>
            <w:tcW w:w="0" w:type="auto"/>
            <w:hideMark/>
          </w:tcPr>
          <w:p w14:paraId="10EB08C3" w14:textId="77777777" w:rsidR="00000000" w:rsidRDefault="00EF48A2">
            <w:pPr>
              <w:pStyle w:val="a3"/>
              <w:spacing w:before="0" w:beforeAutospacing="0" w:after="0" w:afterAutospacing="0"/>
              <w:rPr>
                <w:sz w:val="20"/>
                <w:szCs w:val="20"/>
              </w:rPr>
            </w:pPr>
            <w:r>
              <w:rPr>
                <w:sz w:val="20"/>
                <w:szCs w:val="20"/>
              </w:rPr>
              <w:t>Expected term (years)</w:t>
            </w:r>
            <w:r>
              <w:rPr>
                <w:sz w:val="20"/>
                <w:szCs w:val="20"/>
              </w:rPr>
              <w:t xml:space="preserve"> </w:t>
            </w:r>
            <w:r>
              <w:rPr>
                <w:sz w:val="13"/>
                <w:szCs w:val="13"/>
              </w:rPr>
              <w:t>(4</w:t>
            </w:r>
            <w:r>
              <w:rPr>
                <w:sz w:val="13"/>
                <w:szCs w:val="13"/>
              </w:rPr>
              <w:t>)</w:t>
            </w:r>
          </w:p>
        </w:tc>
        <w:tc>
          <w:tcPr>
            <w:tcW w:w="0" w:type="auto"/>
            <w:vAlign w:val="bottom"/>
            <w:hideMark/>
          </w:tcPr>
          <w:p w14:paraId="23BBE6E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A95D906" w14:textId="77777777" w:rsidR="00000000" w:rsidRDefault="00EF48A2">
            <w:pPr>
              <w:pStyle w:val="a3"/>
              <w:spacing w:before="0" w:beforeAutospacing="0" w:after="0" w:afterAutospacing="0"/>
              <w:jc w:val="center"/>
              <w:rPr>
                <w:sz w:val="20"/>
                <w:szCs w:val="20"/>
              </w:rPr>
            </w:pPr>
            <w:r>
              <w:rPr>
                <w:sz w:val="20"/>
                <w:szCs w:val="20"/>
              </w:rPr>
              <w:t>5.0</w:t>
            </w:r>
            <w:r>
              <w:rPr>
                <w:sz w:val="20"/>
                <w:szCs w:val="20"/>
              </w:rPr>
              <w:t>7</w:t>
            </w:r>
            <w:r>
              <w:rPr>
                <w:sz w:val="20"/>
                <w:szCs w:val="20"/>
              </w:rPr>
              <w:t>-</w:t>
            </w:r>
            <w:r>
              <w:rPr>
                <w:sz w:val="20"/>
                <w:szCs w:val="20"/>
              </w:rPr>
              <w:t>6.2</w:t>
            </w:r>
            <w:r>
              <w:rPr>
                <w:sz w:val="20"/>
                <w:szCs w:val="20"/>
              </w:rPr>
              <w:t>5</w:t>
            </w:r>
          </w:p>
        </w:tc>
        <w:tc>
          <w:tcPr>
            <w:tcW w:w="0" w:type="auto"/>
            <w:vAlign w:val="bottom"/>
            <w:hideMark/>
          </w:tcPr>
          <w:p w14:paraId="61B3A25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685B8B" w14:textId="77777777" w:rsidR="00000000" w:rsidRDefault="00EF48A2">
            <w:pPr>
              <w:pStyle w:val="a3"/>
              <w:spacing w:before="0" w:beforeAutospacing="0" w:after="0" w:afterAutospacing="0"/>
              <w:jc w:val="center"/>
              <w:rPr>
                <w:sz w:val="20"/>
                <w:szCs w:val="20"/>
              </w:rPr>
            </w:pPr>
            <w:r>
              <w:rPr>
                <w:sz w:val="20"/>
                <w:szCs w:val="20"/>
              </w:rPr>
              <w:t>5.2</w:t>
            </w:r>
            <w:r>
              <w:rPr>
                <w:sz w:val="20"/>
                <w:szCs w:val="20"/>
              </w:rPr>
              <w:t>7</w:t>
            </w:r>
            <w:r>
              <w:rPr>
                <w:sz w:val="20"/>
                <w:szCs w:val="20"/>
              </w:rPr>
              <w:t>-</w:t>
            </w:r>
            <w:r>
              <w:rPr>
                <w:sz w:val="20"/>
                <w:szCs w:val="20"/>
              </w:rPr>
              <w:t>6.2</w:t>
            </w:r>
            <w:r>
              <w:rPr>
                <w:sz w:val="20"/>
                <w:szCs w:val="20"/>
              </w:rPr>
              <w:t>5</w:t>
            </w:r>
          </w:p>
        </w:tc>
        <w:tc>
          <w:tcPr>
            <w:tcW w:w="0" w:type="auto"/>
            <w:vAlign w:val="bottom"/>
            <w:hideMark/>
          </w:tcPr>
          <w:p w14:paraId="158CBF3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3903AAE" w14:textId="77777777" w:rsidR="00000000" w:rsidRDefault="00EF48A2">
            <w:pPr>
              <w:pStyle w:val="a3"/>
              <w:spacing w:before="0" w:beforeAutospacing="0" w:after="0" w:afterAutospacing="0"/>
              <w:jc w:val="center"/>
              <w:rPr>
                <w:sz w:val="20"/>
                <w:szCs w:val="20"/>
              </w:rPr>
            </w:pPr>
            <w:r>
              <w:rPr>
                <w:sz w:val="20"/>
                <w:szCs w:val="20"/>
              </w:rPr>
              <w:t>5.2</w:t>
            </w:r>
            <w:r>
              <w:rPr>
                <w:sz w:val="20"/>
                <w:szCs w:val="20"/>
              </w:rPr>
              <w:t>7</w:t>
            </w:r>
            <w:r>
              <w:rPr>
                <w:sz w:val="20"/>
                <w:szCs w:val="20"/>
              </w:rPr>
              <w:t>-</w:t>
            </w:r>
            <w:r>
              <w:rPr>
                <w:sz w:val="20"/>
                <w:szCs w:val="20"/>
              </w:rPr>
              <w:t>6.0</w:t>
            </w:r>
            <w:r>
              <w:rPr>
                <w:sz w:val="20"/>
                <w:szCs w:val="20"/>
              </w:rPr>
              <w:t>8</w:t>
            </w:r>
          </w:p>
        </w:tc>
      </w:tr>
    </w:tbl>
    <w:p w14:paraId="1E2DF35A" w14:textId="77777777" w:rsidR="00000000" w:rsidRDefault="00EF48A2">
      <w:pPr>
        <w:pStyle w:val="a3"/>
        <w:spacing w:before="0" w:beforeAutospacing="0" w:after="0" w:afterAutospacing="0"/>
        <w:divId w:val="1089698608"/>
        <w:rPr>
          <w:sz w:val="20"/>
          <w:szCs w:val="20"/>
        </w:rPr>
      </w:pPr>
      <w:r>
        <w:rPr>
          <w:sz w:val="17"/>
          <w:szCs w:val="17"/>
        </w:rPr>
        <w:t> </w:t>
      </w:r>
    </w:p>
    <w:p w14:paraId="63DD8422" w14:textId="77777777" w:rsidR="00000000" w:rsidRDefault="00EF48A2">
      <w:pPr>
        <w:jc w:val="both"/>
        <w:divId w:val="324012851"/>
        <w:rPr>
          <w:rFonts w:eastAsia="Times New Roman"/>
          <w:sz w:val="20"/>
          <w:szCs w:val="20"/>
        </w:rPr>
      </w:pPr>
      <w:r>
        <w:rPr>
          <w:rFonts w:eastAsia="Times New Roman"/>
          <w:sz w:val="17"/>
          <w:szCs w:val="17"/>
        </w:rPr>
        <w:t>(1</w:t>
      </w:r>
      <w:r>
        <w:rPr>
          <w:rFonts w:eastAsia="Times New Roman"/>
          <w:sz w:val="17"/>
          <w:szCs w:val="17"/>
        </w:rPr>
        <w:t>)</w:t>
      </w:r>
    </w:p>
    <w:p w14:paraId="4422EE48" w14:textId="77777777" w:rsidR="00000000" w:rsidRDefault="00EF48A2">
      <w:pPr>
        <w:jc w:val="both"/>
        <w:divId w:val="357241354"/>
        <w:rPr>
          <w:rFonts w:eastAsia="Times New Roman"/>
          <w:sz w:val="20"/>
          <w:szCs w:val="20"/>
        </w:rPr>
      </w:pPr>
      <w:r>
        <w:rPr>
          <w:rFonts w:eastAsia="Times New Roman"/>
          <w:sz w:val="17"/>
          <w:szCs w:val="17"/>
        </w:rPr>
        <w:t>No dividends were paid during the years ending December 31, 2022, 2021 and 2020</w:t>
      </w:r>
      <w:r>
        <w:rPr>
          <w:rFonts w:eastAsia="Times New Roman"/>
          <w:sz w:val="17"/>
          <w:szCs w:val="17"/>
        </w:rPr>
        <w:t>.</w:t>
      </w:r>
    </w:p>
    <w:p w14:paraId="0B1C2982" w14:textId="77777777" w:rsidR="00000000" w:rsidRDefault="00EF48A2">
      <w:pPr>
        <w:jc w:val="both"/>
        <w:divId w:val="1870026695"/>
        <w:rPr>
          <w:rFonts w:eastAsia="Times New Roman"/>
          <w:sz w:val="20"/>
          <w:szCs w:val="20"/>
        </w:rPr>
      </w:pPr>
      <w:r>
        <w:rPr>
          <w:rFonts w:eastAsia="Times New Roman"/>
          <w:sz w:val="17"/>
          <w:szCs w:val="17"/>
        </w:rPr>
        <w:t>(2</w:t>
      </w:r>
      <w:r>
        <w:rPr>
          <w:rFonts w:eastAsia="Times New Roman"/>
          <w:sz w:val="17"/>
          <w:szCs w:val="17"/>
        </w:rPr>
        <w:t>)</w:t>
      </w:r>
    </w:p>
    <w:p w14:paraId="5271228A" w14:textId="77777777" w:rsidR="00000000" w:rsidRDefault="00EF48A2">
      <w:pPr>
        <w:jc w:val="both"/>
        <w:divId w:val="1095058516"/>
        <w:rPr>
          <w:rFonts w:eastAsia="Times New Roman"/>
          <w:sz w:val="20"/>
          <w:szCs w:val="20"/>
        </w:rPr>
      </w:pPr>
      <w:r>
        <w:rPr>
          <w:rFonts w:eastAsia="Times New Roman"/>
          <w:sz w:val="17"/>
          <w:szCs w:val="17"/>
        </w:rPr>
        <w:t>The expected volatility was calculated based upon historical stock price movements of the Company and similar publicly traded peer companies over the most recent periods ending on the grant date, equal to the expected term of the options, as adequate histo</w:t>
      </w:r>
      <w:r>
        <w:rPr>
          <w:rFonts w:eastAsia="Times New Roman"/>
          <w:sz w:val="17"/>
          <w:szCs w:val="17"/>
        </w:rPr>
        <w:t>rical experience is not available to provide a reasonable estimate</w:t>
      </w:r>
      <w:r>
        <w:rPr>
          <w:rFonts w:eastAsia="Times New Roman"/>
          <w:sz w:val="17"/>
          <w:szCs w:val="17"/>
        </w:rPr>
        <w:t>.</w:t>
      </w:r>
    </w:p>
    <w:p w14:paraId="5946D874" w14:textId="77777777" w:rsidR="00000000" w:rsidRDefault="00EF48A2">
      <w:pPr>
        <w:jc w:val="both"/>
        <w:divId w:val="2101370881"/>
        <w:rPr>
          <w:rFonts w:eastAsia="Times New Roman"/>
          <w:sz w:val="20"/>
          <w:szCs w:val="20"/>
        </w:rPr>
      </w:pPr>
      <w:r>
        <w:rPr>
          <w:rFonts w:eastAsia="Times New Roman"/>
          <w:sz w:val="17"/>
          <w:szCs w:val="17"/>
        </w:rPr>
        <w:t>(3</w:t>
      </w:r>
      <w:r>
        <w:rPr>
          <w:rFonts w:eastAsia="Times New Roman"/>
          <w:sz w:val="17"/>
          <w:szCs w:val="17"/>
        </w:rPr>
        <w:t>)</w:t>
      </w:r>
    </w:p>
    <w:p w14:paraId="0DEACF8E" w14:textId="77777777" w:rsidR="00000000" w:rsidRDefault="00EF48A2">
      <w:pPr>
        <w:jc w:val="both"/>
        <w:divId w:val="151919618"/>
        <w:rPr>
          <w:rFonts w:eastAsia="Times New Roman"/>
          <w:sz w:val="20"/>
          <w:szCs w:val="20"/>
        </w:rPr>
      </w:pPr>
      <w:r>
        <w:rPr>
          <w:rFonts w:eastAsia="Times New Roman"/>
          <w:sz w:val="17"/>
          <w:szCs w:val="17"/>
        </w:rPr>
        <w:t>The risk-free interest rate is based on the yield from U.S. treasury bonds with an equivalent term to the expected term of the option</w:t>
      </w:r>
      <w:r>
        <w:rPr>
          <w:rFonts w:eastAsia="Times New Roman"/>
          <w:sz w:val="17"/>
          <w:szCs w:val="17"/>
        </w:rPr>
        <w:t>s</w:t>
      </w:r>
    </w:p>
    <w:p w14:paraId="04294644" w14:textId="77777777" w:rsidR="00000000" w:rsidRDefault="00EF48A2">
      <w:pPr>
        <w:jc w:val="both"/>
        <w:divId w:val="1511410888"/>
        <w:rPr>
          <w:rFonts w:eastAsia="Times New Roman"/>
          <w:sz w:val="20"/>
          <w:szCs w:val="20"/>
        </w:rPr>
      </w:pPr>
      <w:r>
        <w:rPr>
          <w:rFonts w:eastAsia="Times New Roman"/>
          <w:sz w:val="17"/>
          <w:szCs w:val="17"/>
        </w:rPr>
        <w:t>(4</w:t>
      </w:r>
      <w:r>
        <w:rPr>
          <w:rFonts w:eastAsia="Times New Roman"/>
          <w:sz w:val="17"/>
          <w:szCs w:val="17"/>
        </w:rPr>
        <w:t>)</w:t>
      </w:r>
    </w:p>
    <w:p w14:paraId="3E7963B6" w14:textId="77777777" w:rsidR="00000000" w:rsidRDefault="00EF48A2">
      <w:pPr>
        <w:jc w:val="both"/>
        <w:divId w:val="938216825"/>
        <w:rPr>
          <w:rFonts w:eastAsia="Times New Roman"/>
          <w:sz w:val="20"/>
          <w:szCs w:val="20"/>
        </w:rPr>
      </w:pPr>
      <w:r>
        <w:rPr>
          <w:rFonts w:eastAsia="Times New Roman"/>
          <w:sz w:val="17"/>
          <w:szCs w:val="17"/>
        </w:rPr>
        <w:t>The expected term of options granted is calculated using the simplified method for “plain vanilla” stock options awards</w:t>
      </w:r>
      <w:r>
        <w:rPr>
          <w:rFonts w:eastAsia="Times New Roman"/>
          <w:sz w:val="17"/>
          <w:szCs w:val="17"/>
        </w:rPr>
        <w:t>.</w:t>
      </w:r>
    </w:p>
    <w:p w14:paraId="51F3221F" w14:textId="77777777" w:rsidR="00000000" w:rsidRDefault="00EF48A2">
      <w:pPr>
        <w:pStyle w:val="a3"/>
        <w:spacing w:before="240" w:beforeAutospacing="0" w:after="0" w:afterAutospacing="0"/>
        <w:jc w:val="both"/>
        <w:divId w:val="1765371821"/>
        <w:rPr>
          <w:sz w:val="20"/>
          <w:szCs w:val="20"/>
        </w:rPr>
      </w:pPr>
      <w:r>
        <w:rPr>
          <w:sz w:val="20"/>
          <w:szCs w:val="20"/>
        </w:rPr>
        <w:t xml:space="preserve">As of December 31, 2022, there was </w:t>
      </w:r>
      <w:r>
        <w:rPr>
          <w:sz w:val="20"/>
          <w:szCs w:val="20"/>
        </w:rPr>
        <w:t>$</w:t>
      </w:r>
      <w:r>
        <w:rPr>
          <w:sz w:val="20"/>
          <w:szCs w:val="20"/>
        </w:rPr>
        <w:t>11.</w:t>
      </w:r>
      <w:r>
        <w:rPr>
          <w:sz w:val="20"/>
          <w:szCs w:val="20"/>
        </w:rPr>
        <w:t>5</w:t>
      </w:r>
      <w:r>
        <w:rPr>
          <w:sz w:val="20"/>
          <w:szCs w:val="20"/>
        </w:rPr>
        <w:t xml:space="preserve"> million of total unrecognized compensation cost related to non-vested options that are expecte</w:t>
      </w:r>
      <w:r>
        <w:rPr>
          <w:sz w:val="20"/>
          <w:szCs w:val="20"/>
        </w:rPr>
        <w:t>d to be recognized over a period of up to</w:t>
      </w:r>
      <w:r>
        <w:rPr>
          <w:sz w:val="20"/>
          <w:szCs w:val="20"/>
        </w:rPr>
        <w:t xml:space="preserve"> </w:t>
      </w:r>
      <w:r>
        <w:rPr>
          <w:sz w:val="20"/>
          <w:szCs w:val="20"/>
        </w:rPr>
        <w:t>5.2</w:t>
      </w:r>
      <w:r>
        <w:rPr>
          <w:sz w:val="20"/>
          <w:szCs w:val="20"/>
        </w:rPr>
        <w:t xml:space="preserve"> </w:t>
      </w:r>
      <w:r>
        <w:rPr>
          <w:sz w:val="20"/>
          <w:szCs w:val="20"/>
        </w:rPr>
        <w:t>years</w:t>
      </w:r>
      <w:r>
        <w:rPr>
          <w:sz w:val="20"/>
          <w:szCs w:val="20"/>
        </w:rPr>
        <w:t>.</w:t>
      </w:r>
    </w:p>
    <w:p w14:paraId="7770D367" w14:textId="77777777" w:rsidR="00000000" w:rsidRDefault="00EF48A2">
      <w:pPr>
        <w:pStyle w:val="a3"/>
        <w:spacing w:before="240" w:beforeAutospacing="0" w:after="0" w:afterAutospacing="0"/>
        <w:jc w:val="both"/>
        <w:divId w:val="1765371821"/>
        <w:rPr>
          <w:sz w:val="20"/>
          <w:szCs w:val="20"/>
        </w:rPr>
      </w:pPr>
      <w:r>
        <w:rPr>
          <w:b/>
          <w:bCs/>
          <w:i/>
          <w:iCs/>
          <w:sz w:val="20"/>
          <w:szCs w:val="20"/>
        </w:rPr>
        <w:t>Restricted Stock Unit</w:t>
      </w:r>
      <w:r>
        <w:rPr>
          <w:b/>
          <w:bCs/>
          <w:i/>
          <w:iCs/>
          <w:sz w:val="20"/>
          <w:szCs w:val="20"/>
        </w:rPr>
        <w:t>s</w:t>
      </w:r>
    </w:p>
    <w:p w14:paraId="3E6B15F2" w14:textId="77777777" w:rsidR="00000000" w:rsidRDefault="00EF48A2">
      <w:pPr>
        <w:pStyle w:val="a3"/>
        <w:spacing w:before="180" w:beforeAutospacing="0" w:after="180" w:afterAutospacing="0"/>
        <w:jc w:val="both"/>
        <w:divId w:val="1765371821"/>
        <w:rPr>
          <w:sz w:val="20"/>
          <w:szCs w:val="20"/>
        </w:rPr>
      </w:pPr>
      <w:r>
        <w:rPr>
          <w:sz w:val="20"/>
          <w:szCs w:val="20"/>
        </w:rPr>
        <w:t>Restricted Stock Units ("RSUs") typically vest over a</w:t>
      </w:r>
      <w:r>
        <w:rPr>
          <w:sz w:val="20"/>
          <w:szCs w:val="20"/>
        </w:rPr>
        <w:t xml:space="preserve"> </w:t>
      </w:r>
      <w:r>
        <w:rPr>
          <w:sz w:val="20"/>
          <w:szCs w:val="20"/>
        </w:rPr>
        <w:t>four-yea</w:t>
      </w:r>
      <w:r>
        <w:rPr>
          <w:sz w:val="20"/>
          <w:szCs w:val="20"/>
        </w:rPr>
        <w:t>r</w:t>
      </w:r>
      <w:r>
        <w:rPr>
          <w:sz w:val="20"/>
          <w:szCs w:val="20"/>
        </w:rPr>
        <w:t xml:space="preserve"> period.</w:t>
      </w:r>
      <w:r>
        <w:rPr>
          <w:sz w:val="20"/>
          <w:szCs w:val="20"/>
        </w:rPr>
        <w:t xml:space="preserve"> </w:t>
      </w:r>
      <w:r>
        <w:rPr>
          <w:sz w:val="20"/>
          <w:szCs w:val="20"/>
        </w:rPr>
        <w:t>The following table summarizes the activity for RSUs for the year ended December 31, 2022</w:t>
      </w:r>
      <w:r>
        <w:rPr>
          <w:sz w:val="20"/>
          <w:szCs w:val="20"/>
        </w:rPr>
        <w:t>:</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577"/>
        <w:gridCol w:w="103"/>
        <w:gridCol w:w="103"/>
        <w:gridCol w:w="1284"/>
        <w:gridCol w:w="117"/>
        <w:gridCol w:w="103"/>
        <w:gridCol w:w="146"/>
        <w:gridCol w:w="1340"/>
        <w:gridCol w:w="118"/>
      </w:tblGrid>
      <w:tr w:rsidR="00000000" w14:paraId="5702D9A1" w14:textId="77777777">
        <w:trPr>
          <w:divId w:val="1768843662"/>
          <w:tblCellSpacing w:w="15" w:type="dxa"/>
        </w:trPr>
        <w:tc>
          <w:tcPr>
            <w:tcW w:w="2990" w:type="pct"/>
            <w:vAlign w:val="center"/>
            <w:hideMark/>
          </w:tcPr>
          <w:p w14:paraId="2D35C4C0" w14:textId="77777777" w:rsidR="00000000" w:rsidRDefault="00EF48A2">
            <w:pPr>
              <w:rPr>
                <w:sz w:val="20"/>
                <w:szCs w:val="20"/>
              </w:rPr>
            </w:pPr>
          </w:p>
        </w:tc>
        <w:tc>
          <w:tcPr>
            <w:tcW w:w="49" w:type="pct"/>
            <w:vAlign w:val="center"/>
            <w:hideMark/>
          </w:tcPr>
          <w:p w14:paraId="02C9B971" w14:textId="77777777" w:rsidR="00000000" w:rsidRDefault="00EF48A2">
            <w:pPr>
              <w:rPr>
                <w:rFonts w:eastAsia="Times New Roman"/>
                <w:sz w:val="20"/>
                <w:szCs w:val="20"/>
              </w:rPr>
            </w:pPr>
          </w:p>
        </w:tc>
        <w:tc>
          <w:tcPr>
            <w:tcW w:w="50" w:type="pct"/>
            <w:vAlign w:val="center"/>
            <w:hideMark/>
          </w:tcPr>
          <w:p w14:paraId="0FDBE6AA" w14:textId="77777777" w:rsidR="00000000" w:rsidRDefault="00EF48A2">
            <w:pPr>
              <w:rPr>
                <w:rFonts w:eastAsia="Times New Roman"/>
                <w:sz w:val="20"/>
                <w:szCs w:val="20"/>
              </w:rPr>
            </w:pPr>
          </w:p>
        </w:tc>
        <w:tc>
          <w:tcPr>
            <w:tcW w:w="838" w:type="pct"/>
            <w:vAlign w:val="center"/>
            <w:hideMark/>
          </w:tcPr>
          <w:p w14:paraId="022CCD99" w14:textId="77777777" w:rsidR="00000000" w:rsidRDefault="00EF48A2">
            <w:pPr>
              <w:rPr>
                <w:rFonts w:eastAsia="Times New Roman"/>
                <w:sz w:val="20"/>
                <w:szCs w:val="20"/>
              </w:rPr>
            </w:pPr>
          </w:p>
        </w:tc>
        <w:tc>
          <w:tcPr>
            <w:tcW w:w="50" w:type="pct"/>
            <w:vAlign w:val="center"/>
            <w:hideMark/>
          </w:tcPr>
          <w:p w14:paraId="0BD815CA" w14:textId="77777777" w:rsidR="00000000" w:rsidRDefault="00EF48A2">
            <w:pPr>
              <w:rPr>
                <w:rFonts w:eastAsia="Times New Roman"/>
                <w:sz w:val="20"/>
                <w:szCs w:val="20"/>
              </w:rPr>
            </w:pPr>
          </w:p>
        </w:tc>
        <w:tc>
          <w:tcPr>
            <w:tcW w:w="49" w:type="pct"/>
            <w:vAlign w:val="center"/>
            <w:hideMark/>
          </w:tcPr>
          <w:p w14:paraId="7BC8AA7E" w14:textId="77777777" w:rsidR="00000000" w:rsidRDefault="00EF48A2">
            <w:pPr>
              <w:rPr>
                <w:rFonts w:eastAsia="Times New Roman"/>
                <w:sz w:val="20"/>
                <w:szCs w:val="20"/>
              </w:rPr>
            </w:pPr>
          </w:p>
        </w:tc>
        <w:tc>
          <w:tcPr>
            <w:tcW w:w="50" w:type="pct"/>
            <w:vAlign w:val="center"/>
            <w:hideMark/>
          </w:tcPr>
          <w:p w14:paraId="5C4198E0" w14:textId="77777777" w:rsidR="00000000" w:rsidRDefault="00EF48A2">
            <w:pPr>
              <w:rPr>
                <w:rFonts w:eastAsia="Times New Roman"/>
                <w:sz w:val="20"/>
                <w:szCs w:val="20"/>
              </w:rPr>
            </w:pPr>
          </w:p>
        </w:tc>
        <w:tc>
          <w:tcPr>
            <w:tcW w:w="871" w:type="pct"/>
            <w:vAlign w:val="center"/>
            <w:hideMark/>
          </w:tcPr>
          <w:p w14:paraId="5B92B6B2" w14:textId="77777777" w:rsidR="00000000" w:rsidRDefault="00EF48A2">
            <w:pPr>
              <w:rPr>
                <w:rFonts w:eastAsia="Times New Roman"/>
                <w:sz w:val="20"/>
                <w:szCs w:val="20"/>
              </w:rPr>
            </w:pPr>
          </w:p>
        </w:tc>
        <w:tc>
          <w:tcPr>
            <w:tcW w:w="50" w:type="pct"/>
            <w:vAlign w:val="center"/>
            <w:hideMark/>
          </w:tcPr>
          <w:p w14:paraId="2677A508" w14:textId="77777777" w:rsidR="00000000" w:rsidRDefault="00EF48A2">
            <w:pPr>
              <w:rPr>
                <w:rFonts w:eastAsia="Times New Roman"/>
                <w:sz w:val="20"/>
                <w:szCs w:val="20"/>
              </w:rPr>
            </w:pPr>
          </w:p>
        </w:tc>
      </w:tr>
      <w:tr w:rsidR="00000000" w14:paraId="43C129ED" w14:textId="77777777">
        <w:trPr>
          <w:divId w:val="1768843662"/>
          <w:trHeight w:val="160"/>
          <w:tblCellSpacing w:w="15" w:type="dxa"/>
        </w:trPr>
        <w:tc>
          <w:tcPr>
            <w:tcW w:w="0" w:type="auto"/>
            <w:vAlign w:val="bottom"/>
            <w:hideMark/>
          </w:tcPr>
          <w:p w14:paraId="2363D865"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48716B8A" w14:textId="77777777" w:rsidR="00000000" w:rsidRDefault="00EF48A2">
            <w:pPr>
              <w:pStyle w:val="a3"/>
              <w:spacing w:before="0" w:beforeAutospacing="0" w:after="0" w:afterAutospacing="0"/>
              <w:jc w:val="center"/>
              <w:rPr>
                <w:sz w:val="17"/>
                <w:szCs w:val="17"/>
              </w:rPr>
            </w:pPr>
            <w:r>
              <w:rPr>
                <w:sz w:val="17"/>
                <w:szCs w:val="17"/>
              </w:rPr>
              <w:t> </w:t>
            </w:r>
          </w:p>
        </w:tc>
        <w:tc>
          <w:tcPr>
            <w:tcW w:w="0" w:type="auto"/>
            <w:gridSpan w:val="6"/>
            <w:vAlign w:val="bottom"/>
            <w:hideMark/>
          </w:tcPr>
          <w:p w14:paraId="42376699" w14:textId="77777777" w:rsidR="00000000" w:rsidRDefault="00EF48A2">
            <w:pPr>
              <w:pStyle w:val="a3"/>
              <w:spacing w:before="0" w:beforeAutospacing="0" w:after="0" w:afterAutospacing="0"/>
              <w:jc w:val="center"/>
              <w:rPr>
                <w:sz w:val="17"/>
                <w:szCs w:val="17"/>
              </w:rPr>
            </w:pPr>
            <w:r>
              <w:rPr>
                <w:b/>
                <w:bCs/>
                <w:sz w:val="17"/>
                <w:szCs w:val="17"/>
              </w:rPr>
              <w:t>Yea</w:t>
            </w:r>
            <w:r>
              <w:rPr>
                <w:b/>
                <w:bCs/>
                <w:sz w:val="17"/>
                <w:szCs w:val="17"/>
              </w:rPr>
              <w:t>r ended December 31, 202</w:t>
            </w:r>
            <w:r>
              <w:rPr>
                <w:b/>
                <w:bCs/>
                <w:sz w:val="17"/>
                <w:szCs w:val="17"/>
              </w:rPr>
              <w:t>2</w:t>
            </w:r>
          </w:p>
        </w:tc>
        <w:tc>
          <w:tcPr>
            <w:tcW w:w="0" w:type="auto"/>
            <w:vAlign w:val="bottom"/>
            <w:hideMark/>
          </w:tcPr>
          <w:p w14:paraId="6267D0C6" w14:textId="77777777" w:rsidR="00000000" w:rsidRDefault="00EF48A2">
            <w:pPr>
              <w:pStyle w:val="a3"/>
              <w:spacing w:before="0" w:beforeAutospacing="0" w:after="0" w:afterAutospacing="0"/>
              <w:jc w:val="center"/>
              <w:rPr>
                <w:sz w:val="17"/>
                <w:szCs w:val="17"/>
              </w:rPr>
            </w:pPr>
            <w:r>
              <w:rPr>
                <w:sz w:val="17"/>
                <w:szCs w:val="17"/>
              </w:rPr>
              <w:t> </w:t>
            </w:r>
          </w:p>
        </w:tc>
      </w:tr>
      <w:tr w:rsidR="00000000" w14:paraId="7AF224EE" w14:textId="77777777">
        <w:trPr>
          <w:divId w:val="1768843662"/>
          <w:trHeight w:val="160"/>
          <w:tblCellSpacing w:w="15" w:type="dxa"/>
        </w:trPr>
        <w:tc>
          <w:tcPr>
            <w:tcW w:w="0" w:type="auto"/>
            <w:vAlign w:val="bottom"/>
            <w:hideMark/>
          </w:tcPr>
          <w:p w14:paraId="64723573"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0C795A24" w14:textId="77777777" w:rsidR="00000000" w:rsidRDefault="00EF48A2">
            <w:pPr>
              <w:pStyle w:val="a3"/>
              <w:spacing w:before="0" w:beforeAutospacing="0" w:after="0" w:afterAutospacing="0"/>
              <w:jc w:val="center"/>
              <w:rPr>
                <w:sz w:val="17"/>
                <w:szCs w:val="17"/>
              </w:rPr>
            </w:pPr>
            <w:r>
              <w:rPr>
                <w:sz w:val="17"/>
                <w:szCs w:val="17"/>
              </w:rPr>
              <w:t> </w:t>
            </w:r>
          </w:p>
        </w:tc>
        <w:tc>
          <w:tcPr>
            <w:tcW w:w="0" w:type="auto"/>
            <w:gridSpan w:val="2"/>
            <w:vAlign w:val="bottom"/>
            <w:hideMark/>
          </w:tcPr>
          <w:p w14:paraId="2683D6FE" w14:textId="77777777" w:rsidR="00000000" w:rsidRDefault="00EF48A2">
            <w:pPr>
              <w:pStyle w:val="a3"/>
              <w:spacing w:before="0" w:beforeAutospacing="0" w:after="0" w:afterAutospacing="0"/>
              <w:jc w:val="center"/>
              <w:rPr>
                <w:sz w:val="17"/>
                <w:szCs w:val="17"/>
              </w:rPr>
            </w:pPr>
            <w:r>
              <w:rPr>
                <w:b/>
                <w:bCs/>
                <w:sz w:val="17"/>
                <w:szCs w:val="17"/>
              </w:rPr>
              <w:t>Number of</w:t>
            </w:r>
            <w:r>
              <w:rPr>
                <w:b/>
                <w:bCs/>
                <w:sz w:val="17"/>
                <w:szCs w:val="17"/>
              </w:rPr>
              <w:br/>
              <w:t>restricted stock</w:t>
            </w:r>
            <w:r>
              <w:rPr>
                <w:b/>
                <w:bCs/>
                <w:sz w:val="17"/>
                <w:szCs w:val="17"/>
              </w:rPr>
              <w:br/>
              <w:t>unit</w:t>
            </w:r>
            <w:r>
              <w:rPr>
                <w:b/>
                <w:bCs/>
                <w:sz w:val="17"/>
                <w:szCs w:val="17"/>
              </w:rPr>
              <w:t>s</w:t>
            </w:r>
          </w:p>
        </w:tc>
        <w:tc>
          <w:tcPr>
            <w:tcW w:w="0" w:type="auto"/>
            <w:vAlign w:val="bottom"/>
            <w:hideMark/>
          </w:tcPr>
          <w:p w14:paraId="2ADBA5CB" w14:textId="77777777" w:rsidR="00000000" w:rsidRDefault="00EF48A2">
            <w:pPr>
              <w:pStyle w:val="a3"/>
              <w:spacing w:before="0" w:beforeAutospacing="0" w:after="0" w:afterAutospacing="0"/>
              <w:jc w:val="center"/>
              <w:rPr>
                <w:sz w:val="17"/>
                <w:szCs w:val="17"/>
              </w:rPr>
            </w:pPr>
            <w:r>
              <w:rPr>
                <w:sz w:val="17"/>
                <w:szCs w:val="17"/>
              </w:rPr>
              <w:t> </w:t>
            </w:r>
          </w:p>
        </w:tc>
        <w:tc>
          <w:tcPr>
            <w:tcW w:w="0" w:type="auto"/>
            <w:vAlign w:val="bottom"/>
            <w:hideMark/>
          </w:tcPr>
          <w:p w14:paraId="47741637" w14:textId="77777777" w:rsidR="00000000" w:rsidRDefault="00EF48A2">
            <w:pPr>
              <w:pStyle w:val="a3"/>
              <w:spacing w:before="0" w:beforeAutospacing="0" w:after="0" w:afterAutospacing="0"/>
              <w:jc w:val="center"/>
              <w:rPr>
                <w:sz w:val="17"/>
                <w:szCs w:val="17"/>
              </w:rPr>
            </w:pPr>
            <w:r>
              <w:rPr>
                <w:sz w:val="17"/>
                <w:szCs w:val="17"/>
              </w:rPr>
              <w:t> </w:t>
            </w:r>
          </w:p>
        </w:tc>
        <w:tc>
          <w:tcPr>
            <w:tcW w:w="0" w:type="auto"/>
            <w:gridSpan w:val="2"/>
            <w:vAlign w:val="bottom"/>
            <w:hideMark/>
          </w:tcPr>
          <w:p w14:paraId="4B852208" w14:textId="77777777" w:rsidR="00000000" w:rsidRDefault="00EF48A2">
            <w:pPr>
              <w:pStyle w:val="a3"/>
              <w:spacing w:before="0" w:beforeAutospacing="0" w:after="0" w:afterAutospacing="0"/>
              <w:jc w:val="center"/>
              <w:rPr>
                <w:sz w:val="17"/>
                <w:szCs w:val="17"/>
              </w:rPr>
            </w:pPr>
            <w:r>
              <w:rPr>
                <w:b/>
                <w:bCs/>
                <w:sz w:val="17"/>
                <w:szCs w:val="17"/>
              </w:rPr>
              <w:t>Weighted</w:t>
            </w:r>
            <w:r>
              <w:rPr>
                <w:b/>
                <w:bCs/>
                <w:sz w:val="17"/>
                <w:szCs w:val="17"/>
              </w:rPr>
              <w:br/>
              <w:t>average grant-date</w:t>
            </w:r>
            <w:r>
              <w:rPr>
                <w:b/>
                <w:bCs/>
                <w:sz w:val="17"/>
                <w:szCs w:val="17"/>
              </w:rPr>
              <w:br/>
              <w:t>fair valu</w:t>
            </w:r>
            <w:r>
              <w:rPr>
                <w:b/>
                <w:bCs/>
                <w:sz w:val="17"/>
                <w:szCs w:val="17"/>
              </w:rPr>
              <w:t>e</w:t>
            </w:r>
          </w:p>
        </w:tc>
        <w:tc>
          <w:tcPr>
            <w:tcW w:w="0" w:type="auto"/>
            <w:vAlign w:val="bottom"/>
            <w:hideMark/>
          </w:tcPr>
          <w:p w14:paraId="4D7775E1" w14:textId="77777777" w:rsidR="00000000" w:rsidRDefault="00EF48A2">
            <w:pPr>
              <w:pStyle w:val="a3"/>
              <w:spacing w:before="0" w:beforeAutospacing="0" w:after="0" w:afterAutospacing="0"/>
              <w:jc w:val="center"/>
              <w:rPr>
                <w:sz w:val="17"/>
                <w:szCs w:val="17"/>
              </w:rPr>
            </w:pPr>
            <w:r>
              <w:rPr>
                <w:sz w:val="17"/>
                <w:szCs w:val="17"/>
              </w:rPr>
              <w:t> </w:t>
            </w:r>
          </w:p>
        </w:tc>
      </w:tr>
      <w:tr w:rsidR="00000000" w14:paraId="053CCA0D" w14:textId="77777777">
        <w:trPr>
          <w:divId w:val="1768843662"/>
          <w:trHeight w:val="160"/>
          <w:tblCellSpacing w:w="15" w:type="dxa"/>
        </w:trPr>
        <w:tc>
          <w:tcPr>
            <w:tcW w:w="0" w:type="auto"/>
            <w:hideMark/>
          </w:tcPr>
          <w:p w14:paraId="367FC9C1" w14:textId="77777777" w:rsidR="00000000" w:rsidRDefault="00EF48A2">
            <w:pPr>
              <w:pStyle w:val="a3"/>
              <w:spacing w:before="0" w:beforeAutospacing="0" w:after="0" w:afterAutospacing="0"/>
              <w:rPr>
                <w:sz w:val="17"/>
                <w:szCs w:val="17"/>
              </w:rPr>
            </w:pPr>
            <w:r>
              <w:rPr>
                <w:sz w:val="17"/>
                <w:szCs w:val="17"/>
              </w:rPr>
              <w:t>Nonvested at beginning of yea</w:t>
            </w:r>
            <w:r>
              <w:rPr>
                <w:sz w:val="17"/>
                <w:szCs w:val="17"/>
              </w:rPr>
              <w:t>r</w:t>
            </w:r>
          </w:p>
        </w:tc>
        <w:tc>
          <w:tcPr>
            <w:tcW w:w="0" w:type="auto"/>
            <w:vAlign w:val="bottom"/>
            <w:hideMark/>
          </w:tcPr>
          <w:p w14:paraId="5F6BBE5D" w14:textId="77777777" w:rsidR="00000000" w:rsidRDefault="00EF48A2">
            <w:pPr>
              <w:pStyle w:val="a3"/>
              <w:spacing w:before="0" w:beforeAutospacing="0" w:after="0" w:afterAutospacing="0"/>
              <w:rPr>
                <w:sz w:val="17"/>
                <w:szCs w:val="17"/>
              </w:rPr>
            </w:pPr>
            <w:r>
              <w:rPr>
                <w:sz w:val="17"/>
                <w:szCs w:val="17"/>
              </w:rPr>
              <w:t> </w:t>
            </w:r>
          </w:p>
        </w:tc>
        <w:tc>
          <w:tcPr>
            <w:tcW w:w="0" w:type="auto"/>
            <w:noWrap/>
            <w:vAlign w:val="bottom"/>
            <w:hideMark/>
          </w:tcPr>
          <w:p w14:paraId="4372DA0A"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28238CD3" w14:textId="77777777" w:rsidR="00000000" w:rsidRDefault="00EF48A2">
            <w:pPr>
              <w:pStyle w:val="a3"/>
              <w:spacing w:before="0" w:beforeAutospacing="0" w:after="0" w:afterAutospacing="0"/>
              <w:jc w:val="right"/>
              <w:rPr>
                <w:sz w:val="20"/>
                <w:szCs w:val="20"/>
              </w:rPr>
            </w:pPr>
            <w:r>
              <w:rPr>
                <w:sz w:val="17"/>
                <w:szCs w:val="17"/>
              </w:rPr>
              <w:t>2,330,09</w:t>
            </w:r>
            <w:r>
              <w:rPr>
                <w:sz w:val="17"/>
                <w:szCs w:val="17"/>
              </w:rPr>
              <w:t>4</w:t>
            </w:r>
          </w:p>
        </w:tc>
        <w:tc>
          <w:tcPr>
            <w:tcW w:w="0" w:type="auto"/>
            <w:noWrap/>
            <w:vAlign w:val="bottom"/>
            <w:hideMark/>
          </w:tcPr>
          <w:p w14:paraId="76DE304C"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44EFD5E9" w14:textId="77777777" w:rsidR="00000000" w:rsidRDefault="00EF48A2">
            <w:pPr>
              <w:pStyle w:val="a3"/>
              <w:spacing w:before="0" w:beforeAutospacing="0" w:after="0" w:afterAutospacing="0"/>
              <w:jc w:val="right"/>
              <w:rPr>
                <w:sz w:val="17"/>
                <w:szCs w:val="17"/>
              </w:rPr>
            </w:pPr>
            <w:r>
              <w:rPr>
                <w:sz w:val="17"/>
                <w:szCs w:val="17"/>
              </w:rPr>
              <w:t> </w:t>
            </w:r>
          </w:p>
        </w:tc>
        <w:tc>
          <w:tcPr>
            <w:tcW w:w="0" w:type="auto"/>
            <w:noWrap/>
            <w:vAlign w:val="bottom"/>
            <w:hideMark/>
          </w:tcPr>
          <w:p w14:paraId="3FEE20B0"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2D68DFFF" w14:textId="77777777" w:rsidR="00000000" w:rsidRDefault="00EF48A2">
            <w:pPr>
              <w:pStyle w:val="a3"/>
              <w:spacing w:before="0" w:beforeAutospacing="0" w:after="0" w:afterAutospacing="0"/>
              <w:jc w:val="right"/>
              <w:rPr>
                <w:sz w:val="20"/>
                <w:szCs w:val="20"/>
              </w:rPr>
            </w:pPr>
            <w:r>
              <w:rPr>
                <w:sz w:val="17"/>
                <w:szCs w:val="17"/>
              </w:rPr>
              <w:t>3.5</w:t>
            </w:r>
            <w:r>
              <w:rPr>
                <w:sz w:val="17"/>
                <w:szCs w:val="17"/>
              </w:rPr>
              <w:t>8</w:t>
            </w:r>
          </w:p>
        </w:tc>
        <w:tc>
          <w:tcPr>
            <w:tcW w:w="0" w:type="auto"/>
            <w:noWrap/>
            <w:vAlign w:val="bottom"/>
            <w:hideMark/>
          </w:tcPr>
          <w:p w14:paraId="2B660E3B" w14:textId="77777777" w:rsidR="00000000" w:rsidRDefault="00EF48A2">
            <w:pPr>
              <w:pStyle w:val="a3"/>
              <w:spacing w:before="0" w:beforeAutospacing="0" w:after="0" w:afterAutospacing="0"/>
              <w:rPr>
                <w:sz w:val="17"/>
                <w:szCs w:val="17"/>
              </w:rPr>
            </w:pPr>
            <w:r>
              <w:rPr>
                <w:sz w:val="17"/>
                <w:szCs w:val="17"/>
              </w:rPr>
              <w:t> </w:t>
            </w:r>
          </w:p>
        </w:tc>
      </w:tr>
      <w:tr w:rsidR="00000000" w14:paraId="40552D25" w14:textId="77777777">
        <w:trPr>
          <w:divId w:val="1768843662"/>
          <w:trHeight w:val="160"/>
          <w:tblCellSpacing w:w="15" w:type="dxa"/>
        </w:trPr>
        <w:tc>
          <w:tcPr>
            <w:tcW w:w="0" w:type="auto"/>
            <w:hideMark/>
          </w:tcPr>
          <w:p w14:paraId="081FF552" w14:textId="77777777" w:rsidR="00000000" w:rsidRDefault="00EF48A2">
            <w:pPr>
              <w:pStyle w:val="a3"/>
              <w:spacing w:before="0" w:beforeAutospacing="0" w:after="0" w:afterAutospacing="0"/>
              <w:rPr>
                <w:sz w:val="17"/>
                <w:szCs w:val="17"/>
              </w:rPr>
            </w:pPr>
            <w:r>
              <w:rPr>
                <w:sz w:val="17"/>
                <w:szCs w:val="17"/>
              </w:rPr>
              <w:t>Grante</w:t>
            </w:r>
            <w:r>
              <w:rPr>
                <w:sz w:val="17"/>
                <w:szCs w:val="17"/>
              </w:rPr>
              <w:t>d</w:t>
            </w:r>
          </w:p>
        </w:tc>
        <w:tc>
          <w:tcPr>
            <w:tcW w:w="0" w:type="auto"/>
            <w:vAlign w:val="bottom"/>
            <w:hideMark/>
          </w:tcPr>
          <w:p w14:paraId="4D12FECA" w14:textId="77777777" w:rsidR="00000000" w:rsidRDefault="00EF48A2">
            <w:pPr>
              <w:pStyle w:val="a3"/>
              <w:spacing w:before="0" w:beforeAutospacing="0" w:after="0" w:afterAutospacing="0"/>
              <w:rPr>
                <w:sz w:val="17"/>
                <w:szCs w:val="17"/>
              </w:rPr>
            </w:pPr>
            <w:r>
              <w:rPr>
                <w:sz w:val="17"/>
                <w:szCs w:val="17"/>
              </w:rPr>
              <w:t> </w:t>
            </w:r>
          </w:p>
        </w:tc>
        <w:tc>
          <w:tcPr>
            <w:tcW w:w="0" w:type="auto"/>
            <w:noWrap/>
            <w:vAlign w:val="bottom"/>
            <w:hideMark/>
          </w:tcPr>
          <w:p w14:paraId="6CC56778"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6C1F497F" w14:textId="77777777" w:rsidR="00000000" w:rsidRDefault="00EF48A2">
            <w:pPr>
              <w:pStyle w:val="a3"/>
              <w:spacing w:before="0" w:beforeAutospacing="0" w:after="0" w:afterAutospacing="0"/>
              <w:jc w:val="right"/>
              <w:rPr>
                <w:sz w:val="20"/>
                <w:szCs w:val="20"/>
              </w:rPr>
            </w:pPr>
            <w:r>
              <w:rPr>
                <w:sz w:val="17"/>
                <w:szCs w:val="17"/>
              </w:rPr>
              <w:t>11,699,48</w:t>
            </w:r>
            <w:r>
              <w:rPr>
                <w:sz w:val="17"/>
                <w:szCs w:val="17"/>
              </w:rPr>
              <w:t>1</w:t>
            </w:r>
          </w:p>
        </w:tc>
        <w:tc>
          <w:tcPr>
            <w:tcW w:w="0" w:type="auto"/>
            <w:noWrap/>
            <w:vAlign w:val="bottom"/>
            <w:hideMark/>
          </w:tcPr>
          <w:p w14:paraId="0753845A"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2A0923DF" w14:textId="77777777" w:rsidR="00000000" w:rsidRDefault="00EF48A2">
            <w:pPr>
              <w:pStyle w:val="a3"/>
              <w:spacing w:before="0" w:beforeAutospacing="0" w:after="0" w:afterAutospacing="0"/>
              <w:jc w:val="right"/>
              <w:rPr>
                <w:sz w:val="17"/>
                <w:szCs w:val="17"/>
              </w:rPr>
            </w:pPr>
            <w:r>
              <w:rPr>
                <w:sz w:val="17"/>
                <w:szCs w:val="17"/>
              </w:rPr>
              <w:t> </w:t>
            </w:r>
          </w:p>
        </w:tc>
        <w:tc>
          <w:tcPr>
            <w:tcW w:w="0" w:type="auto"/>
            <w:noWrap/>
            <w:vAlign w:val="bottom"/>
            <w:hideMark/>
          </w:tcPr>
          <w:p w14:paraId="3BB1FE2D"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3670C7DC" w14:textId="77777777" w:rsidR="00000000" w:rsidRDefault="00EF48A2">
            <w:pPr>
              <w:pStyle w:val="a3"/>
              <w:spacing w:before="0" w:beforeAutospacing="0" w:after="0" w:afterAutospacing="0"/>
              <w:jc w:val="right"/>
              <w:rPr>
                <w:sz w:val="20"/>
                <w:szCs w:val="20"/>
              </w:rPr>
            </w:pPr>
            <w:r>
              <w:rPr>
                <w:sz w:val="17"/>
                <w:szCs w:val="17"/>
              </w:rPr>
              <w:t>1.2</w:t>
            </w:r>
            <w:r>
              <w:rPr>
                <w:sz w:val="17"/>
                <w:szCs w:val="17"/>
              </w:rPr>
              <w:t>1</w:t>
            </w:r>
          </w:p>
        </w:tc>
        <w:tc>
          <w:tcPr>
            <w:tcW w:w="0" w:type="auto"/>
            <w:noWrap/>
            <w:vAlign w:val="bottom"/>
            <w:hideMark/>
          </w:tcPr>
          <w:p w14:paraId="1FB00FA7" w14:textId="77777777" w:rsidR="00000000" w:rsidRDefault="00EF48A2">
            <w:pPr>
              <w:pStyle w:val="a3"/>
              <w:spacing w:before="0" w:beforeAutospacing="0" w:after="0" w:afterAutospacing="0"/>
              <w:rPr>
                <w:sz w:val="17"/>
                <w:szCs w:val="17"/>
              </w:rPr>
            </w:pPr>
            <w:r>
              <w:rPr>
                <w:sz w:val="17"/>
                <w:szCs w:val="17"/>
              </w:rPr>
              <w:t> </w:t>
            </w:r>
          </w:p>
        </w:tc>
      </w:tr>
      <w:tr w:rsidR="00000000" w14:paraId="5A64EE29" w14:textId="77777777">
        <w:trPr>
          <w:divId w:val="1768843662"/>
          <w:trHeight w:val="160"/>
          <w:tblCellSpacing w:w="15" w:type="dxa"/>
        </w:trPr>
        <w:tc>
          <w:tcPr>
            <w:tcW w:w="0" w:type="auto"/>
            <w:hideMark/>
          </w:tcPr>
          <w:p w14:paraId="1EB1B61E" w14:textId="77777777" w:rsidR="00000000" w:rsidRDefault="00EF48A2">
            <w:pPr>
              <w:pStyle w:val="a3"/>
              <w:spacing w:before="0" w:beforeAutospacing="0" w:after="0" w:afterAutospacing="0"/>
              <w:rPr>
                <w:sz w:val="17"/>
                <w:szCs w:val="17"/>
              </w:rPr>
            </w:pPr>
            <w:r>
              <w:rPr>
                <w:sz w:val="17"/>
                <w:szCs w:val="17"/>
              </w:rPr>
              <w:t>Veste</w:t>
            </w:r>
            <w:r>
              <w:rPr>
                <w:sz w:val="17"/>
                <w:szCs w:val="17"/>
              </w:rPr>
              <w:t>d</w:t>
            </w:r>
          </w:p>
        </w:tc>
        <w:tc>
          <w:tcPr>
            <w:tcW w:w="0" w:type="auto"/>
            <w:vAlign w:val="bottom"/>
            <w:hideMark/>
          </w:tcPr>
          <w:p w14:paraId="22A44FED" w14:textId="77777777" w:rsidR="00000000" w:rsidRDefault="00EF48A2">
            <w:pPr>
              <w:pStyle w:val="a3"/>
              <w:spacing w:before="0" w:beforeAutospacing="0" w:after="0" w:afterAutospacing="0"/>
              <w:rPr>
                <w:sz w:val="17"/>
                <w:szCs w:val="17"/>
              </w:rPr>
            </w:pPr>
            <w:r>
              <w:rPr>
                <w:sz w:val="17"/>
                <w:szCs w:val="17"/>
              </w:rPr>
              <w:t> </w:t>
            </w:r>
          </w:p>
        </w:tc>
        <w:tc>
          <w:tcPr>
            <w:tcW w:w="0" w:type="auto"/>
            <w:noWrap/>
            <w:vAlign w:val="bottom"/>
            <w:hideMark/>
          </w:tcPr>
          <w:p w14:paraId="149B0553"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1A280CE8" w14:textId="77777777" w:rsidR="00000000" w:rsidRDefault="00EF48A2">
            <w:pPr>
              <w:pStyle w:val="a3"/>
              <w:spacing w:before="0" w:beforeAutospacing="0" w:after="0" w:afterAutospacing="0"/>
              <w:jc w:val="right"/>
              <w:rPr>
                <w:sz w:val="20"/>
                <w:szCs w:val="20"/>
              </w:rPr>
            </w:pPr>
            <w:r>
              <w:rPr>
                <w:sz w:val="17"/>
                <w:szCs w:val="17"/>
              </w:rPr>
              <w:t>(</w:t>
            </w:r>
            <w:r>
              <w:rPr>
                <w:sz w:val="17"/>
                <w:szCs w:val="17"/>
              </w:rPr>
              <w:t>3,253,79</w:t>
            </w:r>
            <w:r>
              <w:rPr>
                <w:sz w:val="17"/>
                <w:szCs w:val="17"/>
              </w:rPr>
              <w:t>2</w:t>
            </w:r>
          </w:p>
        </w:tc>
        <w:tc>
          <w:tcPr>
            <w:tcW w:w="0" w:type="auto"/>
            <w:noWrap/>
            <w:vAlign w:val="bottom"/>
            <w:hideMark/>
          </w:tcPr>
          <w:p w14:paraId="0D83EC43"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190B80DD" w14:textId="77777777" w:rsidR="00000000" w:rsidRDefault="00EF48A2">
            <w:pPr>
              <w:pStyle w:val="a3"/>
              <w:spacing w:before="0" w:beforeAutospacing="0" w:after="0" w:afterAutospacing="0"/>
              <w:jc w:val="right"/>
              <w:rPr>
                <w:sz w:val="17"/>
                <w:szCs w:val="17"/>
              </w:rPr>
            </w:pPr>
            <w:r>
              <w:rPr>
                <w:sz w:val="17"/>
                <w:szCs w:val="17"/>
              </w:rPr>
              <w:t> </w:t>
            </w:r>
          </w:p>
        </w:tc>
        <w:tc>
          <w:tcPr>
            <w:tcW w:w="0" w:type="auto"/>
            <w:noWrap/>
            <w:vAlign w:val="bottom"/>
            <w:hideMark/>
          </w:tcPr>
          <w:p w14:paraId="695B4C70"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6E9060B1" w14:textId="77777777" w:rsidR="00000000" w:rsidRDefault="00EF48A2">
            <w:pPr>
              <w:pStyle w:val="a3"/>
              <w:spacing w:before="0" w:beforeAutospacing="0" w:after="0" w:afterAutospacing="0"/>
              <w:jc w:val="right"/>
              <w:rPr>
                <w:sz w:val="20"/>
                <w:szCs w:val="20"/>
              </w:rPr>
            </w:pPr>
            <w:r>
              <w:rPr>
                <w:sz w:val="17"/>
                <w:szCs w:val="17"/>
              </w:rPr>
              <w:t>1.6</w:t>
            </w:r>
            <w:r>
              <w:rPr>
                <w:sz w:val="17"/>
                <w:szCs w:val="17"/>
              </w:rPr>
              <w:t>0</w:t>
            </w:r>
          </w:p>
        </w:tc>
        <w:tc>
          <w:tcPr>
            <w:tcW w:w="0" w:type="auto"/>
            <w:noWrap/>
            <w:vAlign w:val="bottom"/>
            <w:hideMark/>
          </w:tcPr>
          <w:p w14:paraId="33DA57BE" w14:textId="77777777" w:rsidR="00000000" w:rsidRDefault="00EF48A2">
            <w:pPr>
              <w:pStyle w:val="a3"/>
              <w:spacing w:before="0" w:beforeAutospacing="0" w:after="0" w:afterAutospacing="0"/>
              <w:rPr>
                <w:sz w:val="17"/>
                <w:szCs w:val="17"/>
              </w:rPr>
            </w:pPr>
            <w:r>
              <w:rPr>
                <w:sz w:val="17"/>
                <w:szCs w:val="17"/>
              </w:rPr>
              <w:t> </w:t>
            </w:r>
          </w:p>
        </w:tc>
      </w:tr>
      <w:tr w:rsidR="00000000" w14:paraId="5BE6B26D" w14:textId="77777777">
        <w:trPr>
          <w:divId w:val="1768843662"/>
          <w:trHeight w:val="160"/>
          <w:tblCellSpacing w:w="15" w:type="dxa"/>
        </w:trPr>
        <w:tc>
          <w:tcPr>
            <w:tcW w:w="0" w:type="auto"/>
            <w:hideMark/>
          </w:tcPr>
          <w:p w14:paraId="6D118870" w14:textId="77777777" w:rsidR="00000000" w:rsidRDefault="00EF48A2">
            <w:pPr>
              <w:pStyle w:val="a3"/>
              <w:spacing w:before="0" w:beforeAutospacing="0" w:after="0" w:afterAutospacing="0"/>
              <w:rPr>
                <w:sz w:val="17"/>
                <w:szCs w:val="17"/>
              </w:rPr>
            </w:pPr>
            <w:r>
              <w:rPr>
                <w:sz w:val="17"/>
                <w:szCs w:val="17"/>
              </w:rPr>
              <w:t>Forfeite</w:t>
            </w:r>
            <w:r>
              <w:rPr>
                <w:sz w:val="17"/>
                <w:szCs w:val="17"/>
              </w:rPr>
              <w:t>d</w:t>
            </w:r>
          </w:p>
        </w:tc>
        <w:tc>
          <w:tcPr>
            <w:tcW w:w="0" w:type="auto"/>
            <w:vAlign w:val="bottom"/>
            <w:hideMark/>
          </w:tcPr>
          <w:p w14:paraId="54AC1FF5" w14:textId="77777777" w:rsidR="00000000" w:rsidRDefault="00EF48A2">
            <w:pPr>
              <w:pStyle w:val="a3"/>
              <w:spacing w:before="0" w:beforeAutospacing="0" w:after="0" w:afterAutospacing="0"/>
              <w:rPr>
                <w:sz w:val="17"/>
                <w:szCs w:val="17"/>
              </w:rPr>
            </w:pPr>
            <w:r>
              <w:rPr>
                <w:sz w:val="17"/>
                <w:szCs w:val="17"/>
              </w:rPr>
              <w:t> </w:t>
            </w:r>
          </w:p>
        </w:tc>
        <w:tc>
          <w:tcPr>
            <w:tcW w:w="0" w:type="auto"/>
            <w:noWrap/>
            <w:vAlign w:val="bottom"/>
            <w:hideMark/>
          </w:tcPr>
          <w:p w14:paraId="6A52C9CD"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0514A879" w14:textId="77777777" w:rsidR="00000000" w:rsidRDefault="00EF48A2">
            <w:pPr>
              <w:pStyle w:val="a3"/>
              <w:spacing w:before="0" w:beforeAutospacing="0" w:after="0" w:afterAutospacing="0"/>
              <w:jc w:val="right"/>
              <w:rPr>
                <w:sz w:val="20"/>
                <w:szCs w:val="20"/>
              </w:rPr>
            </w:pPr>
            <w:r>
              <w:rPr>
                <w:sz w:val="17"/>
                <w:szCs w:val="17"/>
              </w:rPr>
              <w:t>(</w:t>
            </w:r>
            <w:r>
              <w:rPr>
                <w:sz w:val="17"/>
                <w:szCs w:val="17"/>
              </w:rPr>
              <w:t>1,648,73</w:t>
            </w:r>
            <w:r>
              <w:rPr>
                <w:sz w:val="17"/>
                <w:szCs w:val="17"/>
              </w:rPr>
              <w:t>2</w:t>
            </w:r>
          </w:p>
        </w:tc>
        <w:tc>
          <w:tcPr>
            <w:tcW w:w="0" w:type="auto"/>
            <w:noWrap/>
            <w:vAlign w:val="bottom"/>
            <w:hideMark/>
          </w:tcPr>
          <w:p w14:paraId="048FEC1F"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206223A7" w14:textId="77777777" w:rsidR="00000000" w:rsidRDefault="00EF48A2">
            <w:pPr>
              <w:pStyle w:val="a3"/>
              <w:spacing w:before="0" w:beforeAutospacing="0" w:after="0" w:afterAutospacing="0"/>
              <w:jc w:val="right"/>
              <w:rPr>
                <w:sz w:val="17"/>
                <w:szCs w:val="17"/>
              </w:rPr>
            </w:pPr>
            <w:r>
              <w:rPr>
                <w:sz w:val="17"/>
                <w:szCs w:val="17"/>
              </w:rPr>
              <w:t> </w:t>
            </w:r>
          </w:p>
        </w:tc>
        <w:tc>
          <w:tcPr>
            <w:tcW w:w="0" w:type="auto"/>
            <w:noWrap/>
            <w:vAlign w:val="bottom"/>
            <w:hideMark/>
          </w:tcPr>
          <w:p w14:paraId="6FFE6E98"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0EE5AE83" w14:textId="77777777" w:rsidR="00000000" w:rsidRDefault="00EF48A2">
            <w:pPr>
              <w:pStyle w:val="a3"/>
              <w:spacing w:before="0" w:beforeAutospacing="0" w:after="0" w:afterAutospacing="0"/>
              <w:jc w:val="right"/>
              <w:rPr>
                <w:sz w:val="20"/>
                <w:szCs w:val="20"/>
              </w:rPr>
            </w:pPr>
            <w:r>
              <w:rPr>
                <w:sz w:val="17"/>
                <w:szCs w:val="17"/>
              </w:rPr>
              <w:t>2.3</w:t>
            </w:r>
            <w:r>
              <w:rPr>
                <w:sz w:val="17"/>
                <w:szCs w:val="17"/>
              </w:rPr>
              <w:t>7</w:t>
            </w:r>
          </w:p>
        </w:tc>
        <w:tc>
          <w:tcPr>
            <w:tcW w:w="0" w:type="auto"/>
            <w:noWrap/>
            <w:vAlign w:val="bottom"/>
            <w:hideMark/>
          </w:tcPr>
          <w:p w14:paraId="1C64A3A5" w14:textId="77777777" w:rsidR="00000000" w:rsidRDefault="00EF48A2">
            <w:pPr>
              <w:pStyle w:val="a3"/>
              <w:spacing w:before="0" w:beforeAutospacing="0" w:after="0" w:afterAutospacing="0"/>
              <w:rPr>
                <w:sz w:val="17"/>
                <w:szCs w:val="17"/>
              </w:rPr>
            </w:pPr>
            <w:r>
              <w:rPr>
                <w:sz w:val="17"/>
                <w:szCs w:val="17"/>
              </w:rPr>
              <w:t> </w:t>
            </w:r>
          </w:p>
        </w:tc>
      </w:tr>
      <w:tr w:rsidR="00000000" w14:paraId="3B584FDF" w14:textId="77777777">
        <w:trPr>
          <w:divId w:val="1768843662"/>
          <w:trHeight w:val="160"/>
          <w:tblCellSpacing w:w="15" w:type="dxa"/>
        </w:trPr>
        <w:tc>
          <w:tcPr>
            <w:tcW w:w="0" w:type="auto"/>
            <w:hideMark/>
          </w:tcPr>
          <w:p w14:paraId="3C57F65C" w14:textId="77777777" w:rsidR="00000000" w:rsidRDefault="00EF48A2">
            <w:pPr>
              <w:pStyle w:val="a3"/>
              <w:spacing w:before="0" w:beforeAutospacing="0" w:after="0" w:afterAutospacing="0"/>
              <w:rPr>
                <w:sz w:val="17"/>
                <w:szCs w:val="17"/>
              </w:rPr>
            </w:pPr>
            <w:r>
              <w:rPr>
                <w:sz w:val="17"/>
                <w:szCs w:val="17"/>
              </w:rPr>
              <w:t>Nonvested at end of yea</w:t>
            </w:r>
            <w:r>
              <w:rPr>
                <w:sz w:val="17"/>
                <w:szCs w:val="17"/>
              </w:rPr>
              <w:t>r</w:t>
            </w:r>
          </w:p>
        </w:tc>
        <w:tc>
          <w:tcPr>
            <w:tcW w:w="0" w:type="auto"/>
            <w:vAlign w:val="bottom"/>
            <w:hideMark/>
          </w:tcPr>
          <w:p w14:paraId="1592FD71" w14:textId="77777777" w:rsidR="00000000" w:rsidRDefault="00EF48A2">
            <w:pPr>
              <w:pStyle w:val="a3"/>
              <w:spacing w:before="0" w:beforeAutospacing="0" w:after="0" w:afterAutospacing="0"/>
              <w:rPr>
                <w:sz w:val="17"/>
                <w:szCs w:val="17"/>
              </w:rPr>
            </w:pPr>
            <w:r>
              <w:rPr>
                <w:sz w:val="17"/>
                <w:szCs w:val="17"/>
              </w:rPr>
              <w:t> </w:t>
            </w:r>
          </w:p>
        </w:tc>
        <w:tc>
          <w:tcPr>
            <w:tcW w:w="0" w:type="auto"/>
            <w:noWrap/>
            <w:vAlign w:val="bottom"/>
            <w:hideMark/>
          </w:tcPr>
          <w:p w14:paraId="43119F9C"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1624E90F" w14:textId="77777777" w:rsidR="00000000" w:rsidRDefault="00EF48A2">
            <w:pPr>
              <w:pStyle w:val="a3"/>
              <w:spacing w:before="0" w:beforeAutospacing="0" w:after="0" w:afterAutospacing="0"/>
              <w:jc w:val="right"/>
              <w:rPr>
                <w:sz w:val="20"/>
                <w:szCs w:val="20"/>
              </w:rPr>
            </w:pPr>
            <w:r>
              <w:rPr>
                <w:sz w:val="17"/>
                <w:szCs w:val="17"/>
              </w:rPr>
              <w:t>9,127,05</w:t>
            </w:r>
            <w:r>
              <w:rPr>
                <w:sz w:val="17"/>
                <w:szCs w:val="17"/>
              </w:rPr>
              <w:t>1</w:t>
            </w:r>
          </w:p>
        </w:tc>
        <w:tc>
          <w:tcPr>
            <w:tcW w:w="0" w:type="auto"/>
            <w:noWrap/>
            <w:vAlign w:val="bottom"/>
            <w:hideMark/>
          </w:tcPr>
          <w:p w14:paraId="210D9F92" w14:textId="77777777" w:rsidR="00000000" w:rsidRDefault="00EF48A2">
            <w:pPr>
              <w:pStyle w:val="a3"/>
              <w:spacing w:before="0" w:beforeAutospacing="0" w:after="0" w:afterAutospacing="0"/>
              <w:rPr>
                <w:sz w:val="17"/>
                <w:szCs w:val="17"/>
              </w:rPr>
            </w:pPr>
            <w:r>
              <w:rPr>
                <w:sz w:val="17"/>
                <w:szCs w:val="17"/>
              </w:rPr>
              <w:t> </w:t>
            </w:r>
          </w:p>
        </w:tc>
        <w:tc>
          <w:tcPr>
            <w:tcW w:w="0" w:type="auto"/>
            <w:vAlign w:val="bottom"/>
            <w:hideMark/>
          </w:tcPr>
          <w:p w14:paraId="22AF6395" w14:textId="77777777" w:rsidR="00000000" w:rsidRDefault="00EF48A2">
            <w:pPr>
              <w:pStyle w:val="a3"/>
              <w:spacing w:before="0" w:beforeAutospacing="0" w:after="0" w:afterAutospacing="0"/>
              <w:jc w:val="right"/>
              <w:rPr>
                <w:sz w:val="17"/>
                <w:szCs w:val="17"/>
              </w:rPr>
            </w:pPr>
            <w:r>
              <w:rPr>
                <w:sz w:val="17"/>
                <w:szCs w:val="17"/>
              </w:rPr>
              <w:t> </w:t>
            </w:r>
          </w:p>
        </w:tc>
        <w:tc>
          <w:tcPr>
            <w:tcW w:w="0" w:type="auto"/>
            <w:noWrap/>
            <w:vAlign w:val="bottom"/>
            <w:hideMark/>
          </w:tcPr>
          <w:p w14:paraId="3D8BFFCE" w14:textId="77777777" w:rsidR="00000000" w:rsidRDefault="00EF48A2">
            <w:pPr>
              <w:pStyle w:val="a3"/>
              <w:spacing w:before="0" w:beforeAutospacing="0" w:after="0" w:afterAutospacing="0"/>
              <w:rPr>
                <w:sz w:val="17"/>
                <w:szCs w:val="17"/>
              </w:rPr>
            </w:pPr>
            <w:r>
              <w:rPr>
                <w:sz w:val="17"/>
                <w:szCs w:val="17"/>
              </w:rPr>
              <w:t>$</w:t>
            </w:r>
          </w:p>
        </w:tc>
        <w:tc>
          <w:tcPr>
            <w:tcW w:w="0" w:type="auto"/>
            <w:vAlign w:val="bottom"/>
            <w:hideMark/>
          </w:tcPr>
          <w:p w14:paraId="3EE14FE9" w14:textId="77777777" w:rsidR="00000000" w:rsidRDefault="00EF48A2">
            <w:pPr>
              <w:pStyle w:val="a3"/>
              <w:spacing w:before="0" w:beforeAutospacing="0" w:after="0" w:afterAutospacing="0"/>
              <w:jc w:val="right"/>
              <w:rPr>
                <w:sz w:val="20"/>
                <w:szCs w:val="20"/>
              </w:rPr>
            </w:pPr>
            <w:r>
              <w:rPr>
                <w:sz w:val="17"/>
                <w:szCs w:val="17"/>
              </w:rPr>
              <w:t>1.4</w:t>
            </w:r>
            <w:r>
              <w:rPr>
                <w:sz w:val="17"/>
                <w:szCs w:val="17"/>
              </w:rPr>
              <w:t>6</w:t>
            </w:r>
          </w:p>
        </w:tc>
        <w:tc>
          <w:tcPr>
            <w:tcW w:w="0" w:type="auto"/>
            <w:noWrap/>
            <w:vAlign w:val="bottom"/>
            <w:hideMark/>
          </w:tcPr>
          <w:p w14:paraId="64C381D2" w14:textId="77777777" w:rsidR="00000000" w:rsidRDefault="00EF48A2">
            <w:pPr>
              <w:pStyle w:val="a3"/>
              <w:spacing w:before="0" w:beforeAutospacing="0" w:after="0" w:afterAutospacing="0"/>
              <w:rPr>
                <w:sz w:val="17"/>
                <w:szCs w:val="17"/>
              </w:rPr>
            </w:pPr>
            <w:r>
              <w:rPr>
                <w:sz w:val="17"/>
                <w:szCs w:val="17"/>
              </w:rPr>
              <w:t> </w:t>
            </w:r>
          </w:p>
        </w:tc>
      </w:tr>
    </w:tbl>
    <w:p w14:paraId="45FCFE25" w14:textId="77777777" w:rsidR="00000000" w:rsidRDefault="00EF48A2">
      <w:pPr>
        <w:pStyle w:val="a3"/>
        <w:spacing w:before="0" w:beforeAutospacing="0" w:after="0" w:afterAutospacing="0"/>
        <w:divId w:val="1768843662"/>
        <w:rPr>
          <w:sz w:val="20"/>
          <w:szCs w:val="20"/>
        </w:rPr>
      </w:pPr>
      <w:r>
        <w:rPr>
          <w:sz w:val="20"/>
          <w:szCs w:val="20"/>
        </w:rPr>
        <w:t> </w:t>
      </w:r>
    </w:p>
    <w:p w14:paraId="15AEAD02" w14:textId="77777777" w:rsidR="00000000" w:rsidRDefault="00EF48A2">
      <w:pPr>
        <w:pStyle w:val="a3"/>
        <w:spacing w:before="0" w:beforeAutospacing="0" w:after="0" w:afterAutospacing="0"/>
        <w:jc w:val="center"/>
        <w:divId w:val="1768843662"/>
        <w:rPr>
          <w:sz w:val="20"/>
          <w:szCs w:val="20"/>
        </w:rPr>
      </w:pPr>
      <w:r>
        <w:rPr>
          <w:sz w:val="20"/>
          <w:szCs w:val="20"/>
        </w:rPr>
        <w:t>7</w:t>
      </w:r>
      <w:r>
        <w:rPr>
          <w:sz w:val="20"/>
          <w:szCs w:val="20"/>
        </w:rPr>
        <w:t>5</w:t>
      </w:r>
    </w:p>
    <w:p w14:paraId="692FD7DA" w14:textId="77777777" w:rsidR="00000000" w:rsidRDefault="00EF48A2">
      <w:pPr>
        <w:divId w:val="1768843662"/>
        <w:rPr>
          <w:rFonts w:eastAsia="Times New Roman"/>
          <w:sz w:val="20"/>
          <w:szCs w:val="20"/>
        </w:rPr>
      </w:pPr>
      <w:r>
        <w:rPr>
          <w:rFonts w:eastAsia="Times New Roman"/>
          <w:sz w:val="20"/>
          <w:szCs w:val="20"/>
        </w:rPr>
        <w:pict w14:anchorId="2520C1C0">
          <v:rect id="_x0000_i1102" style="width:0;height:1.5pt" o:hralign="center" o:hrstd="t" o:hr="t" fillcolor="#a0a0a0" stroked="f"/>
        </w:pict>
      </w:r>
    </w:p>
    <w:p w14:paraId="6B78B3E3" w14:textId="77777777" w:rsidR="00000000" w:rsidRDefault="00EF48A2">
      <w:pPr>
        <w:pStyle w:val="a3"/>
        <w:spacing w:before="0" w:beforeAutospacing="0" w:after="0" w:afterAutospacing="0"/>
        <w:divId w:val="1768843662"/>
        <w:rPr>
          <w:sz w:val="20"/>
          <w:szCs w:val="20"/>
        </w:rPr>
      </w:pPr>
      <w:hyperlink w:anchor="toc_page" w:history="1">
        <w:r>
          <w:rPr>
            <w:rStyle w:val="a4"/>
            <w:sz w:val="20"/>
            <w:szCs w:val="20"/>
          </w:rPr>
          <w:t>Table of Content</w:t>
        </w:r>
        <w:r>
          <w:rPr>
            <w:rStyle w:val="a4"/>
            <w:sz w:val="20"/>
            <w:szCs w:val="20"/>
          </w:rPr>
          <w:t>s</w:t>
        </w:r>
      </w:hyperlink>
    </w:p>
    <w:p w14:paraId="109A08AC" w14:textId="77777777" w:rsidR="00000000" w:rsidRDefault="00EF48A2">
      <w:pPr>
        <w:pStyle w:val="a3"/>
        <w:spacing w:before="180" w:beforeAutospacing="0" w:after="0" w:afterAutospacing="0"/>
        <w:jc w:val="both"/>
        <w:divId w:val="1768843662"/>
        <w:rPr>
          <w:sz w:val="20"/>
          <w:szCs w:val="20"/>
        </w:rPr>
      </w:pPr>
      <w:r>
        <w:rPr>
          <w:sz w:val="20"/>
          <w:szCs w:val="20"/>
        </w:rPr>
        <w:t xml:space="preserve">As of December 31, 2022, there was </w:t>
      </w:r>
      <w:r>
        <w:rPr>
          <w:sz w:val="20"/>
          <w:szCs w:val="20"/>
        </w:rPr>
        <w:t>$</w:t>
      </w:r>
      <w:r>
        <w:rPr>
          <w:sz w:val="20"/>
          <w:szCs w:val="20"/>
        </w:rPr>
        <w:t>12.</w:t>
      </w:r>
      <w:r>
        <w:rPr>
          <w:sz w:val="20"/>
          <w:szCs w:val="20"/>
        </w:rPr>
        <w:t>6</w:t>
      </w:r>
      <w:r>
        <w:rPr>
          <w:sz w:val="20"/>
          <w:szCs w:val="20"/>
        </w:rPr>
        <w:t xml:space="preserve"> </w:t>
      </w:r>
      <w:r>
        <w:rPr>
          <w:sz w:val="20"/>
          <w:szCs w:val="20"/>
        </w:rPr>
        <w:t>million of total unrecognized compensation cost related to non-vested RSUs that are expected to be recognized over a period of up to</w:t>
      </w:r>
      <w:r>
        <w:rPr>
          <w:sz w:val="20"/>
          <w:szCs w:val="20"/>
        </w:rPr>
        <w:t xml:space="preserve"> </w:t>
      </w:r>
      <w:r>
        <w:rPr>
          <w:sz w:val="20"/>
          <w:szCs w:val="20"/>
        </w:rPr>
        <w:t>5.2</w:t>
      </w:r>
      <w:r>
        <w:rPr>
          <w:sz w:val="20"/>
          <w:szCs w:val="20"/>
        </w:rPr>
        <w:t xml:space="preserve"> </w:t>
      </w:r>
      <w:r>
        <w:rPr>
          <w:sz w:val="20"/>
          <w:szCs w:val="20"/>
        </w:rPr>
        <w:t>years</w:t>
      </w:r>
      <w:r>
        <w:rPr>
          <w:sz w:val="20"/>
          <w:szCs w:val="20"/>
        </w:rPr>
        <w:t>.</w:t>
      </w:r>
    </w:p>
    <w:p w14:paraId="004B760C" w14:textId="77777777" w:rsidR="00000000" w:rsidRDefault="00EF48A2">
      <w:pPr>
        <w:pStyle w:val="a3"/>
        <w:spacing w:before="180" w:beforeAutospacing="0" w:after="180" w:afterAutospacing="0"/>
        <w:jc w:val="both"/>
        <w:divId w:val="1375344527"/>
        <w:rPr>
          <w:sz w:val="20"/>
          <w:szCs w:val="20"/>
        </w:rPr>
      </w:pPr>
      <w:r>
        <w:rPr>
          <w:sz w:val="20"/>
          <w:szCs w:val="20"/>
        </w:rPr>
        <w:t>The following table sets forth the total share-based compensation expense related to stock options and restricte</w:t>
      </w:r>
      <w:r>
        <w:rPr>
          <w:sz w:val="20"/>
          <w:szCs w:val="20"/>
        </w:rPr>
        <w:t>d stock units included in the respective components of operating expenses in the consolidated statement of operations</w:t>
      </w:r>
      <w:r>
        <w:rPr>
          <w:sz w:val="20"/>
          <w:szCs w:val="20"/>
        </w:rPr>
        <w:t>:</w:t>
      </w:r>
      <w:r>
        <w:rPr>
          <w:sz w:val="20"/>
          <w:szCs w:val="20"/>
        </w:rPr>
        <w:t xml:space="preserve">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4619"/>
        <w:gridCol w:w="110"/>
        <w:gridCol w:w="160"/>
        <w:gridCol w:w="752"/>
        <w:gridCol w:w="110"/>
        <w:gridCol w:w="110"/>
        <w:gridCol w:w="160"/>
        <w:gridCol w:w="752"/>
        <w:gridCol w:w="110"/>
        <w:gridCol w:w="110"/>
        <w:gridCol w:w="160"/>
        <w:gridCol w:w="779"/>
        <w:gridCol w:w="125"/>
      </w:tblGrid>
      <w:tr w:rsidR="00000000" w14:paraId="17B96AE6" w14:textId="77777777">
        <w:trPr>
          <w:divId w:val="1375344527"/>
          <w:tblCellSpacing w:w="15" w:type="dxa"/>
        </w:trPr>
        <w:tc>
          <w:tcPr>
            <w:tcW w:w="3021" w:type="pct"/>
            <w:vAlign w:val="center"/>
            <w:hideMark/>
          </w:tcPr>
          <w:p w14:paraId="69FC4961" w14:textId="77777777" w:rsidR="00000000" w:rsidRDefault="00EF48A2">
            <w:pPr>
              <w:rPr>
                <w:sz w:val="20"/>
                <w:szCs w:val="20"/>
              </w:rPr>
            </w:pPr>
          </w:p>
        </w:tc>
        <w:tc>
          <w:tcPr>
            <w:tcW w:w="52" w:type="pct"/>
            <w:vAlign w:val="center"/>
            <w:hideMark/>
          </w:tcPr>
          <w:p w14:paraId="0E97EFBA" w14:textId="77777777" w:rsidR="00000000" w:rsidRDefault="00EF48A2">
            <w:pPr>
              <w:rPr>
                <w:rFonts w:eastAsia="Times New Roman"/>
                <w:sz w:val="20"/>
                <w:szCs w:val="20"/>
              </w:rPr>
            </w:pPr>
          </w:p>
        </w:tc>
        <w:tc>
          <w:tcPr>
            <w:tcW w:w="50" w:type="pct"/>
            <w:vAlign w:val="center"/>
            <w:hideMark/>
          </w:tcPr>
          <w:p w14:paraId="75D45A21" w14:textId="77777777" w:rsidR="00000000" w:rsidRDefault="00EF48A2">
            <w:pPr>
              <w:rPr>
                <w:rFonts w:eastAsia="Times New Roman"/>
                <w:sz w:val="20"/>
                <w:szCs w:val="20"/>
              </w:rPr>
            </w:pPr>
          </w:p>
        </w:tc>
        <w:tc>
          <w:tcPr>
            <w:tcW w:w="501" w:type="pct"/>
            <w:vAlign w:val="center"/>
            <w:hideMark/>
          </w:tcPr>
          <w:p w14:paraId="6E92A097" w14:textId="77777777" w:rsidR="00000000" w:rsidRDefault="00EF48A2">
            <w:pPr>
              <w:rPr>
                <w:rFonts w:eastAsia="Times New Roman"/>
                <w:sz w:val="20"/>
                <w:szCs w:val="20"/>
              </w:rPr>
            </w:pPr>
          </w:p>
        </w:tc>
        <w:tc>
          <w:tcPr>
            <w:tcW w:w="50" w:type="pct"/>
            <w:vAlign w:val="center"/>
            <w:hideMark/>
          </w:tcPr>
          <w:p w14:paraId="0A27C3C2" w14:textId="77777777" w:rsidR="00000000" w:rsidRDefault="00EF48A2">
            <w:pPr>
              <w:rPr>
                <w:rFonts w:eastAsia="Times New Roman"/>
                <w:sz w:val="20"/>
                <w:szCs w:val="20"/>
              </w:rPr>
            </w:pPr>
          </w:p>
        </w:tc>
        <w:tc>
          <w:tcPr>
            <w:tcW w:w="52" w:type="pct"/>
            <w:vAlign w:val="center"/>
            <w:hideMark/>
          </w:tcPr>
          <w:p w14:paraId="328DA98B" w14:textId="77777777" w:rsidR="00000000" w:rsidRDefault="00EF48A2">
            <w:pPr>
              <w:rPr>
                <w:rFonts w:eastAsia="Times New Roman"/>
                <w:sz w:val="20"/>
                <w:szCs w:val="20"/>
              </w:rPr>
            </w:pPr>
          </w:p>
        </w:tc>
        <w:tc>
          <w:tcPr>
            <w:tcW w:w="50" w:type="pct"/>
            <w:vAlign w:val="center"/>
            <w:hideMark/>
          </w:tcPr>
          <w:p w14:paraId="7FADF895" w14:textId="77777777" w:rsidR="00000000" w:rsidRDefault="00EF48A2">
            <w:pPr>
              <w:rPr>
                <w:rFonts w:eastAsia="Times New Roman"/>
                <w:sz w:val="20"/>
                <w:szCs w:val="20"/>
              </w:rPr>
            </w:pPr>
          </w:p>
        </w:tc>
        <w:tc>
          <w:tcPr>
            <w:tcW w:w="501" w:type="pct"/>
            <w:vAlign w:val="center"/>
            <w:hideMark/>
          </w:tcPr>
          <w:p w14:paraId="50266A15" w14:textId="77777777" w:rsidR="00000000" w:rsidRDefault="00EF48A2">
            <w:pPr>
              <w:rPr>
                <w:rFonts w:eastAsia="Times New Roman"/>
                <w:sz w:val="20"/>
                <w:szCs w:val="20"/>
              </w:rPr>
            </w:pPr>
          </w:p>
        </w:tc>
        <w:tc>
          <w:tcPr>
            <w:tcW w:w="50" w:type="pct"/>
            <w:vAlign w:val="center"/>
            <w:hideMark/>
          </w:tcPr>
          <w:p w14:paraId="6CC08E81" w14:textId="77777777" w:rsidR="00000000" w:rsidRDefault="00EF48A2">
            <w:pPr>
              <w:rPr>
                <w:rFonts w:eastAsia="Times New Roman"/>
                <w:sz w:val="20"/>
                <w:szCs w:val="20"/>
              </w:rPr>
            </w:pPr>
          </w:p>
        </w:tc>
        <w:tc>
          <w:tcPr>
            <w:tcW w:w="52" w:type="pct"/>
            <w:vAlign w:val="center"/>
            <w:hideMark/>
          </w:tcPr>
          <w:p w14:paraId="3227D3C4" w14:textId="77777777" w:rsidR="00000000" w:rsidRDefault="00EF48A2">
            <w:pPr>
              <w:rPr>
                <w:rFonts w:eastAsia="Times New Roman"/>
                <w:sz w:val="20"/>
                <w:szCs w:val="20"/>
              </w:rPr>
            </w:pPr>
          </w:p>
        </w:tc>
        <w:tc>
          <w:tcPr>
            <w:tcW w:w="50" w:type="pct"/>
            <w:vAlign w:val="center"/>
            <w:hideMark/>
          </w:tcPr>
          <w:p w14:paraId="3CF3C512" w14:textId="77777777" w:rsidR="00000000" w:rsidRDefault="00EF48A2">
            <w:pPr>
              <w:rPr>
                <w:rFonts w:eastAsia="Times New Roman"/>
                <w:sz w:val="20"/>
                <w:szCs w:val="20"/>
              </w:rPr>
            </w:pPr>
          </w:p>
        </w:tc>
        <w:tc>
          <w:tcPr>
            <w:tcW w:w="518" w:type="pct"/>
            <w:vAlign w:val="center"/>
            <w:hideMark/>
          </w:tcPr>
          <w:p w14:paraId="6EDC0639" w14:textId="77777777" w:rsidR="00000000" w:rsidRDefault="00EF48A2">
            <w:pPr>
              <w:rPr>
                <w:rFonts w:eastAsia="Times New Roman"/>
                <w:sz w:val="20"/>
                <w:szCs w:val="20"/>
              </w:rPr>
            </w:pPr>
          </w:p>
        </w:tc>
        <w:tc>
          <w:tcPr>
            <w:tcW w:w="50" w:type="pct"/>
            <w:vAlign w:val="center"/>
            <w:hideMark/>
          </w:tcPr>
          <w:p w14:paraId="09E7ABE0" w14:textId="77777777" w:rsidR="00000000" w:rsidRDefault="00EF48A2">
            <w:pPr>
              <w:rPr>
                <w:rFonts w:eastAsia="Times New Roman"/>
                <w:sz w:val="20"/>
                <w:szCs w:val="20"/>
              </w:rPr>
            </w:pPr>
          </w:p>
        </w:tc>
      </w:tr>
      <w:tr w:rsidR="00000000" w14:paraId="470A0F08" w14:textId="77777777">
        <w:trPr>
          <w:divId w:val="1375344527"/>
          <w:trHeight w:val="160"/>
          <w:tblCellSpacing w:w="15" w:type="dxa"/>
        </w:trPr>
        <w:tc>
          <w:tcPr>
            <w:tcW w:w="0" w:type="auto"/>
            <w:vAlign w:val="bottom"/>
            <w:hideMark/>
          </w:tcPr>
          <w:p w14:paraId="3F46A7B6"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149CC6C3"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14:paraId="5D81F1EB" w14:textId="77777777" w:rsidR="00000000" w:rsidRDefault="00EF48A2">
            <w:pPr>
              <w:pStyle w:val="a3"/>
              <w:spacing w:before="0" w:beforeAutospacing="0" w:after="0" w:afterAutospacing="0"/>
              <w:jc w:val="center"/>
              <w:rPr>
                <w:sz w:val="16"/>
                <w:szCs w:val="16"/>
              </w:rPr>
            </w:pPr>
            <w:r>
              <w:rPr>
                <w:b/>
                <w:bCs/>
                <w:sz w:val="16"/>
                <w:szCs w:val="16"/>
              </w:rPr>
              <w:t xml:space="preserve">For the Year Ended </w:t>
            </w:r>
            <w:r>
              <w:rPr>
                <w:b/>
                <w:bCs/>
                <w:sz w:val="16"/>
                <w:szCs w:val="16"/>
              </w:rPr>
              <w:br/>
              <w:t>December 31</w:t>
            </w:r>
            <w:r>
              <w:rPr>
                <w:b/>
                <w:bCs/>
                <w:sz w:val="16"/>
                <w:szCs w:val="16"/>
              </w:rPr>
              <w:t>,</w:t>
            </w:r>
          </w:p>
        </w:tc>
        <w:tc>
          <w:tcPr>
            <w:tcW w:w="0" w:type="auto"/>
            <w:vAlign w:val="bottom"/>
            <w:hideMark/>
          </w:tcPr>
          <w:p w14:paraId="5D2A9E5C"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7690F8AA" w14:textId="77777777">
        <w:trPr>
          <w:divId w:val="1375344527"/>
          <w:trHeight w:val="160"/>
          <w:tblCellSpacing w:w="15" w:type="dxa"/>
        </w:trPr>
        <w:tc>
          <w:tcPr>
            <w:tcW w:w="0" w:type="auto"/>
            <w:vAlign w:val="bottom"/>
            <w:hideMark/>
          </w:tcPr>
          <w:p w14:paraId="67EF770D"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68B7230F"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4C8E185"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9809ACF"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5BFDBD5"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612BA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6D59FFB"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3C673E12"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FC502D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240BDFAF"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0F3E9284" w14:textId="77777777">
        <w:trPr>
          <w:divId w:val="1375344527"/>
          <w:trHeight w:val="200"/>
          <w:tblCellSpacing w:w="15" w:type="dxa"/>
        </w:trPr>
        <w:tc>
          <w:tcPr>
            <w:tcW w:w="0" w:type="auto"/>
            <w:hideMark/>
          </w:tcPr>
          <w:p w14:paraId="32A08586" w14:textId="77777777" w:rsidR="00000000" w:rsidRDefault="00EF48A2">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14:paraId="532F319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48DFB0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5E4ADA2" w14:textId="77777777" w:rsidR="00000000" w:rsidRDefault="00EF48A2">
            <w:pPr>
              <w:pStyle w:val="a3"/>
              <w:spacing w:before="0" w:beforeAutospacing="0" w:after="0" w:afterAutospacing="0"/>
              <w:jc w:val="right"/>
              <w:rPr>
                <w:sz w:val="20"/>
                <w:szCs w:val="20"/>
              </w:rPr>
            </w:pPr>
            <w:r>
              <w:rPr>
                <w:sz w:val="20"/>
                <w:szCs w:val="20"/>
              </w:rPr>
              <w:t>2,55</w:t>
            </w:r>
            <w:r>
              <w:rPr>
                <w:sz w:val="20"/>
                <w:szCs w:val="20"/>
              </w:rPr>
              <w:t>0</w:t>
            </w:r>
          </w:p>
        </w:tc>
        <w:tc>
          <w:tcPr>
            <w:tcW w:w="0" w:type="auto"/>
            <w:noWrap/>
            <w:vAlign w:val="bottom"/>
            <w:hideMark/>
          </w:tcPr>
          <w:p w14:paraId="10E61B7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6B932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9D8D28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E11AF81" w14:textId="77777777" w:rsidR="00000000" w:rsidRDefault="00EF48A2">
            <w:pPr>
              <w:pStyle w:val="a3"/>
              <w:spacing w:before="0" w:beforeAutospacing="0" w:after="0" w:afterAutospacing="0"/>
              <w:jc w:val="right"/>
              <w:rPr>
                <w:sz w:val="20"/>
                <w:szCs w:val="20"/>
              </w:rPr>
            </w:pPr>
            <w:r>
              <w:rPr>
                <w:sz w:val="20"/>
                <w:szCs w:val="20"/>
              </w:rPr>
              <w:t>3,10</w:t>
            </w:r>
            <w:r>
              <w:rPr>
                <w:sz w:val="20"/>
                <w:szCs w:val="20"/>
              </w:rPr>
              <w:t>2</w:t>
            </w:r>
          </w:p>
        </w:tc>
        <w:tc>
          <w:tcPr>
            <w:tcW w:w="0" w:type="auto"/>
            <w:noWrap/>
            <w:vAlign w:val="bottom"/>
            <w:hideMark/>
          </w:tcPr>
          <w:p w14:paraId="4786CA9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917F8A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7ABC03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F8EC3F" w14:textId="77777777" w:rsidR="00000000" w:rsidRDefault="00EF48A2">
            <w:pPr>
              <w:pStyle w:val="a3"/>
              <w:spacing w:before="0" w:beforeAutospacing="0" w:after="0" w:afterAutospacing="0"/>
              <w:jc w:val="right"/>
              <w:rPr>
                <w:sz w:val="20"/>
                <w:szCs w:val="20"/>
              </w:rPr>
            </w:pPr>
            <w:r>
              <w:rPr>
                <w:sz w:val="20"/>
                <w:szCs w:val="20"/>
              </w:rPr>
              <w:t>22</w:t>
            </w:r>
            <w:r>
              <w:rPr>
                <w:sz w:val="20"/>
                <w:szCs w:val="20"/>
              </w:rPr>
              <w:t>9</w:t>
            </w:r>
          </w:p>
        </w:tc>
        <w:tc>
          <w:tcPr>
            <w:tcW w:w="0" w:type="auto"/>
            <w:noWrap/>
            <w:vAlign w:val="bottom"/>
            <w:hideMark/>
          </w:tcPr>
          <w:p w14:paraId="428BFB90" w14:textId="77777777" w:rsidR="00000000" w:rsidRDefault="00EF48A2">
            <w:pPr>
              <w:pStyle w:val="a3"/>
              <w:spacing w:before="0" w:beforeAutospacing="0" w:after="0" w:afterAutospacing="0"/>
              <w:rPr>
                <w:sz w:val="20"/>
                <w:szCs w:val="20"/>
              </w:rPr>
            </w:pPr>
            <w:r>
              <w:rPr>
                <w:sz w:val="20"/>
                <w:szCs w:val="20"/>
              </w:rPr>
              <w:t> </w:t>
            </w:r>
          </w:p>
        </w:tc>
      </w:tr>
      <w:tr w:rsidR="00000000" w14:paraId="6096B545" w14:textId="77777777">
        <w:trPr>
          <w:divId w:val="1375344527"/>
          <w:trHeight w:val="200"/>
          <w:tblCellSpacing w:w="15" w:type="dxa"/>
        </w:trPr>
        <w:tc>
          <w:tcPr>
            <w:tcW w:w="0" w:type="auto"/>
            <w:hideMark/>
          </w:tcPr>
          <w:p w14:paraId="6E878534" w14:textId="77777777" w:rsidR="00000000" w:rsidRDefault="00EF48A2">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14:paraId="600DFF0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3FD48A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6D8B602" w14:textId="77777777" w:rsidR="00000000" w:rsidRDefault="00EF48A2">
            <w:pPr>
              <w:pStyle w:val="a3"/>
              <w:spacing w:before="0" w:beforeAutospacing="0" w:after="0" w:afterAutospacing="0"/>
              <w:jc w:val="right"/>
              <w:rPr>
                <w:sz w:val="20"/>
                <w:szCs w:val="20"/>
              </w:rPr>
            </w:pPr>
            <w:r>
              <w:rPr>
                <w:sz w:val="20"/>
                <w:szCs w:val="20"/>
              </w:rPr>
              <w:t>54</w:t>
            </w:r>
            <w:r>
              <w:rPr>
                <w:sz w:val="20"/>
                <w:szCs w:val="20"/>
              </w:rPr>
              <w:t>9</w:t>
            </w:r>
          </w:p>
        </w:tc>
        <w:tc>
          <w:tcPr>
            <w:tcW w:w="0" w:type="auto"/>
            <w:noWrap/>
            <w:vAlign w:val="bottom"/>
            <w:hideMark/>
          </w:tcPr>
          <w:p w14:paraId="72CB634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FACCB6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303E6D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7BB9767" w14:textId="77777777" w:rsidR="00000000" w:rsidRDefault="00EF48A2">
            <w:pPr>
              <w:pStyle w:val="a3"/>
              <w:spacing w:before="0" w:beforeAutospacing="0" w:after="0" w:afterAutospacing="0"/>
              <w:jc w:val="right"/>
              <w:rPr>
                <w:sz w:val="20"/>
                <w:szCs w:val="20"/>
              </w:rPr>
            </w:pPr>
            <w:r>
              <w:rPr>
                <w:sz w:val="20"/>
                <w:szCs w:val="20"/>
              </w:rPr>
              <w:t>1,71</w:t>
            </w:r>
            <w:r>
              <w:rPr>
                <w:sz w:val="20"/>
                <w:szCs w:val="20"/>
              </w:rPr>
              <w:t>1</w:t>
            </w:r>
          </w:p>
        </w:tc>
        <w:tc>
          <w:tcPr>
            <w:tcW w:w="0" w:type="auto"/>
            <w:noWrap/>
            <w:vAlign w:val="bottom"/>
            <w:hideMark/>
          </w:tcPr>
          <w:p w14:paraId="22AC275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16DA45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646B43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7C5935" w14:textId="77777777" w:rsidR="00000000" w:rsidRDefault="00EF48A2">
            <w:pPr>
              <w:pStyle w:val="a3"/>
              <w:spacing w:before="0" w:beforeAutospacing="0" w:after="0" w:afterAutospacing="0"/>
              <w:jc w:val="right"/>
              <w:rPr>
                <w:sz w:val="20"/>
                <w:szCs w:val="20"/>
              </w:rPr>
            </w:pPr>
            <w:r>
              <w:rPr>
                <w:sz w:val="20"/>
                <w:szCs w:val="20"/>
              </w:rPr>
              <w:t>10</w:t>
            </w:r>
            <w:r>
              <w:rPr>
                <w:sz w:val="20"/>
                <w:szCs w:val="20"/>
              </w:rPr>
              <w:t>2</w:t>
            </w:r>
          </w:p>
        </w:tc>
        <w:tc>
          <w:tcPr>
            <w:tcW w:w="0" w:type="auto"/>
            <w:noWrap/>
            <w:vAlign w:val="bottom"/>
            <w:hideMark/>
          </w:tcPr>
          <w:p w14:paraId="1A76F4B6" w14:textId="77777777" w:rsidR="00000000" w:rsidRDefault="00EF48A2">
            <w:pPr>
              <w:pStyle w:val="a3"/>
              <w:spacing w:before="0" w:beforeAutospacing="0" w:after="0" w:afterAutospacing="0"/>
              <w:rPr>
                <w:sz w:val="20"/>
                <w:szCs w:val="20"/>
              </w:rPr>
            </w:pPr>
            <w:r>
              <w:rPr>
                <w:sz w:val="20"/>
                <w:szCs w:val="20"/>
              </w:rPr>
              <w:t> </w:t>
            </w:r>
          </w:p>
        </w:tc>
      </w:tr>
      <w:tr w:rsidR="00000000" w14:paraId="35F27556" w14:textId="77777777">
        <w:trPr>
          <w:divId w:val="1375344527"/>
          <w:trHeight w:val="200"/>
          <w:tblCellSpacing w:w="15" w:type="dxa"/>
        </w:trPr>
        <w:tc>
          <w:tcPr>
            <w:tcW w:w="0" w:type="auto"/>
            <w:hideMark/>
          </w:tcPr>
          <w:p w14:paraId="10B50487" w14:textId="77777777" w:rsidR="00000000" w:rsidRDefault="00EF48A2">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14:paraId="0B7B72C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9EF1DE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5BDA94" w14:textId="77777777" w:rsidR="00000000" w:rsidRDefault="00EF48A2">
            <w:pPr>
              <w:pStyle w:val="a3"/>
              <w:spacing w:before="0" w:beforeAutospacing="0" w:after="0" w:afterAutospacing="0"/>
              <w:jc w:val="right"/>
              <w:rPr>
                <w:sz w:val="20"/>
                <w:szCs w:val="20"/>
              </w:rPr>
            </w:pPr>
            <w:r>
              <w:rPr>
                <w:sz w:val="20"/>
                <w:szCs w:val="20"/>
              </w:rPr>
              <w:t>3,09</w:t>
            </w:r>
            <w:r>
              <w:rPr>
                <w:sz w:val="20"/>
                <w:szCs w:val="20"/>
              </w:rPr>
              <w:t>0</w:t>
            </w:r>
          </w:p>
        </w:tc>
        <w:tc>
          <w:tcPr>
            <w:tcW w:w="0" w:type="auto"/>
            <w:noWrap/>
            <w:vAlign w:val="bottom"/>
            <w:hideMark/>
          </w:tcPr>
          <w:p w14:paraId="2FDD0C3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E29CF5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5048CD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A9B98C1" w14:textId="77777777" w:rsidR="00000000" w:rsidRDefault="00EF48A2">
            <w:pPr>
              <w:pStyle w:val="a3"/>
              <w:spacing w:before="0" w:beforeAutospacing="0" w:after="0" w:afterAutospacing="0"/>
              <w:jc w:val="right"/>
              <w:rPr>
                <w:sz w:val="20"/>
                <w:szCs w:val="20"/>
              </w:rPr>
            </w:pPr>
            <w:r>
              <w:rPr>
                <w:sz w:val="20"/>
                <w:szCs w:val="20"/>
              </w:rPr>
              <w:t>6,08</w:t>
            </w:r>
            <w:r>
              <w:rPr>
                <w:sz w:val="20"/>
                <w:szCs w:val="20"/>
              </w:rPr>
              <w:t>9</w:t>
            </w:r>
          </w:p>
        </w:tc>
        <w:tc>
          <w:tcPr>
            <w:tcW w:w="0" w:type="auto"/>
            <w:noWrap/>
            <w:vAlign w:val="bottom"/>
            <w:hideMark/>
          </w:tcPr>
          <w:p w14:paraId="0E3FE1A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3BFBC3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DA3BA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4164B7" w14:textId="77777777" w:rsidR="00000000" w:rsidRDefault="00EF48A2">
            <w:pPr>
              <w:pStyle w:val="a3"/>
              <w:spacing w:before="0" w:beforeAutospacing="0" w:after="0" w:afterAutospacing="0"/>
              <w:jc w:val="right"/>
              <w:rPr>
                <w:sz w:val="20"/>
                <w:szCs w:val="20"/>
              </w:rPr>
            </w:pPr>
            <w:r>
              <w:rPr>
                <w:sz w:val="20"/>
                <w:szCs w:val="20"/>
              </w:rPr>
              <w:t>1,56</w:t>
            </w:r>
            <w:r>
              <w:rPr>
                <w:sz w:val="20"/>
                <w:szCs w:val="20"/>
              </w:rPr>
              <w:t>8</w:t>
            </w:r>
          </w:p>
        </w:tc>
        <w:tc>
          <w:tcPr>
            <w:tcW w:w="0" w:type="auto"/>
            <w:noWrap/>
            <w:vAlign w:val="bottom"/>
            <w:hideMark/>
          </w:tcPr>
          <w:p w14:paraId="50C1CD6B" w14:textId="77777777" w:rsidR="00000000" w:rsidRDefault="00EF48A2">
            <w:pPr>
              <w:pStyle w:val="a3"/>
              <w:spacing w:before="0" w:beforeAutospacing="0" w:after="0" w:afterAutospacing="0"/>
              <w:rPr>
                <w:sz w:val="20"/>
                <w:szCs w:val="20"/>
              </w:rPr>
            </w:pPr>
            <w:r>
              <w:rPr>
                <w:sz w:val="20"/>
                <w:szCs w:val="20"/>
              </w:rPr>
              <w:t> </w:t>
            </w:r>
          </w:p>
        </w:tc>
      </w:tr>
      <w:tr w:rsidR="00000000" w14:paraId="766A8F6E" w14:textId="77777777">
        <w:trPr>
          <w:divId w:val="1375344527"/>
          <w:trHeight w:val="200"/>
          <w:tblCellSpacing w:w="15" w:type="dxa"/>
        </w:trPr>
        <w:tc>
          <w:tcPr>
            <w:tcW w:w="0" w:type="auto"/>
            <w:hideMark/>
          </w:tcPr>
          <w:p w14:paraId="318C3A90" w14:textId="77777777" w:rsidR="00000000" w:rsidRDefault="00EF48A2">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14:paraId="6BAF636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2845B8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B720A1" w14:textId="77777777" w:rsidR="00000000" w:rsidRDefault="00EF48A2">
            <w:pPr>
              <w:pStyle w:val="a3"/>
              <w:spacing w:before="0" w:beforeAutospacing="0" w:after="0" w:afterAutospacing="0"/>
              <w:jc w:val="right"/>
              <w:rPr>
                <w:sz w:val="20"/>
                <w:szCs w:val="20"/>
              </w:rPr>
            </w:pPr>
            <w:r>
              <w:rPr>
                <w:sz w:val="20"/>
                <w:szCs w:val="20"/>
              </w:rPr>
              <w:t>5,92</w:t>
            </w:r>
            <w:r>
              <w:rPr>
                <w:sz w:val="20"/>
                <w:szCs w:val="20"/>
              </w:rPr>
              <w:t>7</w:t>
            </w:r>
          </w:p>
        </w:tc>
        <w:tc>
          <w:tcPr>
            <w:tcW w:w="0" w:type="auto"/>
            <w:noWrap/>
            <w:vAlign w:val="bottom"/>
            <w:hideMark/>
          </w:tcPr>
          <w:p w14:paraId="0E6BA63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2D565A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FA8817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E7AAF7B" w14:textId="77777777" w:rsidR="00000000" w:rsidRDefault="00EF48A2">
            <w:pPr>
              <w:pStyle w:val="a3"/>
              <w:spacing w:before="0" w:beforeAutospacing="0" w:after="0" w:afterAutospacing="0"/>
              <w:jc w:val="right"/>
              <w:rPr>
                <w:sz w:val="20"/>
                <w:szCs w:val="20"/>
              </w:rPr>
            </w:pPr>
            <w:r>
              <w:rPr>
                <w:sz w:val="20"/>
                <w:szCs w:val="20"/>
              </w:rPr>
              <w:t>16,50</w:t>
            </w:r>
            <w:r>
              <w:rPr>
                <w:sz w:val="20"/>
                <w:szCs w:val="20"/>
              </w:rPr>
              <w:t>3</w:t>
            </w:r>
          </w:p>
        </w:tc>
        <w:tc>
          <w:tcPr>
            <w:tcW w:w="0" w:type="auto"/>
            <w:noWrap/>
            <w:vAlign w:val="bottom"/>
            <w:hideMark/>
          </w:tcPr>
          <w:p w14:paraId="23AADCF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CEB12E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140B30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A202911" w14:textId="77777777" w:rsidR="00000000" w:rsidRDefault="00EF48A2">
            <w:pPr>
              <w:pStyle w:val="a3"/>
              <w:spacing w:before="0" w:beforeAutospacing="0" w:after="0" w:afterAutospacing="0"/>
              <w:jc w:val="right"/>
              <w:rPr>
                <w:sz w:val="20"/>
                <w:szCs w:val="20"/>
              </w:rPr>
            </w:pPr>
            <w:r>
              <w:rPr>
                <w:sz w:val="20"/>
                <w:szCs w:val="20"/>
              </w:rPr>
              <w:t>1,07</w:t>
            </w:r>
            <w:r>
              <w:rPr>
                <w:sz w:val="20"/>
                <w:szCs w:val="20"/>
              </w:rPr>
              <w:t>8</w:t>
            </w:r>
          </w:p>
        </w:tc>
        <w:tc>
          <w:tcPr>
            <w:tcW w:w="0" w:type="auto"/>
            <w:noWrap/>
            <w:vAlign w:val="bottom"/>
            <w:hideMark/>
          </w:tcPr>
          <w:p w14:paraId="3ED46D1C" w14:textId="77777777" w:rsidR="00000000" w:rsidRDefault="00EF48A2">
            <w:pPr>
              <w:pStyle w:val="a3"/>
              <w:spacing w:before="0" w:beforeAutospacing="0" w:after="0" w:afterAutospacing="0"/>
              <w:rPr>
                <w:sz w:val="20"/>
                <w:szCs w:val="20"/>
              </w:rPr>
            </w:pPr>
            <w:r>
              <w:rPr>
                <w:sz w:val="20"/>
                <w:szCs w:val="20"/>
              </w:rPr>
              <w:t> </w:t>
            </w:r>
          </w:p>
        </w:tc>
      </w:tr>
      <w:tr w:rsidR="00000000" w14:paraId="79E74465" w14:textId="77777777">
        <w:trPr>
          <w:divId w:val="1375344527"/>
          <w:trHeight w:val="200"/>
          <w:tblCellSpacing w:w="15" w:type="dxa"/>
        </w:trPr>
        <w:tc>
          <w:tcPr>
            <w:tcW w:w="0" w:type="auto"/>
            <w:hideMark/>
          </w:tcPr>
          <w:p w14:paraId="710D5B01" w14:textId="77777777" w:rsidR="00000000" w:rsidRDefault="00EF48A2">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14:paraId="286932D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6D1521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746A488" w14:textId="77777777" w:rsidR="00000000" w:rsidRDefault="00EF48A2">
            <w:pPr>
              <w:pStyle w:val="a3"/>
              <w:spacing w:before="0" w:beforeAutospacing="0" w:after="0" w:afterAutospacing="0"/>
              <w:jc w:val="right"/>
              <w:rPr>
                <w:sz w:val="20"/>
                <w:szCs w:val="20"/>
              </w:rPr>
            </w:pPr>
            <w:r>
              <w:rPr>
                <w:sz w:val="20"/>
                <w:szCs w:val="20"/>
              </w:rPr>
              <w:t>12,11</w:t>
            </w:r>
            <w:r>
              <w:rPr>
                <w:sz w:val="20"/>
                <w:szCs w:val="20"/>
              </w:rPr>
              <w:t>6</w:t>
            </w:r>
          </w:p>
        </w:tc>
        <w:tc>
          <w:tcPr>
            <w:tcW w:w="0" w:type="auto"/>
            <w:noWrap/>
            <w:vAlign w:val="bottom"/>
            <w:hideMark/>
          </w:tcPr>
          <w:p w14:paraId="3C22B20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A14680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BE676F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36F50C0" w14:textId="77777777" w:rsidR="00000000" w:rsidRDefault="00EF48A2">
            <w:pPr>
              <w:pStyle w:val="a3"/>
              <w:spacing w:before="0" w:beforeAutospacing="0" w:after="0" w:afterAutospacing="0"/>
              <w:jc w:val="right"/>
              <w:rPr>
                <w:sz w:val="20"/>
                <w:szCs w:val="20"/>
              </w:rPr>
            </w:pPr>
            <w:r>
              <w:rPr>
                <w:sz w:val="20"/>
                <w:szCs w:val="20"/>
              </w:rPr>
              <w:t>27,40</w:t>
            </w:r>
            <w:r>
              <w:rPr>
                <w:sz w:val="20"/>
                <w:szCs w:val="20"/>
              </w:rPr>
              <w:t>5</w:t>
            </w:r>
          </w:p>
        </w:tc>
        <w:tc>
          <w:tcPr>
            <w:tcW w:w="0" w:type="auto"/>
            <w:noWrap/>
            <w:vAlign w:val="bottom"/>
            <w:hideMark/>
          </w:tcPr>
          <w:p w14:paraId="1079C03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9D028E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1BD990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1A49874" w14:textId="77777777" w:rsidR="00000000" w:rsidRDefault="00EF48A2">
            <w:pPr>
              <w:pStyle w:val="a3"/>
              <w:spacing w:before="0" w:beforeAutospacing="0" w:after="0" w:afterAutospacing="0"/>
              <w:jc w:val="right"/>
              <w:rPr>
                <w:sz w:val="20"/>
                <w:szCs w:val="20"/>
              </w:rPr>
            </w:pPr>
            <w:r>
              <w:rPr>
                <w:sz w:val="20"/>
                <w:szCs w:val="20"/>
              </w:rPr>
              <w:t>2,97</w:t>
            </w:r>
            <w:r>
              <w:rPr>
                <w:sz w:val="20"/>
                <w:szCs w:val="20"/>
              </w:rPr>
              <w:t>7</w:t>
            </w:r>
          </w:p>
        </w:tc>
        <w:tc>
          <w:tcPr>
            <w:tcW w:w="0" w:type="auto"/>
            <w:noWrap/>
            <w:vAlign w:val="bottom"/>
            <w:hideMark/>
          </w:tcPr>
          <w:p w14:paraId="32797E19" w14:textId="77777777" w:rsidR="00000000" w:rsidRDefault="00EF48A2">
            <w:pPr>
              <w:pStyle w:val="a3"/>
              <w:spacing w:before="0" w:beforeAutospacing="0" w:after="0" w:afterAutospacing="0"/>
              <w:rPr>
                <w:sz w:val="20"/>
                <w:szCs w:val="20"/>
              </w:rPr>
            </w:pPr>
            <w:r>
              <w:rPr>
                <w:sz w:val="20"/>
                <w:szCs w:val="20"/>
              </w:rPr>
              <w:t> </w:t>
            </w:r>
          </w:p>
        </w:tc>
      </w:tr>
    </w:tbl>
    <w:p w14:paraId="3837C330" w14:textId="77777777" w:rsidR="00000000" w:rsidRDefault="00EF48A2">
      <w:pPr>
        <w:pStyle w:val="a3"/>
        <w:spacing w:before="180" w:beforeAutospacing="0" w:after="0" w:afterAutospacing="0"/>
        <w:jc w:val="both"/>
        <w:divId w:val="1765371821"/>
        <w:rPr>
          <w:sz w:val="20"/>
          <w:szCs w:val="20"/>
        </w:rPr>
      </w:pPr>
      <w:r>
        <w:rPr>
          <w:sz w:val="20"/>
          <w:szCs w:val="20"/>
        </w:rPr>
        <w:t>Upon closing of the Business Combination, vested and unvested stock options of Old Talkspace were converted into Talkspace stock options using an exchange ratio of</w:t>
      </w:r>
      <w:r>
        <w:rPr>
          <w:sz w:val="20"/>
          <w:szCs w:val="20"/>
        </w:rPr>
        <w:t xml:space="preserve"> </w:t>
      </w:r>
      <w:r>
        <w:rPr>
          <w:sz w:val="20"/>
          <w:szCs w:val="20"/>
        </w:rPr>
        <w:t>1.13414</w:t>
      </w:r>
      <w:r>
        <w:rPr>
          <w:sz w:val="20"/>
          <w:szCs w:val="20"/>
        </w:rPr>
        <w:t>0</w:t>
      </w:r>
      <w:r>
        <w:rPr>
          <w:sz w:val="20"/>
          <w:szCs w:val="20"/>
        </w:rPr>
        <w:t>.</w:t>
      </w:r>
      <w:r>
        <w:rPr>
          <w:sz w:val="20"/>
          <w:szCs w:val="20"/>
        </w:rPr>
        <w:t xml:space="preserve"> </w:t>
      </w:r>
      <w:r>
        <w:rPr>
          <w:sz w:val="20"/>
          <w:szCs w:val="20"/>
        </w:rPr>
        <w:t xml:space="preserve">As a result of this modification, the Company recognized </w:t>
      </w:r>
      <w:r>
        <w:rPr>
          <w:sz w:val="20"/>
          <w:szCs w:val="20"/>
        </w:rPr>
        <w:t>$</w:t>
      </w:r>
      <w:r>
        <w:rPr>
          <w:sz w:val="20"/>
          <w:szCs w:val="20"/>
        </w:rPr>
        <w:t>15.</w:t>
      </w:r>
      <w:r>
        <w:rPr>
          <w:sz w:val="20"/>
          <w:szCs w:val="20"/>
        </w:rPr>
        <w:t>2</w:t>
      </w:r>
      <w:r>
        <w:rPr>
          <w:sz w:val="20"/>
          <w:szCs w:val="20"/>
        </w:rPr>
        <w:t xml:space="preserve"> million in addition</w:t>
      </w:r>
      <w:r>
        <w:rPr>
          <w:sz w:val="20"/>
          <w:szCs w:val="20"/>
        </w:rPr>
        <w:t>al share-based compensation expense during the year ended December 31, 2021. Additionally</w:t>
      </w:r>
      <w:r>
        <w:rPr>
          <w:sz w:val="20"/>
          <w:szCs w:val="20"/>
        </w:rPr>
        <w:t>,</w:t>
      </w:r>
      <w:r>
        <w:rPr>
          <w:sz w:val="20"/>
          <w:szCs w:val="20"/>
        </w:rPr>
        <w:t xml:space="preserve"> the Company recognized </w:t>
      </w:r>
      <w:r>
        <w:rPr>
          <w:sz w:val="20"/>
          <w:szCs w:val="20"/>
        </w:rPr>
        <w:t>$</w:t>
      </w:r>
      <w:r>
        <w:rPr>
          <w:sz w:val="20"/>
          <w:szCs w:val="20"/>
        </w:rPr>
        <w:t>3.</w:t>
      </w:r>
      <w:r>
        <w:rPr>
          <w:sz w:val="20"/>
          <w:szCs w:val="20"/>
        </w:rPr>
        <w:t>8</w:t>
      </w:r>
      <w:r>
        <w:rPr>
          <w:sz w:val="20"/>
          <w:szCs w:val="20"/>
        </w:rPr>
        <w:t xml:space="preserve"> million in share-based compensation expense as a result of the modification of Mr. and Ms. Frank's equity awards during the year ended De</w:t>
      </w:r>
      <w:r>
        <w:rPr>
          <w:sz w:val="20"/>
          <w:szCs w:val="20"/>
        </w:rPr>
        <w:t>cember 31, 2021, in connection with their departure from the Company</w:t>
      </w:r>
      <w:r>
        <w:rPr>
          <w:sz w:val="20"/>
          <w:szCs w:val="20"/>
        </w:rPr>
        <w:t>.</w:t>
      </w:r>
    </w:p>
    <w:p w14:paraId="4E47E2E0" w14:textId="77777777" w:rsidR="00000000" w:rsidRDefault="00EF48A2">
      <w:pPr>
        <w:pStyle w:val="a3"/>
        <w:spacing w:before="360" w:beforeAutospacing="0" w:after="0" w:afterAutospacing="0"/>
        <w:divId w:val="1618754443"/>
        <w:rPr>
          <w:sz w:val="20"/>
          <w:szCs w:val="20"/>
        </w:rPr>
      </w:pPr>
      <w:r>
        <w:rPr>
          <w:b/>
          <w:bCs/>
          <w:sz w:val="20"/>
          <w:szCs w:val="20"/>
        </w:rPr>
        <w:t>NOTE 12.</w:t>
      </w:r>
      <w:r>
        <w:rPr>
          <w:b/>
          <w:bCs/>
          <w:sz w:val="20"/>
          <w:szCs w:val="20"/>
        </w:rPr>
        <w:t xml:space="preserve"> </w:t>
      </w:r>
      <w:r>
        <w:rPr>
          <w:b/>
          <w:bCs/>
          <w:sz w:val="20"/>
          <w:szCs w:val="20"/>
        </w:rPr>
        <w:t>NET LOSS PER SHAR</w:t>
      </w:r>
      <w:r>
        <w:rPr>
          <w:b/>
          <w:bCs/>
          <w:sz w:val="20"/>
          <w:szCs w:val="20"/>
        </w:rPr>
        <w:t>E</w:t>
      </w:r>
    </w:p>
    <w:p w14:paraId="36D78E6E" w14:textId="77777777" w:rsidR="00000000" w:rsidRDefault="00EF48A2">
      <w:pPr>
        <w:pStyle w:val="a3"/>
        <w:spacing w:before="180" w:beforeAutospacing="0" w:after="180" w:afterAutospacing="0"/>
        <w:jc w:val="both"/>
        <w:divId w:val="949362165"/>
        <w:rPr>
          <w:sz w:val="20"/>
          <w:szCs w:val="20"/>
        </w:rPr>
      </w:pPr>
      <w:r>
        <w:rPr>
          <w:sz w:val="20"/>
          <w:szCs w:val="20"/>
        </w:rPr>
        <w:t>The following table sets forth the computation of basic and diluted net loss per share attributable to common stockholders for the years ended December 31, 20</w:t>
      </w:r>
      <w:r>
        <w:rPr>
          <w:sz w:val="20"/>
          <w:szCs w:val="20"/>
        </w:rPr>
        <w:t>22, 2021 and 2020</w:t>
      </w:r>
      <w:r>
        <w:rPr>
          <w:sz w:val="20"/>
          <w:szCs w:val="20"/>
        </w:rPr>
        <w:t>:</w:t>
      </w:r>
      <w:r>
        <w:rPr>
          <w:sz w:val="20"/>
          <w:szCs w:val="20"/>
        </w:rPr>
        <w:t xml:space="preserve"> </w:t>
      </w:r>
    </w:p>
    <w:tbl>
      <w:tblPr>
        <w:tblW w:w="4600" w:type="pct"/>
        <w:tblCellSpacing w:w="15" w:type="dxa"/>
        <w:tblCellMar>
          <w:top w:w="15" w:type="dxa"/>
          <w:left w:w="15" w:type="dxa"/>
          <w:bottom w:w="15" w:type="dxa"/>
          <w:right w:w="15" w:type="dxa"/>
        </w:tblCellMar>
        <w:tblLook w:val="04A0" w:firstRow="1" w:lastRow="0" w:firstColumn="1" w:lastColumn="0" w:noHBand="0" w:noVBand="1"/>
      </w:tblPr>
      <w:tblGrid>
        <w:gridCol w:w="3456"/>
        <w:gridCol w:w="110"/>
        <w:gridCol w:w="160"/>
        <w:gridCol w:w="1060"/>
        <w:gridCol w:w="127"/>
        <w:gridCol w:w="110"/>
        <w:gridCol w:w="160"/>
        <w:gridCol w:w="960"/>
        <w:gridCol w:w="127"/>
        <w:gridCol w:w="110"/>
        <w:gridCol w:w="160"/>
        <w:gridCol w:w="960"/>
        <w:gridCol w:w="142"/>
      </w:tblGrid>
      <w:tr w:rsidR="00000000" w14:paraId="5F09F487" w14:textId="77777777">
        <w:trPr>
          <w:divId w:val="949362165"/>
          <w:tblCellSpacing w:w="15" w:type="dxa"/>
        </w:trPr>
        <w:tc>
          <w:tcPr>
            <w:tcW w:w="2783" w:type="pct"/>
            <w:vAlign w:val="center"/>
            <w:hideMark/>
          </w:tcPr>
          <w:p w14:paraId="067FF0C0" w14:textId="77777777" w:rsidR="00000000" w:rsidRDefault="00EF48A2">
            <w:pPr>
              <w:rPr>
                <w:sz w:val="20"/>
                <w:szCs w:val="20"/>
              </w:rPr>
            </w:pPr>
          </w:p>
        </w:tc>
        <w:tc>
          <w:tcPr>
            <w:tcW w:w="54" w:type="pct"/>
            <w:vAlign w:val="center"/>
            <w:hideMark/>
          </w:tcPr>
          <w:p w14:paraId="7543A09B" w14:textId="77777777" w:rsidR="00000000" w:rsidRDefault="00EF48A2">
            <w:pPr>
              <w:rPr>
                <w:rFonts w:eastAsia="Times New Roman"/>
                <w:sz w:val="20"/>
                <w:szCs w:val="20"/>
              </w:rPr>
            </w:pPr>
          </w:p>
        </w:tc>
        <w:tc>
          <w:tcPr>
            <w:tcW w:w="50" w:type="pct"/>
            <w:vAlign w:val="center"/>
            <w:hideMark/>
          </w:tcPr>
          <w:p w14:paraId="3E75569D" w14:textId="77777777" w:rsidR="00000000" w:rsidRDefault="00EF48A2">
            <w:pPr>
              <w:rPr>
                <w:rFonts w:eastAsia="Times New Roman"/>
                <w:sz w:val="20"/>
                <w:szCs w:val="20"/>
              </w:rPr>
            </w:pPr>
          </w:p>
        </w:tc>
        <w:tc>
          <w:tcPr>
            <w:tcW w:w="665" w:type="pct"/>
            <w:vAlign w:val="center"/>
            <w:hideMark/>
          </w:tcPr>
          <w:p w14:paraId="3688AC10" w14:textId="77777777" w:rsidR="00000000" w:rsidRDefault="00EF48A2">
            <w:pPr>
              <w:rPr>
                <w:rFonts w:eastAsia="Times New Roman"/>
                <w:sz w:val="20"/>
                <w:szCs w:val="20"/>
              </w:rPr>
            </w:pPr>
          </w:p>
        </w:tc>
        <w:tc>
          <w:tcPr>
            <w:tcW w:w="50" w:type="pct"/>
            <w:vAlign w:val="center"/>
            <w:hideMark/>
          </w:tcPr>
          <w:p w14:paraId="343DB249" w14:textId="77777777" w:rsidR="00000000" w:rsidRDefault="00EF48A2">
            <w:pPr>
              <w:rPr>
                <w:rFonts w:eastAsia="Times New Roman"/>
                <w:sz w:val="20"/>
                <w:szCs w:val="20"/>
              </w:rPr>
            </w:pPr>
          </w:p>
        </w:tc>
        <w:tc>
          <w:tcPr>
            <w:tcW w:w="54" w:type="pct"/>
            <w:vAlign w:val="center"/>
            <w:hideMark/>
          </w:tcPr>
          <w:p w14:paraId="3DED7782" w14:textId="77777777" w:rsidR="00000000" w:rsidRDefault="00EF48A2">
            <w:pPr>
              <w:rPr>
                <w:rFonts w:eastAsia="Times New Roman"/>
                <w:sz w:val="20"/>
                <w:szCs w:val="20"/>
              </w:rPr>
            </w:pPr>
          </w:p>
        </w:tc>
        <w:tc>
          <w:tcPr>
            <w:tcW w:w="50" w:type="pct"/>
            <w:vAlign w:val="center"/>
            <w:hideMark/>
          </w:tcPr>
          <w:p w14:paraId="5A0E79A9" w14:textId="77777777" w:rsidR="00000000" w:rsidRDefault="00EF48A2">
            <w:pPr>
              <w:rPr>
                <w:rFonts w:eastAsia="Times New Roman"/>
                <w:sz w:val="20"/>
                <w:szCs w:val="20"/>
              </w:rPr>
            </w:pPr>
          </w:p>
        </w:tc>
        <w:tc>
          <w:tcPr>
            <w:tcW w:w="570" w:type="pct"/>
            <w:vAlign w:val="center"/>
            <w:hideMark/>
          </w:tcPr>
          <w:p w14:paraId="785E3483" w14:textId="77777777" w:rsidR="00000000" w:rsidRDefault="00EF48A2">
            <w:pPr>
              <w:rPr>
                <w:rFonts w:eastAsia="Times New Roman"/>
                <w:sz w:val="20"/>
                <w:szCs w:val="20"/>
              </w:rPr>
            </w:pPr>
          </w:p>
        </w:tc>
        <w:tc>
          <w:tcPr>
            <w:tcW w:w="50" w:type="pct"/>
            <w:vAlign w:val="center"/>
            <w:hideMark/>
          </w:tcPr>
          <w:p w14:paraId="511189EA" w14:textId="77777777" w:rsidR="00000000" w:rsidRDefault="00EF48A2">
            <w:pPr>
              <w:rPr>
                <w:rFonts w:eastAsia="Times New Roman"/>
                <w:sz w:val="20"/>
                <w:szCs w:val="20"/>
              </w:rPr>
            </w:pPr>
          </w:p>
        </w:tc>
        <w:tc>
          <w:tcPr>
            <w:tcW w:w="54" w:type="pct"/>
            <w:vAlign w:val="center"/>
            <w:hideMark/>
          </w:tcPr>
          <w:p w14:paraId="28E4A775" w14:textId="77777777" w:rsidR="00000000" w:rsidRDefault="00EF48A2">
            <w:pPr>
              <w:rPr>
                <w:rFonts w:eastAsia="Times New Roman"/>
                <w:sz w:val="20"/>
                <w:szCs w:val="20"/>
              </w:rPr>
            </w:pPr>
          </w:p>
        </w:tc>
        <w:tc>
          <w:tcPr>
            <w:tcW w:w="50" w:type="pct"/>
            <w:vAlign w:val="center"/>
            <w:hideMark/>
          </w:tcPr>
          <w:p w14:paraId="66F8F7FC" w14:textId="77777777" w:rsidR="00000000" w:rsidRDefault="00EF48A2">
            <w:pPr>
              <w:rPr>
                <w:rFonts w:eastAsia="Times New Roman"/>
                <w:sz w:val="20"/>
                <w:szCs w:val="20"/>
              </w:rPr>
            </w:pPr>
          </w:p>
        </w:tc>
        <w:tc>
          <w:tcPr>
            <w:tcW w:w="517" w:type="pct"/>
            <w:vAlign w:val="center"/>
            <w:hideMark/>
          </w:tcPr>
          <w:p w14:paraId="784E7F7F" w14:textId="77777777" w:rsidR="00000000" w:rsidRDefault="00EF48A2">
            <w:pPr>
              <w:rPr>
                <w:rFonts w:eastAsia="Times New Roman"/>
                <w:sz w:val="20"/>
                <w:szCs w:val="20"/>
              </w:rPr>
            </w:pPr>
          </w:p>
        </w:tc>
        <w:tc>
          <w:tcPr>
            <w:tcW w:w="50" w:type="pct"/>
            <w:vAlign w:val="center"/>
            <w:hideMark/>
          </w:tcPr>
          <w:p w14:paraId="767E1C20" w14:textId="77777777" w:rsidR="00000000" w:rsidRDefault="00EF48A2">
            <w:pPr>
              <w:rPr>
                <w:rFonts w:eastAsia="Times New Roman"/>
                <w:sz w:val="20"/>
                <w:szCs w:val="20"/>
              </w:rPr>
            </w:pPr>
          </w:p>
        </w:tc>
      </w:tr>
      <w:tr w:rsidR="00000000" w14:paraId="06BB6BC2" w14:textId="77777777">
        <w:trPr>
          <w:divId w:val="949362165"/>
          <w:trHeight w:val="160"/>
          <w:tblCellSpacing w:w="15" w:type="dxa"/>
        </w:trPr>
        <w:tc>
          <w:tcPr>
            <w:tcW w:w="0" w:type="auto"/>
            <w:vAlign w:val="bottom"/>
            <w:hideMark/>
          </w:tcPr>
          <w:p w14:paraId="1BF6D775"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67B45302" w14:textId="77777777" w:rsidR="00000000" w:rsidRDefault="00EF48A2">
            <w:pPr>
              <w:pStyle w:val="a3"/>
              <w:spacing w:before="0" w:beforeAutospacing="0" w:after="0" w:afterAutospacing="0"/>
              <w:rPr>
                <w:sz w:val="16"/>
                <w:szCs w:val="16"/>
              </w:rPr>
            </w:pPr>
            <w:r>
              <w:rPr>
                <w:sz w:val="16"/>
                <w:szCs w:val="16"/>
              </w:rPr>
              <w:t> </w:t>
            </w:r>
          </w:p>
        </w:tc>
        <w:tc>
          <w:tcPr>
            <w:tcW w:w="0" w:type="auto"/>
            <w:gridSpan w:val="10"/>
            <w:vAlign w:val="bottom"/>
            <w:hideMark/>
          </w:tcPr>
          <w:p w14:paraId="0BE153B7"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 31</w:t>
            </w:r>
            <w:r>
              <w:rPr>
                <w:b/>
                <w:bCs/>
                <w:sz w:val="16"/>
                <w:szCs w:val="16"/>
              </w:rPr>
              <w:t>,</w:t>
            </w:r>
          </w:p>
        </w:tc>
        <w:tc>
          <w:tcPr>
            <w:tcW w:w="0" w:type="auto"/>
            <w:vAlign w:val="bottom"/>
            <w:hideMark/>
          </w:tcPr>
          <w:p w14:paraId="5E553ABE"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A09377B" w14:textId="77777777">
        <w:trPr>
          <w:divId w:val="949362165"/>
          <w:trHeight w:val="160"/>
          <w:tblCellSpacing w:w="15" w:type="dxa"/>
        </w:trPr>
        <w:tc>
          <w:tcPr>
            <w:tcW w:w="0" w:type="auto"/>
            <w:vAlign w:val="bottom"/>
            <w:hideMark/>
          </w:tcPr>
          <w:p w14:paraId="5F21B80F" w14:textId="77777777" w:rsidR="00000000" w:rsidRDefault="00EF48A2">
            <w:pPr>
              <w:pStyle w:val="a3"/>
              <w:spacing w:before="0" w:beforeAutospacing="0" w:after="0" w:afterAutospacing="0"/>
              <w:rPr>
                <w:sz w:val="16"/>
                <w:szCs w:val="16"/>
              </w:rPr>
            </w:pPr>
            <w:r>
              <w:rPr>
                <w:i/>
                <w:iCs/>
                <w:sz w:val="16"/>
                <w:szCs w:val="16"/>
              </w:rPr>
              <w:t>(in thousands except share and per share data</w:t>
            </w:r>
            <w:r>
              <w:rPr>
                <w:i/>
                <w:iCs/>
                <w:sz w:val="16"/>
                <w:szCs w:val="16"/>
              </w:rPr>
              <w:t>)</w:t>
            </w:r>
          </w:p>
        </w:tc>
        <w:tc>
          <w:tcPr>
            <w:tcW w:w="0" w:type="auto"/>
            <w:vAlign w:val="bottom"/>
            <w:hideMark/>
          </w:tcPr>
          <w:p w14:paraId="2B9EF556"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C36AE93"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8D3F813"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6E0ACFE"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4598009"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891CB77"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5C3740D0"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4EBE4853"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4E96D0B"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D913E4E" w14:textId="77777777">
        <w:trPr>
          <w:divId w:val="949362165"/>
          <w:trHeight w:val="200"/>
          <w:tblCellSpacing w:w="15" w:type="dxa"/>
        </w:trPr>
        <w:tc>
          <w:tcPr>
            <w:tcW w:w="0" w:type="auto"/>
            <w:hideMark/>
          </w:tcPr>
          <w:p w14:paraId="0EA24686" w14:textId="77777777" w:rsidR="00000000" w:rsidRDefault="00EF48A2">
            <w:pPr>
              <w:pStyle w:val="a3"/>
              <w:spacing w:before="0" w:beforeAutospacing="0" w:after="0" w:afterAutospacing="0"/>
              <w:rPr>
                <w:sz w:val="20"/>
                <w:szCs w:val="20"/>
              </w:rPr>
            </w:pPr>
            <w:r>
              <w:rPr>
                <w:sz w:val="20"/>
                <w:szCs w:val="20"/>
              </w:rPr>
              <w:t>Net los</w:t>
            </w:r>
            <w:r>
              <w:rPr>
                <w:sz w:val="20"/>
                <w:szCs w:val="20"/>
              </w:rPr>
              <w:t>s</w:t>
            </w:r>
          </w:p>
        </w:tc>
        <w:tc>
          <w:tcPr>
            <w:tcW w:w="0" w:type="auto"/>
            <w:hideMark/>
          </w:tcPr>
          <w:p w14:paraId="0278382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9100AB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777C554"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79,67</w:t>
            </w:r>
            <w:r>
              <w:rPr>
                <w:sz w:val="20"/>
                <w:szCs w:val="20"/>
              </w:rPr>
              <w:t>2</w:t>
            </w:r>
          </w:p>
        </w:tc>
        <w:tc>
          <w:tcPr>
            <w:tcW w:w="0" w:type="auto"/>
            <w:noWrap/>
            <w:vAlign w:val="bottom"/>
            <w:hideMark/>
          </w:tcPr>
          <w:p w14:paraId="28DA16D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1ABCC9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6D582F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80D4493"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62,74</w:t>
            </w:r>
            <w:r>
              <w:rPr>
                <w:sz w:val="20"/>
                <w:szCs w:val="20"/>
              </w:rPr>
              <w:t>2</w:t>
            </w:r>
          </w:p>
        </w:tc>
        <w:tc>
          <w:tcPr>
            <w:tcW w:w="0" w:type="auto"/>
            <w:noWrap/>
            <w:vAlign w:val="bottom"/>
            <w:hideMark/>
          </w:tcPr>
          <w:p w14:paraId="000C79E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9AD0C6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EC1867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1504996"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22,37</w:t>
            </w:r>
            <w:r>
              <w:rPr>
                <w:sz w:val="20"/>
                <w:szCs w:val="20"/>
              </w:rPr>
              <w:t>0</w:t>
            </w:r>
          </w:p>
        </w:tc>
        <w:tc>
          <w:tcPr>
            <w:tcW w:w="0" w:type="auto"/>
            <w:noWrap/>
            <w:vAlign w:val="bottom"/>
            <w:hideMark/>
          </w:tcPr>
          <w:p w14:paraId="6023EEE9" w14:textId="77777777" w:rsidR="00000000" w:rsidRDefault="00EF48A2">
            <w:pPr>
              <w:pStyle w:val="a3"/>
              <w:spacing w:before="0" w:beforeAutospacing="0" w:after="0" w:afterAutospacing="0"/>
              <w:rPr>
                <w:sz w:val="20"/>
                <w:szCs w:val="20"/>
              </w:rPr>
            </w:pPr>
            <w:r>
              <w:rPr>
                <w:sz w:val="20"/>
                <w:szCs w:val="20"/>
              </w:rPr>
              <w:t>)</w:t>
            </w:r>
          </w:p>
        </w:tc>
      </w:tr>
      <w:tr w:rsidR="00000000" w14:paraId="13EFB11B" w14:textId="77777777">
        <w:trPr>
          <w:divId w:val="949362165"/>
          <w:trHeight w:val="200"/>
          <w:tblCellSpacing w:w="15" w:type="dxa"/>
        </w:trPr>
        <w:tc>
          <w:tcPr>
            <w:tcW w:w="0" w:type="auto"/>
            <w:hideMark/>
          </w:tcPr>
          <w:p w14:paraId="28101220" w14:textId="77777777" w:rsidR="00000000" w:rsidRDefault="00EF48A2">
            <w:pPr>
              <w:pStyle w:val="a3"/>
              <w:spacing w:before="0" w:beforeAutospacing="0" w:after="0" w:afterAutospacing="0"/>
              <w:rPr>
                <w:sz w:val="20"/>
                <w:szCs w:val="20"/>
              </w:rPr>
            </w:pPr>
            <w:r>
              <w:rPr>
                <w:sz w:val="20"/>
                <w:szCs w:val="20"/>
              </w:rPr>
              <w:t>Weighted-average shares used to compute net loss per share</w:t>
            </w:r>
            <w:r>
              <w:rPr>
                <w:sz w:val="20"/>
                <w:szCs w:val="20"/>
              </w:rPr>
              <w:t>:</w:t>
            </w:r>
          </w:p>
        </w:tc>
        <w:tc>
          <w:tcPr>
            <w:tcW w:w="0" w:type="auto"/>
            <w:hideMark/>
          </w:tcPr>
          <w:p w14:paraId="0B941CA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4C1C3A5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1F7D9C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C697E08"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0614C65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66089086"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719D5DFC"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3D2B8FA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B338E87" w14:textId="77777777" w:rsidR="00000000" w:rsidRDefault="00EF48A2">
            <w:pPr>
              <w:pStyle w:val="a3"/>
              <w:spacing w:before="0" w:beforeAutospacing="0" w:after="0" w:afterAutospacing="0"/>
              <w:jc w:val="right"/>
              <w:rPr>
                <w:sz w:val="20"/>
                <w:szCs w:val="20"/>
              </w:rPr>
            </w:pPr>
            <w:r>
              <w:rPr>
                <w:sz w:val="20"/>
                <w:szCs w:val="20"/>
              </w:rPr>
              <w:t> </w:t>
            </w:r>
          </w:p>
        </w:tc>
      </w:tr>
      <w:tr w:rsidR="00000000" w14:paraId="18513809" w14:textId="77777777">
        <w:trPr>
          <w:divId w:val="949362165"/>
          <w:trHeight w:val="200"/>
          <w:tblCellSpacing w:w="15" w:type="dxa"/>
        </w:trPr>
        <w:tc>
          <w:tcPr>
            <w:tcW w:w="0" w:type="auto"/>
            <w:hideMark/>
          </w:tcPr>
          <w:p w14:paraId="6D6A0709" w14:textId="77777777" w:rsidR="00000000" w:rsidRDefault="00EF48A2">
            <w:pPr>
              <w:pStyle w:val="a3"/>
              <w:spacing w:before="0" w:beforeAutospacing="0" w:after="0" w:afterAutospacing="0"/>
              <w:rPr>
                <w:sz w:val="20"/>
                <w:szCs w:val="20"/>
              </w:rPr>
            </w:pPr>
            <w:r>
              <w:rPr>
                <w:i/>
                <w:iCs/>
                <w:sz w:val="20"/>
                <w:szCs w:val="20"/>
              </w:rPr>
              <w:t>Basic and dilute</w:t>
            </w:r>
            <w:r>
              <w:rPr>
                <w:i/>
                <w:iCs/>
                <w:sz w:val="20"/>
                <w:szCs w:val="20"/>
              </w:rPr>
              <w:t>d</w:t>
            </w:r>
          </w:p>
        </w:tc>
        <w:tc>
          <w:tcPr>
            <w:tcW w:w="0" w:type="auto"/>
            <w:hideMark/>
          </w:tcPr>
          <w:p w14:paraId="179CE73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96022D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2592D4" w14:textId="77777777" w:rsidR="00000000" w:rsidRDefault="00EF48A2">
            <w:pPr>
              <w:pStyle w:val="a3"/>
              <w:spacing w:before="0" w:beforeAutospacing="0" w:after="0" w:afterAutospacing="0"/>
              <w:jc w:val="right"/>
              <w:rPr>
                <w:sz w:val="20"/>
                <w:szCs w:val="20"/>
              </w:rPr>
            </w:pPr>
            <w:r>
              <w:rPr>
                <w:sz w:val="20"/>
                <w:szCs w:val="20"/>
              </w:rPr>
              <w:t>156,885,25</w:t>
            </w:r>
            <w:r>
              <w:rPr>
                <w:sz w:val="20"/>
                <w:szCs w:val="20"/>
              </w:rPr>
              <w:t>6</w:t>
            </w:r>
          </w:p>
        </w:tc>
        <w:tc>
          <w:tcPr>
            <w:tcW w:w="0" w:type="auto"/>
            <w:noWrap/>
            <w:vAlign w:val="bottom"/>
            <w:hideMark/>
          </w:tcPr>
          <w:p w14:paraId="547ED19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03C64F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7F9B43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837813" w14:textId="77777777" w:rsidR="00000000" w:rsidRDefault="00EF48A2">
            <w:pPr>
              <w:pStyle w:val="a3"/>
              <w:spacing w:before="0" w:beforeAutospacing="0" w:after="0" w:afterAutospacing="0"/>
              <w:jc w:val="right"/>
              <w:rPr>
                <w:sz w:val="20"/>
                <w:szCs w:val="20"/>
              </w:rPr>
            </w:pPr>
            <w:r>
              <w:rPr>
                <w:sz w:val="20"/>
                <w:szCs w:val="20"/>
              </w:rPr>
              <w:t>86,775,94</w:t>
            </w:r>
            <w:r>
              <w:rPr>
                <w:sz w:val="20"/>
                <w:szCs w:val="20"/>
              </w:rPr>
              <w:t>8</w:t>
            </w:r>
          </w:p>
        </w:tc>
        <w:tc>
          <w:tcPr>
            <w:tcW w:w="0" w:type="auto"/>
            <w:noWrap/>
            <w:vAlign w:val="bottom"/>
            <w:hideMark/>
          </w:tcPr>
          <w:p w14:paraId="3BA23F6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68203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7A90C9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B53D2B1" w14:textId="77777777" w:rsidR="00000000" w:rsidRDefault="00EF48A2">
            <w:pPr>
              <w:pStyle w:val="a3"/>
              <w:spacing w:before="0" w:beforeAutospacing="0" w:after="0" w:afterAutospacing="0"/>
              <w:jc w:val="right"/>
              <w:rPr>
                <w:sz w:val="20"/>
                <w:szCs w:val="20"/>
              </w:rPr>
            </w:pPr>
            <w:r>
              <w:rPr>
                <w:sz w:val="20"/>
                <w:szCs w:val="20"/>
              </w:rPr>
              <w:t>13,359,35</w:t>
            </w:r>
            <w:r>
              <w:rPr>
                <w:sz w:val="20"/>
                <w:szCs w:val="20"/>
              </w:rPr>
              <w:t>0</w:t>
            </w:r>
          </w:p>
        </w:tc>
        <w:tc>
          <w:tcPr>
            <w:tcW w:w="0" w:type="auto"/>
            <w:noWrap/>
            <w:vAlign w:val="bottom"/>
            <w:hideMark/>
          </w:tcPr>
          <w:p w14:paraId="39C6BD19" w14:textId="77777777" w:rsidR="00000000" w:rsidRDefault="00EF48A2">
            <w:pPr>
              <w:pStyle w:val="a3"/>
              <w:spacing w:before="0" w:beforeAutospacing="0" w:after="0" w:afterAutospacing="0"/>
              <w:rPr>
                <w:sz w:val="20"/>
                <w:szCs w:val="20"/>
              </w:rPr>
            </w:pPr>
            <w:r>
              <w:rPr>
                <w:sz w:val="20"/>
                <w:szCs w:val="20"/>
              </w:rPr>
              <w:t> </w:t>
            </w:r>
          </w:p>
        </w:tc>
      </w:tr>
      <w:tr w:rsidR="00000000" w14:paraId="103A8E9D" w14:textId="77777777">
        <w:trPr>
          <w:divId w:val="949362165"/>
          <w:trHeight w:val="200"/>
          <w:tblCellSpacing w:w="15" w:type="dxa"/>
        </w:trPr>
        <w:tc>
          <w:tcPr>
            <w:tcW w:w="0" w:type="auto"/>
            <w:hideMark/>
          </w:tcPr>
          <w:p w14:paraId="7EDF5D79" w14:textId="77777777" w:rsidR="00000000" w:rsidRDefault="00EF48A2">
            <w:pPr>
              <w:pStyle w:val="a3"/>
              <w:spacing w:before="0" w:beforeAutospacing="0" w:after="0" w:afterAutospacing="0"/>
              <w:rPr>
                <w:sz w:val="20"/>
                <w:szCs w:val="20"/>
              </w:rPr>
            </w:pPr>
            <w:r>
              <w:rPr>
                <w:sz w:val="20"/>
                <w:szCs w:val="20"/>
              </w:rPr>
              <w:t>Net loss per share</w:t>
            </w:r>
            <w:r>
              <w:rPr>
                <w:sz w:val="20"/>
                <w:szCs w:val="20"/>
              </w:rPr>
              <w:t>:</w:t>
            </w:r>
          </w:p>
        </w:tc>
        <w:tc>
          <w:tcPr>
            <w:tcW w:w="0" w:type="auto"/>
            <w:hideMark/>
          </w:tcPr>
          <w:p w14:paraId="5A11F19A" w14:textId="77777777" w:rsidR="00000000" w:rsidRDefault="00EF48A2">
            <w:pPr>
              <w:pStyle w:val="a3"/>
              <w:spacing w:before="0" w:beforeAutospacing="0" w:after="0" w:afterAutospacing="0"/>
              <w:rPr>
                <w:sz w:val="20"/>
                <w:szCs w:val="20"/>
              </w:rPr>
            </w:pPr>
            <w:r>
              <w:rPr>
                <w:sz w:val="20"/>
                <w:szCs w:val="20"/>
              </w:rPr>
              <w:t> </w:t>
            </w:r>
          </w:p>
        </w:tc>
        <w:tc>
          <w:tcPr>
            <w:tcW w:w="0" w:type="auto"/>
            <w:gridSpan w:val="2"/>
            <w:hideMark/>
          </w:tcPr>
          <w:p w14:paraId="7D6E8A84" w14:textId="77777777" w:rsidR="00000000" w:rsidRDefault="00EF48A2">
            <w:pPr>
              <w:pStyle w:val="a3"/>
              <w:spacing w:before="0" w:beforeAutospacing="0" w:after="0" w:afterAutospacing="0"/>
              <w:rPr>
                <w:sz w:val="20"/>
                <w:szCs w:val="20"/>
              </w:rPr>
            </w:pPr>
            <w:r>
              <w:rPr>
                <w:sz w:val="20"/>
                <w:szCs w:val="20"/>
              </w:rPr>
              <w:t> </w:t>
            </w:r>
          </w:p>
        </w:tc>
        <w:tc>
          <w:tcPr>
            <w:tcW w:w="0" w:type="auto"/>
            <w:hideMark/>
          </w:tcPr>
          <w:p w14:paraId="14C4E789" w14:textId="77777777" w:rsidR="00000000" w:rsidRDefault="00EF48A2">
            <w:pPr>
              <w:pStyle w:val="a3"/>
              <w:spacing w:before="0" w:beforeAutospacing="0" w:after="0" w:afterAutospacing="0"/>
              <w:rPr>
                <w:sz w:val="20"/>
                <w:szCs w:val="20"/>
              </w:rPr>
            </w:pPr>
            <w:r>
              <w:rPr>
                <w:sz w:val="20"/>
                <w:szCs w:val="20"/>
              </w:rPr>
              <w:t> </w:t>
            </w:r>
          </w:p>
        </w:tc>
        <w:tc>
          <w:tcPr>
            <w:tcW w:w="0" w:type="auto"/>
            <w:hideMark/>
          </w:tcPr>
          <w:p w14:paraId="60F336BA" w14:textId="77777777" w:rsidR="00000000" w:rsidRDefault="00EF48A2">
            <w:pPr>
              <w:pStyle w:val="a3"/>
              <w:spacing w:before="0" w:beforeAutospacing="0" w:after="0" w:afterAutospacing="0"/>
              <w:rPr>
                <w:sz w:val="20"/>
                <w:szCs w:val="20"/>
              </w:rPr>
            </w:pPr>
            <w:r>
              <w:rPr>
                <w:sz w:val="20"/>
                <w:szCs w:val="20"/>
              </w:rPr>
              <w:t> </w:t>
            </w:r>
          </w:p>
        </w:tc>
        <w:tc>
          <w:tcPr>
            <w:tcW w:w="0" w:type="auto"/>
            <w:gridSpan w:val="2"/>
            <w:hideMark/>
          </w:tcPr>
          <w:p w14:paraId="6D87741B" w14:textId="77777777" w:rsidR="00000000" w:rsidRDefault="00EF48A2">
            <w:pPr>
              <w:pStyle w:val="a3"/>
              <w:spacing w:before="0" w:beforeAutospacing="0" w:after="0" w:afterAutospacing="0"/>
              <w:rPr>
                <w:sz w:val="20"/>
                <w:szCs w:val="20"/>
              </w:rPr>
            </w:pPr>
            <w:r>
              <w:rPr>
                <w:sz w:val="20"/>
                <w:szCs w:val="20"/>
              </w:rPr>
              <w:t> </w:t>
            </w:r>
          </w:p>
        </w:tc>
        <w:tc>
          <w:tcPr>
            <w:tcW w:w="0" w:type="auto"/>
            <w:hideMark/>
          </w:tcPr>
          <w:p w14:paraId="007E174A" w14:textId="77777777" w:rsidR="00000000" w:rsidRDefault="00EF48A2">
            <w:pPr>
              <w:pStyle w:val="a3"/>
              <w:spacing w:before="0" w:beforeAutospacing="0" w:after="0" w:afterAutospacing="0"/>
              <w:rPr>
                <w:sz w:val="20"/>
                <w:szCs w:val="20"/>
              </w:rPr>
            </w:pPr>
            <w:r>
              <w:rPr>
                <w:sz w:val="20"/>
                <w:szCs w:val="20"/>
              </w:rPr>
              <w:t> </w:t>
            </w:r>
          </w:p>
        </w:tc>
        <w:tc>
          <w:tcPr>
            <w:tcW w:w="0" w:type="auto"/>
            <w:hideMark/>
          </w:tcPr>
          <w:p w14:paraId="00501F8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hideMark/>
          </w:tcPr>
          <w:p w14:paraId="1CD5D62F" w14:textId="77777777" w:rsidR="00000000" w:rsidRDefault="00EF48A2">
            <w:pPr>
              <w:pStyle w:val="a3"/>
              <w:spacing w:before="0" w:beforeAutospacing="0" w:after="0" w:afterAutospacing="0"/>
              <w:rPr>
                <w:sz w:val="20"/>
                <w:szCs w:val="20"/>
              </w:rPr>
            </w:pPr>
            <w:r>
              <w:rPr>
                <w:sz w:val="20"/>
                <w:szCs w:val="20"/>
              </w:rPr>
              <w:t> </w:t>
            </w:r>
          </w:p>
        </w:tc>
        <w:tc>
          <w:tcPr>
            <w:tcW w:w="0" w:type="auto"/>
            <w:hideMark/>
          </w:tcPr>
          <w:p w14:paraId="52869623" w14:textId="77777777" w:rsidR="00000000" w:rsidRDefault="00EF48A2">
            <w:pPr>
              <w:pStyle w:val="a3"/>
              <w:spacing w:before="0" w:beforeAutospacing="0" w:after="0" w:afterAutospacing="0"/>
              <w:rPr>
                <w:sz w:val="20"/>
                <w:szCs w:val="20"/>
              </w:rPr>
            </w:pPr>
            <w:r>
              <w:rPr>
                <w:sz w:val="20"/>
                <w:szCs w:val="20"/>
              </w:rPr>
              <w:t> </w:t>
            </w:r>
          </w:p>
        </w:tc>
      </w:tr>
      <w:tr w:rsidR="00000000" w14:paraId="53F365AE" w14:textId="77777777">
        <w:trPr>
          <w:divId w:val="949362165"/>
          <w:trHeight w:val="200"/>
          <w:tblCellSpacing w:w="15" w:type="dxa"/>
        </w:trPr>
        <w:tc>
          <w:tcPr>
            <w:tcW w:w="0" w:type="auto"/>
            <w:hideMark/>
          </w:tcPr>
          <w:p w14:paraId="317DE4F8" w14:textId="77777777" w:rsidR="00000000" w:rsidRDefault="00EF48A2">
            <w:pPr>
              <w:pStyle w:val="a3"/>
              <w:spacing w:before="0" w:beforeAutospacing="0" w:after="0" w:afterAutospacing="0"/>
              <w:rPr>
                <w:sz w:val="20"/>
                <w:szCs w:val="20"/>
              </w:rPr>
            </w:pPr>
            <w:r>
              <w:rPr>
                <w:i/>
                <w:iCs/>
                <w:sz w:val="20"/>
                <w:szCs w:val="20"/>
              </w:rPr>
              <w:t>Basic and dilute</w:t>
            </w:r>
            <w:r>
              <w:rPr>
                <w:i/>
                <w:iCs/>
                <w:sz w:val="20"/>
                <w:szCs w:val="20"/>
              </w:rPr>
              <w:t>d</w:t>
            </w:r>
          </w:p>
        </w:tc>
        <w:tc>
          <w:tcPr>
            <w:tcW w:w="0" w:type="auto"/>
            <w:hideMark/>
          </w:tcPr>
          <w:p w14:paraId="45C5BFF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E61E6E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CE32D84" w14:textId="77777777" w:rsidR="00000000" w:rsidRDefault="00EF48A2">
            <w:pPr>
              <w:pStyle w:val="a3"/>
              <w:spacing w:before="0" w:beforeAutospacing="0" w:after="0" w:afterAutospacing="0"/>
              <w:jc w:val="right"/>
              <w:rPr>
                <w:sz w:val="20"/>
                <w:szCs w:val="20"/>
              </w:rPr>
            </w:pPr>
            <w:r>
              <w:rPr>
                <w:sz w:val="20"/>
                <w:szCs w:val="20"/>
              </w:rPr>
              <w:t>(</w:t>
            </w:r>
            <w:r>
              <w:rPr>
                <w:sz w:val="20"/>
                <w:szCs w:val="20"/>
              </w:rPr>
              <w:t>0.5</w:t>
            </w:r>
            <w:r>
              <w:rPr>
                <w:sz w:val="20"/>
                <w:szCs w:val="20"/>
              </w:rPr>
              <w:t>1</w:t>
            </w:r>
          </w:p>
        </w:tc>
        <w:tc>
          <w:tcPr>
            <w:tcW w:w="0" w:type="auto"/>
            <w:noWrap/>
            <w:vAlign w:val="bottom"/>
            <w:hideMark/>
          </w:tcPr>
          <w:p w14:paraId="5255EA6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50D8BB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3B6BF3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4D21D2A" w14:textId="77777777" w:rsidR="00000000" w:rsidRDefault="00EF48A2">
            <w:pPr>
              <w:pStyle w:val="a3"/>
              <w:spacing w:before="0" w:beforeAutospacing="0" w:after="0" w:afterAutospacing="0"/>
              <w:jc w:val="right"/>
              <w:rPr>
                <w:sz w:val="20"/>
                <w:szCs w:val="20"/>
              </w:rPr>
            </w:pPr>
            <w:r>
              <w:rPr>
                <w:sz w:val="20"/>
                <w:szCs w:val="20"/>
              </w:rPr>
              <w:t>(</w:t>
            </w:r>
            <w:r>
              <w:rPr>
                <w:sz w:val="20"/>
                <w:szCs w:val="20"/>
              </w:rPr>
              <w:t>0.7</w:t>
            </w:r>
            <w:r>
              <w:rPr>
                <w:sz w:val="20"/>
                <w:szCs w:val="20"/>
              </w:rPr>
              <w:t>2</w:t>
            </w:r>
          </w:p>
        </w:tc>
        <w:tc>
          <w:tcPr>
            <w:tcW w:w="0" w:type="auto"/>
            <w:noWrap/>
            <w:vAlign w:val="bottom"/>
            <w:hideMark/>
          </w:tcPr>
          <w:p w14:paraId="0BB57D9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CA0FA6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6B4143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57976E6" w14:textId="77777777" w:rsidR="00000000" w:rsidRDefault="00EF48A2">
            <w:pPr>
              <w:pStyle w:val="a3"/>
              <w:spacing w:before="0" w:beforeAutospacing="0" w:after="0" w:afterAutospacing="0"/>
              <w:jc w:val="right"/>
              <w:rPr>
                <w:sz w:val="20"/>
                <w:szCs w:val="20"/>
              </w:rPr>
            </w:pPr>
            <w:r>
              <w:rPr>
                <w:sz w:val="20"/>
                <w:szCs w:val="20"/>
              </w:rPr>
              <w:t>(</w:t>
            </w:r>
            <w:r>
              <w:rPr>
                <w:sz w:val="20"/>
                <w:szCs w:val="20"/>
              </w:rPr>
              <w:t>1.6</w:t>
            </w:r>
            <w:r>
              <w:rPr>
                <w:sz w:val="20"/>
                <w:szCs w:val="20"/>
              </w:rPr>
              <w:t>7</w:t>
            </w:r>
          </w:p>
        </w:tc>
        <w:tc>
          <w:tcPr>
            <w:tcW w:w="0" w:type="auto"/>
            <w:noWrap/>
            <w:vAlign w:val="bottom"/>
            <w:hideMark/>
          </w:tcPr>
          <w:p w14:paraId="2FD3305E" w14:textId="77777777" w:rsidR="00000000" w:rsidRDefault="00EF48A2">
            <w:pPr>
              <w:pStyle w:val="a3"/>
              <w:spacing w:before="0" w:beforeAutospacing="0" w:after="0" w:afterAutospacing="0"/>
              <w:rPr>
                <w:sz w:val="20"/>
                <w:szCs w:val="20"/>
              </w:rPr>
            </w:pPr>
            <w:r>
              <w:rPr>
                <w:sz w:val="20"/>
                <w:szCs w:val="20"/>
              </w:rPr>
              <w:t>)</w:t>
            </w:r>
          </w:p>
        </w:tc>
      </w:tr>
    </w:tbl>
    <w:p w14:paraId="3B90B4C1" w14:textId="77777777" w:rsidR="00000000" w:rsidRDefault="00EF48A2">
      <w:pPr>
        <w:pStyle w:val="a3"/>
        <w:spacing w:before="180" w:beforeAutospacing="0" w:after="0" w:afterAutospacing="0"/>
        <w:jc w:val="both"/>
        <w:divId w:val="1618754443"/>
        <w:rPr>
          <w:sz w:val="20"/>
          <w:szCs w:val="20"/>
        </w:rPr>
      </w:pPr>
      <w:r>
        <w:rPr>
          <w:sz w:val="20"/>
          <w:szCs w:val="20"/>
        </w:rPr>
        <w:t>F</w:t>
      </w:r>
      <w:r>
        <w:rPr>
          <w:sz w:val="20"/>
          <w:szCs w:val="20"/>
        </w:rPr>
        <w:t>or the year ended December 31, 2022, the following were excluded from the calculation of diluted loss per share since each would have had an anti-dilutive effect given the Company’s net loss:</w:t>
      </w:r>
      <w:r>
        <w:rPr>
          <w:sz w:val="20"/>
          <w:szCs w:val="20"/>
        </w:rPr>
        <w:t xml:space="preserve"> </w:t>
      </w:r>
      <w:r>
        <w:rPr>
          <w:sz w:val="20"/>
          <w:szCs w:val="20"/>
        </w:rPr>
        <w:t>17,526,32</w:t>
      </w:r>
      <w:r>
        <w:rPr>
          <w:sz w:val="20"/>
          <w:szCs w:val="20"/>
        </w:rPr>
        <w:t>6</w:t>
      </w:r>
      <w:r>
        <w:rPr>
          <w:sz w:val="20"/>
          <w:szCs w:val="20"/>
        </w:rPr>
        <w:t xml:space="preserve"> stock options,</w:t>
      </w:r>
      <w:r>
        <w:rPr>
          <w:sz w:val="20"/>
          <w:szCs w:val="20"/>
        </w:rPr>
        <w:t xml:space="preserve"> </w:t>
      </w:r>
      <w:r>
        <w:rPr>
          <w:sz w:val="20"/>
          <w:szCs w:val="20"/>
        </w:rPr>
        <w:t>9,127,05</w:t>
      </w:r>
      <w:r>
        <w:rPr>
          <w:sz w:val="20"/>
          <w:szCs w:val="20"/>
        </w:rPr>
        <w:t>1</w:t>
      </w:r>
      <w:r>
        <w:rPr>
          <w:sz w:val="20"/>
          <w:szCs w:val="20"/>
        </w:rPr>
        <w:t xml:space="preserve"> restricted stock units,</w:t>
      </w:r>
      <w:r>
        <w:rPr>
          <w:sz w:val="20"/>
          <w:szCs w:val="20"/>
        </w:rPr>
        <w:t xml:space="preserve"> </w:t>
      </w:r>
      <w:r>
        <w:rPr>
          <w:sz w:val="20"/>
          <w:szCs w:val="20"/>
        </w:rPr>
        <w:t>12,7</w:t>
      </w:r>
      <w:r>
        <w:rPr>
          <w:sz w:val="20"/>
          <w:szCs w:val="20"/>
        </w:rPr>
        <w:t>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14:paraId="39732336" w14:textId="77777777" w:rsidR="00000000" w:rsidRDefault="00EF48A2">
      <w:pPr>
        <w:pStyle w:val="a3"/>
        <w:spacing w:before="180" w:beforeAutospacing="0" w:after="0" w:afterAutospacing="0"/>
        <w:jc w:val="both"/>
        <w:divId w:val="1618754443"/>
        <w:rPr>
          <w:sz w:val="20"/>
          <w:szCs w:val="20"/>
        </w:rPr>
      </w:pPr>
      <w:r>
        <w:rPr>
          <w:sz w:val="20"/>
          <w:szCs w:val="20"/>
        </w:rPr>
        <w:t>For the year ended December 31, 2021, the following were excluded from the calculation of diluted loss per share since each would have had an anti-dilu</w:t>
      </w:r>
      <w:r>
        <w:rPr>
          <w:sz w:val="20"/>
          <w:szCs w:val="20"/>
        </w:rPr>
        <w:t>tive effect given the Company’s net loss:</w:t>
      </w:r>
      <w:r>
        <w:rPr>
          <w:sz w:val="20"/>
          <w:szCs w:val="20"/>
        </w:rPr>
        <w:t xml:space="preserve"> </w:t>
      </w:r>
      <w:r>
        <w:rPr>
          <w:sz w:val="20"/>
          <w:szCs w:val="20"/>
        </w:rPr>
        <w:t>19,494,86</w:t>
      </w:r>
      <w:r>
        <w:rPr>
          <w:sz w:val="20"/>
          <w:szCs w:val="20"/>
        </w:rPr>
        <w:t>1</w:t>
      </w:r>
      <w:r>
        <w:rPr>
          <w:sz w:val="20"/>
          <w:szCs w:val="20"/>
        </w:rPr>
        <w:t xml:space="preserve"> stock options,</w:t>
      </w:r>
      <w:r>
        <w:rPr>
          <w:sz w:val="20"/>
          <w:szCs w:val="20"/>
        </w:rPr>
        <w:t xml:space="preserve"> </w:t>
      </w:r>
      <w:r>
        <w:rPr>
          <w:sz w:val="20"/>
          <w:szCs w:val="20"/>
        </w:rPr>
        <w:t>2,330,09</w:t>
      </w:r>
      <w:r>
        <w:rPr>
          <w:sz w:val="20"/>
          <w:szCs w:val="20"/>
        </w:rPr>
        <w:t>4</w:t>
      </w:r>
      <w:r>
        <w:rPr>
          <w:sz w:val="20"/>
          <w:szCs w:val="20"/>
        </w:rPr>
        <w:t xml:space="preserve"> restricted stock units,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14:paraId="111A92F4" w14:textId="77777777" w:rsidR="00000000" w:rsidRDefault="00EF48A2">
      <w:pPr>
        <w:pStyle w:val="a3"/>
        <w:spacing w:before="180" w:beforeAutospacing="0" w:after="0" w:afterAutospacing="0"/>
        <w:jc w:val="both"/>
        <w:divId w:val="1618754443"/>
        <w:rPr>
          <w:sz w:val="20"/>
          <w:szCs w:val="20"/>
        </w:rPr>
      </w:pPr>
      <w:r>
        <w:rPr>
          <w:sz w:val="20"/>
          <w:szCs w:val="20"/>
        </w:rPr>
        <w:t>For the year ended December 31, 2020, the fol</w:t>
      </w:r>
      <w:r>
        <w:rPr>
          <w:sz w:val="20"/>
          <w:szCs w:val="20"/>
        </w:rPr>
        <w:t>lowing were excluded from the calculation of diluted loss per share since each would have had an anti-dilutive effect given the Company’s net loss:</w:t>
      </w:r>
      <w:r>
        <w:rPr>
          <w:sz w:val="20"/>
          <w:szCs w:val="20"/>
        </w:rPr>
        <w:t xml:space="preserve"> </w:t>
      </w:r>
      <w:r>
        <w:rPr>
          <w:sz w:val="20"/>
          <w:szCs w:val="20"/>
        </w:rPr>
        <w:t>83,395,81</w:t>
      </w:r>
      <w:r>
        <w:rPr>
          <w:sz w:val="20"/>
          <w:szCs w:val="20"/>
        </w:rPr>
        <w:t>5</w:t>
      </w:r>
      <w:r>
        <w:rPr>
          <w:sz w:val="20"/>
          <w:szCs w:val="20"/>
        </w:rPr>
        <w:t xml:space="preserve"> shares of convertible preferred stock,</w:t>
      </w:r>
      <w:r>
        <w:rPr>
          <w:sz w:val="20"/>
          <w:szCs w:val="20"/>
        </w:rPr>
        <w:t xml:space="preserve"> </w:t>
      </w:r>
      <w:r>
        <w:rPr>
          <w:sz w:val="20"/>
          <w:szCs w:val="20"/>
        </w:rPr>
        <w:t>18,097,81</w:t>
      </w:r>
      <w:r>
        <w:rPr>
          <w:sz w:val="20"/>
          <w:szCs w:val="20"/>
        </w:rPr>
        <w:t>5</w:t>
      </w:r>
      <w:r>
        <w:rPr>
          <w:sz w:val="20"/>
          <w:szCs w:val="20"/>
        </w:rPr>
        <w:t xml:space="preserve"> stock options,</w:t>
      </w:r>
      <w:r>
        <w:rPr>
          <w:sz w:val="20"/>
          <w:szCs w:val="20"/>
        </w:rPr>
        <w:t xml:space="preserve"> </w:t>
      </w:r>
      <w:r>
        <w:rPr>
          <w:sz w:val="20"/>
          <w:szCs w:val="20"/>
        </w:rPr>
        <w:t>60,00</w:t>
      </w:r>
      <w:r>
        <w:rPr>
          <w:sz w:val="20"/>
          <w:szCs w:val="20"/>
        </w:rPr>
        <w:t>0</w:t>
      </w:r>
      <w:r>
        <w:rPr>
          <w:sz w:val="20"/>
          <w:szCs w:val="20"/>
        </w:rPr>
        <w:t xml:space="preserve"> warrants to the Company’s</w:t>
      </w:r>
      <w:r>
        <w:rPr>
          <w:sz w:val="20"/>
          <w:szCs w:val="20"/>
        </w:rPr>
        <w:t xml:space="preserve"> common stock and</w:t>
      </w:r>
      <w:r>
        <w:rPr>
          <w:sz w:val="20"/>
          <w:szCs w:val="20"/>
        </w:rPr>
        <w:t xml:space="preserve"> </w:t>
      </w:r>
      <w:r>
        <w:rPr>
          <w:sz w:val="20"/>
          <w:szCs w:val="20"/>
        </w:rPr>
        <w:t>50,88</w:t>
      </w:r>
      <w:r>
        <w:rPr>
          <w:sz w:val="20"/>
          <w:szCs w:val="20"/>
        </w:rPr>
        <w:t>1</w:t>
      </w:r>
      <w:r>
        <w:rPr>
          <w:sz w:val="20"/>
          <w:szCs w:val="20"/>
        </w:rPr>
        <w:t xml:space="preserve"> warrants to the Company’s series D convertible preferred stock</w:t>
      </w:r>
      <w:r>
        <w:rPr>
          <w:sz w:val="20"/>
          <w:szCs w:val="20"/>
        </w:rPr>
        <w:t>.</w:t>
      </w:r>
    </w:p>
    <w:p w14:paraId="4384674B" w14:textId="77777777" w:rsidR="00000000" w:rsidRDefault="00EF48A2">
      <w:pPr>
        <w:pStyle w:val="a3"/>
        <w:spacing w:before="0" w:beforeAutospacing="0" w:after="0" w:afterAutospacing="0"/>
        <w:rPr>
          <w:sz w:val="20"/>
          <w:szCs w:val="20"/>
        </w:rPr>
      </w:pPr>
      <w:r>
        <w:rPr>
          <w:sz w:val="20"/>
          <w:szCs w:val="20"/>
        </w:rPr>
        <w:t> </w:t>
      </w:r>
    </w:p>
    <w:p w14:paraId="497B7B1E" w14:textId="77777777" w:rsidR="00000000" w:rsidRDefault="00EF48A2">
      <w:pPr>
        <w:pStyle w:val="a3"/>
        <w:spacing w:before="0" w:beforeAutospacing="0" w:after="0" w:afterAutospacing="0"/>
        <w:jc w:val="center"/>
        <w:rPr>
          <w:sz w:val="20"/>
          <w:szCs w:val="20"/>
        </w:rPr>
      </w:pPr>
      <w:r>
        <w:rPr>
          <w:sz w:val="20"/>
          <w:szCs w:val="20"/>
        </w:rPr>
        <w:t>7</w:t>
      </w:r>
      <w:r>
        <w:rPr>
          <w:sz w:val="20"/>
          <w:szCs w:val="20"/>
        </w:rPr>
        <w:t>6</w:t>
      </w:r>
    </w:p>
    <w:p w14:paraId="212F03B2" w14:textId="77777777" w:rsidR="00000000" w:rsidRDefault="00EF48A2">
      <w:pPr>
        <w:rPr>
          <w:rFonts w:eastAsia="Times New Roman"/>
        </w:rPr>
      </w:pPr>
      <w:r>
        <w:rPr>
          <w:rFonts w:eastAsia="Times New Roman"/>
        </w:rPr>
        <w:pict w14:anchorId="74B5A25C">
          <v:rect id="_x0000_i1103" style="width:0;height:1.5pt" o:hralign="center" o:hrstd="t" o:hr="t" fillcolor="#a0a0a0" stroked="f"/>
        </w:pict>
      </w:r>
    </w:p>
    <w:p w14:paraId="23AD7651"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0A0D32C" w14:textId="77777777" w:rsidR="00000000" w:rsidRDefault="00EF48A2">
      <w:pPr>
        <w:pStyle w:val="a3"/>
        <w:spacing w:before="360" w:beforeAutospacing="0" w:after="180" w:afterAutospacing="0"/>
        <w:divId w:val="415978143"/>
        <w:rPr>
          <w:sz w:val="20"/>
          <w:szCs w:val="20"/>
        </w:rPr>
      </w:pPr>
      <w:r>
        <w:rPr>
          <w:b/>
          <w:bCs/>
          <w:sz w:val="20"/>
          <w:szCs w:val="20"/>
        </w:rPr>
        <w:t>NOTE 13.</w:t>
      </w:r>
      <w:r>
        <w:rPr>
          <w:b/>
          <w:bCs/>
          <w:sz w:val="20"/>
          <w:szCs w:val="20"/>
        </w:rPr>
        <w:t xml:space="preserve"> </w:t>
      </w:r>
      <w:r>
        <w:rPr>
          <w:b/>
          <w:bCs/>
          <w:sz w:val="20"/>
          <w:szCs w:val="20"/>
        </w:rPr>
        <w:t>TAXES ON INCOM</w:t>
      </w:r>
      <w:r>
        <w:rPr>
          <w:b/>
          <w:bCs/>
          <w:sz w:val="20"/>
          <w:szCs w:val="20"/>
        </w:rPr>
        <w:t>E</w:t>
      </w:r>
      <w:r>
        <w:rPr>
          <w:b/>
          <w:bCs/>
          <w:sz w:val="20"/>
          <w:szCs w:val="20"/>
        </w:rPr>
        <w:t xml:space="preserve"> </w:t>
      </w:r>
    </w:p>
    <w:p w14:paraId="44D21F58" w14:textId="77777777" w:rsidR="00000000" w:rsidRDefault="00EF48A2">
      <w:pPr>
        <w:pStyle w:val="a3"/>
        <w:spacing w:before="0" w:beforeAutospacing="0" w:after="0" w:afterAutospacing="0"/>
        <w:jc w:val="both"/>
        <w:divId w:val="415978143"/>
        <w:rPr>
          <w:sz w:val="20"/>
          <w:szCs w:val="20"/>
        </w:rPr>
      </w:pPr>
      <w:r>
        <w:rPr>
          <w:sz w:val="20"/>
          <w:szCs w:val="20"/>
        </w:rPr>
        <w:t>The Company and its subsidiaries file income tax re</w:t>
      </w:r>
      <w:r>
        <w:rPr>
          <w:sz w:val="20"/>
          <w:szCs w:val="20"/>
        </w:rPr>
        <w:t>turns in the U.S. federal, and various states and foreign jurisdictions. The Company assessed its uncertain tax positions and determined that it has no uncertain tax positions at December 31, 2022</w:t>
      </w:r>
      <w:r>
        <w:rPr>
          <w:sz w:val="20"/>
          <w:szCs w:val="20"/>
        </w:rPr>
        <w:t>.</w:t>
      </w:r>
    </w:p>
    <w:p w14:paraId="4C093D13" w14:textId="77777777" w:rsidR="00000000" w:rsidRDefault="00EF48A2">
      <w:pPr>
        <w:pStyle w:val="a3"/>
        <w:spacing w:before="180" w:beforeAutospacing="0" w:after="180" w:afterAutospacing="0"/>
        <w:jc w:val="both"/>
        <w:divId w:val="1290358069"/>
        <w:rPr>
          <w:sz w:val="20"/>
          <w:szCs w:val="20"/>
        </w:rPr>
      </w:pPr>
      <w:r>
        <w:rPr>
          <w:sz w:val="20"/>
          <w:szCs w:val="20"/>
        </w:rPr>
        <w:t>A reconciliation of the Company’s statutory income tax rat</w:t>
      </w:r>
      <w:r>
        <w:rPr>
          <w:sz w:val="20"/>
          <w:szCs w:val="20"/>
        </w:rPr>
        <w:t>e to the Company’s effective income tax rate is as follows</w:t>
      </w:r>
      <w:r>
        <w:rPr>
          <w:sz w:val="20"/>
          <w:szCs w:val="20"/>
        </w:rPr>
        <w:t>:</w:t>
      </w:r>
      <w:r>
        <w:rPr>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1"/>
        <w:gridCol w:w="110"/>
        <w:gridCol w:w="160"/>
        <w:gridCol w:w="1126"/>
        <w:gridCol w:w="227"/>
        <w:gridCol w:w="110"/>
        <w:gridCol w:w="160"/>
        <w:gridCol w:w="1128"/>
        <w:gridCol w:w="227"/>
        <w:gridCol w:w="110"/>
        <w:gridCol w:w="160"/>
        <w:gridCol w:w="1125"/>
        <w:gridCol w:w="242"/>
      </w:tblGrid>
      <w:tr w:rsidR="00000000" w14:paraId="120D8CCB" w14:textId="77777777">
        <w:trPr>
          <w:divId w:val="1290358069"/>
          <w:tblCellSpacing w:w="15" w:type="dxa"/>
        </w:trPr>
        <w:tc>
          <w:tcPr>
            <w:tcW w:w="2185" w:type="pct"/>
            <w:vAlign w:val="center"/>
            <w:hideMark/>
          </w:tcPr>
          <w:p w14:paraId="1978CE08" w14:textId="77777777" w:rsidR="00000000" w:rsidRDefault="00EF48A2">
            <w:pPr>
              <w:rPr>
                <w:sz w:val="20"/>
                <w:szCs w:val="20"/>
              </w:rPr>
            </w:pPr>
          </w:p>
        </w:tc>
        <w:tc>
          <w:tcPr>
            <w:tcW w:w="73" w:type="pct"/>
            <w:vAlign w:val="center"/>
            <w:hideMark/>
          </w:tcPr>
          <w:p w14:paraId="4A84D15D" w14:textId="77777777" w:rsidR="00000000" w:rsidRDefault="00EF48A2">
            <w:pPr>
              <w:rPr>
                <w:rFonts w:eastAsia="Times New Roman"/>
                <w:sz w:val="20"/>
                <w:szCs w:val="20"/>
              </w:rPr>
            </w:pPr>
          </w:p>
        </w:tc>
        <w:tc>
          <w:tcPr>
            <w:tcW w:w="50" w:type="pct"/>
            <w:vAlign w:val="center"/>
            <w:hideMark/>
          </w:tcPr>
          <w:p w14:paraId="6460A90F" w14:textId="77777777" w:rsidR="00000000" w:rsidRDefault="00EF48A2">
            <w:pPr>
              <w:rPr>
                <w:rFonts w:eastAsia="Times New Roman"/>
                <w:sz w:val="20"/>
                <w:szCs w:val="20"/>
              </w:rPr>
            </w:pPr>
          </w:p>
        </w:tc>
        <w:tc>
          <w:tcPr>
            <w:tcW w:w="764" w:type="pct"/>
            <w:vAlign w:val="center"/>
            <w:hideMark/>
          </w:tcPr>
          <w:p w14:paraId="6B42A134" w14:textId="77777777" w:rsidR="00000000" w:rsidRDefault="00EF48A2">
            <w:pPr>
              <w:rPr>
                <w:rFonts w:eastAsia="Times New Roman"/>
                <w:sz w:val="20"/>
                <w:szCs w:val="20"/>
              </w:rPr>
            </w:pPr>
          </w:p>
        </w:tc>
        <w:tc>
          <w:tcPr>
            <w:tcW w:w="50" w:type="pct"/>
            <w:vAlign w:val="center"/>
            <w:hideMark/>
          </w:tcPr>
          <w:p w14:paraId="762F3249" w14:textId="77777777" w:rsidR="00000000" w:rsidRDefault="00EF48A2">
            <w:pPr>
              <w:rPr>
                <w:rFonts w:eastAsia="Times New Roman"/>
                <w:sz w:val="20"/>
                <w:szCs w:val="20"/>
              </w:rPr>
            </w:pPr>
          </w:p>
        </w:tc>
        <w:tc>
          <w:tcPr>
            <w:tcW w:w="74" w:type="pct"/>
            <w:vAlign w:val="center"/>
            <w:hideMark/>
          </w:tcPr>
          <w:p w14:paraId="0BA91807" w14:textId="77777777" w:rsidR="00000000" w:rsidRDefault="00EF48A2">
            <w:pPr>
              <w:rPr>
                <w:rFonts w:eastAsia="Times New Roman"/>
                <w:sz w:val="20"/>
                <w:szCs w:val="20"/>
              </w:rPr>
            </w:pPr>
          </w:p>
        </w:tc>
        <w:tc>
          <w:tcPr>
            <w:tcW w:w="50" w:type="pct"/>
            <w:vAlign w:val="center"/>
            <w:hideMark/>
          </w:tcPr>
          <w:p w14:paraId="710B819B" w14:textId="77777777" w:rsidR="00000000" w:rsidRDefault="00EF48A2">
            <w:pPr>
              <w:rPr>
                <w:rFonts w:eastAsia="Times New Roman"/>
                <w:sz w:val="20"/>
                <w:szCs w:val="20"/>
              </w:rPr>
            </w:pPr>
          </w:p>
        </w:tc>
        <w:tc>
          <w:tcPr>
            <w:tcW w:w="764" w:type="pct"/>
            <w:vAlign w:val="center"/>
            <w:hideMark/>
          </w:tcPr>
          <w:p w14:paraId="617818EF" w14:textId="77777777" w:rsidR="00000000" w:rsidRDefault="00EF48A2">
            <w:pPr>
              <w:rPr>
                <w:rFonts w:eastAsia="Times New Roman"/>
                <w:sz w:val="20"/>
                <w:szCs w:val="20"/>
              </w:rPr>
            </w:pPr>
          </w:p>
        </w:tc>
        <w:tc>
          <w:tcPr>
            <w:tcW w:w="50" w:type="pct"/>
            <w:vAlign w:val="center"/>
            <w:hideMark/>
          </w:tcPr>
          <w:p w14:paraId="57616BF4" w14:textId="77777777" w:rsidR="00000000" w:rsidRDefault="00EF48A2">
            <w:pPr>
              <w:rPr>
                <w:rFonts w:eastAsia="Times New Roman"/>
                <w:sz w:val="20"/>
                <w:szCs w:val="20"/>
              </w:rPr>
            </w:pPr>
          </w:p>
        </w:tc>
        <w:tc>
          <w:tcPr>
            <w:tcW w:w="74" w:type="pct"/>
            <w:vAlign w:val="center"/>
            <w:hideMark/>
          </w:tcPr>
          <w:p w14:paraId="4F775565" w14:textId="77777777" w:rsidR="00000000" w:rsidRDefault="00EF48A2">
            <w:pPr>
              <w:rPr>
                <w:rFonts w:eastAsia="Times New Roman"/>
                <w:sz w:val="20"/>
                <w:szCs w:val="20"/>
              </w:rPr>
            </w:pPr>
          </w:p>
        </w:tc>
        <w:tc>
          <w:tcPr>
            <w:tcW w:w="50" w:type="pct"/>
            <w:vAlign w:val="center"/>
            <w:hideMark/>
          </w:tcPr>
          <w:p w14:paraId="3013D0CB" w14:textId="77777777" w:rsidR="00000000" w:rsidRDefault="00EF48A2">
            <w:pPr>
              <w:rPr>
                <w:rFonts w:eastAsia="Times New Roman"/>
                <w:sz w:val="20"/>
                <w:szCs w:val="20"/>
              </w:rPr>
            </w:pPr>
          </w:p>
        </w:tc>
        <w:tc>
          <w:tcPr>
            <w:tcW w:w="762" w:type="pct"/>
            <w:vAlign w:val="center"/>
            <w:hideMark/>
          </w:tcPr>
          <w:p w14:paraId="033DD211" w14:textId="77777777" w:rsidR="00000000" w:rsidRDefault="00EF48A2">
            <w:pPr>
              <w:rPr>
                <w:rFonts w:eastAsia="Times New Roman"/>
                <w:sz w:val="20"/>
                <w:szCs w:val="20"/>
              </w:rPr>
            </w:pPr>
          </w:p>
        </w:tc>
        <w:tc>
          <w:tcPr>
            <w:tcW w:w="50" w:type="pct"/>
            <w:vAlign w:val="center"/>
            <w:hideMark/>
          </w:tcPr>
          <w:p w14:paraId="75B0933D" w14:textId="77777777" w:rsidR="00000000" w:rsidRDefault="00EF48A2">
            <w:pPr>
              <w:rPr>
                <w:rFonts w:eastAsia="Times New Roman"/>
                <w:sz w:val="20"/>
                <w:szCs w:val="20"/>
              </w:rPr>
            </w:pPr>
          </w:p>
        </w:tc>
      </w:tr>
      <w:tr w:rsidR="00000000" w14:paraId="358E6671" w14:textId="77777777">
        <w:trPr>
          <w:divId w:val="1290358069"/>
          <w:trHeight w:val="160"/>
          <w:tblCellSpacing w:w="15" w:type="dxa"/>
        </w:trPr>
        <w:tc>
          <w:tcPr>
            <w:tcW w:w="0" w:type="auto"/>
            <w:vAlign w:val="bottom"/>
            <w:hideMark/>
          </w:tcPr>
          <w:p w14:paraId="2CDEF514"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006CD5FD" w14:textId="77777777" w:rsidR="00000000" w:rsidRDefault="00EF48A2">
            <w:pPr>
              <w:pStyle w:val="a3"/>
              <w:spacing w:before="0" w:beforeAutospacing="0" w:after="0" w:afterAutospacing="0"/>
              <w:rPr>
                <w:sz w:val="16"/>
                <w:szCs w:val="16"/>
              </w:rPr>
            </w:pPr>
            <w:r>
              <w:rPr>
                <w:sz w:val="16"/>
                <w:szCs w:val="16"/>
              </w:rPr>
              <w:t> </w:t>
            </w:r>
          </w:p>
        </w:tc>
        <w:tc>
          <w:tcPr>
            <w:tcW w:w="0" w:type="auto"/>
            <w:gridSpan w:val="10"/>
            <w:vAlign w:val="bottom"/>
            <w:hideMark/>
          </w:tcPr>
          <w:p w14:paraId="6A59F697"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 31</w:t>
            </w:r>
            <w:r>
              <w:rPr>
                <w:b/>
                <w:bCs/>
                <w:sz w:val="16"/>
                <w:szCs w:val="16"/>
              </w:rPr>
              <w:t>,</w:t>
            </w:r>
          </w:p>
        </w:tc>
        <w:tc>
          <w:tcPr>
            <w:tcW w:w="0" w:type="auto"/>
            <w:vAlign w:val="bottom"/>
            <w:hideMark/>
          </w:tcPr>
          <w:p w14:paraId="1855FB17"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42C36F8" w14:textId="77777777">
        <w:trPr>
          <w:divId w:val="1290358069"/>
          <w:trHeight w:val="160"/>
          <w:tblCellSpacing w:w="15" w:type="dxa"/>
        </w:trPr>
        <w:tc>
          <w:tcPr>
            <w:tcW w:w="0" w:type="auto"/>
            <w:vAlign w:val="bottom"/>
            <w:hideMark/>
          </w:tcPr>
          <w:p w14:paraId="32FCC2A9"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25C49D6B"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02D7EB6A"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06EF74F"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C125537"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65BDC59"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D21131B"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8E6C54F"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682C1AA6"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F073FEC"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2CF6DD4" w14:textId="77777777">
        <w:trPr>
          <w:divId w:val="1290358069"/>
          <w:trHeight w:val="200"/>
          <w:tblCellSpacing w:w="15" w:type="dxa"/>
        </w:trPr>
        <w:tc>
          <w:tcPr>
            <w:tcW w:w="0" w:type="auto"/>
            <w:hideMark/>
          </w:tcPr>
          <w:p w14:paraId="3F45BA36" w14:textId="77777777" w:rsidR="00000000" w:rsidRDefault="00EF48A2">
            <w:pPr>
              <w:pStyle w:val="a3"/>
              <w:spacing w:before="0" w:beforeAutospacing="0" w:after="0" w:afterAutospacing="0"/>
              <w:rPr>
                <w:sz w:val="20"/>
                <w:szCs w:val="20"/>
              </w:rPr>
            </w:pPr>
            <w:r>
              <w:rPr>
                <w:sz w:val="20"/>
                <w:szCs w:val="20"/>
              </w:rPr>
              <w:t>Loss before income taxe</w:t>
            </w:r>
            <w:r>
              <w:rPr>
                <w:sz w:val="20"/>
                <w:szCs w:val="20"/>
              </w:rPr>
              <w:t>s</w:t>
            </w:r>
          </w:p>
        </w:tc>
        <w:tc>
          <w:tcPr>
            <w:tcW w:w="0" w:type="auto"/>
            <w:vAlign w:val="bottom"/>
            <w:hideMark/>
          </w:tcPr>
          <w:p w14:paraId="7105759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97D291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19E9F0A"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79,41</w:t>
            </w:r>
            <w:r>
              <w:rPr>
                <w:sz w:val="20"/>
                <w:szCs w:val="20"/>
              </w:rPr>
              <w:t>8</w:t>
            </w:r>
          </w:p>
        </w:tc>
        <w:tc>
          <w:tcPr>
            <w:tcW w:w="0" w:type="auto"/>
            <w:noWrap/>
            <w:vAlign w:val="bottom"/>
            <w:hideMark/>
          </w:tcPr>
          <w:p w14:paraId="4D481F5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2E65AB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A32F4B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FE339AB"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62,69</w:t>
            </w:r>
            <w:r>
              <w:rPr>
                <w:sz w:val="20"/>
                <w:szCs w:val="20"/>
              </w:rPr>
              <w:t>5</w:t>
            </w:r>
          </w:p>
        </w:tc>
        <w:tc>
          <w:tcPr>
            <w:tcW w:w="0" w:type="auto"/>
            <w:noWrap/>
            <w:vAlign w:val="bottom"/>
            <w:hideMark/>
          </w:tcPr>
          <w:p w14:paraId="5B28348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0731B7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AF1A5E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3778569"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22,34</w:t>
            </w:r>
            <w:r>
              <w:rPr>
                <w:sz w:val="20"/>
                <w:szCs w:val="20"/>
              </w:rPr>
              <w:t>6</w:t>
            </w:r>
          </w:p>
        </w:tc>
        <w:tc>
          <w:tcPr>
            <w:tcW w:w="0" w:type="auto"/>
            <w:noWrap/>
            <w:vAlign w:val="bottom"/>
            <w:hideMark/>
          </w:tcPr>
          <w:p w14:paraId="0B45E0D8" w14:textId="77777777" w:rsidR="00000000" w:rsidRDefault="00EF48A2">
            <w:pPr>
              <w:pStyle w:val="a3"/>
              <w:spacing w:before="0" w:beforeAutospacing="0" w:after="0" w:afterAutospacing="0"/>
              <w:rPr>
                <w:sz w:val="20"/>
                <w:szCs w:val="20"/>
              </w:rPr>
            </w:pPr>
            <w:r>
              <w:rPr>
                <w:sz w:val="20"/>
                <w:szCs w:val="20"/>
              </w:rPr>
              <w:t>)</w:t>
            </w:r>
          </w:p>
        </w:tc>
      </w:tr>
      <w:tr w:rsidR="00000000" w14:paraId="3446DBAE" w14:textId="77777777">
        <w:trPr>
          <w:divId w:val="1290358069"/>
          <w:trHeight w:val="200"/>
          <w:tblCellSpacing w:w="15" w:type="dxa"/>
        </w:trPr>
        <w:tc>
          <w:tcPr>
            <w:tcW w:w="0" w:type="auto"/>
            <w:hideMark/>
          </w:tcPr>
          <w:p w14:paraId="3AB509B3" w14:textId="77777777" w:rsidR="00000000" w:rsidRDefault="00EF48A2">
            <w:pPr>
              <w:pStyle w:val="a3"/>
              <w:spacing w:before="0" w:beforeAutospacing="0" w:after="0" w:afterAutospacing="0"/>
              <w:rPr>
                <w:sz w:val="20"/>
                <w:szCs w:val="20"/>
              </w:rPr>
            </w:pPr>
            <w:r>
              <w:rPr>
                <w:sz w:val="20"/>
                <w:szCs w:val="20"/>
              </w:rPr>
              <w:t>Statutory tax rat</w:t>
            </w:r>
            <w:r>
              <w:rPr>
                <w:sz w:val="20"/>
                <w:szCs w:val="20"/>
              </w:rPr>
              <w:t>e</w:t>
            </w:r>
          </w:p>
        </w:tc>
        <w:tc>
          <w:tcPr>
            <w:tcW w:w="0" w:type="auto"/>
            <w:vAlign w:val="bottom"/>
            <w:hideMark/>
          </w:tcPr>
          <w:p w14:paraId="4E41EDE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2504A2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D3A6DF9" w14:textId="77777777" w:rsidR="00000000" w:rsidRDefault="00EF48A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7599CA30"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7EE807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3C2ED7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81B8880" w14:textId="77777777" w:rsidR="00000000" w:rsidRDefault="00EF48A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035073C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076C55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77D032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1EEE5A2" w14:textId="77777777" w:rsidR="00000000" w:rsidRDefault="00EF48A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44EC31FF" w14:textId="77777777" w:rsidR="00000000" w:rsidRDefault="00EF48A2">
            <w:pPr>
              <w:pStyle w:val="a3"/>
              <w:spacing w:before="0" w:beforeAutospacing="0" w:after="0" w:afterAutospacing="0"/>
              <w:rPr>
                <w:sz w:val="20"/>
                <w:szCs w:val="20"/>
              </w:rPr>
            </w:pPr>
            <w:r>
              <w:rPr>
                <w:sz w:val="20"/>
                <w:szCs w:val="20"/>
              </w:rPr>
              <w:t>%</w:t>
            </w:r>
          </w:p>
        </w:tc>
      </w:tr>
      <w:tr w:rsidR="00000000" w14:paraId="743686BF" w14:textId="77777777">
        <w:trPr>
          <w:divId w:val="1290358069"/>
          <w:trHeight w:val="200"/>
          <w:tblCellSpacing w:w="15" w:type="dxa"/>
        </w:trPr>
        <w:tc>
          <w:tcPr>
            <w:tcW w:w="0" w:type="auto"/>
            <w:hideMark/>
          </w:tcPr>
          <w:p w14:paraId="1D667D1A" w14:textId="77777777" w:rsidR="00000000" w:rsidRDefault="00EF48A2">
            <w:pPr>
              <w:pStyle w:val="a3"/>
              <w:spacing w:before="0" w:beforeAutospacing="0" w:after="0" w:afterAutospacing="0"/>
              <w:rPr>
                <w:sz w:val="20"/>
                <w:szCs w:val="20"/>
              </w:rPr>
            </w:pPr>
            <w:r>
              <w:rPr>
                <w:sz w:val="20"/>
                <w:szCs w:val="20"/>
              </w:rPr>
              <w:t>Theoretical tax benefi</w:t>
            </w:r>
            <w:r>
              <w:rPr>
                <w:sz w:val="20"/>
                <w:szCs w:val="20"/>
              </w:rPr>
              <w:t>t</w:t>
            </w:r>
          </w:p>
        </w:tc>
        <w:tc>
          <w:tcPr>
            <w:tcW w:w="0" w:type="auto"/>
            <w:vAlign w:val="bottom"/>
            <w:hideMark/>
          </w:tcPr>
          <w:p w14:paraId="7FDA0E9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B6E568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2FB32C6" w14:textId="77777777" w:rsidR="00000000" w:rsidRDefault="00EF48A2">
            <w:pPr>
              <w:pStyle w:val="a3"/>
              <w:spacing w:before="0" w:beforeAutospacing="0" w:after="0" w:afterAutospacing="0"/>
              <w:jc w:val="right"/>
              <w:rPr>
                <w:sz w:val="20"/>
                <w:szCs w:val="20"/>
              </w:rPr>
            </w:pPr>
            <w:r>
              <w:rPr>
                <w:sz w:val="20"/>
                <w:szCs w:val="20"/>
              </w:rPr>
              <w:t>16,67</w:t>
            </w:r>
            <w:r>
              <w:rPr>
                <w:sz w:val="20"/>
                <w:szCs w:val="20"/>
              </w:rPr>
              <w:t>8</w:t>
            </w:r>
          </w:p>
        </w:tc>
        <w:tc>
          <w:tcPr>
            <w:tcW w:w="0" w:type="auto"/>
            <w:noWrap/>
            <w:vAlign w:val="bottom"/>
            <w:hideMark/>
          </w:tcPr>
          <w:p w14:paraId="79D7776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A0D4B7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B1608D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75E5223" w14:textId="77777777" w:rsidR="00000000" w:rsidRDefault="00EF48A2">
            <w:pPr>
              <w:pStyle w:val="a3"/>
              <w:spacing w:before="0" w:beforeAutospacing="0" w:after="0" w:afterAutospacing="0"/>
              <w:jc w:val="right"/>
              <w:rPr>
                <w:sz w:val="20"/>
                <w:szCs w:val="20"/>
              </w:rPr>
            </w:pPr>
            <w:r>
              <w:rPr>
                <w:sz w:val="20"/>
                <w:szCs w:val="20"/>
              </w:rPr>
              <w:t>13,16</w:t>
            </w:r>
            <w:r>
              <w:rPr>
                <w:sz w:val="20"/>
                <w:szCs w:val="20"/>
              </w:rPr>
              <w:t>6</w:t>
            </w:r>
          </w:p>
        </w:tc>
        <w:tc>
          <w:tcPr>
            <w:tcW w:w="0" w:type="auto"/>
            <w:noWrap/>
            <w:vAlign w:val="bottom"/>
            <w:hideMark/>
          </w:tcPr>
          <w:p w14:paraId="6881D25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7704F3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A9AEBF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45BEC93" w14:textId="77777777" w:rsidR="00000000" w:rsidRDefault="00EF48A2">
            <w:pPr>
              <w:pStyle w:val="a3"/>
              <w:spacing w:before="0" w:beforeAutospacing="0" w:after="0" w:afterAutospacing="0"/>
              <w:jc w:val="right"/>
              <w:rPr>
                <w:sz w:val="20"/>
                <w:szCs w:val="20"/>
              </w:rPr>
            </w:pPr>
            <w:r>
              <w:rPr>
                <w:sz w:val="20"/>
                <w:szCs w:val="20"/>
              </w:rPr>
              <w:t>4,69</w:t>
            </w:r>
            <w:r>
              <w:rPr>
                <w:sz w:val="20"/>
                <w:szCs w:val="20"/>
              </w:rPr>
              <w:t>3</w:t>
            </w:r>
          </w:p>
        </w:tc>
        <w:tc>
          <w:tcPr>
            <w:tcW w:w="0" w:type="auto"/>
            <w:noWrap/>
            <w:vAlign w:val="bottom"/>
            <w:hideMark/>
          </w:tcPr>
          <w:p w14:paraId="058FAEEE" w14:textId="77777777" w:rsidR="00000000" w:rsidRDefault="00EF48A2">
            <w:pPr>
              <w:pStyle w:val="a3"/>
              <w:spacing w:before="0" w:beforeAutospacing="0" w:after="0" w:afterAutospacing="0"/>
              <w:rPr>
                <w:sz w:val="20"/>
                <w:szCs w:val="20"/>
              </w:rPr>
            </w:pPr>
            <w:r>
              <w:rPr>
                <w:sz w:val="20"/>
                <w:szCs w:val="20"/>
              </w:rPr>
              <w:t> </w:t>
            </w:r>
          </w:p>
        </w:tc>
      </w:tr>
      <w:tr w:rsidR="00000000" w14:paraId="7706EC39" w14:textId="77777777">
        <w:trPr>
          <w:divId w:val="1290358069"/>
          <w:trHeight w:val="200"/>
          <w:tblCellSpacing w:w="15" w:type="dxa"/>
        </w:trPr>
        <w:tc>
          <w:tcPr>
            <w:tcW w:w="0" w:type="auto"/>
            <w:hideMark/>
          </w:tcPr>
          <w:p w14:paraId="6ADC469E" w14:textId="77777777" w:rsidR="00000000" w:rsidRDefault="00EF48A2">
            <w:pPr>
              <w:pStyle w:val="a3"/>
              <w:spacing w:before="0" w:beforeAutospacing="0" w:after="0" w:afterAutospacing="0"/>
              <w:rPr>
                <w:sz w:val="20"/>
                <w:szCs w:val="20"/>
              </w:rPr>
            </w:pPr>
            <w:r>
              <w:rPr>
                <w:sz w:val="20"/>
                <w:szCs w:val="20"/>
              </w:rPr>
              <w:t>Increase (decrease) in effective tax rate due to</w:t>
            </w:r>
            <w:r>
              <w:rPr>
                <w:sz w:val="20"/>
                <w:szCs w:val="20"/>
              </w:rPr>
              <w:t>:</w:t>
            </w:r>
          </w:p>
        </w:tc>
        <w:tc>
          <w:tcPr>
            <w:tcW w:w="0" w:type="auto"/>
            <w:vAlign w:val="bottom"/>
            <w:hideMark/>
          </w:tcPr>
          <w:p w14:paraId="1F8E17B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9303B6B"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A64485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43834F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B545E7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EB7DAD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E52153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E05770F"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2B5799B" w14:textId="77777777" w:rsidR="00000000" w:rsidRDefault="00EF48A2">
            <w:pPr>
              <w:pStyle w:val="a3"/>
              <w:spacing w:before="0" w:beforeAutospacing="0" w:after="0" w:afterAutospacing="0"/>
              <w:jc w:val="right"/>
              <w:rPr>
                <w:sz w:val="20"/>
                <w:szCs w:val="20"/>
              </w:rPr>
            </w:pPr>
            <w:r>
              <w:rPr>
                <w:sz w:val="20"/>
                <w:szCs w:val="20"/>
              </w:rPr>
              <w:t> </w:t>
            </w:r>
          </w:p>
        </w:tc>
      </w:tr>
      <w:tr w:rsidR="00000000" w14:paraId="72849385" w14:textId="77777777">
        <w:trPr>
          <w:divId w:val="1290358069"/>
          <w:trHeight w:val="200"/>
          <w:tblCellSpacing w:w="15" w:type="dxa"/>
        </w:trPr>
        <w:tc>
          <w:tcPr>
            <w:tcW w:w="0" w:type="auto"/>
            <w:hideMark/>
          </w:tcPr>
          <w:p w14:paraId="5FA13A65" w14:textId="77777777" w:rsidR="00000000" w:rsidRDefault="00EF48A2">
            <w:pPr>
              <w:pStyle w:val="a3"/>
              <w:spacing w:before="0" w:beforeAutospacing="0" w:after="0" w:afterAutospacing="0"/>
              <w:rPr>
                <w:sz w:val="20"/>
                <w:szCs w:val="20"/>
              </w:rPr>
            </w:pPr>
            <w:r>
              <w:rPr>
                <w:sz w:val="20"/>
                <w:szCs w:val="20"/>
              </w:rPr>
              <w:t>State taxes, net of federal benefi</w:t>
            </w:r>
            <w:r>
              <w:rPr>
                <w:sz w:val="20"/>
                <w:szCs w:val="20"/>
              </w:rPr>
              <w:t>t</w:t>
            </w:r>
          </w:p>
        </w:tc>
        <w:tc>
          <w:tcPr>
            <w:tcW w:w="0" w:type="auto"/>
            <w:vAlign w:val="bottom"/>
            <w:hideMark/>
          </w:tcPr>
          <w:p w14:paraId="474A1FE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1B72B1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AFC5449" w14:textId="77777777" w:rsidR="00000000" w:rsidRDefault="00EF48A2">
            <w:pPr>
              <w:pStyle w:val="a3"/>
              <w:spacing w:before="0" w:beforeAutospacing="0" w:after="0" w:afterAutospacing="0"/>
              <w:jc w:val="right"/>
              <w:rPr>
                <w:sz w:val="20"/>
                <w:szCs w:val="20"/>
              </w:rPr>
            </w:pPr>
            <w:r>
              <w:rPr>
                <w:sz w:val="20"/>
                <w:szCs w:val="20"/>
              </w:rPr>
              <w:t>4,07</w:t>
            </w:r>
            <w:r>
              <w:rPr>
                <w:sz w:val="20"/>
                <w:szCs w:val="20"/>
              </w:rPr>
              <w:t>9</w:t>
            </w:r>
          </w:p>
        </w:tc>
        <w:tc>
          <w:tcPr>
            <w:tcW w:w="0" w:type="auto"/>
            <w:noWrap/>
            <w:vAlign w:val="bottom"/>
            <w:hideMark/>
          </w:tcPr>
          <w:p w14:paraId="6D3A734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666286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829437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20D5DA1" w14:textId="77777777" w:rsidR="00000000" w:rsidRDefault="00EF48A2">
            <w:pPr>
              <w:pStyle w:val="a3"/>
              <w:spacing w:before="0" w:beforeAutospacing="0" w:after="0" w:afterAutospacing="0"/>
              <w:jc w:val="right"/>
              <w:rPr>
                <w:sz w:val="20"/>
                <w:szCs w:val="20"/>
              </w:rPr>
            </w:pPr>
            <w:r>
              <w:rPr>
                <w:sz w:val="20"/>
                <w:szCs w:val="20"/>
              </w:rPr>
              <w:t>2,50</w:t>
            </w:r>
            <w:r>
              <w:rPr>
                <w:sz w:val="20"/>
                <w:szCs w:val="20"/>
              </w:rPr>
              <w:t>0</w:t>
            </w:r>
          </w:p>
        </w:tc>
        <w:tc>
          <w:tcPr>
            <w:tcW w:w="0" w:type="auto"/>
            <w:noWrap/>
            <w:vAlign w:val="bottom"/>
            <w:hideMark/>
          </w:tcPr>
          <w:p w14:paraId="05CDD4F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46EC0F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7ECE1D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A21FAD" w14:textId="77777777" w:rsidR="00000000" w:rsidRDefault="00EF48A2">
            <w:pPr>
              <w:pStyle w:val="a3"/>
              <w:spacing w:before="0" w:beforeAutospacing="0" w:after="0" w:afterAutospacing="0"/>
              <w:jc w:val="right"/>
              <w:rPr>
                <w:sz w:val="20"/>
                <w:szCs w:val="20"/>
              </w:rPr>
            </w:pPr>
            <w:r>
              <w:rPr>
                <w:sz w:val="20"/>
                <w:szCs w:val="20"/>
              </w:rPr>
              <w:t>1,12</w:t>
            </w:r>
            <w:r>
              <w:rPr>
                <w:sz w:val="20"/>
                <w:szCs w:val="20"/>
              </w:rPr>
              <w:t>5</w:t>
            </w:r>
          </w:p>
        </w:tc>
        <w:tc>
          <w:tcPr>
            <w:tcW w:w="0" w:type="auto"/>
            <w:noWrap/>
            <w:vAlign w:val="bottom"/>
            <w:hideMark/>
          </w:tcPr>
          <w:p w14:paraId="37A5E665" w14:textId="77777777" w:rsidR="00000000" w:rsidRDefault="00EF48A2">
            <w:pPr>
              <w:pStyle w:val="a3"/>
              <w:spacing w:before="0" w:beforeAutospacing="0" w:after="0" w:afterAutospacing="0"/>
              <w:rPr>
                <w:sz w:val="20"/>
                <w:szCs w:val="20"/>
              </w:rPr>
            </w:pPr>
            <w:r>
              <w:rPr>
                <w:sz w:val="20"/>
                <w:szCs w:val="20"/>
              </w:rPr>
              <w:t> </w:t>
            </w:r>
          </w:p>
        </w:tc>
      </w:tr>
      <w:tr w:rsidR="00000000" w14:paraId="2966D836" w14:textId="77777777">
        <w:trPr>
          <w:divId w:val="1290358069"/>
          <w:trHeight w:val="200"/>
          <w:tblCellSpacing w:w="15" w:type="dxa"/>
        </w:trPr>
        <w:tc>
          <w:tcPr>
            <w:tcW w:w="0" w:type="auto"/>
            <w:hideMark/>
          </w:tcPr>
          <w:p w14:paraId="631C458F" w14:textId="77777777" w:rsidR="00000000" w:rsidRDefault="00EF48A2">
            <w:pPr>
              <w:pStyle w:val="a3"/>
              <w:spacing w:before="0" w:beforeAutospacing="0" w:after="0" w:afterAutospacing="0"/>
              <w:rPr>
                <w:sz w:val="20"/>
                <w:szCs w:val="20"/>
              </w:rPr>
            </w:pPr>
            <w:r>
              <w:rPr>
                <w:sz w:val="20"/>
                <w:szCs w:val="20"/>
              </w:rPr>
              <w:t>Impairment of goodwil</w:t>
            </w:r>
            <w:r>
              <w:rPr>
                <w:sz w:val="20"/>
                <w:szCs w:val="20"/>
              </w:rPr>
              <w:t>l</w:t>
            </w:r>
          </w:p>
        </w:tc>
        <w:tc>
          <w:tcPr>
            <w:tcW w:w="0" w:type="auto"/>
            <w:vAlign w:val="bottom"/>
            <w:hideMark/>
          </w:tcPr>
          <w:p w14:paraId="4EA55CA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8E1885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F37E7CA" w14:textId="77777777" w:rsidR="00000000" w:rsidRDefault="00EF48A2">
            <w:pPr>
              <w:pStyle w:val="a3"/>
              <w:spacing w:before="0" w:beforeAutospacing="0" w:after="0" w:afterAutospacing="0"/>
              <w:jc w:val="right"/>
              <w:rPr>
                <w:sz w:val="20"/>
                <w:szCs w:val="20"/>
              </w:rPr>
            </w:pPr>
            <w:r>
              <w:rPr>
                <w:sz w:val="20"/>
                <w:szCs w:val="20"/>
              </w:rPr>
              <w:t>(</w:t>
            </w:r>
            <w:r>
              <w:rPr>
                <w:sz w:val="20"/>
                <w:szCs w:val="20"/>
              </w:rPr>
              <w:t>1,28</w:t>
            </w:r>
            <w:r>
              <w:rPr>
                <w:sz w:val="20"/>
                <w:szCs w:val="20"/>
              </w:rPr>
              <w:t>8</w:t>
            </w:r>
          </w:p>
        </w:tc>
        <w:tc>
          <w:tcPr>
            <w:tcW w:w="0" w:type="auto"/>
            <w:noWrap/>
            <w:vAlign w:val="bottom"/>
            <w:hideMark/>
          </w:tcPr>
          <w:p w14:paraId="5EC4121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2F6D0C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71B51725"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B45DC01"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215EC0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E0D98D3"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5AAC91EB" w14:textId="77777777" w:rsidR="00000000" w:rsidRDefault="00EF48A2">
            <w:pPr>
              <w:pStyle w:val="a3"/>
              <w:spacing w:before="0" w:beforeAutospacing="0" w:after="0" w:afterAutospacing="0"/>
              <w:jc w:val="right"/>
              <w:rPr>
                <w:sz w:val="20"/>
                <w:szCs w:val="20"/>
              </w:rPr>
            </w:pPr>
            <w:r>
              <w:rPr>
                <w:sz w:val="20"/>
                <w:szCs w:val="20"/>
              </w:rPr>
              <w:t> </w:t>
            </w:r>
          </w:p>
        </w:tc>
      </w:tr>
      <w:tr w:rsidR="00000000" w14:paraId="2EF35EB8" w14:textId="77777777">
        <w:trPr>
          <w:divId w:val="1290358069"/>
          <w:trHeight w:val="200"/>
          <w:tblCellSpacing w:w="15" w:type="dxa"/>
        </w:trPr>
        <w:tc>
          <w:tcPr>
            <w:tcW w:w="0" w:type="auto"/>
            <w:hideMark/>
          </w:tcPr>
          <w:p w14:paraId="69816269" w14:textId="77777777" w:rsidR="00000000" w:rsidRDefault="00EF48A2">
            <w:pPr>
              <w:pStyle w:val="a3"/>
              <w:spacing w:before="0" w:beforeAutospacing="0" w:after="0" w:afterAutospacing="0"/>
              <w:rPr>
                <w:sz w:val="20"/>
                <w:szCs w:val="20"/>
              </w:rPr>
            </w:pPr>
            <w:r>
              <w:rPr>
                <w:sz w:val="20"/>
                <w:szCs w:val="20"/>
              </w:rPr>
              <w:t>Permanent difference</w:t>
            </w:r>
            <w:r>
              <w:rPr>
                <w:sz w:val="20"/>
                <w:szCs w:val="20"/>
              </w:rPr>
              <w:t>s</w:t>
            </w:r>
          </w:p>
        </w:tc>
        <w:tc>
          <w:tcPr>
            <w:tcW w:w="0" w:type="auto"/>
            <w:vAlign w:val="bottom"/>
            <w:hideMark/>
          </w:tcPr>
          <w:p w14:paraId="23A94B5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0BBD90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1813FD4" w14:textId="77777777" w:rsidR="00000000" w:rsidRDefault="00EF48A2">
            <w:pPr>
              <w:pStyle w:val="a3"/>
              <w:spacing w:before="0" w:beforeAutospacing="0" w:after="0" w:afterAutospacing="0"/>
              <w:jc w:val="right"/>
              <w:rPr>
                <w:sz w:val="20"/>
                <w:szCs w:val="20"/>
              </w:rPr>
            </w:pPr>
            <w:r>
              <w:rPr>
                <w:sz w:val="20"/>
                <w:szCs w:val="20"/>
              </w:rPr>
              <w:t>(</w:t>
            </w:r>
            <w:r>
              <w:rPr>
                <w:sz w:val="20"/>
                <w:szCs w:val="20"/>
              </w:rPr>
              <w:t>8</w:t>
            </w:r>
            <w:r>
              <w:rPr>
                <w:sz w:val="20"/>
                <w:szCs w:val="20"/>
              </w:rPr>
              <w:t>3</w:t>
            </w:r>
          </w:p>
        </w:tc>
        <w:tc>
          <w:tcPr>
            <w:tcW w:w="0" w:type="auto"/>
            <w:noWrap/>
            <w:vAlign w:val="bottom"/>
            <w:hideMark/>
          </w:tcPr>
          <w:p w14:paraId="467A658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095F11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34FD62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8D7703B" w14:textId="77777777" w:rsidR="00000000" w:rsidRDefault="00EF48A2">
            <w:pPr>
              <w:pStyle w:val="a3"/>
              <w:spacing w:before="0" w:beforeAutospacing="0" w:after="0" w:afterAutospacing="0"/>
              <w:jc w:val="right"/>
              <w:rPr>
                <w:sz w:val="20"/>
                <w:szCs w:val="20"/>
              </w:rPr>
            </w:pPr>
            <w:r>
              <w:rPr>
                <w:sz w:val="20"/>
                <w:szCs w:val="20"/>
              </w:rPr>
              <w:t>1,49</w:t>
            </w:r>
            <w:r>
              <w:rPr>
                <w:sz w:val="20"/>
                <w:szCs w:val="20"/>
              </w:rPr>
              <w:t>2</w:t>
            </w:r>
          </w:p>
        </w:tc>
        <w:tc>
          <w:tcPr>
            <w:tcW w:w="0" w:type="auto"/>
            <w:noWrap/>
            <w:vAlign w:val="bottom"/>
            <w:hideMark/>
          </w:tcPr>
          <w:p w14:paraId="5BF96E2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B03F5D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1FBC00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02B4D8" w14:textId="77777777" w:rsidR="00000000" w:rsidRDefault="00EF48A2">
            <w:pPr>
              <w:pStyle w:val="a3"/>
              <w:spacing w:before="0" w:beforeAutospacing="0" w:after="0" w:afterAutospacing="0"/>
              <w:jc w:val="right"/>
              <w:rPr>
                <w:sz w:val="20"/>
                <w:szCs w:val="20"/>
              </w:rPr>
            </w:pPr>
            <w:r>
              <w:rPr>
                <w:sz w:val="20"/>
                <w:szCs w:val="20"/>
              </w:rPr>
              <w:t>(</w:t>
            </w:r>
            <w:r>
              <w:rPr>
                <w:sz w:val="20"/>
                <w:szCs w:val="20"/>
              </w:rPr>
              <w:t>58</w:t>
            </w:r>
            <w:r>
              <w:rPr>
                <w:sz w:val="20"/>
                <w:szCs w:val="20"/>
              </w:rPr>
              <w:t>6</w:t>
            </w:r>
          </w:p>
        </w:tc>
        <w:tc>
          <w:tcPr>
            <w:tcW w:w="0" w:type="auto"/>
            <w:noWrap/>
            <w:vAlign w:val="bottom"/>
            <w:hideMark/>
          </w:tcPr>
          <w:p w14:paraId="5CE09650" w14:textId="77777777" w:rsidR="00000000" w:rsidRDefault="00EF48A2">
            <w:pPr>
              <w:pStyle w:val="a3"/>
              <w:spacing w:before="0" w:beforeAutospacing="0" w:after="0" w:afterAutospacing="0"/>
              <w:rPr>
                <w:sz w:val="20"/>
                <w:szCs w:val="20"/>
              </w:rPr>
            </w:pPr>
            <w:r>
              <w:rPr>
                <w:sz w:val="20"/>
                <w:szCs w:val="20"/>
              </w:rPr>
              <w:t>)</w:t>
            </w:r>
          </w:p>
        </w:tc>
      </w:tr>
      <w:tr w:rsidR="00000000" w14:paraId="33044783" w14:textId="77777777">
        <w:trPr>
          <w:divId w:val="1290358069"/>
          <w:trHeight w:val="200"/>
          <w:tblCellSpacing w:w="15" w:type="dxa"/>
        </w:trPr>
        <w:tc>
          <w:tcPr>
            <w:tcW w:w="0" w:type="auto"/>
            <w:hideMark/>
          </w:tcPr>
          <w:p w14:paraId="498582A6" w14:textId="77777777" w:rsidR="00000000" w:rsidRDefault="00EF48A2">
            <w:pPr>
              <w:pStyle w:val="a3"/>
              <w:spacing w:before="0" w:beforeAutospacing="0" w:after="0" w:afterAutospacing="0"/>
              <w:rPr>
                <w:sz w:val="20"/>
                <w:szCs w:val="20"/>
              </w:rPr>
            </w:pPr>
            <w:r>
              <w:rPr>
                <w:sz w:val="20"/>
                <w:szCs w:val="20"/>
              </w:rPr>
              <w:t>Other Adjustment</w:t>
            </w:r>
            <w:r>
              <w:rPr>
                <w:sz w:val="20"/>
                <w:szCs w:val="20"/>
              </w:rPr>
              <w:t>s</w:t>
            </w:r>
          </w:p>
        </w:tc>
        <w:tc>
          <w:tcPr>
            <w:tcW w:w="0" w:type="auto"/>
            <w:vAlign w:val="bottom"/>
            <w:hideMark/>
          </w:tcPr>
          <w:p w14:paraId="21F1F0E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9B466A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8D3C59F" w14:textId="77777777" w:rsidR="00000000" w:rsidRDefault="00EF48A2">
            <w:pPr>
              <w:pStyle w:val="a3"/>
              <w:spacing w:before="0" w:beforeAutospacing="0" w:after="0" w:afterAutospacing="0"/>
              <w:jc w:val="right"/>
              <w:rPr>
                <w:sz w:val="20"/>
                <w:szCs w:val="20"/>
              </w:rPr>
            </w:pPr>
            <w:r>
              <w:rPr>
                <w:sz w:val="20"/>
                <w:szCs w:val="20"/>
              </w:rPr>
              <w:t>7,17</w:t>
            </w:r>
            <w:r>
              <w:rPr>
                <w:sz w:val="20"/>
                <w:szCs w:val="20"/>
              </w:rPr>
              <w:t>7</w:t>
            </w:r>
          </w:p>
        </w:tc>
        <w:tc>
          <w:tcPr>
            <w:tcW w:w="0" w:type="auto"/>
            <w:noWrap/>
            <w:vAlign w:val="bottom"/>
            <w:hideMark/>
          </w:tcPr>
          <w:p w14:paraId="6F516F9A"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233571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6A1CA3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7D7F2FB"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2914DD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B6415F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9AB449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A729CD0"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69F69022" w14:textId="77777777" w:rsidR="00000000" w:rsidRDefault="00EF48A2">
            <w:pPr>
              <w:pStyle w:val="a3"/>
              <w:spacing w:before="0" w:beforeAutospacing="0" w:after="0" w:afterAutospacing="0"/>
              <w:rPr>
                <w:sz w:val="20"/>
                <w:szCs w:val="20"/>
              </w:rPr>
            </w:pPr>
            <w:r>
              <w:rPr>
                <w:sz w:val="20"/>
                <w:szCs w:val="20"/>
              </w:rPr>
              <w:t> </w:t>
            </w:r>
          </w:p>
        </w:tc>
      </w:tr>
      <w:tr w:rsidR="00000000" w14:paraId="246B1D22" w14:textId="77777777">
        <w:trPr>
          <w:divId w:val="1290358069"/>
          <w:trHeight w:val="200"/>
          <w:tblCellSpacing w:w="15" w:type="dxa"/>
        </w:trPr>
        <w:tc>
          <w:tcPr>
            <w:tcW w:w="0" w:type="auto"/>
            <w:hideMark/>
          </w:tcPr>
          <w:p w14:paraId="46383A4A" w14:textId="77777777" w:rsidR="00000000" w:rsidRDefault="00EF48A2">
            <w:pPr>
              <w:pStyle w:val="a3"/>
              <w:spacing w:before="0" w:beforeAutospacing="0" w:after="0" w:afterAutospacing="0"/>
              <w:rPr>
                <w:sz w:val="20"/>
                <w:szCs w:val="20"/>
              </w:rPr>
            </w:pPr>
            <w:r>
              <w:rPr>
                <w:sz w:val="20"/>
                <w:szCs w:val="20"/>
              </w:rPr>
              <w:t>Valuation allowanc</w:t>
            </w:r>
            <w:r>
              <w:rPr>
                <w:sz w:val="20"/>
                <w:szCs w:val="20"/>
              </w:rPr>
              <w:t>e</w:t>
            </w:r>
          </w:p>
        </w:tc>
        <w:tc>
          <w:tcPr>
            <w:tcW w:w="0" w:type="auto"/>
            <w:vAlign w:val="bottom"/>
            <w:hideMark/>
          </w:tcPr>
          <w:p w14:paraId="7621109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D860CF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ABCAFA" w14:textId="77777777" w:rsidR="00000000" w:rsidRDefault="00EF48A2">
            <w:pPr>
              <w:pStyle w:val="a3"/>
              <w:spacing w:before="0" w:beforeAutospacing="0" w:after="0" w:afterAutospacing="0"/>
              <w:jc w:val="right"/>
              <w:rPr>
                <w:sz w:val="20"/>
                <w:szCs w:val="20"/>
              </w:rPr>
            </w:pPr>
            <w:r>
              <w:rPr>
                <w:sz w:val="20"/>
                <w:szCs w:val="20"/>
              </w:rPr>
              <w:t>(</w:t>
            </w:r>
            <w:r>
              <w:rPr>
                <w:sz w:val="20"/>
                <w:szCs w:val="20"/>
              </w:rPr>
              <w:t>26,30</w:t>
            </w:r>
            <w:r>
              <w:rPr>
                <w:sz w:val="20"/>
                <w:szCs w:val="20"/>
              </w:rPr>
              <w:t>9</w:t>
            </w:r>
          </w:p>
        </w:tc>
        <w:tc>
          <w:tcPr>
            <w:tcW w:w="0" w:type="auto"/>
            <w:noWrap/>
            <w:vAlign w:val="bottom"/>
            <w:hideMark/>
          </w:tcPr>
          <w:p w14:paraId="3B96A6A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D84E3C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E226A1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94BA075" w14:textId="77777777" w:rsidR="00000000" w:rsidRDefault="00EF48A2">
            <w:pPr>
              <w:pStyle w:val="a3"/>
              <w:spacing w:before="0" w:beforeAutospacing="0" w:after="0" w:afterAutospacing="0"/>
              <w:jc w:val="right"/>
              <w:rPr>
                <w:sz w:val="20"/>
                <w:szCs w:val="20"/>
              </w:rPr>
            </w:pPr>
            <w:r>
              <w:rPr>
                <w:sz w:val="20"/>
                <w:szCs w:val="20"/>
              </w:rPr>
              <w:t>(</w:t>
            </w:r>
            <w:r>
              <w:rPr>
                <w:sz w:val="20"/>
                <w:szCs w:val="20"/>
              </w:rPr>
              <w:t>17,11</w:t>
            </w:r>
            <w:r>
              <w:rPr>
                <w:sz w:val="20"/>
                <w:szCs w:val="20"/>
              </w:rPr>
              <w:t>1</w:t>
            </w:r>
          </w:p>
        </w:tc>
        <w:tc>
          <w:tcPr>
            <w:tcW w:w="0" w:type="auto"/>
            <w:noWrap/>
            <w:vAlign w:val="bottom"/>
            <w:hideMark/>
          </w:tcPr>
          <w:p w14:paraId="45578EA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B07A66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F88B20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22E893" w14:textId="77777777" w:rsidR="00000000" w:rsidRDefault="00EF48A2">
            <w:pPr>
              <w:pStyle w:val="a3"/>
              <w:spacing w:before="0" w:beforeAutospacing="0" w:after="0" w:afterAutospacing="0"/>
              <w:jc w:val="right"/>
              <w:rPr>
                <w:sz w:val="20"/>
                <w:szCs w:val="20"/>
              </w:rPr>
            </w:pPr>
            <w:r>
              <w:rPr>
                <w:sz w:val="20"/>
                <w:szCs w:val="20"/>
              </w:rPr>
              <w:t>(</w:t>
            </w:r>
            <w:r>
              <w:rPr>
                <w:sz w:val="20"/>
                <w:szCs w:val="20"/>
              </w:rPr>
              <w:t>5,20</w:t>
            </w:r>
            <w:r>
              <w:rPr>
                <w:sz w:val="20"/>
                <w:szCs w:val="20"/>
              </w:rPr>
              <w:t>8</w:t>
            </w:r>
          </w:p>
        </w:tc>
        <w:tc>
          <w:tcPr>
            <w:tcW w:w="0" w:type="auto"/>
            <w:noWrap/>
            <w:vAlign w:val="bottom"/>
            <w:hideMark/>
          </w:tcPr>
          <w:p w14:paraId="6841190E" w14:textId="77777777" w:rsidR="00000000" w:rsidRDefault="00EF48A2">
            <w:pPr>
              <w:pStyle w:val="a3"/>
              <w:spacing w:before="0" w:beforeAutospacing="0" w:after="0" w:afterAutospacing="0"/>
              <w:rPr>
                <w:sz w:val="20"/>
                <w:szCs w:val="20"/>
              </w:rPr>
            </w:pPr>
            <w:r>
              <w:rPr>
                <w:sz w:val="20"/>
                <w:szCs w:val="20"/>
              </w:rPr>
              <w:t>)</w:t>
            </w:r>
          </w:p>
        </w:tc>
      </w:tr>
      <w:tr w:rsidR="00000000" w14:paraId="3B34F328" w14:textId="77777777">
        <w:trPr>
          <w:divId w:val="1290358069"/>
          <w:trHeight w:val="200"/>
          <w:tblCellSpacing w:w="15" w:type="dxa"/>
        </w:trPr>
        <w:tc>
          <w:tcPr>
            <w:tcW w:w="0" w:type="auto"/>
            <w:hideMark/>
          </w:tcPr>
          <w:p w14:paraId="3C495C2C" w14:textId="77777777" w:rsidR="00000000" w:rsidRDefault="00EF48A2">
            <w:pPr>
              <w:pStyle w:val="a3"/>
              <w:spacing w:before="0" w:beforeAutospacing="0" w:after="0" w:afterAutospacing="0"/>
              <w:rPr>
                <w:sz w:val="20"/>
                <w:szCs w:val="20"/>
              </w:rPr>
            </w:pPr>
            <w:r>
              <w:rPr>
                <w:sz w:val="20"/>
                <w:szCs w:val="20"/>
              </w:rPr>
              <w:t>Actual income taxe</w:t>
            </w:r>
            <w:r>
              <w:rPr>
                <w:sz w:val="20"/>
                <w:szCs w:val="20"/>
              </w:rPr>
              <w:t>s</w:t>
            </w:r>
          </w:p>
        </w:tc>
        <w:tc>
          <w:tcPr>
            <w:tcW w:w="0" w:type="auto"/>
            <w:vAlign w:val="bottom"/>
            <w:hideMark/>
          </w:tcPr>
          <w:p w14:paraId="6561CE0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429349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BD4379C" w14:textId="77777777" w:rsidR="00000000" w:rsidRDefault="00EF48A2">
            <w:pPr>
              <w:pStyle w:val="a3"/>
              <w:spacing w:before="0" w:beforeAutospacing="0" w:after="0" w:afterAutospacing="0"/>
              <w:jc w:val="right"/>
              <w:rPr>
                <w:sz w:val="20"/>
                <w:szCs w:val="20"/>
              </w:rPr>
            </w:pPr>
            <w:r>
              <w:rPr>
                <w:sz w:val="20"/>
                <w:szCs w:val="20"/>
              </w:rPr>
              <w:t>25</w:t>
            </w:r>
            <w:r>
              <w:rPr>
                <w:sz w:val="20"/>
                <w:szCs w:val="20"/>
              </w:rPr>
              <w:t>4</w:t>
            </w:r>
          </w:p>
        </w:tc>
        <w:tc>
          <w:tcPr>
            <w:tcW w:w="0" w:type="auto"/>
            <w:noWrap/>
            <w:vAlign w:val="bottom"/>
            <w:hideMark/>
          </w:tcPr>
          <w:p w14:paraId="47664E1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CE89E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08DD3B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C00CB8E" w14:textId="77777777" w:rsidR="00000000" w:rsidRDefault="00EF48A2">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14:paraId="458DF4E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1F843F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C54279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3804D3C" w14:textId="77777777" w:rsidR="00000000" w:rsidRDefault="00EF48A2">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0C1FCE2B" w14:textId="77777777" w:rsidR="00000000" w:rsidRDefault="00EF48A2">
            <w:pPr>
              <w:pStyle w:val="a3"/>
              <w:spacing w:before="0" w:beforeAutospacing="0" w:after="0" w:afterAutospacing="0"/>
              <w:rPr>
                <w:sz w:val="20"/>
                <w:szCs w:val="20"/>
              </w:rPr>
            </w:pPr>
            <w:r>
              <w:rPr>
                <w:sz w:val="20"/>
                <w:szCs w:val="20"/>
              </w:rPr>
              <w:t> </w:t>
            </w:r>
          </w:p>
        </w:tc>
      </w:tr>
    </w:tbl>
    <w:p w14:paraId="79610D76" w14:textId="77777777" w:rsidR="00000000" w:rsidRDefault="00EF48A2">
      <w:pPr>
        <w:pStyle w:val="a3"/>
        <w:spacing w:before="180" w:beforeAutospacing="0" w:after="0" w:afterAutospacing="0"/>
        <w:jc w:val="both"/>
        <w:divId w:val="415978143"/>
        <w:rPr>
          <w:sz w:val="20"/>
          <w:szCs w:val="20"/>
        </w:rPr>
      </w:pPr>
      <w:r>
        <w:rPr>
          <w:sz w:val="20"/>
          <w:szCs w:val="20"/>
        </w:rPr>
        <w:t>The main reconciling item between the statutory tax rate of the Company and the effective tax rate is the recognition of valuation allowance in respect of deferred taxes relating to accumulated net operating losses carried forward due to the uncertainty of</w:t>
      </w:r>
      <w:r>
        <w:rPr>
          <w:sz w:val="20"/>
          <w:szCs w:val="20"/>
        </w:rPr>
        <w:t xml:space="preserve"> the realization of such deferred taxes</w:t>
      </w:r>
      <w:r>
        <w:rPr>
          <w:sz w:val="20"/>
          <w:szCs w:val="20"/>
        </w:rPr>
        <w:t>.</w:t>
      </w:r>
    </w:p>
    <w:p w14:paraId="1B4E5018" w14:textId="77777777" w:rsidR="00000000" w:rsidRDefault="00EF48A2">
      <w:pPr>
        <w:pStyle w:val="a3"/>
        <w:spacing w:before="180" w:beforeAutospacing="0" w:after="180" w:afterAutospacing="0"/>
        <w:jc w:val="both"/>
        <w:divId w:val="62606735"/>
        <w:rPr>
          <w:sz w:val="20"/>
          <w:szCs w:val="20"/>
        </w:rPr>
      </w:pPr>
      <w:r>
        <w:rPr>
          <w:sz w:val="20"/>
          <w:szCs w:val="20"/>
        </w:rPr>
        <w:t>Loss (income) before taxes is attributable to the following tax jurisdictions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5"/>
        <w:gridCol w:w="139"/>
        <w:gridCol w:w="160"/>
        <w:gridCol w:w="1323"/>
        <w:gridCol w:w="127"/>
        <w:gridCol w:w="137"/>
        <w:gridCol w:w="160"/>
        <w:gridCol w:w="1323"/>
        <w:gridCol w:w="127"/>
        <w:gridCol w:w="138"/>
        <w:gridCol w:w="160"/>
        <w:gridCol w:w="1335"/>
        <w:gridCol w:w="142"/>
      </w:tblGrid>
      <w:tr w:rsidR="00000000" w14:paraId="586CAE48" w14:textId="77777777">
        <w:trPr>
          <w:divId w:val="62606735"/>
          <w:tblCellSpacing w:w="15" w:type="dxa"/>
        </w:trPr>
        <w:tc>
          <w:tcPr>
            <w:tcW w:w="1914" w:type="pct"/>
            <w:vAlign w:val="center"/>
            <w:hideMark/>
          </w:tcPr>
          <w:p w14:paraId="266375AC" w14:textId="77777777" w:rsidR="00000000" w:rsidRDefault="00EF48A2">
            <w:pPr>
              <w:rPr>
                <w:sz w:val="20"/>
                <w:szCs w:val="20"/>
              </w:rPr>
            </w:pPr>
          </w:p>
        </w:tc>
        <w:tc>
          <w:tcPr>
            <w:tcW w:w="88" w:type="pct"/>
            <w:vAlign w:val="center"/>
            <w:hideMark/>
          </w:tcPr>
          <w:p w14:paraId="50A60FDD" w14:textId="77777777" w:rsidR="00000000" w:rsidRDefault="00EF48A2">
            <w:pPr>
              <w:rPr>
                <w:rFonts w:eastAsia="Times New Roman"/>
                <w:sz w:val="20"/>
                <w:szCs w:val="20"/>
              </w:rPr>
            </w:pPr>
          </w:p>
        </w:tc>
        <w:tc>
          <w:tcPr>
            <w:tcW w:w="50" w:type="pct"/>
            <w:vAlign w:val="center"/>
            <w:hideMark/>
          </w:tcPr>
          <w:p w14:paraId="0DBB7CF6" w14:textId="77777777" w:rsidR="00000000" w:rsidRDefault="00EF48A2">
            <w:pPr>
              <w:rPr>
                <w:rFonts w:eastAsia="Times New Roman"/>
                <w:sz w:val="20"/>
                <w:szCs w:val="20"/>
              </w:rPr>
            </w:pPr>
          </w:p>
        </w:tc>
        <w:tc>
          <w:tcPr>
            <w:tcW w:w="838" w:type="pct"/>
            <w:vAlign w:val="center"/>
            <w:hideMark/>
          </w:tcPr>
          <w:p w14:paraId="6CB59D84" w14:textId="77777777" w:rsidR="00000000" w:rsidRDefault="00EF48A2">
            <w:pPr>
              <w:rPr>
                <w:rFonts w:eastAsia="Times New Roman"/>
                <w:sz w:val="20"/>
                <w:szCs w:val="20"/>
              </w:rPr>
            </w:pPr>
          </w:p>
        </w:tc>
        <w:tc>
          <w:tcPr>
            <w:tcW w:w="50" w:type="pct"/>
            <w:vAlign w:val="center"/>
            <w:hideMark/>
          </w:tcPr>
          <w:p w14:paraId="0E68BAFB" w14:textId="77777777" w:rsidR="00000000" w:rsidRDefault="00EF48A2">
            <w:pPr>
              <w:rPr>
                <w:rFonts w:eastAsia="Times New Roman"/>
                <w:sz w:val="20"/>
                <w:szCs w:val="20"/>
              </w:rPr>
            </w:pPr>
          </w:p>
        </w:tc>
        <w:tc>
          <w:tcPr>
            <w:tcW w:w="87" w:type="pct"/>
            <w:vAlign w:val="center"/>
            <w:hideMark/>
          </w:tcPr>
          <w:p w14:paraId="62D9E38F" w14:textId="77777777" w:rsidR="00000000" w:rsidRDefault="00EF48A2">
            <w:pPr>
              <w:rPr>
                <w:rFonts w:eastAsia="Times New Roman"/>
                <w:sz w:val="20"/>
                <w:szCs w:val="20"/>
              </w:rPr>
            </w:pPr>
          </w:p>
        </w:tc>
        <w:tc>
          <w:tcPr>
            <w:tcW w:w="50" w:type="pct"/>
            <w:vAlign w:val="center"/>
            <w:hideMark/>
          </w:tcPr>
          <w:p w14:paraId="5BFBBD83" w14:textId="77777777" w:rsidR="00000000" w:rsidRDefault="00EF48A2">
            <w:pPr>
              <w:rPr>
                <w:rFonts w:eastAsia="Times New Roman"/>
                <w:sz w:val="20"/>
                <w:szCs w:val="20"/>
              </w:rPr>
            </w:pPr>
          </w:p>
        </w:tc>
        <w:tc>
          <w:tcPr>
            <w:tcW w:w="838" w:type="pct"/>
            <w:vAlign w:val="center"/>
            <w:hideMark/>
          </w:tcPr>
          <w:p w14:paraId="63A23F40" w14:textId="77777777" w:rsidR="00000000" w:rsidRDefault="00EF48A2">
            <w:pPr>
              <w:rPr>
                <w:rFonts w:eastAsia="Times New Roman"/>
                <w:sz w:val="20"/>
                <w:szCs w:val="20"/>
              </w:rPr>
            </w:pPr>
          </w:p>
        </w:tc>
        <w:tc>
          <w:tcPr>
            <w:tcW w:w="50" w:type="pct"/>
            <w:vAlign w:val="center"/>
            <w:hideMark/>
          </w:tcPr>
          <w:p w14:paraId="62617355" w14:textId="77777777" w:rsidR="00000000" w:rsidRDefault="00EF48A2">
            <w:pPr>
              <w:rPr>
                <w:rFonts w:eastAsia="Times New Roman"/>
                <w:sz w:val="20"/>
                <w:szCs w:val="20"/>
              </w:rPr>
            </w:pPr>
          </w:p>
        </w:tc>
        <w:tc>
          <w:tcPr>
            <w:tcW w:w="87" w:type="pct"/>
            <w:vAlign w:val="center"/>
            <w:hideMark/>
          </w:tcPr>
          <w:p w14:paraId="4F927219" w14:textId="77777777" w:rsidR="00000000" w:rsidRDefault="00EF48A2">
            <w:pPr>
              <w:rPr>
                <w:rFonts w:eastAsia="Times New Roman"/>
                <w:sz w:val="20"/>
                <w:szCs w:val="20"/>
              </w:rPr>
            </w:pPr>
          </w:p>
        </w:tc>
        <w:tc>
          <w:tcPr>
            <w:tcW w:w="50" w:type="pct"/>
            <w:vAlign w:val="center"/>
            <w:hideMark/>
          </w:tcPr>
          <w:p w14:paraId="40300A57" w14:textId="77777777" w:rsidR="00000000" w:rsidRDefault="00EF48A2">
            <w:pPr>
              <w:rPr>
                <w:rFonts w:eastAsia="Times New Roman"/>
                <w:sz w:val="20"/>
                <w:szCs w:val="20"/>
              </w:rPr>
            </w:pPr>
          </w:p>
        </w:tc>
        <w:tc>
          <w:tcPr>
            <w:tcW w:w="845" w:type="pct"/>
            <w:vAlign w:val="center"/>
            <w:hideMark/>
          </w:tcPr>
          <w:p w14:paraId="0E097C9B" w14:textId="77777777" w:rsidR="00000000" w:rsidRDefault="00EF48A2">
            <w:pPr>
              <w:rPr>
                <w:rFonts w:eastAsia="Times New Roman"/>
                <w:sz w:val="20"/>
                <w:szCs w:val="20"/>
              </w:rPr>
            </w:pPr>
          </w:p>
        </w:tc>
        <w:tc>
          <w:tcPr>
            <w:tcW w:w="50" w:type="pct"/>
            <w:vAlign w:val="center"/>
            <w:hideMark/>
          </w:tcPr>
          <w:p w14:paraId="1CFE0759" w14:textId="77777777" w:rsidR="00000000" w:rsidRDefault="00EF48A2">
            <w:pPr>
              <w:rPr>
                <w:rFonts w:eastAsia="Times New Roman"/>
                <w:sz w:val="20"/>
                <w:szCs w:val="20"/>
              </w:rPr>
            </w:pPr>
          </w:p>
        </w:tc>
      </w:tr>
      <w:tr w:rsidR="00000000" w14:paraId="52AC98D5" w14:textId="77777777">
        <w:trPr>
          <w:divId w:val="62606735"/>
          <w:trHeight w:val="160"/>
          <w:tblCellSpacing w:w="15" w:type="dxa"/>
        </w:trPr>
        <w:tc>
          <w:tcPr>
            <w:tcW w:w="0" w:type="auto"/>
            <w:vAlign w:val="bottom"/>
            <w:hideMark/>
          </w:tcPr>
          <w:p w14:paraId="5C66EEE6"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73E7D939" w14:textId="77777777" w:rsidR="00000000" w:rsidRDefault="00EF48A2">
            <w:pPr>
              <w:pStyle w:val="a3"/>
              <w:spacing w:before="0" w:beforeAutospacing="0" w:after="0" w:afterAutospacing="0"/>
              <w:rPr>
                <w:sz w:val="16"/>
                <w:szCs w:val="16"/>
              </w:rPr>
            </w:pPr>
            <w:r>
              <w:rPr>
                <w:sz w:val="16"/>
                <w:szCs w:val="16"/>
              </w:rPr>
              <w:t> </w:t>
            </w:r>
          </w:p>
        </w:tc>
        <w:tc>
          <w:tcPr>
            <w:tcW w:w="0" w:type="auto"/>
            <w:gridSpan w:val="10"/>
            <w:vAlign w:val="bottom"/>
            <w:hideMark/>
          </w:tcPr>
          <w:p w14:paraId="20856096" w14:textId="77777777" w:rsidR="00000000" w:rsidRDefault="00EF48A2">
            <w:pPr>
              <w:pStyle w:val="a3"/>
              <w:spacing w:before="0" w:beforeAutospacing="0" w:after="0" w:afterAutospacing="0"/>
              <w:jc w:val="center"/>
              <w:rPr>
                <w:sz w:val="16"/>
                <w:szCs w:val="16"/>
              </w:rPr>
            </w:pPr>
            <w:r>
              <w:rPr>
                <w:b/>
                <w:bCs/>
                <w:sz w:val="16"/>
                <w:szCs w:val="16"/>
              </w:rPr>
              <w:t>For the Year Ended</w:t>
            </w:r>
            <w:r>
              <w:rPr>
                <w:b/>
                <w:bCs/>
                <w:sz w:val="16"/>
                <w:szCs w:val="16"/>
              </w:rPr>
              <w:br/>
              <w:t>December 31</w:t>
            </w:r>
            <w:r>
              <w:rPr>
                <w:b/>
                <w:bCs/>
                <w:sz w:val="16"/>
                <w:szCs w:val="16"/>
              </w:rPr>
              <w:t>,</w:t>
            </w:r>
          </w:p>
        </w:tc>
        <w:tc>
          <w:tcPr>
            <w:tcW w:w="0" w:type="auto"/>
            <w:vAlign w:val="bottom"/>
            <w:hideMark/>
          </w:tcPr>
          <w:p w14:paraId="37D71E27"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FAAE3E9" w14:textId="77777777">
        <w:trPr>
          <w:divId w:val="62606735"/>
          <w:trHeight w:val="160"/>
          <w:tblCellSpacing w:w="15" w:type="dxa"/>
        </w:trPr>
        <w:tc>
          <w:tcPr>
            <w:tcW w:w="0" w:type="auto"/>
            <w:vAlign w:val="bottom"/>
            <w:hideMark/>
          </w:tcPr>
          <w:p w14:paraId="426FF4FA"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5C15ED3D"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03B35DE"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A8E7765"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168706D4"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51DC224"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1ADB1B9"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2F87ED76"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0CAD8709"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8221C76"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DF04EEC" w14:textId="77777777">
        <w:trPr>
          <w:divId w:val="62606735"/>
          <w:trHeight w:val="200"/>
          <w:tblCellSpacing w:w="15" w:type="dxa"/>
        </w:trPr>
        <w:tc>
          <w:tcPr>
            <w:tcW w:w="0" w:type="auto"/>
            <w:hideMark/>
          </w:tcPr>
          <w:p w14:paraId="69F64406" w14:textId="77777777" w:rsidR="00000000" w:rsidRDefault="00EF48A2">
            <w:pPr>
              <w:pStyle w:val="a3"/>
              <w:spacing w:before="0" w:beforeAutospacing="0" w:after="0" w:afterAutospacing="0"/>
              <w:rPr>
                <w:sz w:val="20"/>
                <w:szCs w:val="20"/>
              </w:rPr>
            </w:pPr>
            <w:r>
              <w:rPr>
                <w:sz w:val="20"/>
                <w:szCs w:val="20"/>
              </w:rPr>
              <w:t>U.S. operation</w:t>
            </w:r>
            <w:r>
              <w:rPr>
                <w:sz w:val="20"/>
                <w:szCs w:val="20"/>
              </w:rPr>
              <w:t>s</w:t>
            </w:r>
          </w:p>
        </w:tc>
        <w:tc>
          <w:tcPr>
            <w:tcW w:w="0" w:type="auto"/>
            <w:hideMark/>
          </w:tcPr>
          <w:p w14:paraId="279C86F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AF2F4C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15A4FC24"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79,78</w:t>
            </w:r>
            <w:r>
              <w:rPr>
                <w:sz w:val="20"/>
                <w:szCs w:val="20"/>
              </w:rPr>
              <w:t>8</w:t>
            </w:r>
          </w:p>
        </w:tc>
        <w:tc>
          <w:tcPr>
            <w:tcW w:w="0" w:type="auto"/>
            <w:noWrap/>
            <w:vAlign w:val="bottom"/>
            <w:hideMark/>
          </w:tcPr>
          <w:p w14:paraId="7569AAFF"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1D1E22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BDD28F7"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0E7953E4"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62,90</w:t>
            </w:r>
            <w:r>
              <w:rPr>
                <w:sz w:val="20"/>
                <w:szCs w:val="20"/>
              </w:rPr>
              <w:t>2</w:t>
            </w:r>
          </w:p>
        </w:tc>
        <w:tc>
          <w:tcPr>
            <w:tcW w:w="0" w:type="auto"/>
            <w:noWrap/>
            <w:vAlign w:val="bottom"/>
            <w:hideMark/>
          </w:tcPr>
          <w:p w14:paraId="5F94023B"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C26784F"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AE2579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8476DCF"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22,41</w:t>
            </w:r>
            <w:r>
              <w:rPr>
                <w:sz w:val="20"/>
                <w:szCs w:val="20"/>
              </w:rPr>
              <w:t>5</w:t>
            </w:r>
          </w:p>
        </w:tc>
        <w:tc>
          <w:tcPr>
            <w:tcW w:w="0" w:type="auto"/>
            <w:noWrap/>
            <w:vAlign w:val="bottom"/>
            <w:hideMark/>
          </w:tcPr>
          <w:p w14:paraId="474C8753" w14:textId="77777777" w:rsidR="00000000" w:rsidRDefault="00EF48A2">
            <w:pPr>
              <w:pStyle w:val="a3"/>
              <w:spacing w:before="0" w:beforeAutospacing="0" w:after="0" w:afterAutospacing="0"/>
              <w:rPr>
                <w:sz w:val="20"/>
                <w:szCs w:val="20"/>
              </w:rPr>
            </w:pPr>
            <w:r>
              <w:rPr>
                <w:sz w:val="20"/>
                <w:szCs w:val="20"/>
              </w:rPr>
              <w:t>)</w:t>
            </w:r>
          </w:p>
        </w:tc>
      </w:tr>
      <w:tr w:rsidR="00000000" w14:paraId="648CCB08" w14:textId="77777777">
        <w:trPr>
          <w:divId w:val="62606735"/>
          <w:trHeight w:val="200"/>
          <w:tblCellSpacing w:w="15" w:type="dxa"/>
        </w:trPr>
        <w:tc>
          <w:tcPr>
            <w:tcW w:w="0" w:type="auto"/>
            <w:hideMark/>
          </w:tcPr>
          <w:p w14:paraId="6710906B" w14:textId="77777777" w:rsidR="00000000" w:rsidRDefault="00EF48A2">
            <w:pPr>
              <w:pStyle w:val="a3"/>
              <w:spacing w:before="0" w:beforeAutospacing="0" w:after="0" w:afterAutospacing="0"/>
              <w:rPr>
                <w:sz w:val="20"/>
                <w:szCs w:val="20"/>
              </w:rPr>
            </w:pPr>
            <w:r>
              <w:rPr>
                <w:sz w:val="20"/>
                <w:szCs w:val="20"/>
              </w:rPr>
              <w:t>Foreign operation</w:t>
            </w:r>
            <w:r>
              <w:rPr>
                <w:sz w:val="20"/>
                <w:szCs w:val="20"/>
              </w:rPr>
              <w:t>s</w:t>
            </w:r>
          </w:p>
        </w:tc>
        <w:tc>
          <w:tcPr>
            <w:tcW w:w="0" w:type="auto"/>
            <w:hideMark/>
          </w:tcPr>
          <w:p w14:paraId="01814D2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879F42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997BF2D" w14:textId="77777777" w:rsidR="00000000" w:rsidRDefault="00EF48A2">
            <w:pPr>
              <w:pStyle w:val="a3"/>
              <w:spacing w:before="0" w:beforeAutospacing="0" w:after="0" w:afterAutospacing="0"/>
              <w:jc w:val="right"/>
              <w:rPr>
                <w:sz w:val="20"/>
                <w:szCs w:val="20"/>
              </w:rPr>
            </w:pPr>
            <w:r>
              <w:rPr>
                <w:sz w:val="20"/>
                <w:szCs w:val="20"/>
              </w:rPr>
              <w:t>37</w:t>
            </w:r>
            <w:r>
              <w:rPr>
                <w:sz w:val="20"/>
                <w:szCs w:val="20"/>
              </w:rPr>
              <w:t>0</w:t>
            </w:r>
          </w:p>
        </w:tc>
        <w:tc>
          <w:tcPr>
            <w:tcW w:w="0" w:type="auto"/>
            <w:noWrap/>
            <w:vAlign w:val="bottom"/>
            <w:hideMark/>
          </w:tcPr>
          <w:p w14:paraId="2D8E0C3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D76B4C1"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E011ABF"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B6BC190" w14:textId="77777777" w:rsidR="00000000" w:rsidRDefault="00EF48A2">
            <w:pPr>
              <w:pStyle w:val="a3"/>
              <w:spacing w:before="0" w:beforeAutospacing="0" w:after="0" w:afterAutospacing="0"/>
              <w:jc w:val="right"/>
              <w:rPr>
                <w:sz w:val="20"/>
                <w:szCs w:val="20"/>
              </w:rPr>
            </w:pPr>
            <w:r>
              <w:rPr>
                <w:sz w:val="20"/>
                <w:szCs w:val="20"/>
              </w:rPr>
              <w:t>20</w:t>
            </w:r>
            <w:r>
              <w:rPr>
                <w:sz w:val="20"/>
                <w:szCs w:val="20"/>
              </w:rPr>
              <w:t>7</w:t>
            </w:r>
          </w:p>
        </w:tc>
        <w:tc>
          <w:tcPr>
            <w:tcW w:w="0" w:type="auto"/>
            <w:noWrap/>
            <w:vAlign w:val="bottom"/>
            <w:hideMark/>
          </w:tcPr>
          <w:p w14:paraId="4FEDA9A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B92143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E1DF2F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DFFEDE3" w14:textId="77777777" w:rsidR="00000000" w:rsidRDefault="00EF48A2">
            <w:pPr>
              <w:pStyle w:val="a3"/>
              <w:spacing w:before="0" w:beforeAutospacing="0" w:after="0" w:afterAutospacing="0"/>
              <w:jc w:val="right"/>
              <w:rPr>
                <w:sz w:val="20"/>
                <w:szCs w:val="20"/>
              </w:rPr>
            </w:pPr>
            <w:r>
              <w:rPr>
                <w:sz w:val="20"/>
                <w:szCs w:val="20"/>
              </w:rPr>
              <w:t>6</w:t>
            </w:r>
            <w:r>
              <w:rPr>
                <w:sz w:val="20"/>
                <w:szCs w:val="20"/>
              </w:rPr>
              <w:t>9</w:t>
            </w:r>
          </w:p>
        </w:tc>
        <w:tc>
          <w:tcPr>
            <w:tcW w:w="0" w:type="auto"/>
            <w:noWrap/>
            <w:vAlign w:val="bottom"/>
            <w:hideMark/>
          </w:tcPr>
          <w:p w14:paraId="1E5601B9" w14:textId="77777777" w:rsidR="00000000" w:rsidRDefault="00EF48A2">
            <w:pPr>
              <w:pStyle w:val="a3"/>
              <w:spacing w:before="0" w:beforeAutospacing="0" w:after="0" w:afterAutospacing="0"/>
              <w:rPr>
                <w:sz w:val="20"/>
                <w:szCs w:val="20"/>
              </w:rPr>
            </w:pPr>
            <w:r>
              <w:rPr>
                <w:sz w:val="20"/>
                <w:szCs w:val="20"/>
              </w:rPr>
              <w:t> </w:t>
            </w:r>
          </w:p>
        </w:tc>
      </w:tr>
      <w:tr w:rsidR="00000000" w14:paraId="7FDB7F84" w14:textId="77777777">
        <w:trPr>
          <w:divId w:val="62606735"/>
          <w:trHeight w:val="200"/>
          <w:tblCellSpacing w:w="15" w:type="dxa"/>
        </w:trPr>
        <w:tc>
          <w:tcPr>
            <w:tcW w:w="0" w:type="auto"/>
            <w:vAlign w:val="bottom"/>
            <w:hideMark/>
          </w:tcPr>
          <w:p w14:paraId="0855CDE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EC98C4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51887A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9198436" w14:textId="77777777" w:rsidR="00000000" w:rsidRDefault="00EF48A2">
            <w:pPr>
              <w:pStyle w:val="a3"/>
              <w:spacing w:before="0" w:beforeAutospacing="0" w:after="0" w:afterAutospacing="0"/>
              <w:jc w:val="right"/>
              <w:rPr>
                <w:sz w:val="20"/>
                <w:szCs w:val="20"/>
              </w:rPr>
            </w:pPr>
            <w:r>
              <w:rPr>
                <w:sz w:val="20"/>
                <w:szCs w:val="20"/>
              </w:rPr>
              <w:t>(</w:t>
            </w:r>
            <w:r>
              <w:rPr>
                <w:sz w:val="20"/>
                <w:szCs w:val="20"/>
              </w:rPr>
              <w:t>79,41</w:t>
            </w:r>
            <w:r>
              <w:rPr>
                <w:sz w:val="20"/>
                <w:szCs w:val="20"/>
              </w:rPr>
              <w:t>8</w:t>
            </w:r>
          </w:p>
        </w:tc>
        <w:tc>
          <w:tcPr>
            <w:tcW w:w="0" w:type="auto"/>
            <w:noWrap/>
            <w:vAlign w:val="bottom"/>
            <w:hideMark/>
          </w:tcPr>
          <w:p w14:paraId="72F1E468"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4D44CFD"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F9A4C45"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D6CBC0B" w14:textId="77777777" w:rsidR="00000000" w:rsidRDefault="00EF48A2">
            <w:pPr>
              <w:pStyle w:val="a3"/>
              <w:spacing w:before="0" w:beforeAutospacing="0" w:after="0" w:afterAutospacing="0"/>
              <w:jc w:val="right"/>
              <w:rPr>
                <w:sz w:val="20"/>
                <w:szCs w:val="20"/>
              </w:rPr>
            </w:pPr>
            <w:r>
              <w:rPr>
                <w:sz w:val="20"/>
                <w:szCs w:val="20"/>
              </w:rPr>
              <w:t>(</w:t>
            </w:r>
            <w:r>
              <w:rPr>
                <w:sz w:val="20"/>
                <w:szCs w:val="20"/>
              </w:rPr>
              <w:t>62,69</w:t>
            </w:r>
            <w:r>
              <w:rPr>
                <w:sz w:val="20"/>
                <w:szCs w:val="20"/>
              </w:rPr>
              <w:t>5</w:t>
            </w:r>
          </w:p>
        </w:tc>
        <w:tc>
          <w:tcPr>
            <w:tcW w:w="0" w:type="auto"/>
            <w:noWrap/>
            <w:vAlign w:val="bottom"/>
            <w:hideMark/>
          </w:tcPr>
          <w:p w14:paraId="4F76EF0D"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0BDA5B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68ADE62"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38820FF9" w14:textId="77777777" w:rsidR="00000000" w:rsidRDefault="00EF48A2">
            <w:pPr>
              <w:pStyle w:val="a3"/>
              <w:spacing w:before="0" w:beforeAutospacing="0" w:after="0" w:afterAutospacing="0"/>
              <w:jc w:val="right"/>
              <w:rPr>
                <w:sz w:val="20"/>
                <w:szCs w:val="20"/>
              </w:rPr>
            </w:pPr>
            <w:r>
              <w:rPr>
                <w:sz w:val="20"/>
                <w:szCs w:val="20"/>
              </w:rPr>
              <w:t>(</w:t>
            </w:r>
            <w:r>
              <w:rPr>
                <w:sz w:val="20"/>
                <w:szCs w:val="20"/>
              </w:rPr>
              <w:t>22,34</w:t>
            </w:r>
            <w:r>
              <w:rPr>
                <w:sz w:val="20"/>
                <w:szCs w:val="20"/>
              </w:rPr>
              <w:t>6</w:t>
            </w:r>
          </w:p>
        </w:tc>
        <w:tc>
          <w:tcPr>
            <w:tcW w:w="0" w:type="auto"/>
            <w:noWrap/>
            <w:vAlign w:val="bottom"/>
            <w:hideMark/>
          </w:tcPr>
          <w:p w14:paraId="70AB8A09" w14:textId="77777777" w:rsidR="00000000" w:rsidRDefault="00EF48A2">
            <w:pPr>
              <w:pStyle w:val="a3"/>
              <w:spacing w:before="0" w:beforeAutospacing="0" w:after="0" w:afterAutospacing="0"/>
              <w:rPr>
                <w:sz w:val="20"/>
                <w:szCs w:val="20"/>
              </w:rPr>
            </w:pPr>
            <w:r>
              <w:rPr>
                <w:sz w:val="20"/>
                <w:szCs w:val="20"/>
              </w:rPr>
              <w:t>)</w:t>
            </w:r>
          </w:p>
        </w:tc>
      </w:tr>
    </w:tbl>
    <w:p w14:paraId="22B7DBB9" w14:textId="77777777" w:rsidR="00000000" w:rsidRDefault="00EF48A2">
      <w:pPr>
        <w:pStyle w:val="a3"/>
        <w:spacing w:before="240" w:beforeAutospacing="0" w:after="180" w:afterAutospacing="0"/>
        <w:jc w:val="both"/>
        <w:divId w:val="2007588631"/>
        <w:rPr>
          <w:sz w:val="20"/>
          <w:szCs w:val="20"/>
        </w:rPr>
      </w:pPr>
      <w:r>
        <w:rPr>
          <w:sz w:val="20"/>
          <w:szCs w:val="20"/>
        </w:rPr>
        <w:t>The tax effects of temporary differences that give rise to significant portions of the deferred tax assets and deferred tax liabilities are as follows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6"/>
        <w:gridCol w:w="160"/>
        <w:gridCol w:w="160"/>
        <w:gridCol w:w="1197"/>
        <w:gridCol w:w="127"/>
        <w:gridCol w:w="116"/>
        <w:gridCol w:w="160"/>
        <w:gridCol w:w="1208"/>
        <w:gridCol w:w="142"/>
      </w:tblGrid>
      <w:tr w:rsidR="00000000" w14:paraId="187932BF" w14:textId="77777777">
        <w:trPr>
          <w:divId w:val="2007588631"/>
          <w:tblCellSpacing w:w="15" w:type="dxa"/>
        </w:trPr>
        <w:tc>
          <w:tcPr>
            <w:tcW w:w="3132" w:type="pct"/>
            <w:vAlign w:val="center"/>
            <w:hideMark/>
          </w:tcPr>
          <w:p w14:paraId="027509EC" w14:textId="77777777" w:rsidR="00000000" w:rsidRDefault="00EF48A2">
            <w:pPr>
              <w:rPr>
                <w:sz w:val="20"/>
                <w:szCs w:val="20"/>
              </w:rPr>
            </w:pPr>
          </w:p>
        </w:tc>
        <w:tc>
          <w:tcPr>
            <w:tcW w:w="98" w:type="pct"/>
            <w:vAlign w:val="center"/>
            <w:hideMark/>
          </w:tcPr>
          <w:p w14:paraId="5F0A61AC" w14:textId="77777777" w:rsidR="00000000" w:rsidRDefault="00EF48A2">
            <w:pPr>
              <w:rPr>
                <w:rFonts w:eastAsia="Times New Roman"/>
                <w:sz w:val="20"/>
                <w:szCs w:val="20"/>
              </w:rPr>
            </w:pPr>
          </w:p>
        </w:tc>
        <w:tc>
          <w:tcPr>
            <w:tcW w:w="50" w:type="pct"/>
            <w:vAlign w:val="center"/>
            <w:hideMark/>
          </w:tcPr>
          <w:p w14:paraId="2C51F382" w14:textId="77777777" w:rsidR="00000000" w:rsidRDefault="00EF48A2">
            <w:pPr>
              <w:rPr>
                <w:rFonts w:eastAsia="Times New Roman"/>
                <w:sz w:val="20"/>
                <w:szCs w:val="20"/>
              </w:rPr>
            </w:pPr>
          </w:p>
        </w:tc>
        <w:tc>
          <w:tcPr>
            <w:tcW w:w="745" w:type="pct"/>
            <w:vAlign w:val="center"/>
            <w:hideMark/>
          </w:tcPr>
          <w:p w14:paraId="5EF77B8C" w14:textId="77777777" w:rsidR="00000000" w:rsidRDefault="00EF48A2">
            <w:pPr>
              <w:rPr>
                <w:rFonts w:eastAsia="Times New Roman"/>
                <w:sz w:val="20"/>
                <w:szCs w:val="20"/>
              </w:rPr>
            </w:pPr>
          </w:p>
        </w:tc>
        <w:tc>
          <w:tcPr>
            <w:tcW w:w="50" w:type="pct"/>
            <w:vAlign w:val="center"/>
            <w:hideMark/>
          </w:tcPr>
          <w:p w14:paraId="574B81F9" w14:textId="77777777" w:rsidR="00000000" w:rsidRDefault="00EF48A2">
            <w:pPr>
              <w:rPr>
                <w:rFonts w:eastAsia="Times New Roman"/>
                <w:sz w:val="20"/>
                <w:szCs w:val="20"/>
              </w:rPr>
            </w:pPr>
          </w:p>
        </w:tc>
        <w:tc>
          <w:tcPr>
            <w:tcW w:w="70" w:type="pct"/>
            <w:vAlign w:val="center"/>
            <w:hideMark/>
          </w:tcPr>
          <w:p w14:paraId="06C61EAD" w14:textId="77777777" w:rsidR="00000000" w:rsidRDefault="00EF48A2">
            <w:pPr>
              <w:rPr>
                <w:rFonts w:eastAsia="Times New Roman"/>
                <w:sz w:val="20"/>
                <w:szCs w:val="20"/>
              </w:rPr>
            </w:pPr>
          </w:p>
        </w:tc>
        <w:tc>
          <w:tcPr>
            <w:tcW w:w="50" w:type="pct"/>
            <w:vAlign w:val="center"/>
            <w:hideMark/>
          </w:tcPr>
          <w:p w14:paraId="799397EE" w14:textId="77777777" w:rsidR="00000000" w:rsidRDefault="00EF48A2">
            <w:pPr>
              <w:rPr>
                <w:rFonts w:eastAsia="Times New Roman"/>
                <w:sz w:val="20"/>
                <w:szCs w:val="20"/>
              </w:rPr>
            </w:pPr>
          </w:p>
        </w:tc>
        <w:tc>
          <w:tcPr>
            <w:tcW w:w="752" w:type="pct"/>
            <w:vAlign w:val="center"/>
            <w:hideMark/>
          </w:tcPr>
          <w:p w14:paraId="2E38716F" w14:textId="77777777" w:rsidR="00000000" w:rsidRDefault="00EF48A2">
            <w:pPr>
              <w:rPr>
                <w:rFonts w:eastAsia="Times New Roman"/>
                <w:sz w:val="20"/>
                <w:szCs w:val="20"/>
              </w:rPr>
            </w:pPr>
          </w:p>
        </w:tc>
        <w:tc>
          <w:tcPr>
            <w:tcW w:w="50" w:type="pct"/>
            <w:vAlign w:val="center"/>
            <w:hideMark/>
          </w:tcPr>
          <w:p w14:paraId="46647F6C" w14:textId="77777777" w:rsidR="00000000" w:rsidRDefault="00EF48A2">
            <w:pPr>
              <w:rPr>
                <w:rFonts w:eastAsia="Times New Roman"/>
                <w:sz w:val="20"/>
                <w:szCs w:val="20"/>
              </w:rPr>
            </w:pPr>
          </w:p>
        </w:tc>
      </w:tr>
      <w:tr w:rsidR="00000000" w14:paraId="51EBCD0C" w14:textId="77777777">
        <w:trPr>
          <w:divId w:val="2007588631"/>
          <w:trHeight w:val="160"/>
          <w:tblCellSpacing w:w="15" w:type="dxa"/>
        </w:trPr>
        <w:tc>
          <w:tcPr>
            <w:tcW w:w="0" w:type="auto"/>
            <w:vAlign w:val="bottom"/>
            <w:hideMark/>
          </w:tcPr>
          <w:p w14:paraId="7C9C7B10" w14:textId="77777777" w:rsidR="00000000" w:rsidRDefault="00EF48A2">
            <w:pPr>
              <w:pStyle w:val="a3"/>
              <w:spacing w:before="0" w:beforeAutospacing="0" w:after="0" w:afterAutospacing="0"/>
              <w:rPr>
                <w:sz w:val="16"/>
                <w:szCs w:val="16"/>
              </w:rPr>
            </w:pPr>
            <w:r>
              <w:rPr>
                <w:b/>
                <w:bCs/>
                <w:sz w:val="16"/>
                <w:szCs w:val="16"/>
              </w:rPr>
              <w:t> </w:t>
            </w:r>
          </w:p>
        </w:tc>
        <w:tc>
          <w:tcPr>
            <w:tcW w:w="0" w:type="auto"/>
            <w:vAlign w:val="bottom"/>
            <w:hideMark/>
          </w:tcPr>
          <w:p w14:paraId="1A29FF10" w14:textId="77777777" w:rsidR="00000000" w:rsidRDefault="00EF48A2">
            <w:pPr>
              <w:pStyle w:val="a3"/>
              <w:spacing w:before="0" w:beforeAutospacing="0" w:after="0" w:afterAutospacing="0"/>
              <w:rPr>
                <w:sz w:val="16"/>
                <w:szCs w:val="16"/>
              </w:rPr>
            </w:pPr>
            <w:r>
              <w:rPr>
                <w:sz w:val="16"/>
                <w:szCs w:val="16"/>
              </w:rPr>
              <w:t> </w:t>
            </w:r>
          </w:p>
        </w:tc>
        <w:tc>
          <w:tcPr>
            <w:tcW w:w="0" w:type="auto"/>
            <w:gridSpan w:val="6"/>
            <w:vAlign w:val="bottom"/>
            <w:hideMark/>
          </w:tcPr>
          <w:p w14:paraId="582AD22B" w14:textId="77777777" w:rsidR="00000000" w:rsidRDefault="00EF48A2">
            <w:pPr>
              <w:pStyle w:val="a3"/>
              <w:spacing w:before="0" w:beforeAutospacing="0" w:after="0" w:afterAutospacing="0"/>
              <w:jc w:val="center"/>
              <w:rPr>
                <w:sz w:val="16"/>
                <w:szCs w:val="16"/>
              </w:rPr>
            </w:pPr>
            <w:r>
              <w:rPr>
                <w:b/>
                <w:bCs/>
                <w:sz w:val="16"/>
                <w:szCs w:val="16"/>
              </w:rPr>
              <w:t>As of</w:t>
            </w:r>
            <w:r>
              <w:rPr>
                <w:b/>
                <w:bCs/>
                <w:sz w:val="16"/>
                <w:szCs w:val="16"/>
              </w:rPr>
              <w:br/>
              <w:t>December 31</w:t>
            </w:r>
            <w:r>
              <w:rPr>
                <w:b/>
                <w:bCs/>
                <w:sz w:val="16"/>
                <w:szCs w:val="16"/>
              </w:rPr>
              <w:t>,</w:t>
            </w:r>
          </w:p>
        </w:tc>
        <w:tc>
          <w:tcPr>
            <w:tcW w:w="0" w:type="auto"/>
            <w:vAlign w:val="bottom"/>
            <w:hideMark/>
          </w:tcPr>
          <w:p w14:paraId="7DCD8ECA"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116CD46" w14:textId="77777777">
        <w:trPr>
          <w:divId w:val="2007588631"/>
          <w:trHeight w:val="160"/>
          <w:tblCellSpacing w:w="15" w:type="dxa"/>
        </w:trPr>
        <w:tc>
          <w:tcPr>
            <w:tcW w:w="0" w:type="auto"/>
            <w:vAlign w:val="bottom"/>
            <w:hideMark/>
          </w:tcPr>
          <w:p w14:paraId="5E263454"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7AB254BA"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26695816"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26508DA"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69116A43" w14:textId="77777777" w:rsidR="00000000" w:rsidRDefault="00EF48A2">
            <w:pPr>
              <w:pStyle w:val="a3"/>
              <w:spacing w:before="0" w:beforeAutospacing="0" w:after="0" w:afterAutospacing="0"/>
              <w:rPr>
                <w:sz w:val="16"/>
                <w:szCs w:val="16"/>
              </w:rPr>
            </w:pPr>
            <w:r>
              <w:rPr>
                <w:sz w:val="16"/>
                <w:szCs w:val="16"/>
              </w:rPr>
              <w:t> </w:t>
            </w:r>
          </w:p>
        </w:tc>
        <w:tc>
          <w:tcPr>
            <w:tcW w:w="0" w:type="auto"/>
            <w:gridSpan w:val="2"/>
            <w:vAlign w:val="bottom"/>
            <w:hideMark/>
          </w:tcPr>
          <w:p w14:paraId="5C2668BA"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88C7FFC"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42F5CB6" w14:textId="77777777">
        <w:trPr>
          <w:divId w:val="2007588631"/>
          <w:trHeight w:val="200"/>
          <w:tblCellSpacing w:w="15" w:type="dxa"/>
        </w:trPr>
        <w:tc>
          <w:tcPr>
            <w:tcW w:w="0" w:type="auto"/>
            <w:hideMark/>
          </w:tcPr>
          <w:p w14:paraId="72CDD164" w14:textId="77777777" w:rsidR="00000000" w:rsidRDefault="00EF48A2">
            <w:pPr>
              <w:pStyle w:val="a3"/>
              <w:spacing w:before="0" w:beforeAutospacing="0" w:after="0" w:afterAutospacing="0"/>
              <w:rPr>
                <w:sz w:val="20"/>
                <w:szCs w:val="20"/>
              </w:rPr>
            </w:pPr>
            <w:r>
              <w:rPr>
                <w:sz w:val="20"/>
                <w:szCs w:val="20"/>
              </w:rPr>
              <w:t>Net deferred tax assets</w:t>
            </w:r>
            <w:r>
              <w:rPr>
                <w:sz w:val="20"/>
                <w:szCs w:val="20"/>
              </w:rPr>
              <w:t>:</w:t>
            </w:r>
          </w:p>
        </w:tc>
        <w:tc>
          <w:tcPr>
            <w:tcW w:w="0" w:type="auto"/>
            <w:hideMark/>
          </w:tcPr>
          <w:p w14:paraId="5CE6D6CC"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1ECB387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542C7D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FA227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2008ACC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7D8688B" w14:textId="77777777" w:rsidR="00000000" w:rsidRDefault="00EF48A2">
            <w:pPr>
              <w:pStyle w:val="a3"/>
              <w:spacing w:before="0" w:beforeAutospacing="0" w:after="0" w:afterAutospacing="0"/>
              <w:rPr>
                <w:sz w:val="20"/>
                <w:szCs w:val="20"/>
              </w:rPr>
            </w:pPr>
            <w:r>
              <w:rPr>
                <w:sz w:val="20"/>
                <w:szCs w:val="20"/>
              </w:rPr>
              <w:t> </w:t>
            </w:r>
          </w:p>
        </w:tc>
      </w:tr>
      <w:tr w:rsidR="00000000" w14:paraId="6BC1C0D1" w14:textId="77777777">
        <w:trPr>
          <w:divId w:val="2007588631"/>
          <w:trHeight w:val="200"/>
          <w:tblCellSpacing w:w="15" w:type="dxa"/>
        </w:trPr>
        <w:tc>
          <w:tcPr>
            <w:tcW w:w="0" w:type="auto"/>
            <w:hideMark/>
          </w:tcPr>
          <w:p w14:paraId="78047F24" w14:textId="77777777" w:rsidR="00000000" w:rsidRDefault="00EF48A2">
            <w:pPr>
              <w:pStyle w:val="a3"/>
              <w:spacing w:before="0" w:beforeAutospacing="0" w:after="0" w:afterAutospacing="0"/>
              <w:rPr>
                <w:sz w:val="20"/>
                <w:szCs w:val="20"/>
              </w:rPr>
            </w:pPr>
            <w:r>
              <w:rPr>
                <w:sz w:val="20"/>
                <w:szCs w:val="20"/>
              </w:rPr>
              <w:t>    Net operating loss carryforward</w:t>
            </w:r>
            <w:r>
              <w:rPr>
                <w:sz w:val="20"/>
                <w:szCs w:val="20"/>
              </w:rPr>
              <w:t>s</w:t>
            </w:r>
          </w:p>
        </w:tc>
        <w:tc>
          <w:tcPr>
            <w:tcW w:w="0" w:type="auto"/>
            <w:hideMark/>
          </w:tcPr>
          <w:p w14:paraId="5F8E7DCA"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87C960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E93AC95" w14:textId="77777777" w:rsidR="00000000" w:rsidRDefault="00EF48A2">
            <w:pPr>
              <w:pStyle w:val="a3"/>
              <w:spacing w:before="0" w:beforeAutospacing="0" w:after="0" w:afterAutospacing="0"/>
              <w:jc w:val="right"/>
              <w:rPr>
                <w:sz w:val="20"/>
                <w:szCs w:val="20"/>
              </w:rPr>
            </w:pPr>
            <w:r>
              <w:rPr>
                <w:sz w:val="20"/>
                <w:szCs w:val="20"/>
              </w:rPr>
              <w:t>64,64</w:t>
            </w:r>
            <w:r>
              <w:rPr>
                <w:sz w:val="20"/>
                <w:szCs w:val="20"/>
              </w:rPr>
              <w:t>4</w:t>
            </w:r>
          </w:p>
        </w:tc>
        <w:tc>
          <w:tcPr>
            <w:tcW w:w="0" w:type="auto"/>
            <w:noWrap/>
            <w:vAlign w:val="bottom"/>
            <w:hideMark/>
          </w:tcPr>
          <w:p w14:paraId="6250B2A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CE2D1C3"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349613E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C86A4F6" w14:textId="77777777" w:rsidR="00000000" w:rsidRDefault="00EF48A2">
            <w:pPr>
              <w:pStyle w:val="a3"/>
              <w:spacing w:before="0" w:beforeAutospacing="0" w:after="0" w:afterAutospacing="0"/>
              <w:jc w:val="right"/>
              <w:rPr>
                <w:sz w:val="20"/>
                <w:szCs w:val="20"/>
              </w:rPr>
            </w:pPr>
            <w:r>
              <w:rPr>
                <w:sz w:val="20"/>
                <w:szCs w:val="20"/>
              </w:rPr>
              <w:t>49,90</w:t>
            </w:r>
            <w:r>
              <w:rPr>
                <w:sz w:val="20"/>
                <w:szCs w:val="20"/>
              </w:rPr>
              <w:t>6</w:t>
            </w:r>
          </w:p>
        </w:tc>
        <w:tc>
          <w:tcPr>
            <w:tcW w:w="0" w:type="auto"/>
            <w:noWrap/>
            <w:vAlign w:val="bottom"/>
            <w:hideMark/>
          </w:tcPr>
          <w:p w14:paraId="547370F8" w14:textId="77777777" w:rsidR="00000000" w:rsidRDefault="00EF48A2">
            <w:pPr>
              <w:pStyle w:val="a3"/>
              <w:spacing w:before="0" w:beforeAutospacing="0" w:after="0" w:afterAutospacing="0"/>
              <w:rPr>
                <w:sz w:val="20"/>
                <w:szCs w:val="20"/>
              </w:rPr>
            </w:pPr>
            <w:r>
              <w:rPr>
                <w:sz w:val="20"/>
                <w:szCs w:val="20"/>
              </w:rPr>
              <w:t> </w:t>
            </w:r>
          </w:p>
        </w:tc>
      </w:tr>
      <w:tr w:rsidR="00000000" w14:paraId="6EA76A08" w14:textId="77777777">
        <w:trPr>
          <w:divId w:val="2007588631"/>
          <w:trHeight w:val="200"/>
          <w:tblCellSpacing w:w="15" w:type="dxa"/>
        </w:trPr>
        <w:tc>
          <w:tcPr>
            <w:tcW w:w="0" w:type="auto"/>
            <w:hideMark/>
          </w:tcPr>
          <w:p w14:paraId="030F1342" w14:textId="77777777" w:rsidR="00000000" w:rsidRDefault="00EF48A2">
            <w:pPr>
              <w:pStyle w:val="a3"/>
              <w:spacing w:before="0" w:beforeAutospacing="0" w:after="0" w:afterAutospacing="0"/>
              <w:rPr>
                <w:sz w:val="20"/>
                <w:szCs w:val="20"/>
              </w:rPr>
            </w:pPr>
            <w:r>
              <w:rPr>
                <w:sz w:val="20"/>
                <w:szCs w:val="20"/>
              </w:rPr>
              <w:t>    Stock based compensatio</w:t>
            </w:r>
            <w:r>
              <w:rPr>
                <w:sz w:val="20"/>
                <w:szCs w:val="20"/>
              </w:rPr>
              <w:t>n</w:t>
            </w:r>
          </w:p>
        </w:tc>
        <w:tc>
          <w:tcPr>
            <w:tcW w:w="0" w:type="auto"/>
            <w:hideMark/>
          </w:tcPr>
          <w:p w14:paraId="74626BD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ED119E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6DAFC25" w14:textId="77777777" w:rsidR="00000000" w:rsidRDefault="00EF48A2">
            <w:pPr>
              <w:pStyle w:val="a3"/>
              <w:spacing w:before="0" w:beforeAutospacing="0" w:after="0" w:afterAutospacing="0"/>
              <w:jc w:val="right"/>
              <w:rPr>
                <w:sz w:val="20"/>
                <w:szCs w:val="20"/>
              </w:rPr>
            </w:pPr>
            <w:r>
              <w:rPr>
                <w:sz w:val="20"/>
                <w:szCs w:val="20"/>
              </w:rPr>
              <w:t>4,09</w:t>
            </w:r>
            <w:r>
              <w:rPr>
                <w:sz w:val="20"/>
                <w:szCs w:val="20"/>
              </w:rPr>
              <w:t>8</w:t>
            </w:r>
          </w:p>
        </w:tc>
        <w:tc>
          <w:tcPr>
            <w:tcW w:w="0" w:type="auto"/>
            <w:noWrap/>
            <w:vAlign w:val="bottom"/>
            <w:hideMark/>
          </w:tcPr>
          <w:p w14:paraId="0A07F9D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F07DA15"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1B464DF1"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328E932" w14:textId="77777777" w:rsidR="00000000" w:rsidRDefault="00EF48A2">
            <w:pPr>
              <w:pStyle w:val="a3"/>
              <w:spacing w:before="0" w:beforeAutospacing="0" w:after="0" w:afterAutospacing="0"/>
              <w:jc w:val="right"/>
              <w:rPr>
                <w:sz w:val="20"/>
                <w:szCs w:val="20"/>
              </w:rPr>
            </w:pPr>
            <w:r>
              <w:rPr>
                <w:sz w:val="20"/>
                <w:szCs w:val="20"/>
              </w:rPr>
              <w:t>3,15</w:t>
            </w:r>
            <w:r>
              <w:rPr>
                <w:sz w:val="20"/>
                <w:szCs w:val="20"/>
              </w:rPr>
              <w:t>0</w:t>
            </w:r>
          </w:p>
        </w:tc>
        <w:tc>
          <w:tcPr>
            <w:tcW w:w="0" w:type="auto"/>
            <w:noWrap/>
            <w:vAlign w:val="bottom"/>
            <w:hideMark/>
          </w:tcPr>
          <w:p w14:paraId="03870A6B" w14:textId="77777777" w:rsidR="00000000" w:rsidRDefault="00EF48A2">
            <w:pPr>
              <w:pStyle w:val="a3"/>
              <w:spacing w:before="0" w:beforeAutospacing="0" w:after="0" w:afterAutospacing="0"/>
              <w:rPr>
                <w:sz w:val="20"/>
                <w:szCs w:val="20"/>
              </w:rPr>
            </w:pPr>
            <w:r>
              <w:rPr>
                <w:sz w:val="20"/>
                <w:szCs w:val="20"/>
              </w:rPr>
              <w:t> </w:t>
            </w:r>
          </w:p>
        </w:tc>
      </w:tr>
      <w:tr w:rsidR="00000000" w14:paraId="324054AD" w14:textId="77777777">
        <w:trPr>
          <w:divId w:val="2007588631"/>
          <w:trHeight w:val="200"/>
          <w:tblCellSpacing w:w="15" w:type="dxa"/>
        </w:trPr>
        <w:tc>
          <w:tcPr>
            <w:tcW w:w="0" w:type="auto"/>
            <w:hideMark/>
          </w:tcPr>
          <w:p w14:paraId="279BB9D5" w14:textId="77777777" w:rsidR="00000000" w:rsidRDefault="00EF48A2">
            <w:pPr>
              <w:pStyle w:val="a3"/>
              <w:spacing w:before="0" w:beforeAutospacing="0" w:after="0" w:afterAutospacing="0"/>
              <w:rPr>
                <w:sz w:val="20"/>
                <w:szCs w:val="20"/>
              </w:rPr>
            </w:pPr>
            <w:r>
              <w:rPr>
                <w:sz w:val="20"/>
                <w:szCs w:val="20"/>
              </w:rPr>
              <w:t>    Fixed asset</w:t>
            </w:r>
            <w:r>
              <w:rPr>
                <w:sz w:val="20"/>
                <w:szCs w:val="20"/>
              </w:rPr>
              <w:t>s</w:t>
            </w:r>
          </w:p>
        </w:tc>
        <w:tc>
          <w:tcPr>
            <w:tcW w:w="0" w:type="auto"/>
            <w:hideMark/>
          </w:tcPr>
          <w:p w14:paraId="1C34DCD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3093AB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41E35B5" w14:textId="77777777" w:rsidR="00000000" w:rsidRDefault="00EF48A2">
            <w:pPr>
              <w:pStyle w:val="a3"/>
              <w:spacing w:before="0" w:beforeAutospacing="0" w:after="0" w:afterAutospacing="0"/>
              <w:jc w:val="right"/>
              <w:rPr>
                <w:sz w:val="20"/>
                <w:szCs w:val="20"/>
              </w:rPr>
            </w:pPr>
            <w:r>
              <w:rPr>
                <w:sz w:val="20"/>
                <w:szCs w:val="20"/>
              </w:rPr>
              <w:t>37</w:t>
            </w:r>
            <w:r>
              <w:rPr>
                <w:sz w:val="20"/>
                <w:szCs w:val="20"/>
              </w:rPr>
              <w:t>5</w:t>
            </w:r>
          </w:p>
        </w:tc>
        <w:tc>
          <w:tcPr>
            <w:tcW w:w="0" w:type="auto"/>
            <w:noWrap/>
            <w:vAlign w:val="bottom"/>
            <w:hideMark/>
          </w:tcPr>
          <w:p w14:paraId="15FF0F3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4F755C4"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4FA2478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F9EBB52" w14:textId="77777777" w:rsidR="00000000" w:rsidRDefault="00EF48A2">
            <w:pPr>
              <w:pStyle w:val="a3"/>
              <w:spacing w:before="0" w:beforeAutospacing="0" w:after="0" w:afterAutospacing="0"/>
              <w:jc w:val="right"/>
              <w:rPr>
                <w:sz w:val="20"/>
                <w:szCs w:val="20"/>
              </w:rPr>
            </w:pPr>
            <w:r>
              <w:rPr>
                <w:sz w:val="20"/>
                <w:szCs w:val="20"/>
              </w:rPr>
              <w:t>34</w:t>
            </w:r>
            <w:r>
              <w:rPr>
                <w:sz w:val="20"/>
                <w:szCs w:val="20"/>
              </w:rPr>
              <w:t>0</w:t>
            </w:r>
          </w:p>
        </w:tc>
        <w:tc>
          <w:tcPr>
            <w:tcW w:w="0" w:type="auto"/>
            <w:noWrap/>
            <w:vAlign w:val="bottom"/>
            <w:hideMark/>
          </w:tcPr>
          <w:p w14:paraId="2784F1E3" w14:textId="77777777" w:rsidR="00000000" w:rsidRDefault="00EF48A2">
            <w:pPr>
              <w:pStyle w:val="a3"/>
              <w:spacing w:before="0" w:beforeAutospacing="0" w:after="0" w:afterAutospacing="0"/>
              <w:rPr>
                <w:sz w:val="20"/>
                <w:szCs w:val="20"/>
              </w:rPr>
            </w:pPr>
            <w:r>
              <w:rPr>
                <w:sz w:val="20"/>
                <w:szCs w:val="20"/>
              </w:rPr>
              <w:t> </w:t>
            </w:r>
          </w:p>
        </w:tc>
      </w:tr>
      <w:tr w:rsidR="00000000" w14:paraId="58AA37D8" w14:textId="77777777">
        <w:trPr>
          <w:divId w:val="2007588631"/>
          <w:trHeight w:val="200"/>
          <w:tblCellSpacing w:w="15" w:type="dxa"/>
        </w:trPr>
        <w:tc>
          <w:tcPr>
            <w:tcW w:w="0" w:type="auto"/>
            <w:hideMark/>
          </w:tcPr>
          <w:p w14:paraId="68FD4810" w14:textId="77777777" w:rsidR="00000000" w:rsidRDefault="00EF48A2">
            <w:pPr>
              <w:pStyle w:val="a3"/>
              <w:spacing w:before="0" w:beforeAutospacing="0" w:after="0" w:afterAutospacing="0"/>
              <w:rPr>
                <w:sz w:val="20"/>
                <w:szCs w:val="20"/>
              </w:rPr>
            </w:pPr>
            <w:r>
              <w:rPr>
                <w:sz w:val="20"/>
                <w:szCs w:val="20"/>
              </w:rPr>
              <w:t>    Othe</w:t>
            </w:r>
            <w:r>
              <w:rPr>
                <w:sz w:val="20"/>
                <w:szCs w:val="20"/>
              </w:rPr>
              <w:t>r</w:t>
            </w:r>
          </w:p>
        </w:tc>
        <w:tc>
          <w:tcPr>
            <w:tcW w:w="0" w:type="auto"/>
            <w:hideMark/>
          </w:tcPr>
          <w:p w14:paraId="57C27822"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A87A6E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11A39F1" w14:textId="77777777" w:rsidR="00000000" w:rsidRDefault="00EF48A2">
            <w:pPr>
              <w:pStyle w:val="a3"/>
              <w:spacing w:before="0" w:beforeAutospacing="0" w:after="0" w:afterAutospacing="0"/>
              <w:jc w:val="right"/>
              <w:rPr>
                <w:sz w:val="20"/>
                <w:szCs w:val="20"/>
              </w:rPr>
            </w:pPr>
            <w:r>
              <w:rPr>
                <w:sz w:val="20"/>
                <w:szCs w:val="20"/>
              </w:rPr>
              <w:t>1,37</w:t>
            </w:r>
            <w:r>
              <w:rPr>
                <w:sz w:val="20"/>
                <w:szCs w:val="20"/>
              </w:rPr>
              <w:t>8</w:t>
            </w:r>
          </w:p>
        </w:tc>
        <w:tc>
          <w:tcPr>
            <w:tcW w:w="0" w:type="auto"/>
            <w:noWrap/>
            <w:vAlign w:val="bottom"/>
            <w:hideMark/>
          </w:tcPr>
          <w:p w14:paraId="062DA67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0583438"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72D80E06"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59EF988" w14:textId="77777777" w:rsidR="00000000" w:rsidRDefault="00EF48A2">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14:paraId="1ED7D244" w14:textId="77777777" w:rsidR="00000000" w:rsidRDefault="00EF48A2">
            <w:pPr>
              <w:pStyle w:val="a3"/>
              <w:spacing w:before="0" w:beforeAutospacing="0" w:after="0" w:afterAutospacing="0"/>
              <w:rPr>
                <w:sz w:val="20"/>
                <w:szCs w:val="20"/>
              </w:rPr>
            </w:pPr>
            <w:r>
              <w:rPr>
                <w:sz w:val="20"/>
                <w:szCs w:val="20"/>
              </w:rPr>
              <w:t> </w:t>
            </w:r>
          </w:p>
        </w:tc>
      </w:tr>
      <w:tr w:rsidR="00000000" w14:paraId="5C68A6CF" w14:textId="77777777">
        <w:trPr>
          <w:divId w:val="2007588631"/>
          <w:trHeight w:val="200"/>
          <w:tblCellSpacing w:w="15" w:type="dxa"/>
        </w:trPr>
        <w:tc>
          <w:tcPr>
            <w:tcW w:w="0" w:type="auto"/>
            <w:hideMark/>
          </w:tcPr>
          <w:p w14:paraId="152D3BB4" w14:textId="77777777" w:rsidR="00000000" w:rsidRDefault="00EF48A2">
            <w:pPr>
              <w:pStyle w:val="a3"/>
              <w:spacing w:before="0" w:beforeAutospacing="0" w:after="0" w:afterAutospacing="0"/>
              <w:rPr>
                <w:sz w:val="20"/>
                <w:szCs w:val="20"/>
              </w:rPr>
            </w:pPr>
            <w:r>
              <w:rPr>
                <w:sz w:val="20"/>
                <w:szCs w:val="20"/>
              </w:rPr>
              <w:t>                     </w:t>
            </w:r>
            <w:r>
              <w:rPr>
                <w:sz w:val="20"/>
                <w:szCs w:val="20"/>
              </w:rPr>
              <w:t>Total gross deferred tax assets, ne</w:t>
            </w:r>
            <w:r>
              <w:rPr>
                <w:sz w:val="20"/>
                <w:szCs w:val="20"/>
              </w:rPr>
              <w:t>t</w:t>
            </w:r>
          </w:p>
        </w:tc>
        <w:tc>
          <w:tcPr>
            <w:tcW w:w="0" w:type="auto"/>
            <w:hideMark/>
          </w:tcPr>
          <w:p w14:paraId="035820E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6F27CA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FA50AD9" w14:textId="77777777" w:rsidR="00000000" w:rsidRDefault="00EF48A2">
            <w:pPr>
              <w:pStyle w:val="a3"/>
              <w:spacing w:before="0" w:beforeAutospacing="0" w:after="0" w:afterAutospacing="0"/>
              <w:jc w:val="right"/>
              <w:rPr>
                <w:sz w:val="20"/>
                <w:szCs w:val="20"/>
              </w:rPr>
            </w:pPr>
            <w:r>
              <w:rPr>
                <w:sz w:val="20"/>
                <w:szCs w:val="20"/>
              </w:rPr>
              <w:t>70,49</w:t>
            </w:r>
            <w:r>
              <w:rPr>
                <w:sz w:val="20"/>
                <w:szCs w:val="20"/>
              </w:rPr>
              <w:t>5</w:t>
            </w:r>
          </w:p>
        </w:tc>
        <w:tc>
          <w:tcPr>
            <w:tcW w:w="0" w:type="auto"/>
            <w:noWrap/>
            <w:vAlign w:val="bottom"/>
            <w:hideMark/>
          </w:tcPr>
          <w:p w14:paraId="799E348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551BEBD"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6C0F2C3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D1FB50A" w14:textId="77777777" w:rsidR="00000000" w:rsidRDefault="00EF48A2">
            <w:pPr>
              <w:pStyle w:val="a3"/>
              <w:spacing w:before="0" w:beforeAutospacing="0" w:after="0" w:afterAutospacing="0"/>
              <w:jc w:val="right"/>
              <w:rPr>
                <w:sz w:val="20"/>
                <w:szCs w:val="20"/>
              </w:rPr>
            </w:pPr>
            <w:r>
              <w:rPr>
                <w:sz w:val="20"/>
                <w:szCs w:val="20"/>
              </w:rPr>
              <w:t>53,44</w:t>
            </w:r>
            <w:r>
              <w:rPr>
                <w:sz w:val="20"/>
                <w:szCs w:val="20"/>
              </w:rPr>
              <w:t>1</w:t>
            </w:r>
          </w:p>
        </w:tc>
        <w:tc>
          <w:tcPr>
            <w:tcW w:w="0" w:type="auto"/>
            <w:noWrap/>
            <w:vAlign w:val="bottom"/>
            <w:hideMark/>
          </w:tcPr>
          <w:p w14:paraId="6470F4B5" w14:textId="77777777" w:rsidR="00000000" w:rsidRDefault="00EF48A2">
            <w:pPr>
              <w:pStyle w:val="a3"/>
              <w:spacing w:before="0" w:beforeAutospacing="0" w:after="0" w:afterAutospacing="0"/>
              <w:rPr>
                <w:sz w:val="20"/>
                <w:szCs w:val="20"/>
              </w:rPr>
            </w:pPr>
            <w:r>
              <w:rPr>
                <w:sz w:val="20"/>
                <w:szCs w:val="20"/>
              </w:rPr>
              <w:t> </w:t>
            </w:r>
          </w:p>
        </w:tc>
      </w:tr>
      <w:tr w:rsidR="00000000" w14:paraId="31DB7FC0" w14:textId="77777777">
        <w:trPr>
          <w:divId w:val="2007588631"/>
          <w:trHeight w:val="200"/>
          <w:tblCellSpacing w:w="15" w:type="dxa"/>
        </w:trPr>
        <w:tc>
          <w:tcPr>
            <w:tcW w:w="0" w:type="auto"/>
            <w:hideMark/>
          </w:tcPr>
          <w:p w14:paraId="35D431FC" w14:textId="77777777" w:rsidR="00000000" w:rsidRDefault="00EF48A2">
            <w:pPr>
              <w:pStyle w:val="a3"/>
              <w:spacing w:before="0" w:beforeAutospacing="0" w:after="0" w:afterAutospacing="0"/>
              <w:rPr>
                <w:sz w:val="20"/>
                <w:szCs w:val="20"/>
              </w:rPr>
            </w:pPr>
            <w:r>
              <w:rPr>
                <w:sz w:val="20"/>
                <w:szCs w:val="20"/>
              </w:rPr>
              <w:t>                     Valuation allowanc</w:t>
            </w:r>
            <w:r>
              <w:rPr>
                <w:sz w:val="20"/>
                <w:szCs w:val="20"/>
              </w:rPr>
              <w:t>e</w:t>
            </w:r>
          </w:p>
        </w:tc>
        <w:tc>
          <w:tcPr>
            <w:tcW w:w="0" w:type="auto"/>
            <w:hideMark/>
          </w:tcPr>
          <w:p w14:paraId="288E61C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949988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76C9A2E" w14:textId="77777777" w:rsidR="00000000" w:rsidRDefault="00EF48A2">
            <w:pPr>
              <w:pStyle w:val="a3"/>
              <w:spacing w:before="0" w:beforeAutospacing="0" w:after="0" w:afterAutospacing="0"/>
              <w:jc w:val="right"/>
              <w:rPr>
                <w:sz w:val="20"/>
                <w:szCs w:val="20"/>
              </w:rPr>
            </w:pPr>
            <w:r>
              <w:rPr>
                <w:sz w:val="20"/>
                <w:szCs w:val="20"/>
              </w:rPr>
              <w:t>(</w:t>
            </w:r>
            <w:r>
              <w:rPr>
                <w:sz w:val="20"/>
                <w:szCs w:val="20"/>
              </w:rPr>
              <w:t>70,49</w:t>
            </w:r>
            <w:r>
              <w:rPr>
                <w:sz w:val="20"/>
                <w:szCs w:val="20"/>
              </w:rPr>
              <w:t>5</w:t>
            </w:r>
          </w:p>
        </w:tc>
        <w:tc>
          <w:tcPr>
            <w:tcW w:w="0" w:type="auto"/>
            <w:noWrap/>
            <w:vAlign w:val="bottom"/>
            <w:hideMark/>
          </w:tcPr>
          <w:p w14:paraId="3C63A05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50BFED4"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483BEC3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DE12A8F" w14:textId="77777777" w:rsidR="00000000" w:rsidRDefault="00EF48A2">
            <w:pPr>
              <w:pStyle w:val="a3"/>
              <w:spacing w:before="0" w:beforeAutospacing="0" w:after="0" w:afterAutospacing="0"/>
              <w:jc w:val="right"/>
              <w:rPr>
                <w:sz w:val="20"/>
                <w:szCs w:val="20"/>
              </w:rPr>
            </w:pPr>
            <w:r>
              <w:rPr>
                <w:sz w:val="20"/>
                <w:szCs w:val="20"/>
              </w:rPr>
              <w:t>(</w:t>
            </w:r>
            <w:r>
              <w:rPr>
                <w:sz w:val="20"/>
                <w:szCs w:val="20"/>
              </w:rPr>
              <w:t>44,18</w:t>
            </w:r>
            <w:r>
              <w:rPr>
                <w:sz w:val="20"/>
                <w:szCs w:val="20"/>
              </w:rPr>
              <w:t>6</w:t>
            </w:r>
          </w:p>
        </w:tc>
        <w:tc>
          <w:tcPr>
            <w:tcW w:w="0" w:type="auto"/>
            <w:noWrap/>
            <w:vAlign w:val="bottom"/>
            <w:hideMark/>
          </w:tcPr>
          <w:p w14:paraId="022A751D" w14:textId="77777777" w:rsidR="00000000" w:rsidRDefault="00EF48A2">
            <w:pPr>
              <w:pStyle w:val="a3"/>
              <w:spacing w:before="0" w:beforeAutospacing="0" w:after="0" w:afterAutospacing="0"/>
              <w:rPr>
                <w:sz w:val="20"/>
                <w:szCs w:val="20"/>
              </w:rPr>
            </w:pPr>
            <w:r>
              <w:rPr>
                <w:sz w:val="20"/>
                <w:szCs w:val="20"/>
              </w:rPr>
              <w:t>)</w:t>
            </w:r>
          </w:p>
        </w:tc>
      </w:tr>
      <w:tr w:rsidR="00000000" w14:paraId="3017D8CB" w14:textId="77777777">
        <w:trPr>
          <w:divId w:val="2007588631"/>
          <w:trHeight w:val="200"/>
          <w:tblCellSpacing w:w="15" w:type="dxa"/>
        </w:trPr>
        <w:tc>
          <w:tcPr>
            <w:tcW w:w="0" w:type="auto"/>
            <w:hideMark/>
          </w:tcPr>
          <w:p w14:paraId="4CC0B4A7" w14:textId="77777777" w:rsidR="00000000" w:rsidRDefault="00EF48A2">
            <w:pPr>
              <w:pStyle w:val="a3"/>
              <w:spacing w:before="0" w:beforeAutospacing="0" w:after="0" w:afterAutospacing="0"/>
              <w:rPr>
                <w:sz w:val="20"/>
                <w:szCs w:val="20"/>
              </w:rPr>
            </w:pPr>
            <w:r>
              <w:rPr>
                <w:sz w:val="20"/>
                <w:szCs w:val="20"/>
              </w:rPr>
              <w:t>                     Net deferred tax asset</w:t>
            </w:r>
            <w:r>
              <w:rPr>
                <w:sz w:val="20"/>
                <w:szCs w:val="20"/>
              </w:rPr>
              <w:t>s</w:t>
            </w:r>
          </w:p>
        </w:tc>
        <w:tc>
          <w:tcPr>
            <w:tcW w:w="0" w:type="auto"/>
            <w:hideMark/>
          </w:tcPr>
          <w:p w14:paraId="17DF5B96"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6EC95910"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D6AB745"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4205A0AB" w14:textId="77777777" w:rsidR="00000000" w:rsidRDefault="00EF48A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CF18859"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908C26F" w14:textId="77777777" w:rsidR="00000000" w:rsidRDefault="00EF48A2">
            <w:pPr>
              <w:pStyle w:val="a3"/>
              <w:spacing w:before="0" w:beforeAutospacing="0" w:after="0" w:afterAutospacing="0"/>
              <w:jc w:val="right"/>
              <w:rPr>
                <w:sz w:val="20"/>
                <w:szCs w:val="20"/>
              </w:rPr>
            </w:pPr>
            <w:r>
              <w:rPr>
                <w:sz w:val="20"/>
                <w:szCs w:val="20"/>
              </w:rPr>
              <w:t> </w:t>
            </w:r>
          </w:p>
        </w:tc>
      </w:tr>
      <w:tr w:rsidR="00000000" w14:paraId="412A2417" w14:textId="77777777">
        <w:trPr>
          <w:divId w:val="2007588631"/>
          <w:trHeight w:val="200"/>
          <w:tblCellSpacing w:w="15" w:type="dxa"/>
        </w:trPr>
        <w:tc>
          <w:tcPr>
            <w:tcW w:w="0" w:type="auto"/>
            <w:hideMark/>
          </w:tcPr>
          <w:p w14:paraId="1DE4ADA1" w14:textId="77777777" w:rsidR="00000000" w:rsidRDefault="00EF48A2">
            <w:pPr>
              <w:pStyle w:val="a3"/>
              <w:spacing w:before="0" w:beforeAutospacing="0" w:after="0" w:afterAutospacing="0"/>
              <w:rPr>
                <w:sz w:val="20"/>
                <w:szCs w:val="20"/>
              </w:rPr>
            </w:pPr>
            <w:r>
              <w:rPr>
                <w:sz w:val="20"/>
                <w:szCs w:val="20"/>
              </w:rPr>
              <w:t>Deferred tax liabilities (long term)</w:t>
            </w:r>
            <w:r>
              <w:rPr>
                <w:sz w:val="20"/>
                <w:szCs w:val="20"/>
              </w:rPr>
              <w:t>:</w:t>
            </w:r>
          </w:p>
        </w:tc>
        <w:tc>
          <w:tcPr>
            <w:tcW w:w="0" w:type="auto"/>
            <w:hideMark/>
          </w:tcPr>
          <w:p w14:paraId="68E5B0B5"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4EB90AEF"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2BE56458"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A473E91" w14:textId="77777777" w:rsidR="00000000" w:rsidRDefault="00EF48A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A37F5C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0FDD8AFF" w14:textId="77777777" w:rsidR="00000000" w:rsidRDefault="00EF48A2">
            <w:pPr>
              <w:pStyle w:val="a3"/>
              <w:spacing w:before="0" w:beforeAutospacing="0" w:after="0" w:afterAutospacing="0"/>
              <w:jc w:val="right"/>
              <w:rPr>
                <w:sz w:val="20"/>
                <w:szCs w:val="20"/>
              </w:rPr>
            </w:pPr>
            <w:r>
              <w:rPr>
                <w:sz w:val="20"/>
                <w:szCs w:val="20"/>
              </w:rPr>
              <w:t> </w:t>
            </w:r>
          </w:p>
        </w:tc>
      </w:tr>
      <w:tr w:rsidR="00000000" w14:paraId="2375B87F" w14:textId="77777777">
        <w:trPr>
          <w:divId w:val="2007588631"/>
          <w:trHeight w:val="200"/>
          <w:tblCellSpacing w:w="15" w:type="dxa"/>
        </w:trPr>
        <w:tc>
          <w:tcPr>
            <w:tcW w:w="0" w:type="auto"/>
            <w:hideMark/>
          </w:tcPr>
          <w:p w14:paraId="08B75CD4" w14:textId="77777777" w:rsidR="00000000" w:rsidRDefault="00EF48A2">
            <w:pPr>
              <w:pStyle w:val="a3"/>
              <w:spacing w:before="0" w:beforeAutospacing="0" w:after="0" w:afterAutospacing="0"/>
              <w:rPr>
                <w:sz w:val="20"/>
                <w:szCs w:val="20"/>
              </w:rPr>
            </w:pPr>
            <w:r>
              <w:rPr>
                <w:sz w:val="20"/>
                <w:szCs w:val="20"/>
              </w:rPr>
              <w:t>    Warrant</w:t>
            </w:r>
            <w:r>
              <w:rPr>
                <w:sz w:val="20"/>
                <w:szCs w:val="20"/>
              </w:rPr>
              <w:t>s</w:t>
            </w:r>
          </w:p>
        </w:tc>
        <w:tc>
          <w:tcPr>
            <w:tcW w:w="0" w:type="auto"/>
            <w:hideMark/>
          </w:tcPr>
          <w:p w14:paraId="7D70D5A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6CC1610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1B51374"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2AB819F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3C9D85F"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217EB01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14356A40" w14:textId="77777777" w:rsidR="00000000" w:rsidRDefault="00EF48A2">
            <w:pPr>
              <w:pStyle w:val="a3"/>
              <w:spacing w:before="0" w:beforeAutospacing="0" w:after="0" w:afterAutospacing="0"/>
              <w:jc w:val="right"/>
              <w:rPr>
                <w:sz w:val="20"/>
                <w:szCs w:val="20"/>
              </w:rPr>
            </w:pPr>
            <w:r>
              <w:rPr>
                <w:sz w:val="20"/>
                <w:szCs w:val="20"/>
              </w:rPr>
              <w:t>(</w:t>
            </w:r>
            <w:r>
              <w:rPr>
                <w:sz w:val="20"/>
                <w:szCs w:val="20"/>
              </w:rPr>
              <w:t>9,25</w:t>
            </w:r>
            <w:r>
              <w:rPr>
                <w:sz w:val="20"/>
                <w:szCs w:val="20"/>
              </w:rPr>
              <w:t>5</w:t>
            </w:r>
          </w:p>
        </w:tc>
        <w:tc>
          <w:tcPr>
            <w:tcW w:w="0" w:type="auto"/>
            <w:noWrap/>
            <w:vAlign w:val="bottom"/>
            <w:hideMark/>
          </w:tcPr>
          <w:p w14:paraId="6039C635" w14:textId="77777777" w:rsidR="00000000" w:rsidRDefault="00EF48A2">
            <w:pPr>
              <w:pStyle w:val="a3"/>
              <w:spacing w:before="0" w:beforeAutospacing="0" w:after="0" w:afterAutospacing="0"/>
              <w:rPr>
                <w:sz w:val="20"/>
                <w:szCs w:val="20"/>
              </w:rPr>
            </w:pPr>
            <w:r>
              <w:rPr>
                <w:sz w:val="20"/>
                <w:szCs w:val="20"/>
              </w:rPr>
              <w:t>)</w:t>
            </w:r>
          </w:p>
        </w:tc>
      </w:tr>
      <w:tr w:rsidR="00000000" w14:paraId="4652E28E" w14:textId="77777777">
        <w:trPr>
          <w:divId w:val="2007588631"/>
          <w:trHeight w:val="200"/>
          <w:tblCellSpacing w:w="15" w:type="dxa"/>
        </w:trPr>
        <w:tc>
          <w:tcPr>
            <w:tcW w:w="0" w:type="auto"/>
            <w:hideMark/>
          </w:tcPr>
          <w:p w14:paraId="7633A06C" w14:textId="77777777" w:rsidR="00000000" w:rsidRDefault="00EF48A2">
            <w:pPr>
              <w:pStyle w:val="a3"/>
              <w:spacing w:before="0" w:beforeAutospacing="0" w:after="0" w:afterAutospacing="0"/>
              <w:rPr>
                <w:sz w:val="20"/>
                <w:szCs w:val="20"/>
              </w:rPr>
            </w:pPr>
            <w:r>
              <w:rPr>
                <w:sz w:val="20"/>
                <w:szCs w:val="20"/>
              </w:rPr>
              <w:t>                     Net deferred tax asset</w:t>
            </w:r>
            <w:r>
              <w:rPr>
                <w:sz w:val="20"/>
                <w:szCs w:val="20"/>
              </w:rPr>
              <w:t>s</w:t>
            </w:r>
          </w:p>
        </w:tc>
        <w:tc>
          <w:tcPr>
            <w:tcW w:w="0" w:type="auto"/>
            <w:hideMark/>
          </w:tcPr>
          <w:p w14:paraId="359E4998"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47A1786"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AE53836"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36AA42DD"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CD3EA8F" w14:textId="77777777" w:rsidR="00000000" w:rsidRDefault="00EF48A2">
            <w:pPr>
              <w:pStyle w:val="a3"/>
              <w:spacing w:before="0" w:beforeAutospacing="0" w:after="0" w:afterAutospacing="0"/>
              <w:jc w:val="right"/>
              <w:rPr>
                <w:sz w:val="20"/>
                <w:szCs w:val="20"/>
              </w:rPr>
            </w:pPr>
            <w:r>
              <w:rPr>
                <w:sz w:val="20"/>
                <w:szCs w:val="20"/>
              </w:rPr>
              <w:t> </w:t>
            </w:r>
          </w:p>
        </w:tc>
        <w:tc>
          <w:tcPr>
            <w:tcW w:w="0" w:type="auto"/>
            <w:noWrap/>
            <w:vAlign w:val="bottom"/>
            <w:hideMark/>
          </w:tcPr>
          <w:p w14:paraId="28DA345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5617810A"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EBE51BF" w14:textId="77777777" w:rsidR="00000000" w:rsidRDefault="00EF48A2">
            <w:pPr>
              <w:pStyle w:val="a3"/>
              <w:spacing w:before="0" w:beforeAutospacing="0" w:after="0" w:afterAutospacing="0"/>
              <w:rPr>
                <w:sz w:val="20"/>
                <w:szCs w:val="20"/>
              </w:rPr>
            </w:pPr>
            <w:r>
              <w:rPr>
                <w:sz w:val="20"/>
                <w:szCs w:val="20"/>
              </w:rPr>
              <w:t> </w:t>
            </w:r>
          </w:p>
        </w:tc>
      </w:tr>
    </w:tbl>
    <w:p w14:paraId="74CA3714" w14:textId="77777777" w:rsidR="00000000" w:rsidRDefault="00EF48A2">
      <w:pPr>
        <w:pStyle w:val="a3"/>
        <w:spacing w:before="240" w:beforeAutospacing="0" w:after="0" w:afterAutospacing="0"/>
        <w:jc w:val="both"/>
        <w:divId w:val="415978143"/>
        <w:rPr>
          <w:sz w:val="20"/>
          <w:szCs w:val="20"/>
        </w:rPr>
      </w:pPr>
      <w:r>
        <w:rPr>
          <w:sz w:val="20"/>
          <w:szCs w:val="20"/>
        </w:rPr>
        <w:t>Realization of the future tax benefits is dependent on the Company’s ability to generate sufficient taxable income within the carryforward period. A valuation allowance is provided for deferred tax assets when it is “more likely than not” that some portion</w:t>
      </w:r>
      <w:r>
        <w:rPr>
          <w:sz w:val="20"/>
          <w:szCs w:val="20"/>
        </w:rPr>
        <w:t xml:space="preserve"> of the deferred tax asset will not be realized. Because of the Company’s recent history of operating losses, management believes the recognition of the deferred tax assets arising from the above-mentioned future tax benefits is currently not more likely t</w:t>
      </w:r>
      <w:r>
        <w:rPr>
          <w:sz w:val="20"/>
          <w:szCs w:val="20"/>
        </w:rPr>
        <w:t>han not to be realized and, accordingly, has provided a full valuation allowance. A valuation allowance has been recorded for the net deferred tax assets at December 31, 2022 and 2021</w:t>
      </w:r>
      <w:r>
        <w:rPr>
          <w:sz w:val="20"/>
          <w:szCs w:val="20"/>
        </w:rPr>
        <w:t>.</w:t>
      </w:r>
    </w:p>
    <w:p w14:paraId="0CAFDDC6" w14:textId="77777777" w:rsidR="00000000" w:rsidRDefault="00EF48A2">
      <w:pPr>
        <w:pStyle w:val="a3"/>
        <w:spacing w:before="0" w:beforeAutospacing="0" w:after="0" w:afterAutospacing="0"/>
        <w:jc w:val="center"/>
        <w:divId w:val="415978143"/>
        <w:rPr>
          <w:sz w:val="20"/>
          <w:szCs w:val="20"/>
        </w:rPr>
      </w:pPr>
      <w:r>
        <w:rPr>
          <w:sz w:val="20"/>
          <w:szCs w:val="20"/>
        </w:rPr>
        <w:t>7</w:t>
      </w:r>
      <w:r>
        <w:rPr>
          <w:sz w:val="20"/>
          <w:szCs w:val="20"/>
        </w:rPr>
        <w:t>7</w:t>
      </w:r>
    </w:p>
    <w:p w14:paraId="51DBB0CC" w14:textId="77777777" w:rsidR="00000000" w:rsidRDefault="00EF48A2">
      <w:pPr>
        <w:divId w:val="415978143"/>
        <w:rPr>
          <w:rFonts w:eastAsia="Times New Roman"/>
          <w:sz w:val="20"/>
          <w:szCs w:val="20"/>
        </w:rPr>
      </w:pPr>
      <w:r>
        <w:rPr>
          <w:rFonts w:eastAsia="Times New Roman"/>
          <w:sz w:val="20"/>
          <w:szCs w:val="20"/>
        </w:rPr>
        <w:pict w14:anchorId="7722ABCA">
          <v:rect id="_x0000_i1104" style="width:0;height:1.5pt" o:hralign="center" o:hrstd="t" o:hr="t" fillcolor="#a0a0a0" stroked="f"/>
        </w:pict>
      </w:r>
    </w:p>
    <w:p w14:paraId="741A60F7" w14:textId="77777777" w:rsidR="00000000" w:rsidRDefault="00EF48A2">
      <w:pPr>
        <w:pStyle w:val="a3"/>
        <w:spacing w:before="0" w:beforeAutospacing="0" w:after="0" w:afterAutospacing="0"/>
        <w:divId w:val="415978143"/>
        <w:rPr>
          <w:sz w:val="20"/>
          <w:szCs w:val="20"/>
        </w:rPr>
      </w:pPr>
      <w:hyperlink w:anchor="toc_page" w:history="1">
        <w:r>
          <w:rPr>
            <w:rStyle w:val="a4"/>
            <w:sz w:val="20"/>
            <w:szCs w:val="20"/>
          </w:rPr>
          <w:t>T</w:t>
        </w:r>
        <w:r>
          <w:rPr>
            <w:rStyle w:val="a4"/>
            <w:sz w:val="20"/>
            <w:szCs w:val="20"/>
          </w:rPr>
          <w:t>able of Content</w:t>
        </w:r>
        <w:r>
          <w:rPr>
            <w:rStyle w:val="a4"/>
            <w:sz w:val="20"/>
            <w:szCs w:val="20"/>
          </w:rPr>
          <w:t>s</w:t>
        </w:r>
      </w:hyperlink>
    </w:p>
    <w:p w14:paraId="3306E249" w14:textId="77777777" w:rsidR="00000000" w:rsidRDefault="00EF48A2">
      <w:pPr>
        <w:pStyle w:val="a3"/>
        <w:spacing w:before="180" w:beforeAutospacing="0" w:after="0" w:afterAutospacing="0"/>
        <w:jc w:val="both"/>
        <w:divId w:val="415978143"/>
        <w:rPr>
          <w:sz w:val="20"/>
          <w:szCs w:val="20"/>
        </w:rPr>
      </w:pPr>
      <w:r>
        <w:rPr>
          <w:sz w:val="20"/>
          <w:szCs w:val="20"/>
        </w:rPr>
        <w:t>The Company maintains a full valuation allowance on its net deferred tax assets. The assessment regarding whether a valuation allowance is required considers both positive and negative evidence when determining whether it is more likely th</w:t>
      </w:r>
      <w:r>
        <w:rPr>
          <w:sz w:val="20"/>
          <w:szCs w:val="20"/>
        </w:rPr>
        <w:t>an not that deferred tax assets are recoverable. In making this assessment, significant weight is given to evidence that can be objectively verified. Management considered the Company’s cumulative loss in recent years and forecasted losses in the near term</w:t>
      </w:r>
      <w:r>
        <w:rPr>
          <w:sz w:val="20"/>
          <w:szCs w:val="20"/>
        </w:rPr>
        <w:t xml:space="preserve"> as significant negative evidence. Based upon a review of the four sources of income identified within ASC 740, management determined that the negative evidence outweighed the positive evidence and that a full valuation allowance on the net deferred tax as</w:t>
      </w:r>
      <w:r>
        <w:rPr>
          <w:sz w:val="20"/>
          <w:szCs w:val="20"/>
        </w:rPr>
        <w:t>sets will be maintained. Management will continue to assess the realizability of our deferred tax assets going forward and will adjust the valuation allowance as needed. The Company’s valuation allowance increased by</w:t>
      </w:r>
      <w:r>
        <w:rPr>
          <w:sz w:val="20"/>
          <w:szCs w:val="20"/>
        </w:rPr>
        <w:t xml:space="preserve"> </w:t>
      </w:r>
      <w:r>
        <w:rPr>
          <w:sz w:val="20"/>
          <w:szCs w:val="20"/>
        </w:rPr>
        <w:t>$</w:t>
      </w:r>
      <w:r>
        <w:rPr>
          <w:sz w:val="20"/>
          <w:szCs w:val="20"/>
        </w:rPr>
        <w:t>26.</w:t>
      </w:r>
      <w:r>
        <w:rPr>
          <w:sz w:val="20"/>
          <w:szCs w:val="20"/>
        </w:rPr>
        <w:t>3</w:t>
      </w:r>
      <w:r>
        <w:rPr>
          <w:sz w:val="20"/>
          <w:szCs w:val="20"/>
        </w:rPr>
        <w:t xml:space="preserve"> million during the year ended Dec</w:t>
      </w:r>
      <w:r>
        <w:rPr>
          <w:sz w:val="20"/>
          <w:szCs w:val="20"/>
        </w:rPr>
        <w:t>ember 31, 2022 primarily due to increases in its net operating loss carryforwards</w:t>
      </w:r>
      <w:r>
        <w:rPr>
          <w:sz w:val="20"/>
          <w:szCs w:val="20"/>
        </w:rPr>
        <w:t>.</w:t>
      </w:r>
    </w:p>
    <w:p w14:paraId="2A23DC6B" w14:textId="77777777" w:rsidR="00000000" w:rsidRDefault="00EF48A2">
      <w:pPr>
        <w:pStyle w:val="a3"/>
        <w:spacing w:before="180" w:beforeAutospacing="0" w:after="0" w:afterAutospacing="0"/>
        <w:jc w:val="both"/>
        <w:divId w:val="415978143"/>
        <w:rPr>
          <w:sz w:val="20"/>
          <w:szCs w:val="20"/>
        </w:rPr>
      </w:pPr>
      <w:r>
        <w:rPr>
          <w:sz w:val="20"/>
          <w:szCs w:val="20"/>
        </w:rPr>
        <w:t xml:space="preserve">At December 31, 2022, the Company has federal and state net operating loss carryovers (“NOL”) of approximately </w:t>
      </w:r>
      <w:r>
        <w:rPr>
          <w:sz w:val="20"/>
          <w:szCs w:val="20"/>
        </w:rPr>
        <w:t>$</w:t>
      </w:r>
      <w:r>
        <w:rPr>
          <w:sz w:val="20"/>
          <w:szCs w:val="20"/>
        </w:rPr>
        <w:t>255.</w:t>
      </w:r>
      <w:r>
        <w:rPr>
          <w:sz w:val="20"/>
          <w:szCs w:val="20"/>
        </w:rPr>
        <w:t>1</w:t>
      </w:r>
      <w:r>
        <w:rPr>
          <w:sz w:val="20"/>
          <w:szCs w:val="20"/>
        </w:rPr>
        <w:t xml:space="preserve"> million and </w:t>
      </w:r>
      <w:r>
        <w:rPr>
          <w:sz w:val="20"/>
          <w:szCs w:val="20"/>
        </w:rPr>
        <w:t>$</w:t>
      </w:r>
      <w:r>
        <w:rPr>
          <w:sz w:val="20"/>
          <w:szCs w:val="20"/>
        </w:rPr>
        <w:t>224.</w:t>
      </w:r>
      <w:r>
        <w:rPr>
          <w:sz w:val="20"/>
          <w:szCs w:val="20"/>
        </w:rPr>
        <w:t>3</w:t>
      </w:r>
      <w:r>
        <w:rPr>
          <w:sz w:val="20"/>
          <w:szCs w:val="20"/>
        </w:rPr>
        <w:t xml:space="preserve"> million, respectively, which are available to reduce future taxable income.</w:t>
      </w:r>
      <w:r>
        <w:rPr>
          <w:sz w:val="20"/>
          <w:szCs w:val="20"/>
        </w:rPr>
        <w:t xml:space="preserve"> </w:t>
      </w:r>
      <w:r>
        <w:rPr>
          <w:sz w:val="20"/>
          <w:szCs w:val="20"/>
        </w:rPr>
        <w:t>The NOL carryforwards begin to expire in 20</w:t>
      </w:r>
      <w:r>
        <w:rPr>
          <w:sz w:val="20"/>
          <w:szCs w:val="20"/>
        </w:rPr>
        <w:t>32 and may become subject to annual limitation in the event of certain cumulative changes in the ownership interest of significant stockholders over a three-year period in excess of</w:t>
      </w:r>
      <w:r>
        <w:rPr>
          <w:sz w:val="20"/>
          <w:szCs w:val="20"/>
        </w:rPr>
        <w:t xml:space="preserve"> </w:t>
      </w:r>
      <w:r>
        <w:rPr>
          <w:sz w:val="20"/>
          <w:szCs w:val="20"/>
        </w:rPr>
        <w:t>5</w:t>
      </w:r>
      <w:r>
        <w:rPr>
          <w:sz w:val="20"/>
          <w:szCs w:val="20"/>
        </w:rPr>
        <w:t>0</w:t>
      </w:r>
      <w:r>
        <w:rPr>
          <w:sz w:val="20"/>
          <w:szCs w:val="20"/>
        </w:rPr>
        <w:t>%, as defined under I.R.C. Section 38</w:t>
      </w:r>
      <w:r>
        <w:rPr>
          <w:sz w:val="20"/>
          <w:szCs w:val="20"/>
        </w:rPr>
        <w:t>2</w:t>
      </w:r>
      <w:r>
        <w:rPr>
          <w:sz w:val="20"/>
          <w:szCs w:val="20"/>
        </w:rPr>
        <w:t>. This could limit the amount of t</w:t>
      </w:r>
      <w:r>
        <w:rPr>
          <w:sz w:val="20"/>
          <w:szCs w:val="20"/>
        </w:rPr>
        <w:t>ax attributes that can be utilized annually to offset future taxable income or future tax liabilities. The federal losses generated from 2018 onward do not expire</w:t>
      </w:r>
      <w:r>
        <w:rPr>
          <w:sz w:val="20"/>
          <w:szCs w:val="20"/>
        </w:rPr>
        <w:t>.</w:t>
      </w:r>
    </w:p>
    <w:p w14:paraId="3CCBBCCE" w14:textId="77777777" w:rsidR="00000000" w:rsidRDefault="00EF48A2">
      <w:pPr>
        <w:pStyle w:val="a3"/>
        <w:spacing w:before="180" w:beforeAutospacing="0" w:after="0" w:afterAutospacing="0"/>
        <w:jc w:val="both"/>
        <w:divId w:val="415978143"/>
        <w:rPr>
          <w:sz w:val="20"/>
          <w:szCs w:val="20"/>
        </w:rPr>
      </w:pPr>
      <w:r>
        <w:rPr>
          <w:sz w:val="20"/>
          <w:szCs w:val="20"/>
        </w:rPr>
        <w:t>The Company is subject to U.S. federal and state and Israeli income taxes with varying statu</w:t>
      </w:r>
      <w:r>
        <w:rPr>
          <w:sz w:val="20"/>
          <w:szCs w:val="20"/>
        </w:rPr>
        <w:t>tes of limitations. The Company is not currently under examination by any income tax authority, nor has it been notified that an examination is contemplated. The Company is no longer subject to U.S. federal, state or local income tax examinations by the ta</w:t>
      </w:r>
      <w:r>
        <w:rPr>
          <w:sz w:val="20"/>
          <w:szCs w:val="20"/>
        </w:rPr>
        <w:t>x authorities for years before 2019. The Israel subsidiary tax assessments filed by the Company th</w:t>
      </w:r>
      <w:r>
        <w:rPr>
          <w:sz w:val="20"/>
          <w:szCs w:val="20"/>
        </w:rPr>
        <w:t>r</w:t>
      </w:r>
      <w:r>
        <w:rPr>
          <w:sz w:val="20"/>
          <w:szCs w:val="20"/>
        </w:rPr>
        <w:t>ough the year 2017 are considered closed</w:t>
      </w:r>
      <w:r>
        <w:rPr>
          <w:sz w:val="20"/>
          <w:szCs w:val="20"/>
        </w:rPr>
        <w:t>.</w:t>
      </w:r>
    </w:p>
    <w:p w14:paraId="6F16ECB2" w14:textId="77777777" w:rsidR="00000000" w:rsidRDefault="00EF48A2">
      <w:pPr>
        <w:pStyle w:val="a3"/>
        <w:spacing w:before="360" w:beforeAutospacing="0" w:after="0" w:afterAutospacing="0"/>
        <w:divId w:val="1519199629"/>
        <w:rPr>
          <w:sz w:val="20"/>
          <w:szCs w:val="20"/>
        </w:rPr>
      </w:pPr>
      <w:r>
        <w:rPr>
          <w:b/>
          <w:bCs/>
          <w:sz w:val="20"/>
          <w:szCs w:val="20"/>
        </w:rPr>
        <w:t>NOTE 14. ACCRUED EXPENSES AND OTHER CURRENT LIABILITIE</w:t>
      </w:r>
      <w:r>
        <w:rPr>
          <w:b/>
          <w:bCs/>
          <w:sz w:val="20"/>
          <w:szCs w:val="20"/>
        </w:rPr>
        <w:t>S</w:t>
      </w:r>
    </w:p>
    <w:p w14:paraId="5D835BE7" w14:textId="77777777" w:rsidR="00000000" w:rsidRDefault="00EF48A2">
      <w:pPr>
        <w:pStyle w:val="a3"/>
        <w:spacing w:before="180" w:beforeAutospacing="0" w:after="0" w:afterAutospacing="0"/>
        <w:jc w:val="both"/>
        <w:divId w:val="279652100"/>
        <w:rPr>
          <w:sz w:val="20"/>
          <w:szCs w:val="20"/>
        </w:rPr>
      </w:pPr>
      <w:r>
        <w:rPr>
          <w:sz w:val="20"/>
          <w:szCs w:val="20"/>
        </w:rPr>
        <w:t>Accrued expenses and other current liabilities are comprise</w:t>
      </w:r>
      <w:r>
        <w:rPr>
          <w:sz w:val="20"/>
          <w:szCs w:val="20"/>
        </w:rPr>
        <w:t>d of the following</w:t>
      </w:r>
      <w:r>
        <w:rPr>
          <w:sz w:val="20"/>
          <w:szCs w:val="20"/>
        </w:rPr>
        <w:t>:</w:t>
      </w:r>
    </w:p>
    <w:p w14:paraId="136994D9" w14:textId="77777777" w:rsidR="00000000" w:rsidRDefault="00EF48A2">
      <w:pPr>
        <w:pStyle w:val="a3"/>
        <w:spacing w:before="0" w:beforeAutospacing="0" w:after="0" w:afterAutospacing="0"/>
        <w:divId w:val="27965210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2"/>
        <w:gridCol w:w="143"/>
        <w:gridCol w:w="160"/>
        <w:gridCol w:w="1401"/>
        <w:gridCol w:w="110"/>
        <w:gridCol w:w="144"/>
        <w:gridCol w:w="160"/>
        <w:gridCol w:w="1431"/>
        <w:gridCol w:w="125"/>
      </w:tblGrid>
      <w:tr w:rsidR="00000000" w14:paraId="78BB138F" w14:textId="77777777">
        <w:trPr>
          <w:divId w:val="279652100"/>
          <w:tblCellSpacing w:w="15" w:type="dxa"/>
        </w:trPr>
        <w:tc>
          <w:tcPr>
            <w:tcW w:w="2876" w:type="pct"/>
            <w:vAlign w:val="center"/>
            <w:hideMark/>
          </w:tcPr>
          <w:p w14:paraId="547FF9D6" w14:textId="77777777" w:rsidR="00000000" w:rsidRDefault="00EF48A2">
            <w:pPr>
              <w:rPr>
                <w:sz w:val="20"/>
                <w:szCs w:val="20"/>
              </w:rPr>
            </w:pPr>
          </w:p>
        </w:tc>
        <w:tc>
          <w:tcPr>
            <w:tcW w:w="83" w:type="pct"/>
            <w:vAlign w:val="center"/>
            <w:hideMark/>
          </w:tcPr>
          <w:p w14:paraId="4CA058A3" w14:textId="77777777" w:rsidR="00000000" w:rsidRDefault="00EF48A2">
            <w:pPr>
              <w:rPr>
                <w:rFonts w:eastAsia="Times New Roman"/>
                <w:sz w:val="20"/>
                <w:szCs w:val="20"/>
              </w:rPr>
            </w:pPr>
          </w:p>
        </w:tc>
        <w:tc>
          <w:tcPr>
            <w:tcW w:w="50" w:type="pct"/>
            <w:vAlign w:val="center"/>
            <w:hideMark/>
          </w:tcPr>
          <w:p w14:paraId="3E755382" w14:textId="77777777" w:rsidR="00000000" w:rsidRDefault="00EF48A2">
            <w:pPr>
              <w:rPr>
                <w:rFonts w:eastAsia="Times New Roman"/>
                <w:sz w:val="20"/>
                <w:szCs w:val="20"/>
              </w:rPr>
            </w:pPr>
          </w:p>
        </w:tc>
        <w:tc>
          <w:tcPr>
            <w:tcW w:w="869" w:type="pct"/>
            <w:vAlign w:val="center"/>
            <w:hideMark/>
          </w:tcPr>
          <w:p w14:paraId="36118A74" w14:textId="77777777" w:rsidR="00000000" w:rsidRDefault="00EF48A2">
            <w:pPr>
              <w:rPr>
                <w:rFonts w:eastAsia="Times New Roman"/>
                <w:sz w:val="20"/>
                <w:szCs w:val="20"/>
              </w:rPr>
            </w:pPr>
          </w:p>
        </w:tc>
        <w:tc>
          <w:tcPr>
            <w:tcW w:w="50" w:type="pct"/>
            <w:vAlign w:val="center"/>
            <w:hideMark/>
          </w:tcPr>
          <w:p w14:paraId="59F95104" w14:textId="77777777" w:rsidR="00000000" w:rsidRDefault="00EF48A2">
            <w:pPr>
              <w:rPr>
                <w:rFonts w:eastAsia="Times New Roman"/>
                <w:sz w:val="20"/>
                <w:szCs w:val="20"/>
              </w:rPr>
            </w:pPr>
          </w:p>
        </w:tc>
        <w:tc>
          <w:tcPr>
            <w:tcW w:w="83" w:type="pct"/>
            <w:vAlign w:val="center"/>
            <w:hideMark/>
          </w:tcPr>
          <w:p w14:paraId="4CA5EE3A" w14:textId="77777777" w:rsidR="00000000" w:rsidRDefault="00EF48A2">
            <w:pPr>
              <w:rPr>
                <w:rFonts w:eastAsia="Times New Roman"/>
                <w:sz w:val="20"/>
                <w:szCs w:val="20"/>
              </w:rPr>
            </w:pPr>
          </w:p>
        </w:tc>
        <w:tc>
          <w:tcPr>
            <w:tcW w:w="50" w:type="pct"/>
            <w:vAlign w:val="center"/>
            <w:hideMark/>
          </w:tcPr>
          <w:p w14:paraId="14B116DE" w14:textId="77777777" w:rsidR="00000000" w:rsidRDefault="00EF48A2">
            <w:pPr>
              <w:rPr>
                <w:rFonts w:eastAsia="Times New Roman"/>
                <w:sz w:val="20"/>
                <w:szCs w:val="20"/>
              </w:rPr>
            </w:pPr>
          </w:p>
        </w:tc>
        <w:tc>
          <w:tcPr>
            <w:tcW w:w="887" w:type="pct"/>
            <w:vAlign w:val="center"/>
            <w:hideMark/>
          </w:tcPr>
          <w:p w14:paraId="68C6F66C" w14:textId="77777777" w:rsidR="00000000" w:rsidRDefault="00EF48A2">
            <w:pPr>
              <w:rPr>
                <w:rFonts w:eastAsia="Times New Roman"/>
                <w:sz w:val="20"/>
                <w:szCs w:val="20"/>
              </w:rPr>
            </w:pPr>
          </w:p>
        </w:tc>
        <w:tc>
          <w:tcPr>
            <w:tcW w:w="50" w:type="pct"/>
            <w:vAlign w:val="center"/>
            <w:hideMark/>
          </w:tcPr>
          <w:p w14:paraId="33E87AC8" w14:textId="77777777" w:rsidR="00000000" w:rsidRDefault="00EF48A2">
            <w:pPr>
              <w:rPr>
                <w:rFonts w:eastAsia="Times New Roman"/>
                <w:sz w:val="20"/>
                <w:szCs w:val="20"/>
              </w:rPr>
            </w:pPr>
          </w:p>
        </w:tc>
      </w:tr>
      <w:tr w:rsidR="00000000" w14:paraId="3474F1B9" w14:textId="77777777">
        <w:trPr>
          <w:divId w:val="279652100"/>
          <w:trHeight w:val="160"/>
          <w:tblCellSpacing w:w="15" w:type="dxa"/>
        </w:trPr>
        <w:tc>
          <w:tcPr>
            <w:tcW w:w="0" w:type="auto"/>
            <w:vAlign w:val="bottom"/>
            <w:hideMark/>
          </w:tcPr>
          <w:p w14:paraId="3BEA4B09" w14:textId="77777777" w:rsidR="00000000" w:rsidRDefault="00EF48A2">
            <w:pPr>
              <w:pStyle w:val="a3"/>
              <w:spacing w:before="0" w:beforeAutospacing="0" w:after="0" w:afterAutospacing="0"/>
              <w:jc w:val="center"/>
              <w:rPr>
                <w:sz w:val="16"/>
                <w:szCs w:val="16"/>
              </w:rPr>
            </w:pPr>
            <w:r>
              <w:rPr>
                <w:b/>
                <w:bCs/>
                <w:sz w:val="16"/>
                <w:szCs w:val="16"/>
              </w:rPr>
              <w:t> </w:t>
            </w:r>
          </w:p>
        </w:tc>
        <w:tc>
          <w:tcPr>
            <w:tcW w:w="0" w:type="auto"/>
            <w:vAlign w:val="bottom"/>
            <w:hideMark/>
          </w:tcPr>
          <w:p w14:paraId="264D7C4D"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05A65C42" w14:textId="77777777" w:rsidR="00000000" w:rsidRDefault="00EF48A2">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14:paraId="5A2E11FD"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462FD88C" w14:textId="77777777">
        <w:trPr>
          <w:divId w:val="279652100"/>
          <w:trHeight w:val="160"/>
          <w:tblCellSpacing w:w="15" w:type="dxa"/>
        </w:trPr>
        <w:tc>
          <w:tcPr>
            <w:tcW w:w="0" w:type="auto"/>
            <w:vAlign w:val="bottom"/>
            <w:hideMark/>
          </w:tcPr>
          <w:p w14:paraId="056A25BF"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5436B434"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1AC01FC"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ED50B3F" w14:textId="77777777" w:rsidR="00000000" w:rsidRDefault="00EF48A2">
            <w:pPr>
              <w:pStyle w:val="a3"/>
              <w:spacing w:before="0" w:beforeAutospacing="0" w:after="0" w:afterAutospacing="0"/>
              <w:jc w:val="center"/>
              <w:rPr>
                <w:sz w:val="16"/>
                <w:szCs w:val="16"/>
              </w:rPr>
            </w:pPr>
            <w:r>
              <w:rPr>
                <w:sz w:val="16"/>
                <w:szCs w:val="16"/>
              </w:rPr>
              <w:t> </w:t>
            </w:r>
          </w:p>
        </w:tc>
        <w:tc>
          <w:tcPr>
            <w:tcW w:w="0" w:type="auto"/>
            <w:vAlign w:val="bottom"/>
            <w:hideMark/>
          </w:tcPr>
          <w:p w14:paraId="5E1D3C89"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2A84D01" w14:textId="77777777" w:rsidR="00000000" w:rsidRDefault="00EF48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D9EF528"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BCBCCCF" w14:textId="77777777">
        <w:trPr>
          <w:divId w:val="279652100"/>
          <w:trHeight w:val="200"/>
          <w:tblCellSpacing w:w="15" w:type="dxa"/>
        </w:trPr>
        <w:tc>
          <w:tcPr>
            <w:tcW w:w="0" w:type="auto"/>
            <w:hideMark/>
          </w:tcPr>
          <w:p w14:paraId="3493449B" w14:textId="77777777" w:rsidR="00000000" w:rsidRDefault="00EF48A2">
            <w:pPr>
              <w:pStyle w:val="a3"/>
              <w:spacing w:before="0" w:beforeAutospacing="0" w:after="0" w:afterAutospacing="0"/>
              <w:ind w:left="200"/>
              <w:rPr>
                <w:sz w:val="20"/>
                <w:szCs w:val="20"/>
              </w:rPr>
            </w:pPr>
            <w:r>
              <w:rPr>
                <w:sz w:val="20"/>
                <w:szCs w:val="20"/>
              </w:rPr>
              <w:t>Litigation cost</w:t>
            </w:r>
            <w:r>
              <w:rPr>
                <w:sz w:val="20"/>
                <w:szCs w:val="20"/>
              </w:rPr>
              <w:t>s</w:t>
            </w:r>
          </w:p>
        </w:tc>
        <w:tc>
          <w:tcPr>
            <w:tcW w:w="0" w:type="auto"/>
            <w:vAlign w:val="bottom"/>
            <w:hideMark/>
          </w:tcPr>
          <w:p w14:paraId="10BBCEA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FF4403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2850BD33" w14:textId="77777777" w:rsidR="00000000" w:rsidRDefault="00EF48A2">
            <w:pPr>
              <w:pStyle w:val="a3"/>
              <w:spacing w:before="0" w:beforeAutospacing="0" w:after="0" w:afterAutospacing="0"/>
              <w:jc w:val="right"/>
              <w:rPr>
                <w:sz w:val="20"/>
                <w:szCs w:val="20"/>
              </w:rPr>
            </w:pPr>
            <w:r>
              <w:rPr>
                <w:sz w:val="20"/>
                <w:szCs w:val="20"/>
              </w:rPr>
              <w:t>5,50</w:t>
            </w:r>
            <w:r>
              <w:rPr>
                <w:sz w:val="20"/>
                <w:szCs w:val="20"/>
              </w:rPr>
              <w:t>0</w:t>
            </w:r>
          </w:p>
        </w:tc>
        <w:tc>
          <w:tcPr>
            <w:tcW w:w="0" w:type="auto"/>
            <w:noWrap/>
            <w:vAlign w:val="bottom"/>
            <w:hideMark/>
          </w:tcPr>
          <w:p w14:paraId="3C7715F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F9330D3"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CC4E50C"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893C164" w14:textId="77777777" w:rsidR="00000000" w:rsidRDefault="00EF48A2">
            <w:pPr>
              <w:pStyle w:val="a3"/>
              <w:spacing w:before="0" w:beforeAutospacing="0" w:after="0" w:afterAutospacing="0"/>
              <w:jc w:val="right"/>
              <w:rPr>
                <w:sz w:val="20"/>
                <w:szCs w:val="20"/>
              </w:rPr>
            </w:pPr>
            <w:r>
              <w:rPr>
                <w:sz w:val="20"/>
                <w:szCs w:val="20"/>
              </w:rPr>
              <w:t>—</w:t>
            </w:r>
          </w:p>
        </w:tc>
        <w:tc>
          <w:tcPr>
            <w:tcW w:w="0" w:type="auto"/>
            <w:noWrap/>
            <w:vAlign w:val="bottom"/>
            <w:hideMark/>
          </w:tcPr>
          <w:p w14:paraId="576F16D5" w14:textId="77777777" w:rsidR="00000000" w:rsidRDefault="00EF48A2">
            <w:pPr>
              <w:pStyle w:val="a3"/>
              <w:spacing w:before="0" w:beforeAutospacing="0" w:after="0" w:afterAutospacing="0"/>
              <w:rPr>
                <w:sz w:val="20"/>
                <w:szCs w:val="20"/>
              </w:rPr>
            </w:pPr>
            <w:r>
              <w:rPr>
                <w:sz w:val="20"/>
                <w:szCs w:val="20"/>
              </w:rPr>
              <w:t> </w:t>
            </w:r>
          </w:p>
        </w:tc>
      </w:tr>
      <w:tr w:rsidR="00000000" w14:paraId="40D74893" w14:textId="77777777">
        <w:trPr>
          <w:divId w:val="279652100"/>
          <w:trHeight w:val="200"/>
          <w:tblCellSpacing w:w="15" w:type="dxa"/>
        </w:trPr>
        <w:tc>
          <w:tcPr>
            <w:tcW w:w="0" w:type="auto"/>
            <w:hideMark/>
          </w:tcPr>
          <w:p w14:paraId="347CFC77" w14:textId="77777777" w:rsidR="00000000" w:rsidRDefault="00EF48A2">
            <w:pPr>
              <w:pStyle w:val="a3"/>
              <w:spacing w:before="0" w:beforeAutospacing="0" w:after="0" w:afterAutospacing="0"/>
              <w:ind w:left="200"/>
              <w:rPr>
                <w:sz w:val="20"/>
                <w:szCs w:val="20"/>
              </w:rPr>
            </w:pPr>
            <w:r>
              <w:rPr>
                <w:sz w:val="20"/>
                <w:szCs w:val="20"/>
              </w:rPr>
              <w:t>Employee compensatio</w:t>
            </w:r>
            <w:r>
              <w:rPr>
                <w:sz w:val="20"/>
                <w:szCs w:val="20"/>
              </w:rPr>
              <w:t>n</w:t>
            </w:r>
          </w:p>
        </w:tc>
        <w:tc>
          <w:tcPr>
            <w:tcW w:w="0" w:type="auto"/>
            <w:vAlign w:val="bottom"/>
            <w:hideMark/>
          </w:tcPr>
          <w:p w14:paraId="39EE1DD9"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EFBE5A5"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0A5E6A6" w14:textId="77777777" w:rsidR="00000000" w:rsidRDefault="00EF48A2">
            <w:pPr>
              <w:pStyle w:val="a3"/>
              <w:spacing w:before="0" w:beforeAutospacing="0" w:after="0" w:afterAutospacing="0"/>
              <w:jc w:val="right"/>
              <w:rPr>
                <w:sz w:val="20"/>
                <w:szCs w:val="20"/>
              </w:rPr>
            </w:pPr>
            <w:r>
              <w:rPr>
                <w:sz w:val="20"/>
                <w:szCs w:val="20"/>
              </w:rPr>
              <w:t>5,29</w:t>
            </w:r>
            <w:r>
              <w:rPr>
                <w:sz w:val="20"/>
                <w:szCs w:val="20"/>
              </w:rPr>
              <w:t>0</w:t>
            </w:r>
          </w:p>
        </w:tc>
        <w:tc>
          <w:tcPr>
            <w:tcW w:w="0" w:type="auto"/>
            <w:noWrap/>
            <w:vAlign w:val="bottom"/>
            <w:hideMark/>
          </w:tcPr>
          <w:p w14:paraId="178E43F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7D18C5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D02590C"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E1F00F7" w14:textId="77777777" w:rsidR="00000000" w:rsidRDefault="00EF48A2">
            <w:pPr>
              <w:pStyle w:val="a3"/>
              <w:spacing w:before="0" w:beforeAutospacing="0" w:after="0" w:afterAutospacing="0"/>
              <w:jc w:val="right"/>
              <w:rPr>
                <w:sz w:val="20"/>
                <w:szCs w:val="20"/>
              </w:rPr>
            </w:pPr>
            <w:r>
              <w:rPr>
                <w:sz w:val="20"/>
                <w:szCs w:val="20"/>
              </w:rPr>
              <w:t>5,98</w:t>
            </w:r>
            <w:r>
              <w:rPr>
                <w:sz w:val="20"/>
                <w:szCs w:val="20"/>
              </w:rPr>
              <w:t>8</w:t>
            </w:r>
          </w:p>
        </w:tc>
        <w:tc>
          <w:tcPr>
            <w:tcW w:w="0" w:type="auto"/>
            <w:noWrap/>
            <w:vAlign w:val="bottom"/>
            <w:hideMark/>
          </w:tcPr>
          <w:p w14:paraId="3674FB3E" w14:textId="77777777" w:rsidR="00000000" w:rsidRDefault="00EF48A2">
            <w:pPr>
              <w:pStyle w:val="a3"/>
              <w:spacing w:before="0" w:beforeAutospacing="0" w:after="0" w:afterAutospacing="0"/>
              <w:rPr>
                <w:sz w:val="20"/>
                <w:szCs w:val="20"/>
              </w:rPr>
            </w:pPr>
            <w:r>
              <w:rPr>
                <w:sz w:val="20"/>
                <w:szCs w:val="20"/>
              </w:rPr>
              <w:t> </w:t>
            </w:r>
          </w:p>
        </w:tc>
      </w:tr>
      <w:tr w:rsidR="00000000" w14:paraId="466E920B" w14:textId="77777777">
        <w:trPr>
          <w:divId w:val="279652100"/>
          <w:trHeight w:val="200"/>
          <w:tblCellSpacing w:w="15" w:type="dxa"/>
        </w:trPr>
        <w:tc>
          <w:tcPr>
            <w:tcW w:w="0" w:type="auto"/>
            <w:hideMark/>
          </w:tcPr>
          <w:p w14:paraId="1E07FB15" w14:textId="77777777" w:rsidR="00000000" w:rsidRDefault="00EF48A2">
            <w:pPr>
              <w:pStyle w:val="a3"/>
              <w:spacing w:before="0" w:beforeAutospacing="0" w:after="0" w:afterAutospacing="0"/>
              <w:ind w:left="200"/>
              <w:rPr>
                <w:sz w:val="20"/>
                <w:szCs w:val="20"/>
              </w:rPr>
            </w:pPr>
            <w:r>
              <w:rPr>
                <w:sz w:val="20"/>
                <w:szCs w:val="20"/>
              </w:rPr>
              <w:t>User acquisitio</w:t>
            </w:r>
            <w:r>
              <w:rPr>
                <w:sz w:val="20"/>
                <w:szCs w:val="20"/>
              </w:rPr>
              <w:t>n</w:t>
            </w:r>
          </w:p>
        </w:tc>
        <w:tc>
          <w:tcPr>
            <w:tcW w:w="0" w:type="auto"/>
            <w:vAlign w:val="bottom"/>
            <w:hideMark/>
          </w:tcPr>
          <w:p w14:paraId="333819A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A3C6739"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4A50A37D" w14:textId="77777777" w:rsidR="00000000" w:rsidRDefault="00EF48A2">
            <w:pPr>
              <w:pStyle w:val="a3"/>
              <w:spacing w:before="0" w:beforeAutospacing="0" w:after="0" w:afterAutospacing="0"/>
              <w:jc w:val="right"/>
              <w:rPr>
                <w:sz w:val="20"/>
                <w:szCs w:val="20"/>
              </w:rPr>
            </w:pPr>
            <w:r>
              <w:rPr>
                <w:sz w:val="20"/>
                <w:szCs w:val="20"/>
              </w:rPr>
              <w:t>2,25</w:t>
            </w:r>
            <w:r>
              <w:rPr>
                <w:sz w:val="20"/>
                <w:szCs w:val="20"/>
              </w:rPr>
              <w:t>6</w:t>
            </w:r>
          </w:p>
        </w:tc>
        <w:tc>
          <w:tcPr>
            <w:tcW w:w="0" w:type="auto"/>
            <w:noWrap/>
            <w:vAlign w:val="bottom"/>
            <w:hideMark/>
          </w:tcPr>
          <w:p w14:paraId="129CCB94"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43AA616"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902721B"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6DE06706" w14:textId="77777777" w:rsidR="00000000" w:rsidRDefault="00EF48A2">
            <w:pPr>
              <w:pStyle w:val="a3"/>
              <w:spacing w:before="0" w:beforeAutospacing="0" w:after="0" w:afterAutospacing="0"/>
              <w:jc w:val="right"/>
              <w:rPr>
                <w:sz w:val="20"/>
                <w:szCs w:val="20"/>
              </w:rPr>
            </w:pPr>
            <w:r>
              <w:rPr>
                <w:sz w:val="20"/>
                <w:szCs w:val="20"/>
              </w:rPr>
              <w:t>2,68</w:t>
            </w:r>
            <w:r>
              <w:rPr>
                <w:sz w:val="20"/>
                <w:szCs w:val="20"/>
              </w:rPr>
              <w:t>0</w:t>
            </w:r>
          </w:p>
        </w:tc>
        <w:tc>
          <w:tcPr>
            <w:tcW w:w="0" w:type="auto"/>
            <w:noWrap/>
            <w:vAlign w:val="bottom"/>
            <w:hideMark/>
          </w:tcPr>
          <w:p w14:paraId="54DD3CB3" w14:textId="77777777" w:rsidR="00000000" w:rsidRDefault="00EF48A2">
            <w:pPr>
              <w:pStyle w:val="a3"/>
              <w:spacing w:before="0" w:beforeAutospacing="0" w:after="0" w:afterAutospacing="0"/>
              <w:rPr>
                <w:sz w:val="20"/>
                <w:szCs w:val="20"/>
              </w:rPr>
            </w:pPr>
            <w:r>
              <w:rPr>
                <w:sz w:val="20"/>
                <w:szCs w:val="20"/>
              </w:rPr>
              <w:t> </w:t>
            </w:r>
          </w:p>
        </w:tc>
      </w:tr>
      <w:tr w:rsidR="00000000" w14:paraId="05E269F5" w14:textId="77777777">
        <w:trPr>
          <w:divId w:val="279652100"/>
          <w:trHeight w:val="200"/>
          <w:tblCellSpacing w:w="15" w:type="dxa"/>
        </w:trPr>
        <w:tc>
          <w:tcPr>
            <w:tcW w:w="0" w:type="auto"/>
            <w:hideMark/>
          </w:tcPr>
          <w:p w14:paraId="1AE582DF" w14:textId="77777777" w:rsidR="00000000" w:rsidRDefault="00EF48A2">
            <w:pPr>
              <w:pStyle w:val="a3"/>
              <w:spacing w:before="0" w:beforeAutospacing="0" w:after="0" w:afterAutospacing="0"/>
              <w:ind w:left="200"/>
              <w:rPr>
                <w:sz w:val="20"/>
                <w:szCs w:val="20"/>
              </w:rPr>
            </w:pPr>
            <w:r>
              <w:rPr>
                <w:sz w:val="20"/>
                <w:szCs w:val="20"/>
              </w:rPr>
              <w:t>Professional fee</w:t>
            </w:r>
            <w:r>
              <w:rPr>
                <w:sz w:val="20"/>
                <w:szCs w:val="20"/>
              </w:rPr>
              <w:t>s</w:t>
            </w:r>
          </w:p>
        </w:tc>
        <w:tc>
          <w:tcPr>
            <w:tcW w:w="0" w:type="auto"/>
            <w:vAlign w:val="bottom"/>
            <w:hideMark/>
          </w:tcPr>
          <w:p w14:paraId="71DA5470"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5FE64C1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2100F9ED" w14:textId="77777777" w:rsidR="00000000" w:rsidRDefault="00EF48A2">
            <w:pPr>
              <w:pStyle w:val="a3"/>
              <w:spacing w:before="0" w:beforeAutospacing="0" w:after="0" w:afterAutospacing="0"/>
              <w:jc w:val="right"/>
              <w:rPr>
                <w:sz w:val="20"/>
                <w:szCs w:val="20"/>
              </w:rPr>
            </w:pPr>
            <w:r>
              <w:rPr>
                <w:sz w:val="20"/>
                <w:szCs w:val="20"/>
              </w:rPr>
              <w:t>54</w:t>
            </w:r>
            <w:r>
              <w:rPr>
                <w:sz w:val="20"/>
                <w:szCs w:val="20"/>
              </w:rPr>
              <w:t>3</w:t>
            </w:r>
          </w:p>
        </w:tc>
        <w:tc>
          <w:tcPr>
            <w:tcW w:w="0" w:type="auto"/>
            <w:noWrap/>
            <w:vAlign w:val="bottom"/>
            <w:hideMark/>
          </w:tcPr>
          <w:p w14:paraId="3D80B31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D6369D4"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9DF8FC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509BB41C" w14:textId="77777777" w:rsidR="00000000" w:rsidRDefault="00EF48A2">
            <w:pPr>
              <w:pStyle w:val="a3"/>
              <w:spacing w:before="0" w:beforeAutospacing="0" w:after="0" w:afterAutospacing="0"/>
              <w:jc w:val="right"/>
              <w:rPr>
                <w:sz w:val="20"/>
                <w:szCs w:val="20"/>
              </w:rPr>
            </w:pPr>
            <w:r>
              <w:rPr>
                <w:sz w:val="20"/>
                <w:szCs w:val="20"/>
              </w:rPr>
              <w:t>1,30</w:t>
            </w:r>
            <w:r>
              <w:rPr>
                <w:sz w:val="20"/>
                <w:szCs w:val="20"/>
              </w:rPr>
              <w:t>3</w:t>
            </w:r>
          </w:p>
        </w:tc>
        <w:tc>
          <w:tcPr>
            <w:tcW w:w="0" w:type="auto"/>
            <w:noWrap/>
            <w:vAlign w:val="bottom"/>
            <w:hideMark/>
          </w:tcPr>
          <w:p w14:paraId="005988D1" w14:textId="77777777" w:rsidR="00000000" w:rsidRDefault="00EF48A2">
            <w:pPr>
              <w:pStyle w:val="a3"/>
              <w:spacing w:before="0" w:beforeAutospacing="0" w:after="0" w:afterAutospacing="0"/>
              <w:rPr>
                <w:sz w:val="20"/>
                <w:szCs w:val="20"/>
              </w:rPr>
            </w:pPr>
            <w:r>
              <w:rPr>
                <w:sz w:val="20"/>
                <w:szCs w:val="20"/>
              </w:rPr>
              <w:t> </w:t>
            </w:r>
          </w:p>
        </w:tc>
      </w:tr>
      <w:tr w:rsidR="00000000" w14:paraId="344F7AB5" w14:textId="77777777">
        <w:trPr>
          <w:divId w:val="279652100"/>
          <w:trHeight w:val="200"/>
          <w:tblCellSpacing w:w="15" w:type="dxa"/>
        </w:trPr>
        <w:tc>
          <w:tcPr>
            <w:tcW w:w="0" w:type="auto"/>
            <w:hideMark/>
          </w:tcPr>
          <w:p w14:paraId="5A07A00A" w14:textId="77777777" w:rsidR="00000000" w:rsidRDefault="00EF48A2">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14:paraId="7193852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367CA8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FD0D6FB" w14:textId="77777777" w:rsidR="00000000" w:rsidRDefault="00EF48A2">
            <w:pPr>
              <w:pStyle w:val="a3"/>
              <w:spacing w:before="0" w:beforeAutospacing="0" w:after="0" w:afterAutospacing="0"/>
              <w:jc w:val="right"/>
              <w:rPr>
                <w:sz w:val="20"/>
                <w:szCs w:val="20"/>
              </w:rPr>
            </w:pPr>
            <w:r>
              <w:rPr>
                <w:sz w:val="20"/>
                <w:szCs w:val="20"/>
              </w:rPr>
              <w:t>2,91</w:t>
            </w:r>
            <w:r>
              <w:rPr>
                <w:sz w:val="20"/>
                <w:szCs w:val="20"/>
              </w:rPr>
              <w:t>3</w:t>
            </w:r>
          </w:p>
        </w:tc>
        <w:tc>
          <w:tcPr>
            <w:tcW w:w="0" w:type="auto"/>
            <w:noWrap/>
            <w:vAlign w:val="bottom"/>
            <w:hideMark/>
          </w:tcPr>
          <w:p w14:paraId="09D461C2"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3B70BA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10468D50"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7DA7FDC4" w14:textId="77777777" w:rsidR="00000000" w:rsidRDefault="00EF48A2">
            <w:pPr>
              <w:pStyle w:val="a3"/>
              <w:spacing w:before="0" w:beforeAutospacing="0" w:after="0" w:afterAutospacing="0"/>
              <w:jc w:val="right"/>
              <w:rPr>
                <w:sz w:val="20"/>
                <w:szCs w:val="20"/>
              </w:rPr>
            </w:pPr>
            <w:r>
              <w:rPr>
                <w:sz w:val="20"/>
                <w:szCs w:val="20"/>
              </w:rPr>
              <w:t>2,59</w:t>
            </w:r>
            <w:r>
              <w:rPr>
                <w:sz w:val="20"/>
                <w:szCs w:val="20"/>
              </w:rPr>
              <w:t>1</w:t>
            </w:r>
          </w:p>
        </w:tc>
        <w:tc>
          <w:tcPr>
            <w:tcW w:w="0" w:type="auto"/>
            <w:noWrap/>
            <w:vAlign w:val="bottom"/>
            <w:hideMark/>
          </w:tcPr>
          <w:p w14:paraId="30BF41E3" w14:textId="77777777" w:rsidR="00000000" w:rsidRDefault="00EF48A2">
            <w:pPr>
              <w:pStyle w:val="a3"/>
              <w:spacing w:before="0" w:beforeAutospacing="0" w:after="0" w:afterAutospacing="0"/>
              <w:rPr>
                <w:sz w:val="20"/>
                <w:szCs w:val="20"/>
              </w:rPr>
            </w:pPr>
            <w:r>
              <w:rPr>
                <w:sz w:val="20"/>
                <w:szCs w:val="20"/>
              </w:rPr>
              <w:t> </w:t>
            </w:r>
          </w:p>
        </w:tc>
      </w:tr>
      <w:tr w:rsidR="00000000" w14:paraId="4DAFCAF3" w14:textId="77777777">
        <w:trPr>
          <w:divId w:val="279652100"/>
          <w:trHeight w:val="200"/>
          <w:tblCellSpacing w:w="15" w:type="dxa"/>
        </w:trPr>
        <w:tc>
          <w:tcPr>
            <w:tcW w:w="0" w:type="auto"/>
            <w:hideMark/>
          </w:tcPr>
          <w:p w14:paraId="6823320A" w14:textId="77777777" w:rsidR="00000000" w:rsidRDefault="00EF48A2">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14:paraId="2943A3FE"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2F71281"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B8DA06C" w14:textId="77777777" w:rsidR="00000000" w:rsidRDefault="00EF48A2">
            <w:pPr>
              <w:pStyle w:val="a3"/>
              <w:spacing w:before="0" w:beforeAutospacing="0" w:after="0" w:afterAutospacing="0"/>
              <w:jc w:val="right"/>
              <w:rPr>
                <w:sz w:val="20"/>
                <w:szCs w:val="20"/>
              </w:rPr>
            </w:pPr>
            <w:r>
              <w:rPr>
                <w:sz w:val="20"/>
                <w:szCs w:val="20"/>
              </w:rPr>
              <w:t>16,50</w:t>
            </w:r>
            <w:r>
              <w:rPr>
                <w:sz w:val="20"/>
                <w:szCs w:val="20"/>
              </w:rPr>
              <w:t>2</w:t>
            </w:r>
          </w:p>
        </w:tc>
        <w:tc>
          <w:tcPr>
            <w:tcW w:w="0" w:type="auto"/>
            <w:noWrap/>
            <w:vAlign w:val="bottom"/>
            <w:hideMark/>
          </w:tcPr>
          <w:p w14:paraId="03504CF8"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AA571C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80AB529"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DD4DCE1" w14:textId="77777777" w:rsidR="00000000" w:rsidRDefault="00EF48A2">
            <w:pPr>
              <w:pStyle w:val="a3"/>
              <w:spacing w:before="0" w:beforeAutospacing="0" w:after="0" w:afterAutospacing="0"/>
              <w:jc w:val="right"/>
              <w:rPr>
                <w:sz w:val="20"/>
                <w:szCs w:val="20"/>
              </w:rPr>
            </w:pPr>
            <w:r>
              <w:rPr>
                <w:sz w:val="20"/>
                <w:szCs w:val="20"/>
              </w:rPr>
              <w:t>12,56</w:t>
            </w:r>
            <w:r>
              <w:rPr>
                <w:sz w:val="20"/>
                <w:szCs w:val="20"/>
              </w:rPr>
              <w:t>2</w:t>
            </w:r>
          </w:p>
        </w:tc>
        <w:tc>
          <w:tcPr>
            <w:tcW w:w="0" w:type="auto"/>
            <w:noWrap/>
            <w:vAlign w:val="bottom"/>
            <w:hideMark/>
          </w:tcPr>
          <w:p w14:paraId="7A2A8EA8" w14:textId="77777777" w:rsidR="00000000" w:rsidRDefault="00EF48A2">
            <w:pPr>
              <w:pStyle w:val="a3"/>
              <w:spacing w:before="0" w:beforeAutospacing="0" w:after="0" w:afterAutospacing="0"/>
              <w:rPr>
                <w:sz w:val="20"/>
                <w:szCs w:val="20"/>
              </w:rPr>
            </w:pPr>
            <w:r>
              <w:rPr>
                <w:sz w:val="20"/>
                <w:szCs w:val="20"/>
              </w:rPr>
              <w:t> </w:t>
            </w:r>
          </w:p>
        </w:tc>
      </w:tr>
    </w:tbl>
    <w:p w14:paraId="6C09B94C" w14:textId="77777777" w:rsidR="00000000" w:rsidRDefault="00EF48A2">
      <w:pPr>
        <w:pStyle w:val="a3"/>
        <w:spacing w:before="0" w:beforeAutospacing="0" w:after="0" w:afterAutospacing="0"/>
        <w:rPr>
          <w:sz w:val="20"/>
          <w:szCs w:val="20"/>
        </w:rPr>
      </w:pPr>
      <w:r>
        <w:rPr>
          <w:sz w:val="20"/>
          <w:szCs w:val="20"/>
        </w:rPr>
        <w:t> </w:t>
      </w:r>
    </w:p>
    <w:p w14:paraId="4C167D76" w14:textId="77777777" w:rsidR="00000000" w:rsidRDefault="00EF48A2">
      <w:pPr>
        <w:pStyle w:val="a3"/>
        <w:spacing w:before="240" w:beforeAutospacing="0" w:after="0" w:afterAutospacing="0"/>
        <w:divId w:val="501120957"/>
        <w:rPr>
          <w:sz w:val="20"/>
          <w:szCs w:val="20"/>
        </w:rPr>
      </w:pPr>
      <w:r>
        <w:rPr>
          <w:b/>
          <w:bCs/>
          <w:sz w:val="20"/>
          <w:szCs w:val="20"/>
        </w:rPr>
        <w:t>NOTE 15. VARIABLE INTEREST ENTITIES ("VIEs"</w:t>
      </w:r>
      <w:r>
        <w:rPr>
          <w:b/>
          <w:bCs/>
          <w:sz w:val="20"/>
          <w:szCs w:val="20"/>
        </w:rPr>
        <w:t>)</w:t>
      </w:r>
    </w:p>
    <w:p w14:paraId="15D80497" w14:textId="77777777" w:rsidR="00000000" w:rsidRDefault="00EF48A2">
      <w:pPr>
        <w:pStyle w:val="a3"/>
        <w:spacing w:before="180" w:beforeAutospacing="0" w:after="0" w:afterAutospacing="0"/>
        <w:jc w:val="both"/>
        <w:divId w:val="501120957"/>
        <w:rPr>
          <w:sz w:val="20"/>
          <w:szCs w:val="20"/>
        </w:rPr>
      </w:pPr>
      <w:r>
        <w:rPr>
          <w:sz w:val="20"/>
          <w:szCs w:val="20"/>
        </w:rPr>
        <w:t>In the second quarter of 2022, the Company completed a transition with respect to its relationships with healthcare providers, transitioning to a structure whereby Talkspace LLC has entered into various agreements with a Texas professional association enti</w:t>
      </w:r>
      <w:r>
        <w:rPr>
          <w:sz w:val="20"/>
          <w:szCs w:val="20"/>
        </w:rPr>
        <w:t>ty (Talkspace Provider Network, PA or “TPN”), which in turn contracts with affiliated professional entities ("PC entities"), and physicians, therapists, and other licensed professionals for clinical and professional services provided to the Company's membe</w:t>
      </w:r>
      <w:r>
        <w:rPr>
          <w:sz w:val="20"/>
          <w:szCs w:val="20"/>
        </w:rPr>
        <w:t>rs. Talkspace LLC is party to various Management Services Agreements (“MSAs”) with TPN as well the PC entities as part of this transition. The Company believes the transition to a structure where it operates under various MSAs with professional association</w:t>
      </w:r>
      <w:r>
        <w:rPr>
          <w:sz w:val="20"/>
          <w:szCs w:val="20"/>
        </w:rPr>
        <w:t>s and professional corporations authorized by state law to contract with affiliated professionals to delivery teletherapy services to its members, helps ensure the Company is able to comply with all applicable regulatory requirements, including the corpora</w:t>
      </w:r>
      <w:r>
        <w:rPr>
          <w:sz w:val="20"/>
          <w:szCs w:val="20"/>
        </w:rPr>
        <w:t>te practice of medicine and fee-splitting laws, that are necessarily implicated by engaging in telehealth care that can only be delivered by physicians. The Company is continuing to transition its current agreements with its clients, members and other busi</w:t>
      </w:r>
      <w:r>
        <w:rPr>
          <w:sz w:val="20"/>
          <w:szCs w:val="20"/>
        </w:rPr>
        <w:t>ness partners to TPN or the PC entities, where applicable</w:t>
      </w:r>
      <w:r>
        <w:rPr>
          <w:sz w:val="20"/>
          <w:szCs w:val="20"/>
        </w:rPr>
        <w:t>.</w:t>
      </w:r>
    </w:p>
    <w:p w14:paraId="1B34DDD7" w14:textId="77777777" w:rsidR="00000000" w:rsidRDefault="00EF48A2">
      <w:pPr>
        <w:pStyle w:val="a3"/>
        <w:spacing w:before="180" w:beforeAutospacing="0" w:after="0" w:afterAutospacing="0"/>
        <w:jc w:val="both"/>
        <w:divId w:val="501120957"/>
        <w:rPr>
          <w:sz w:val="20"/>
          <w:szCs w:val="20"/>
        </w:rPr>
      </w:pPr>
      <w:r>
        <w:rPr>
          <w:sz w:val="20"/>
          <w:szCs w:val="20"/>
        </w:rPr>
        <w:t>Pursuant to the MSAs, Talkspace LLC is the managing entity (the “Manager”) and provides management and administrative resources and services essential to the operations of TPN and the PC entities a</w:t>
      </w:r>
      <w:r>
        <w:rPr>
          <w:sz w:val="20"/>
          <w:szCs w:val="20"/>
        </w:rPr>
        <w:t>nd receives a management fee for these services and reimbursement of expenses incurred. TPN and the PC entities in turn have the obligation under the MSAs to engage all licensed physicians and other health professionals to provide behavioral healthcare ser</w:t>
      </w:r>
      <w:r>
        <w:rPr>
          <w:sz w:val="20"/>
          <w:szCs w:val="20"/>
        </w:rPr>
        <w:t>vices to the Company's members. In addition, to the extent that TPN or the PC entities lack sufficient funds to meet their obligations, the Manager may, at its sole discretion, advance funds to TPN or the PC entities to cover these obligations. Such advanc</w:t>
      </w:r>
      <w:r>
        <w:rPr>
          <w:sz w:val="20"/>
          <w:szCs w:val="20"/>
        </w:rPr>
        <w:t>es would be considered loans mad</w:t>
      </w:r>
      <w:r>
        <w:rPr>
          <w:sz w:val="20"/>
          <w:szCs w:val="20"/>
        </w:rPr>
        <w:t>e</w:t>
      </w:r>
      <w:r>
        <w:rPr>
          <w:sz w:val="20"/>
          <w:szCs w:val="20"/>
        </w:rPr>
        <w:t xml:space="preserve"> </w:t>
      </w:r>
    </w:p>
    <w:p w14:paraId="562F316F" w14:textId="77777777" w:rsidR="00000000" w:rsidRDefault="00EF48A2">
      <w:pPr>
        <w:pStyle w:val="a3"/>
        <w:spacing w:before="0" w:beforeAutospacing="0" w:after="0" w:afterAutospacing="0"/>
        <w:jc w:val="center"/>
        <w:divId w:val="501120957"/>
        <w:rPr>
          <w:sz w:val="20"/>
          <w:szCs w:val="20"/>
        </w:rPr>
      </w:pPr>
      <w:r>
        <w:rPr>
          <w:sz w:val="20"/>
          <w:szCs w:val="20"/>
        </w:rPr>
        <w:t>7</w:t>
      </w:r>
      <w:r>
        <w:rPr>
          <w:sz w:val="20"/>
          <w:szCs w:val="20"/>
        </w:rPr>
        <w:t>8</w:t>
      </w:r>
    </w:p>
    <w:p w14:paraId="6B884F3B" w14:textId="77777777" w:rsidR="00000000" w:rsidRDefault="00EF48A2">
      <w:pPr>
        <w:divId w:val="501120957"/>
        <w:rPr>
          <w:rFonts w:eastAsia="Times New Roman"/>
          <w:sz w:val="20"/>
          <w:szCs w:val="20"/>
        </w:rPr>
      </w:pPr>
      <w:r>
        <w:rPr>
          <w:rFonts w:eastAsia="Times New Roman"/>
          <w:sz w:val="20"/>
          <w:szCs w:val="20"/>
        </w:rPr>
        <w:pict w14:anchorId="082554B4">
          <v:rect id="_x0000_i1105" style="width:0;height:1.5pt" o:hralign="center" o:hrstd="t" o:hr="t" fillcolor="#a0a0a0" stroked="f"/>
        </w:pict>
      </w:r>
    </w:p>
    <w:p w14:paraId="67547774" w14:textId="77777777" w:rsidR="00000000" w:rsidRDefault="00EF48A2">
      <w:pPr>
        <w:pStyle w:val="a3"/>
        <w:spacing w:before="0" w:beforeAutospacing="0" w:after="0" w:afterAutospacing="0"/>
        <w:divId w:val="501120957"/>
        <w:rPr>
          <w:sz w:val="20"/>
          <w:szCs w:val="20"/>
        </w:rPr>
      </w:pPr>
      <w:hyperlink w:anchor="toc_page" w:history="1">
        <w:r>
          <w:rPr>
            <w:rStyle w:val="a4"/>
            <w:sz w:val="20"/>
            <w:szCs w:val="20"/>
          </w:rPr>
          <w:t>Table of Content</w:t>
        </w:r>
        <w:r>
          <w:rPr>
            <w:rStyle w:val="a4"/>
            <w:sz w:val="20"/>
            <w:szCs w:val="20"/>
          </w:rPr>
          <w:t>s</w:t>
        </w:r>
      </w:hyperlink>
    </w:p>
    <w:p w14:paraId="2E778212" w14:textId="77777777" w:rsidR="00000000" w:rsidRDefault="00EF48A2">
      <w:pPr>
        <w:pStyle w:val="a3"/>
        <w:spacing w:before="180" w:beforeAutospacing="0" w:after="0" w:afterAutospacing="0"/>
        <w:jc w:val="both"/>
        <w:divId w:val="501120957"/>
        <w:rPr>
          <w:sz w:val="20"/>
          <w:szCs w:val="20"/>
        </w:rPr>
      </w:pPr>
      <w:r>
        <w:rPr>
          <w:sz w:val="20"/>
          <w:szCs w:val="20"/>
        </w:rPr>
        <w:t>by Manager and should be repaid as per the terms of the management agreement. No such advances have been made by the Manager to TPN o</w:t>
      </w:r>
      <w:r>
        <w:rPr>
          <w:sz w:val="20"/>
          <w:szCs w:val="20"/>
        </w:rPr>
        <w:t>r the PC entities for years ended December 31, 2022 and 2021</w:t>
      </w:r>
      <w:r>
        <w:rPr>
          <w:sz w:val="20"/>
          <w:szCs w:val="20"/>
        </w:rPr>
        <w:t>.</w:t>
      </w:r>
    </w:p>
    <w:p w14:paraId="39C5B9B7" w14:textId="77777777" w:rsidR="00000000" w:rsidRDefault="00EF48A2">
      <w:pPr>
        <w:pStyle w:val="a3"/>
        <w:spacing w:before="180" w:beforeAutospacing="0" w:after="0" w:afterAutospacing="0"/>
        <w:jc w:val="both"/>
        <w:divId w:val="501120957"/>
        <w:rPr>
          <w:sz w:val="20"/>
          <w:szCs w:val="20"/>
        </w:rPr>
      </w:pPr>
      <w:r>
        <w:rPr>
          <w:sz w:val="20"/>
          <w:szCs w:val="20"/>
        </w:rPr>
        <w:t>The Company holds a variable interest in TPN and the PC entities. The Company evaluates whether an entity in which it has a variable interest is considered a VIE. VIEs are generally entities tha</w:t>
      </w:r>
      <w:r>
        <w:rPr>
          <w:sz w:val="20"/>
          <w:szCs w:val="20"/>
        </w:rPr>
        <w:t>t have either a total equity investment that is insufficient to permit the entity to finance its activities without additional subordinated financial support, or whose equity investors lack the characteristics of a controlling financial interest (i.e., abi</w:t>
      </w:r>
      <w:r>
        <w:rPr>
          <w:sz w:val="20"/>
          <w:szCs w:val="20"/>
        </w:rPr>
        <w:t>lity to direct the activities of the entity that most significantly impact the entity's economic performance through voting rights and a right to receive the expected residual returns of the entity or an obligation to absorb the expected losses of the enti</w:t>
      </w:r>
      <w:r>
        <w:rPr>
          <w:sz w:val="20"/>
          <w:szCs w:val="20"/>
        </w:rPr>
        <w:t>ty).</w:t>
      </w:r>
      <w:r>
        <w:rPr>
          <w:sz w:val="20"/>
          <w:szCs w:val="20"/>
        </w:rPr>
        <w:t xml:space="preserve"> </w:t>
      </w:r>
    </w:p>
    <w:p w14:paraId="71727EC3" w14:textId="77777777" w:rsidR="00000000" w:rsidRDefault="00EF48A2">
      <w:pPr>
        <w:pStyle w:val="a3"/>
        <w:spacing w:before="180" w:beforeAutospacing="0" w:after="0" w:afterAutospacing="0"/>
        <w:jc w:val="both"/>
        <w:divId w:val="501120957"/>
        <w:rPr>
          <w:sz w:val="20"/>
          <w:szCs w:val="20"/>
        </w:rPr>
      </w:pPr>
      <w:r>
        <w:rPr>
          <w:sz w:val="20"/>
          <w:szCs w:val="20"/>
        </w:rPr>
        <w:t>Under the provisions of ASC 810, “Consolidation”, an entity consolidates a VIE if it is determined to be the primary beneficiary of the VIE. The primary beneficiary has both (a) the power to direct the activities of the VIE that most significantly im</w:t>
      </w:r>
      <w:r>
        <w:rPr>
          <w:sz w:val="20"/>
          <w:szCs w:val="20"/>
        </w:rPr>
        <w:t>pact the entity’s economic performance, and (b) the obligation to absorb losses or the right to receive benefits from the VIE that could potentially be significant to the VIE</w:t>
      </w:r>
      <w:r>
        <w:rPr>
          <w:sz w:val="20"/>
          <w:szCs w:val="20"/>
        </w:rPr>
        <w:t>.</w:t>
      </w:r>
    </w:p>
    <w:p w14:paraId="50760483" w14:textId="77777777" w:rsidR="00000000" w:rsidRDefault="00EF48A2">
      <w:pPr>
        <w:pStyle w:val="a3"/>
        <w:spacing w:before="180" w:beforeAutospacing="0" w:after="0" w:afterAutospacing="0"/>
        <w:jc w:val="both"/>
        <w:divId w:val="501120957"/>
        <w:rPr>
          <w:sz w:val="20"/>
          <w:szCs w:val="20"/>
        </w:rPr>
      </w:pPr>
      <w:r>
        <w:rPr>
          <w:sz w:val="20"/>
          <w:szCs w:val="20"/>
        </w:rPr>
        <w:t>The Company determined that TPN and the PC entities are VIEs. The Company also d</w:t>
      </w:r>
      <w:r>
        <w:rPr>
          <w:sz w:val="20"/>
          <w:szCs w:val="20"/>
        </w:rPr>
        <w:t>etermined that it is able to direct the activities of TPN and the PC entities that most significantly impact their economic performance and it funds and absorbs all losses of these VIEs resulting in the Company being the primary beneficiary of these entiti</w:t>
      </w:r>
      <w:r>
        <w:rPr>
          <w:sz w:val="20"/>
          <w:szCs w:val="20"/>
        </w:rPr>
        <w:t>es. Accordingly, the Company consolidates these VIEs</w:t>
      </w:r>
      <w:r>
        <w:rPr>
          <w:sz w:val="20"/>
          <w:szCs w:val="20"/>
        </w:rPr>
        <w:t>.</w:t>
      </w:r>
    </w:p>
    <w:p w14:paraId="5A97F13A" w14:textId="77777777" w:rsidR="00000000" w:rsidRDefault="00EF48A2">
      <w:pPr>
        <w:pStyle w:val="a3"/>
        <w:spacing w:before="180" w:beforeAutospacing="0" w:after="180" w:afterAutospacing="0"/>
        <w:jc w:val="both"/>
        <w:divId w:val="1669867854"/>
        <w:rPr>
          <w:sz w:val="20"/>
          <w:szCs w:val="20"/>
        </w:rPr>
      </w:pPr>
      <w:r>
        <w:rPr>
          <w:sz w:val="20"/>
          <w:szCs w:val="20"/>
        </w:rPr>
        <w:t>The following table details the assets and liabilities of the VIEs as of December 31, 2022</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50"/>
        <w:gridCol w:w="188"/>
        <w:gridCol w:w="161"/>
        <w:gridCol w:w="1882"/>
        <w:gridCol w:w="125"/>
      </w:tblGrid>
      <w:tr w:rsidR="00000000" w14:paraId="0D4ACDB3" w14:textId="77777777">
        <w:trPr>
          <w:divId w:val="1669867854"/>
          <w:tblCellSpacing w:w="15" w:type="dxa"/>
        </w:trPr>
        <w:tc>
          <w:tcPr>
            <w:tcW w:w="3643" w:type="pct"/>
            <w:vAlign w:val="center"/>
            <w:hideMark/>
          </w:tcPr>
          <w:p w14:paraId="120E1D88" w14:textId="77777777" w:rsidR="00000000" w:rsidRDefault="00EF48A2">
            <w:pPr>
              <w:rPr>
                <w:sz w:val="20"/>
                <w:szCs w:val="20"/>
              </w:rPr>
            </w:pPr>
          </w:p>
        </w:tc>
        <w:tc>
          <w:tcPr>
            <w:tcW w:w="107" w:type="pct"/>
            <w:vAlign w:val="center"/>
            <w:hideMark/>
          </w:tcPr>
          <w:p w14:paraId="428FAD9E" w14:textId="77777777" w:rsidR="00000000" w:rsidRDefault="00EF48A2">
            <w:pPr>
              <w:rPr>
                <w:rFonts w:eastAsia="Times New Roman"/>
                <w:sz w:val="20"/>
                <w:szCs w:val="20"/>
              </w:rPr>
            </w:pPr>
          </w:p>
        </w:tc>
        <w:tc>
          <w:tcPr>
            <w:tcW w:w="50" w:type="pct"/>
            <w:vAlign w:val="center"/>
            <w:hideMark/>
          </w:tcPr>
          <w:p w14:paraId="1D045D9E" w14:textId="77777777" w:rsidR="00000000" w:rsidRDefault="00EF48A2">
            <w:pPr>
              <w:rPr>
                <w:rFonts w:eastAsia="Times New Roman"/>
                <w:sz w:val="20"/>
                <w:szCs w:val="20"/>
              </w:rPr>
            </w:pPr>
          </w:p>
        </w:tc>
        <w:tc>
          <w:tcPr>
            <w:tcW w:w="1149" w:type="pct"/>
            <w:vAlign w:val="center"/>
            <w:hideMark/>
          </w:tcPr>
          <w:p w14:paraId="4B883A5C" w14:textId="77777777" w:rsidR="00000000" w:rsidRDefault="00EF48A2">
            <w:pPr>
              <w:rPr>
                <w:rFonts w:eastAsia="Times New Roman"/>
                <w:sz w:val="20"/>
                <w:szCs w:val="20"/>
              </w:rPr>
            </w:pPr>
          </w:p>
        </w:tc>
        <w:tc>
          <w:tcPr>
            <w:tcW w:w="50" w:type="pct"/>
            <w:vAlign w:val="center"/>
            <w:hideMark/>
          </w:tcPr>
          <w:p w14:paraId="4433AB98" w14:textId="77777777" w:rsidR="00000000" w:rsidRDefault="00EF48A2">
            <w:pPr>
              <w:rPr>
                <w:rFonts w:eastAsia="Times New Roman"/>
                <w:sz w:val="20"/>
                <w:szCs w:val="20"/>
              </w:rPr>
            </w:pPr>
          </w:p>
        </w:tc>
      </w:tr>
      <w:tr w:rsidR="00000000" w14:paraId="6286179A" w14:textId="77777777">
        <w:trPr>
          <w:divId w:val="1669867854"/>
          <w:trHeight w:val="160"/>
          <w:tblCellSpacing w:w="15" w:type="dxa"/>
        </w:trPr>
        <w:tc>
          <w:tcPr>
            <w:tcW w:w="0" w:type="auto"/>
            <w:vAlign w:val="bottom"/>
            <w:hideMark/>
          </w:tcPr>
          <w:p w14:paraId="09C1F996" w14:textId="77777777" w:rsidR="00000000" w:rsidRDefault="00EF48A2">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7190B3C0" w14:textId="77777777" w:rsidR="00000000" w:rsidRDefault="00EF48A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74CB8CC" w14:textId="77777777" w:rsidR="00000000" w:rsidRDefault="00EF48A2">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14:paraId="355A4141"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B2D156A" w14:textId="77777777">
        <w:trPr>
          <w:divId w:val="1669867854"/>
          <w:trHeight w:val="200"/>
          <w:tblCellSpacing w:w="15" w:type="dxa"/>
        </w:trPr>
        <w:tc>
          <w:tcPr>
            <w:tcW w:w="0" w:type="auto"/>
            <w:hideMark/>
          </w:tcPr>
          <w:p w14:paraId="4D44699A" w14:textId="77777777" w:rsidR="00000000" w:rsidRDefault="00EF48A2">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14:paraId="5494200C"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519E43CD"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3F9BE857" w14:textId="77777777" w:rsidR="00000000" w:rsidRDefault="00EF48A2">
            <w:pPr>
              <w:pStyle w:val="a3"/>
              <w:spacing w:before="0" w:beforeAutospacing="0" w:after="0" w:afterAutospacing="0"/>
              <w:jc w:val="right"/>
              <w:rPr>
                <w:sz w:val="20"/>
                <w:szCs w:val="20"/>
              </w:rPr>
            </w:pPr>
            <w:r>
              <w:rPr>
                <w:sz w:val="20"/>
                <w:szCs w:val="20"/>
              </w:rPr>
              <w:t> </w:t>
            </w:r>
          </w:p>
        </w:tc>
      </w:tr>
      <w:tr w:rsidR="00000000" w14:paraId="5A3A893F" w14:textId="77777777">
        <w:trPr>
          <w:divId w:val="1669867854"/>
          <w:trHeight w:val="200"/>
          <w:tblCellSpacing w:w="15" w:type="dxa"/>
        </w:trPr>
        <w:tc>
          <w:tcPr>
            <w:tcW w:w="0" w:type="auto"/>
            <w:hideMark/>
          </w:tcPr>
          <w:p w14:paraId="6B9B6C1B" w14:textId="77777777" w:rsidR="00000000" w:rsidRDefault="00EF48A2">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14:paraId="448F378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552094A"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773B2E27" w14:textId="77777777" w:rsidR="00000000" w:rsidRDefault="00EF48A2">
            <w:pPr>
              <w:pStyle w:val="a3"/>
              <w:spacing w:before="0" w:beforeAutospacing="0" w:after="0" w:afterAutospacing="0"/>
              <w:jc w:val="right"/>
              <w:rPr>
                <w:sz w:val="20"/>
                <w:szCs w:val="20"/>
              </w:rPr>
            </w:pPr>
            <w:r>
              <w:rPr>
                <w:sz w:val="20"/>
                <w:szCs w:val="20"/>
              </w:rPr>
              <w:t>88</w:t>
            </w:r>
            <w:r>
              <w:rPr>
                <w:sz w:val="20"/>
                <w:szCs w:val="20"/>
              </w:rPr>
              <w:t>3</w:t>
            </w:r>
          </w:p>
        </w:tc>
        <w:tc>
          <w:tcPr>
            <w:tcW w:w="0" w:type="auto"/>
            <w:noWrap/>
            <w:vAlign w:val="bottom"/>
            <w:hideMark/>
          </w:tcPr>
          <w:p w14:paraId="346678F1" w14:textId="77777777" w:rsidR="00000000" w:rsidRDefault="00EF48A2">
            <w:pPr>
              <w:pStyle w:val="a3"/>
              <w:spacing w:before="0" w:beforeAutospacing="0" w:after="0" w:afterAutospacing="0"/>
              <w:rPr>
                <w:sz w:val="20"/>
                <w:szCs w:val="20"/>
              </w:rPr>
            </w:pPr>
            <w:r>
              <w:rPr>
                <w:sz w:val="20"/>
                <w:szCs w:val="20"/>
              </w:rPr>
              <w:t> </w:t>
            </w:r>
          </w:p>
        </w:tc>
      </w:tr>
      <w:tr w:rsidR="00000000" w14:paraId="525ABC58" w14:textId="77777777">
        <w:trPr>
          <w:divId w:val="1669867854"/>
          <w:trHeight w:val="200"/>
          <w:tblCellSpacing w:w="15" w:type="dxa"/>
        </w:trPr>
        <w:tc>
          <w:tcPr>
            <w:tcW w:w="0" w:type="auto"/>
            <w:hideMark/>
          </w:tcPr>
          <w:p w14:paraId="12B00B9C" w14:textId="77777777" w:rsidR="00000000" w:rsidRDefault="00EF48A2">
            <w:pPr>
              <w:pStyle w:val="a3"/>
              <w:spacing w:before="0" w:beforeAutospacing="0" w:after="0" w:afterAutospacing="0"/>
              <w:rPr>
                <w:sz w:val="20"/>
                <w:szCs w:val="20"/>
              </w:rPr>
            </w:pPr>
            <w:r>
              <w:rPr>
                <w:sz w:val="20"/>
                <w:szCs w:val="20"/>
              </w:rPr>
              <w:t>Accounts receivabl</w:t>
            </w:r>
            <w:r>
              <w:rPr>
                <w:sz w:val="20"/>
                <w:szCs w:val="20"/>
              </w:rPr>
              <w:t>e</w:t>
            </w:r>
          </w:p>
        </w:tc>
        <w:tc>
          <w:tcPr>
            <w:tcW w:w="0" w:type="auto"/>
            <w:vAlign w:val="bottom"/>
            <w:hideMark/>
          </w:tcPr>
          <w:p w14:paraId="06BA0B5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2A5277EE"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38CF9F15" w14:textId="77777777" w:rsidR="00000000" w:rsidRDefault="00EF48A2">
            <w:pPr>
              <w:pStyle w:val="a3"/>
              <w:spacing w:before="0" w:beforeAutospacing="0" w:after="0" w:afterAutospacing="0"/>
              <w:jc w:val="right"/>
              <w:rPr>
                <w:sz w:val="20"/>
                <w:szCs w:val="20"/>
              </w:rPr>
            </w:pPr>
            <w:r>
              <w:rPr>
                <w:sz w:val="20"/>
                <w:szCs w:val="20"/>
              </w:rPr>
              <w:t>1,71</w:t>
            </w:r>
            <w:r>
              <w:rPr>
                <w:sz w:val="20"/>
                <w:szCs w:val="20"/>
              </w:rPr>
              <w:t>6</w:t>
            </w:r>
          </w:p>
        </w:tc>
        <w:tc>
          <w:tcPr>
            <w:tcW w:w="0" w:type="auto"/>
            <w:noWrap/>
            <w:vAlign w:val="bottom"/>
            <w:hideMark/>
          </w:tcPr>
          <w:p w14:paraId="1016B642" w14:textId="77777777" w:rsidR="00000000" w:rsidRDefault="00EF48A2">
            <w:pPr>
              <w:pStyle w:val="a3"/>
              <w:spacing w:before="0" w:beforeAutospacing="0" w:after="0" w:afterAutospacing="0"/>
              <w:rPr>
                <w:sz w:val="20"/>
                <w:szCs w:val="20"/>
              </w:rPr>
            </w:pPr>
            <w:r>
              <w:rPr>
                <w:sz w:val="20"/>
                <w:szCs w:val="20"/>
              </w:rPr>
              <w:t> </w:t>
            </w:r>
          </w:p>
        </w:tc>
      </w:tr>
      <w:tr w:rsidR="00000000" w14:paraId="5E225EFC" w14:textId="77777777">
        <w:trPr>
          <w:divId w:val="1669867854"/>
          <w:trHeight w:val="200"/>
          <w:tblCellSpacing w:w="15" w:type="dxa"/>
        </w:trPr>
        <w:tc>
          <w:tcPr>
            <w:tcW w:w="0" w:type="auto"/>
            <w:hideMark/>
          </w:tcPr>
          <w:p w14:paraId="7DF868E9" w14:textId="77777777" w:rsidR="00000000" w:rsidRDefault="00EF48A2">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3DDDB6E5"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7DBE3997"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B46439" w14:textId="77777777" w:rsidR="00000000" w:rsidRDefault="00EF48A2">
            <w:pPr>
              <w:pStyle w:val="a3"/>
              <w:spacing w:before="0" w:beforeAutospacing="0" w:after="0" w:afterAutospacing="0"/>
              <w:jc w:val="right"/>
              <w:rPr>
                <w:sz w:val="20"/>
                <w:szCs w:val="20"/>
              </w:rPr>
            </w:pPr>
            <w:r>
              <w:rPr>
                <w:sz w:val="20"/>
                <w:szCs w:val="20"/>
              </w:rPr>
              <w:t>4,81</w:t>
            </w:r>
            <w:r>
              <w:rPr>
                <w:sz w:val="20"/>
                <w:szCs w:val="20"/>
              </w:rPr>
              <w:t>3</w:t>
            </w:r>
          </w:p>
        </w:tc>
        <w:tc>
          <w:tcPr>
            <w:tcW w:w="0" w:type="auto"/>
            <w:noWrap/>
            <w:vAlign w:val="bottom"/>
            <w:hideMark/>
          </w:tcPr>
          <w:p w14:paraId="747596AD" w14:textId="77777777" w:rsidR="00000000" w:rsidRDefault="00EF48A2">
            <w:pPr>
              <w:pStyle w:val="a3"/>
              <w:spacing w:before="0" w:beforeAutospacing="0" w:after="0" w:afterAutospacing="0"/>
              <w:rPr>
                <w:sz w:val="20"/>
                <w:szCs w:val="20"/>
              </w:rPr>
            </w:pPr>
            <w:r>
              <w:rPr>
                <w:sz w:val="20"/>
                <w:szCs w:val="20"/>
              </w:rPr>
              <w:t> </w:t>
            </w:r>
          </w:p>
        </w:tc>
      </w:tr>
      <w:tr w:rsidR="00000000" w14:paraId="64F12359" w14:textId="77777777">
        <w:trPr>
          <w:divId w:val="1669867854"/>
          <w:trHeight w:val="200"/>
          <w:tblCellSpacing w:w="15" w:type="dxa"/>
        </w:trPr>
        <w:tc>
          <w:tcPr>
            <w:tcW w:w="0" w:type="auto"/>
            <w:vAlign w:val="bottom"/>
            <w:hideMark/>
          </w:tcPr>
          <w:p w14:paraId="67A2D85D" w14:textId="77777777" w:rsidR="00000000" w:rsidRDefault="00EF48A2">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14:paraId="6D535A6C"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31C0DDFE"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4F111D62" w14:textId="77777777" w:rsidR="00000000" w:rsidRDefault="00EF48A2">
            <w:pPr>
              <w:pStyle w:val="a3"/>
              <w:spacing w:before="0" w:beforeAutospacing="0" w:after="0" w:afterAutospacing="0"/>
              <w:jc w:val="right"/>
              <w:rPr>
                <w:sz w:val="20"/>
                <w:szCs w:val="20"/>
              </w:rPr>
            </w:pPr>
            <w:r>
              <w:rPr>
                <w:sz w:val="20"/>
                <w:szCs w:val="20"/>
              </w:rPr>
              <w:t>7,41</w:t>
            </w:r>
            <w:r>
              <w:rPr>
                <w:sz w:val="20"/>
                <w:szCs w:val="20"/>
              </w:rPr>
              <w:t>2</w:t>
            </w:r>
          </w:p>
        </w:tc>
        <w:tc>
          <w:tcPr>
            <w:tcW w:w="0" w:type="auto"/>
            <w:noWrap/>
            <w:vAlign w:val="bottom"/>
            <w:hideMark/>
          </w:tcPr>
          <w:p w14:paraId="5EA116B6" w14:textId="77777777" w:rsidR="00000000" w:rsidRDefault="00EF48A2">
            <w:pPr>
              <w:pStyle w:val="a3"/>
              <w:spacing w:before="0" w:beforeAutospacing="0" w:after="0" w:afterAutospacing="0"/>
              <w:rPr>
                <w:sz w:val="20"/>
                <w:szCs w:val="20"/>
              </w:rPr>
            </w:pPr>
            <w:r>
              <w:rPr>
                <w:sz w:val="20"/>
                <w:szCs w:val="20"/>
              </w:rPr>
              <w:t> </w:t>
            </w:r>
          </w:p>
        </w:tc>
      </w:tr>
      <w:tr w:rsidR="00000000" w14:paraId="50DD6E16" w14:textId="77777777">
        <w:trPr>
          <w:divId w:val="1669867854"/>
          <w:trHeight w:val="200"/>
          <w:tblCellSpacing w:w="15" w:type="dxa"/>
        </w:trPr>
        <w:tc>
          <w:tcPr>
            <w:tcW w:w="0" w:type="auto"/>
            <w:hideMark/>
          </w:tcPr>
          <w:p w14:paraId="11E6085E" w14:textId="77777777" w:rsidR="00000000" w:rsidRDefault="00EF48A2">
            <w:pPr>
              <w:pStyle w:val="a3"/>
              <w:spacing w:before="0" w:beforeAutospacing="0" w:after="0" w:afterAutospacing="0"/>
              <w:rPr>
                <w:sz w:val="20"/>
                <w:szCs w:val="20"/>
              </w:rPr>
            </w:pPr>
            <w:r>
              <w:rPr>
                <w:sz w:val="20"/>
                <w:szCs w:val="20"/>
              </w:rPr>
              <w:t>LIABILITIE</w:t>
            </w:r>
            <w:r>
              <w:rPr>
                <w:sz w:val="20"/>
                <w:szCs w:val="20"/>
              </w:rPr>
              <w:t>S</w:t>
            </w:r>
          </w:p>
        </w:tc>
        <w:tc>
          <w:tcPr>
            <w:tcW w:w="0" w:type="auto"/>
            <w:vAlign w:val="bottom"/>
            <w:hideMark/>
          </w:tcPr>
          <w:p w14:paraId="40DBBB5D" w14:textId="77777777" w:rsidR="00000000" w:rsidRDefault="00EF48A2">
            <w:pPr>
              <w:pStyle w:val="a3"/>
              <w:spacing w:before="0" w:beforeAutospacing="0" w:after="0" w:afterAutospacing="0"/>
              <w:rPr>
                <w:sz w:val="20"/>
                <w:szCs w:val="20"/>
              </w:rPr>
            </w:pPr>
            <w:r>
              <w:rPr>
                <w:sz w:val="20"/>
                <w:szCs w:val="20"/>
              </w:rPr>
              <w:t> </w:t>
            </w:r>
          </w:p>
        </w:tc>
        <w:tc>
          <w:tcPr>
            <w:tcW w:w="0" w:type="auto"/>
            <w:gridSpan w:val="2"/>
            <w:vAlign w:val="bottom"/>
            <w:hideMark/>
          </w:tcPr>
          <w:p w14:paraId="48AFC7FC" w14:textId="77777777" w:rsidR="00000000" w:rsidRDefault="00EF48A2">
            <w:pPr>
              <w:pStyle w:val="a3"/>
              <w:spacing w:before="0" w:beforeAutospacing="0" w:after="0" w:afterAutospacing="0"/>
              <w:jc w:val="right"/>
              <w:rPr>
                <w:sz w:val="20"/>
                <w:szCs w:val="20"/>
              </w:rPr>
            </w:pPr>
            <w:r>
              <w:rPr>
                <w:sz w:val="20"/>
                <w:szCs w:val="20"/>
              </w:rPr>
              <w:t> </w:t>
            </w:r>
          </w:p>
        </w:tc>
        <w:tc>
          <w:tcPr>
            <w:tcW w:w="0" w:type="auto"/>
            <w:vAlign w:val="bottom"/>
            <w:hideMark/>
          </w:tcPr>
          <w:p w14:paraId="1A97E94A" w14:textId="77777777" w:rsidR="00000000" w:rsidRDefault="00EF48A2">
            <w:pPr>
              <w:pStyle w:val="a3"/>
              <w:spacing w:before="0" w:beforeAutospacing="0" w:after="0" w:afterAutospacing="0"/>
              <w:jc w:val="right"/>
              <w:rPr>
                <w:sz w:val="20"/>
                <w:szCs w:val="20"/>
              </w:rPr>
            </w:pPr>
            <w:r>
              <w:rPr>
                <w:sz w:val="20"/>
                <w:szCs w:val="20"/>
              </w:rPr>
              <w:t> </w:t>
            </w:r>
          </w:p>
        </w:tc>
      </w:tr>
      <w:tr w:rsidR="00000000" w14:paraId="7A58E59A" w14:textId="77777777">
        <w:trPr>
          <w:divId w:val="1669867854"/>
          <w:trHeight w:val="200"/>
          <w:tblCellSpacing w:w="15" w:type="dxa"/>
        </w:trPr>
        <w:tc>
          <w:tcPr>
            <w:tcW w:w="0" w:type="auto"/>
            <w:hideMark/>
          </w:tcPr>
          <w:p w14:paraId="59D5104A" w14:textId="77777777" w:rsidR="00000000" w:rsidRDefault="00EF48A2">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14:paraId="5DDEDFF7"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4A42F4F3" w14:textId="77777777" w:rsidR="00000000" w:rsidRDefault="00EF48A2">
            <w:pPr>
              <w:pStyle w:val="a3"/>
              <w:spacing w:before="0" w:beforeAutospacing="0" w:after="0" w:afterAutospacing="0"/>
              <w:rPr>
                <w:sz w:val="20"/>
                <w:szCs w:val="20"/>
              </w:rPr>
            </w:pPr>
            <w:r>
              <w:rPr>
                <w:sz w:val="20"/>
                <w:szCs w:val="20"/>
              </w:rPr>
              <w:t> </w:t>
            </w:r>
          </w:p>
        </w:tc>
        <w:tc>
          <w:tcPr>
            <w:tcW w:w="0" w:type="auto"/>
            <w:vAlign w:val="bottom"/>
            <w:hideMark/>
          </w:tcPr>
          <w:p w14:paraId="05BBEF8A" w14:textId="77777777" w:rsidR="00000000" w:rsidRDefault="00EF48A2">
            <w:pPr>
              <w:pStyle w:val="a3"/>
              <w:spacing w:before="0" w:beforeAutospacing="0" w:after="0" w:afterAutospacing="0"/>
              <w:jc w:val="right"/>
              <w:rPr>
                <w:sz w:val="20"/>
                <w:szCs w:val="20"/>
              </w:rPr>
            </w:pPr>
            <w:r>
              <w:rPr>
                <w:sz w:val="20"/>
                <w:szCs w:val="20"/>
              </w:rPr>
              <w:t>3,75</w:t>
            </w:r>
            <w:r>
              <w:rPr>
                <w:sz w:val="20"/>
                <w:szCs w:val="20"/>
              </w:rPr>
              <w:t>8</w:t>
            </w:r>
          </w:p>
        </w:tc>
        <w:tc>
          <w:tcPr>
            <w:tcW w:w="0" w:type="auto"/>
            <w:noWrap/>
            <w:vAlign w:val="bottom"/>
            <w:hideMark/>
          </w:tcPr>
          <w:p w14:paraId="15E12BC5" w14:textId="77777777" w:rsidR="00000000" w:rsidRDefault="00EF48A2">
            <w:pPr>
              <w:pStyle w:val="a3"/>
              <w:spacing w:before="0" w:beforeAutospacing="0" w:after="0" w:afterAutospacing="0"/>
              <w:rPr>
                <w:sz w:val="20"/>
                <w:szCs w:val="20"/>
              </w:rPr>
            </w:pPr>
            <w:r>
              <w:rPr>
                <w:sz w:val="20"/>
                <w:szCs w:val="20"/>
              </w:rPr>
              <w:t> </w:t>
            </w:r>
          </w:p>
        </w:tc>
      </w:tr>
      <w:tr w:rsidR="00000000" w14:paraId="5C0CC4A5" w14:textId="77777777">
        <w:trPr>
          <w:divId w:val="1669867854"/>
          <w:trHeight w:val="200"/>
          <w:tblCellSpacing w:w="15" w:type="dxa"/>
        </w:trPr>
        <w:tc>
          <w:tcPr>
            <w:tcW w:w="0" w:type="auto"/>
            <w:vAlign w:val="bottom"/>
            <w:hideMark/>
          </w:tcPr>
          <w:p w14:paraId="3F6D3843" w14:textId="77777777" w:rsidR="00000000" w:rsidRDefault="00EF48A2">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14:paraId="5C142ACB" w14:textId="77777777" w:rsidR="00000000" w:rsidRDefault="00EF48A2">
            <w:pPr>
              <w:pStyle w:val="a3"/>
              <w:spacing w:before="0" w:beforeAutospacing="0" w:after="0" w:afterAutospacing="0"/>
              <w:rPr>
                <w:sz w:val="20"/>
                <w:szCs w:val="20"/>
              </w:rPr>
            </w:pPr>
            <w:r>
              <w:rPr>
                <w:sz w:val="20"/>
                <w:szCs w:val="20"/>
              </w:rPr>
              <w:t> </w:t>
            </w:r>
          </w:p>
        </w:tc>
        <w:tc>
          <w:tcPr>
            <w:tcW w:w="0" w:type="auto"/>
            <w:noWrap/>
            <w:vAlign w:val="bottom"/>
            <w:hideMark/>
          </w:tcPr>
          <w:p w14:paraId="0CBAA064" w14:textId="77777777" w:rsidR="00000000" w:rsidRDefault="00EF48A2">
            <w:pPr>
              <w:pStyle w:val="a3"/>
              <w:spacing w:before="0" w:beforeAutospacing="0" w:after="0" w:afterAutospacing="0"/>
              <w:rPr>
                <w:sz w:val="20"/>
                <w:szCs w:val="20"/>
              </w:rPr>
            </w:pPr>
            <w:r>
              <w:rPr>
                <w:sz w:val="20"/>
                <w:szCs w:val="20"/>
              </w:rPr>
              <w:t>$</w:t>
            </w:r>
          </w:p>
        </w:tc>
        <w:tc>
          <w:tcPr>
            <w:tcW w:w="0" w:type="auto"/>
            <w:vAlign w:val="bottom"/>
            <w:hideMark/>
          </w:tcPr>
          <w:p w14:paraId="6EA7CC5B" w14:textId="77777777" w:rsidR="00000000" w:rsidRDefault="00EF48A2">
            <w:pPr>
              <w:pStyle w:val="a3"/>
              <w:spacing w:before="0" w:beforeAutospacing="0" w:after="0" w:afterAutospacing="0"/>
              <w:jc w:val="right"/>
              <w:rPr>
                <w:sz w:val="20"/>
                <w:szCs w:val="20"/>
              </w:rPr>
            </w:pPr>
            <w:r>
              <w:rPr>
                <w:sz w:val="20"/>
                <w:szCs w:val="20"/>
              </w:rPr>
              <w:t>3,75</w:t>
            </w:r>
            <w:r>
              <w:rPr>
                <w:sz w:val="20"/>
                <w:szCs w:val="20"/>
              </w:rPr>
              <w:t>8</w:t>
            </w:r>
          </w:p>
        </w:tc>
        <w:tc>
          <w:tcPr>
            <w:tcW w:w="0" w:type="auto"/>
            <w:noWrap/>
            <w:vAlign w:val="bottom"/>
            <w:hideMark/>
          </w:tcPr>
          <w:p w14:paraId="3657A975" w14:textId="77777777" w:rsidR="00000000" w:rsidRDefault="00EF48A2">
            <w:pPr>
              <w:pStyle w:val="a3"/>
              <w:spacing w:before="0" w:beforeAutospacing="0" w:after="0" w:afterAutospacing="0"/>
              <w:rPr>
                <w:sz w:val="20"/>
                <w:szCs w:val="20"/>
              </w:rPr>
            </w:pPr>
            <w:r>
              <w:rPr>
                <w:sz w:val="20"/>
                <w:szCs w:val="20"/>
              </w:rPr>
              <w:t> </w:t>
            </w:r>
          </w:p>
        </w:tc>
      </w:tr>
    </w:tbl>
    <w:p w14:paraId="70E0D14B" w14:textId="77777777" w:rsidR="00000000" w:rsidRDefault="00EF48A2">
      <w:pPr>
        <w:pStyle w:val="a3"/>
        <w:spacing w:before="0" w:beforeAutospacing="0" w:after="0" w:afterAutospacing="0"/>
        <w:rPr>
          <w:sz w:val="20"/>
          <w:szCs w:val="20"/>
        </w:rPr>
      </w:pPr>
      <w:r>
        <w:rPr>
          <w:sz w:val="20"/>
          <w:szCs w:val="20"/>
        </w:rPr>
        <w:t> </w:t>
      </w:r>
    </w:p>
    <w:p w14:paraId="7BCA24E6" w14:textId="77777777" w:rsidR="00000000" w:rsidRDefault="00EF48A2">
      <w:pPr>
        <w:pStyle w:val="a3"/>
        <w:spacing w:before="0" w:beforeAutospacing="0" w:after="0" w:afterAutospacing="0"/>
        <w:rPr>
          <w:sz w:val="20"/>
          <w:szCs w:val="20"/>
        </w:rPr>
      </w:pPr>
      <w:r>
        <w:rPr>
          <w:sz w:val="20"/>
          <w:szCs w:val="20"/>
        </w:rPr>
        <w:t> </w:t>
      </w:r>
    </w:p>
    <w:p w14:paraId="14F69919" w14:textId="77777777" w:rsidR="00000000" w:rsidRDefault="00EF48A2">
      <w:pPr>
        <w:pStyle w:val="a3"/>
        <w:spacing w:before="0" w:beforeAutospacing="0" w:after="0" w:afterAutospacing="0"/>
        <w:jc w:val="center"/>
        <w:rPr>
          <w:sz w:val="20"/>
          <w:szCs w:val="20"/>
        </w:rPr>
      </w:pPr>
      <w:r>
        <w:rPr>
          <w:sz w:val="20"/>
          <w:szCs w:val="20"/>
        </w:rPr>
        <w:t>7</w:t>
      </w:r>
      <w:r>
        <w:rPr>
          <w:sz w:val="20"/>
          <w:szCs w:val="20"/>
        </w:rPr>
        <w:t>9</w:t>
      </w:r>
    </w:p>
    <w:p w14:paraId="535C0C34" w14:textId="77777777" w:rsidR="00000000" w:rsidRDefault="00EF48A2">
      <w:pPr>
        <w:rPr>
          <w:rFonts w:eastAsia="Times New Roman"/>
        </w:rPr>
      </w:pPr>
      <w:r>
        <w:rPr>
          <w:rFonts w:eastAsia="Times New Roman"/>
        </w:rPr>
        <w:pict w14:anchorId="1B2F3BA9">
          <v:rect id="_x0000_i1106" style="width:0;height:1.5pt" o:hralign="center" o:hrstd="t" o:hr="t" fillcolor="#a0a0a0" stroked="f"/>
        </w:pict>
      </w:r>
    </w:p>
    <w:p w14:paraId="0D4D029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E69B45F" w14:textId="77777777" w:rsidR="00000000" w:rsidRDefault="00EF48A2">
      <w:pPr>
        <w:pStyle w:val="a3"/>
        <w:spacing w:before="0" w:beforeAutospacing="0" w:after="0" w:afterAutospacing="0"/>
        <w:rPr>
          <w:sz w:val="20"/>
          <w:szCs w:val="20"/>
        </w:rPr>
      </w:pPr>
      <w:r>
        <w:rPr>
          <w:sz w:val="20"/>
          <w:szCs w:val="20"/>
        </w:rPr>
        <w:t> </w:t>
      </w:r>
    </w:p>
    <w:p w14:paraId="183985F8" w14:textId="77777777" w:rsidR="00000000" w:rsidRDefault="00EF48A2">
      <w:pPr>
        <w:pStyle w:val="a3"/>
        <w:spacing w:before="0" w:beforeAutospacing="0" w:after="0" w:afterAutospacing="0"/>
        <w:rPr>
          <w:sz w:val="20"/>
          <w:szCs w:val="20"/>
        </w:rPr>
      </w:pPr>
      <w:r>
        <w:rPr>
          <w:b/>
          <w:bCs/>
          <w:sz w:val="20"/>
          <w:szCs w:val="20"/>
        </w:rPr>
        <w:t>I</w:t>
      </w:r>
      <w:r>
        <w:rPr>
          <w:b/>
          <w:bCs/>
          <w:sz w:val="20"/>
          <w:szCs w:val="20"/>
        </w:rPr>
        <w:t>t</w:t>
      </w:r>
      <w:r>
        <w:rPr>
          <w:b/>
          <w:bCs/>
          <w:sz w:val="20"/>
          <w:szCs w:val="20"/>
        </w:rPr>
        <w:t>em 9. CHANGES IN AND DISAGREEMENTS WITH ACCOUNTANTS ON ACCOUNTING AND FINANCIAL DISCLOSUR</w:t>
      </w:r>
      <w:r>
        <w:rPr>
          <w:b/>
          <w:bCs/>
          <w:sz w:val="20"/>
          <w:szCs w:val="20"/>
        </w:rPr>
        <w:t>E</w:t>
      </w:r>
    </w:p>
    <w:p w14:paraId="71D52C52" w14:textId="77777777" w:rsidR="00000000" w:rsidRDefault="00EF48A2">
      <w:pPr>
        <w:pStyle w:val="a3"/>
        <w:spacing w:before="120" w:beforeAutospacing="0" w:after="0" w:afterAutospacing="0"/>
        <w:jc w:val="both"/>
        <w:rPr>
          <w:sz w:val="20"/>
          <w:szCs w:val="20"/>
        </w:rPr>
      </w:pPr>
      <w:r>
        <w:rPr>
          <w:sz w:val="20"/>
          <w:szCs w:val="20"/>
        </w:rPr>
        <w:t>None</w:t>
      </w:r>
      <w:r>
        <w:rPr>
          <w:sz w:val="20"/>
          <w:szCs w:val="20"/>
        </w:rPr>
        <w:t>.</w:t>
      </w:r>
    </w:p>
    <w:p w14:paraId="1A122C98"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tem 9A. CONTROLS AND PROCEDURE</w:t>
      </w:r>
      <w:r>
        <w:rPr>
          <w:b/>
          <w:bCs/>
          <w:sz w:val="20"/>
          <w:szCs w:val="20"/>
        </w:rPr>
        <w:t>S</w:t>
      </w:r>
    </w:p>
    <w:p w14:paraId="46457EC9" w14:textId="77777777" w:rsidR="00000000" w:rsidRDefault="00EF48A2">
      <w:pPr>
        <w:pStyle w:val="a3"/>
        <w:spacing w:before="0" w:beforeAutospacing="0" w:after="0" w:afterAutospacing="0"/>
        <w:rPr>
          <w:sz w:val="20"/>
          <w:szCs w:val="20"/>
        </w:rPr>
      </w:pPr>
      <w:r>
        <w:rPr>
          <w:sz w:val="20"/>
          <w:szCs w:val="20"/>
        </w:rPr>
        <w:t> </w:t>
      </w:r>
    </w:p>
    <w:p w14:paraId="731DCE5E" w14:textId="77777777" w:rsidR="00000000" w:rsidRDefault="00EF48A2">
      <w:pPr>
        <w:pStyle w:val="a3"/>
        <w:spacing w:before="0" w:beforeAutospacing="0" w:after="0" w:afterAutospacing="0"/>
        <w:rPr>
          <w:sz w:val="20"/>
          <w:szCs w:val="20"/>
        </w:rPr>
      </w:pPr>
      <w:r>
        <w:rPr>
          <w:b/>
          <w:bCs/>
          <w:sz w:val="20"/>
          <w:szCs w:val="20"/>
        </w:rPr>
        <w:t>EVALUATION OF DISCLOSURE CONTROLS AND PROCEDURE</w:t>
      </w:r>
      <w:r>
        <w:rPr>
          <w:b/>
          <w:bCs/>
          <w:sz w:val="20"/>
          <w:szCs w:val="20"/>
        </w:rPr>
        <w:t>S</w:t>
      </w:r>
    </w:p>
    <w:p w14:paraId="5982D4D2" w14:textId="77777777" w:rsidR="00000000" w:rsidRDefault="00EF48A2">
      <w:pPr>
        <w:pStyle w:val="a3"/>
        <w:spacing w:before="180" w:beforeAutospacing="0" w:after="0" w:afterAutospacing="0"/>
        <w:jc w:val="both"/>
        <w:rPr>
          <w:sz w:val="20"/>
          <w:szCs w:val="20"/>
        </w:rPr>
      </w:pPr>
      <w:r>
        <w:rPr>
          <w:sz w:val="20"/>
          <w:szCs w:val="20"/>
        </w:rPr>
        <w:t>In connection with the preparation of this report, an evaluation was carried out by certain members of Company management, with the participation of the Chief Executive Officer and our Chief Financial Office</w:t>
      </w:r>
      <w:r>
        <w:rPr>
          <w:sz w:val="20"/>
          <w:szCs w:val="20"/>
        </w:rPr>
        <w:t>r of the effectiveness of the Company’s disclosure controls and procedures (as defined in Securities and Exchange Commission’s (“SEC”) Rules 13a-15(e) and 15d-15(e) under the Securities Exchange Act of 1934, as amended (“Exchange Act”)), as of December 31,</w:t>
      </w:r>
      <w:r>
        <w:rPr>
          <w:sz w:val="20"/>
          <w:szCs w:val="20"/>
        </w:rPr>
        <w:t xml:space="preserve"> 2022. Disclosure controls and procedures are designed to ensure that information required to be disclosed in reports filed or submitted under the Exchange Act is recorded, processed, summarized, and reported within the time periods specified in the SEC’s </w:t>
      </w:r>
      <w:r>
        <w:rPr>
          <w:sz w:val="20"/>
          <w:szCs w:val="20"/>
        </w:rPr>
        <w:t>rules and forms, and that such information is accumulated and communicated to management, including the Chief Executive Officer and the Chief Financial Officer, to allow timely decisions regarding required disclosures</w:t>
      </w:r>
      <w:r>
        <w:rPr>
          <w:sz w:val="20"/>
          <w:szCs w:val="20"/>
        </w:rPr>
        <w:t>.</w:t>
      </w:r>
    </w:p>
    <w:p w14:paraId="0B2B730E" w14:textId="77777777" w:rsidR="00000000" w:rsidRDefault="00EF48A2">
      <w:pPr>
        <w:pStyle w:val="a3"/>
        <w:spacing w:before="180" w:beforeAutospacing="0" w:after="0" w:afterAutospacing="0"/>
        <w:jc w:val="both"/>
        <w:rPr>
          <w:sz w:val="20"/>
          <w:szCs w:val="20"/>
        </w:rPr>
      </w:pPr>
      <w:r>
        <w:rPr>
          <w:sz w:val="20"/>
          <w:szCs w:val="20"/>
        </w:rPr>
        <w:t>Although management has made signific</w:t>
      </w:r>
      <w:r>
        <w:rPr>
          <w:sz w:val="20"/>
          <w:szCs w:val="20"/>
        </w:rPr>
        <w:t xml:space="preserve">ant progress in the design and implementation of IT and business process controls, management concluded that the Company’s disclosure controls and procedures were not effective as of December 31, 2022, due to the material weakness in internal control over </w:t>
      </w:r>
      <w:r>
        <w:rPr>
          <w:sz w:val="20"/>
          <w:szCs w:val="20"/>
        </w:rPr>
        <w:t>financial reporting described below. Notwithstanding the results of this evaluation, management believes that the consolidated financial statements in this Annual Report on Form 10-K present, in all material aspects, the company’s financial condition as re</w:t>
      </w:r>
      <w:r>
        <w:rPr>
          <w:sz w:val="20"/>
          <w:szCs w:val="20"/>
        </w:rPr>
        <w:t>ported, in conformity with U.S. Generally Accepted Accounting Principles (“US GAAP”)</w:t>
      </w:r>
      <w:r>
        <w:rPr>
          <w:sz w:val="20"/>
          <w:szCs w:val="20"/>
        </w:rPr>
        <w:t>.</w:t>
      </w:r>
    </w:p>
    <w:p w14:paraId="1CE98FBE" w14:textId="77777777" w:rsidR="00000000" w:rsidRDefault="00EF48A2">
      <w:pPr>
        <w:pStyle w:val="a3"/>
        <w:spacing w:before="240" w:beforeAutospacing="0" w:after="0" w:afterAutospacing="0"/>
        <w:rPr>
          <w:sz w:val="20"/>
          <w:szCs w:val="20"/>
        </w:rPr>
      </w:pPr>
      <w:r>
        <w:rPr>
          <w:b/>
          <w:bCs/>
          <w:sz w:val="20"/>
          <w:szCs w:val="20"/>
        </w:rPr>
        <w:t>MANAGEMENT’S REPORT ON INTERNAL CONTROL OVER FINANCIAL REPORTIN</w:t>
      </w:r>
      <w:r>
        <w:rPr>
          <w:b/>
          <w:bCs/>
          <w:sz w:val="20"/>
          <w:szCs w:val="20"/>
        </w:rPr>
        <w:t>G</w:t>
      </w:r>
    </w:p>
    <w:p w14:paraId="473C3394" w14:textId="77777777" w:rsidR="00000000" w:rsidRDefault="00EF48A2">
      <w:pPr>
        <w:pStyle w:val="a3"/>
        <w:spacing w:before="180" w:beforeAutospacing="0" w:after="0" w:afterAutospacing="0"/>
        <w:jc w:val="both"/>
        <w:rPr>
          <w:sz w:val="20"/>
          <w:szCs w:val="20"/>
        </w:rPr>
      </w:pPr>
      <w:r>
        <w:rPr>
          <w:sz w:val="20"/>
          <w:szCs w:val="20"/>
        </w:rPr>
        <w:t xml:space="preserve">Management of the Company is responsible for establishing and maintaining adequate internal control over </w:t>
      </w:r>
      <w:r>
        <w:rPr>
          <w:sz w:val="20"/>
          <w:szCs w:val="20"/>
        </w:rPr>
        <w:t>financial reporting as defined in Rules 13a-15(f) and 15d-15(f) under the Exchange Act. Our internal control over financial reporting is designed to provide reasonable assurance regarding the reliability of financial reporting and the preparation of financ</w:t>
      </w:r>
      <w:r>
        <w:rPr>
          <w:sz w:val="20"/>
          <w:szCs w:val="20"/>
        </w:rPr>
        <w:t>ial statements for external purposes in accordance with GAAP and includes those policies and procedures that: (1) pertain to the maintenance of records that in reasonable detail accurately and fairly reflect our transactions and the dispositions of our ass</w:t>
      </w:r>
      <w:r>
        <w:rPr>
          <w:sz w:val="20"/>
          <w:szCs w:val="20"/>
        </w:rPr>
        <w:t>ets; (2) provide reasonable assurance that our transactions are recorded as necessary to permit preparation of financial statements in accordance with generally accepted accounting principles and that our receipts and expenditures are being made only in ac</w:t>
      </w:r>
      <w:r>
        <w:rPr>
          <w:sz w:val="20"/>
          <w:szCs w:val="20"/>
        </w:rPr>
        <w:t>cordance with appropriate authorizations; and (3) provide reasonable assurance regarding prevention or timely detection of unauthorized acquisition, use or disposition of our assets that could have a material effect on our consolidated financial statements</w:t>
      </w:r>
      <w:r>
        <w:rPr>
          <w:sz w:val="20"/>
          <w:szCs w:val="20"/>
        </w:rPr>
        <w:t>.</w:t>
      </w:r>
    </w:p>
    <w:p w14:paraId="6B93A083" w14:textId="77777777" w:rsidR="00000000" w:rsidRDefault="00EF48A2">
      <w:pPr>
        <w:pStyle w:val="a3"/>
        <w:spacing w:before="18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w:t>
      </w:r>
      <w:r>
        <w:rPr>
          <w:sz w:val="20"/>
          <w:szCs w:val="20"/>
        </w:rPr>
        <w:t>ause of changes in conditions, or that the degree of compliance with the policies or procedures may deteriorate</w:t>
      </w:r>
      <w:r>
        <w:rPr>
          <w:sz w:val="20"/>
          <w:szCs w:val="20"/>
        </w:rPr>
        <w:t>.</w:t>
      </w:r>
    </w:p>
    <w:p w14:paraId="1981A313" w14:textId="77777777" w:rsidR="00000000" w:rsidRDefault="00EF48A2">
      <w:pPr>
        <w:pStyle w:val="a3"/>
        <w:spacing w:before="180" w:beforeAutospacing="0" w:after="0" w:afterAutospacing="0"/>
        <w:jc w:val="both"/>
        <w:rPr>
          <w:sz w:val="20"/>
          <w:szCs w:val="20"/>
        </w:rPr>
      </w:pPr>
      <w:r>
        <w:rPr>
          <w:sz w:val="20"/>
          <w:szCs w:val="20"/>
        </w:rPr>
        <w:t>Under the supervision of and with the participation of our management, including our Chief Executive Officer and Chief Financial Officer, we as</w:t>
      </w:r>
      <w:r>
        <w:rPr>
          <w:sz w:val="20"/>
          <w:szCs w:val="20"/>
        </w:rPr>
        <w:t>sessed the effectiveness of our internal control over financial reporting as of December 31, 2022, using the criteria set forth by the Committee of Sponsoring Organizations of the Treadway Commission (“COSO”) in</w:t>
      </w:r>
      <w:r>
        <w:rPr>
          <w:sz w:val="20"/>
          <w:szCs w:val="20"/>
        </w:rPr>
        <w:t xml:space="preserve"> </w:t>
      </w:r>
      <w:r>
        <w:rPr>
          <w:i/>
          <w:iCs/>
          <w:sz w:val="20"/>
          <w:szCs w:val="20"/>
        </w:rPr>
        <w:t>Internal Control—Integrated Framework (2013</w:t>
      </w:r>
      <w:r>
        <w:rPr>
          <w:i/>
          <w:iCs/>
          <w:sz w:val="20"/>
          <w:szCs w:val="20"/>
        </w:rPr>
        <w:t>)</w:t>
      </w:r>
      <w:r>
        <w:rPr>
          <w:sz w:val="20"/>
          <w:szCs w:val="20"/>
        </w:rPr>
        <w:t>.</w:t>
      </w:r>
    </w:p>
    <w:p w14:paraId="1D59CF85" w14:textId="77777777" w:rsidR="00000000" w:rsidRDefault="00EF48A2">
      <w:pPr>
        <w:pStyle w:val="a3"/>
        <w:spacing w:before="180" w:beforeAutospacing="0" w:after="0" w:afterAutospacing="0"/>
        <w:jc w:val="both"/>
        <w:rPr>
          <w:sz w:val="20"/>
          <w:szCs w:val="20"/>
        </w:rPr>
      </w:pPr>
      <w:r>
        <w:rPr>
          <w:sz w:val="20"/>
          <w:szCs w:val="20"/>
        </w:rPr>
        <w:t>A material weakness is a deficiency, or a combinations of deficiencies, within the meaning of Public Company Accounting Oversight Board (“PCAOB”) Clarified Audit Standard No. 2201:</w:t>
      </w:r>
      <w:r>
        <w:rPr>
          <w:sz w:val="20"/>
          <w:szCs w:val="20"/>
        </w:rPr>
        <w:t xml:space="preserve"> </w:t>
      </w:r>
      <w:r>
        <w:rPr>
          <w:i/>
          <w:iCs/>
          <w:sz w:val="20"/>
          <w:szCs w:val="20"/>
        </w:rPr>
        <w:t xml:space="preserve">An audit of internal control over financial reporting that is integrated </w:t>
      </w:r>
      <w:r>
        <w:rPr>
          <w:i/>
          <w:iCs/>
          <w:sz w:val="20"/>
          <w:szCs w:val="20"/>
        </w:rPr>
        <w:t>with an audit of financial statement</w:t>
      </w:r>
      <w:r>
        <w:rPr>
          <w:i/>
          <w:iCs/>
          <w:sz w:val="20"/>
          <w:szCs w:val="20"/>
        </w:rPr>
        <w:t>s</w:t>
      </w:r>
      <w:r>
        <w:rPr>
          <w:sz w:val="20"/>
          <w:szCs w:val="20"/>
        </w:rPr>
        <w:t>, such that there is a reasonable possibility that a material misstatement of our annual or interim financial statements will not be prevented or detected on a timely basis</w:t>
      </w:r>
      <w:r>
        <w:rPr>
          <w:sz w:val="20"/>
          <w:szCs w:val="20"/>
        </w:rPr>
        <w:t>.</w:t>
      </w:r>
    </w:p>
    <w:p w14:paraId="197ADCF6" w14:textId="77777777" w:rsidR="00000000" w:rsidRDefault="00EF48A2">
      <w:pPr>
        <w:pStyle w:val="a3"/>
        <w:spacing w:before="180" w:beforeAutospacing="0" w:after="0" w:afterAutospacing="0"/>
        <w:jc w:val="both"/>
        <w:rPr>
          <w:sz w:val="20"/>
          <w:szCs w:val="20"/>
        </w:rPr>
      </w:pPr>
      <w:r>
        <w:rPr>
          <w:sz w:val="20"/>
          <w:szCs w:val="20"/>
        </w:rPr>
        <w:t>As of December 31, 2022, management has ident</w:t>
      </w:r>
      <w:r>
        <w:rPr>
          <w:sz w:val="20"/>
          <w:szCs w:val="20"/>
        </w:rPr>
        <w:t>ified the following material weaknesses in internal controls</w:t>
      </w:r>
      <w:r>
        <w:rPr>
          <w:sz w:val="20"/>
          <w:szCs w:val="20"/>
        </w:rPr>
        <w:t>:</w:t>
      </w:r>
    </w:p>
    <w:p w14:paraId="197B9353" w14:textId="77777777" w:rsidR="00000000" w:rsidRDefault="00EF48A2">
      <w:pPr>
        <w:jc w:val="both"/>
        <w:divId w:val="1795177192"/>
        <w:rPr>
          <w:rFonts w:eastAsia="Times New Roman"/>
        </w:rPr>
      </w:pPr>
      <w:r>
        <w:rPr>
          <w:rFonts w:eastAsia="Times New Roman"/>
          <w:sz w:val="20"/>
          <w:szCs w:val="20"/>
        </w:rPr>
        <w:t>a</w:t>
      </w:r>
      <w:r>
        <w:rPr>
          <w:rFonts w:eastAsia="Times New Roman"/>
          <w:sz w:val="20"/>
          <w:szCs w:val="20"/>
        </w:rPr>
        <w:t>)</w:t>
      </w:r>
    </w:p>
    <w:p w14:paraId="34CF9558" w14:textId="77777777" w:rsidR="00000000" w:rsidRDefault="00EF48A2">
      <w:pPr>
        <w:jc w:val="both"/>
        <w:divId w:val="373769270"/>
        <w:rPr>
          <w:rFonts w:eastAsia="Times New Roman"/>
        </w:rPr>
      </w:pPr>
      <w:r>
        <w:rPr>
          <w:rFonts w:eastAsia="Times New Roman"/>
          <w:sz w:val="20"/>
          <w:szCs w:val="20"/>
        </w:rPr>
        <w:t>Management was able to complete the design and establish effective information technology general controls (ITGCs) for the majority of tested ITGCs; however, some ineffective ITGC controls ex</w:t>
      </w:r>
      <w:r>
        <w:rPr>
          <w:rFonts w:eastAsia="Times New Roman"/>
          <w:sz w:val="20"/>
          <w:szCs w:val="20"/>
        </w:rPr>
        <w:t>isted at December 31, 2022. As a result, business process controls (automated and IT-dependent manual controls) that are dependent on the</w:t>
      </w:r>
      <w:r>
        <w:rPr>
          <w:rFonts w:eastAsia="Times New Roman"/>
          <w:sz w:val="20"/>
          <w:szCs w:val="20"/>
        </w:rPr>
        <w:t xml:space="preserve"> </w:t>
      </w:r>
    </w:p>
    <w:p w14:paraId="1AA121AB"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0</w:t>
      </w:r>
    </w:p>
    <w:p w14:paraId="329568A6" w14:textId="77777777" w:rsidR="00000000" w:rsidRDefault="00EF48A2">
      <w:pPr>
        <w:rPr>
          <w:rFonts w:eastAsia="Times New Roman"/>
        </w:rPr>
      </w:pPr>
      <w:r>
        <w:rPr>
          <w:rFonts w:eastAsia="Times New Roman"/>
        </w:rPr>
        <w:pict w14:anchorId="7E1073B2">
          <v:rect id="_x0000_i1107" style="width:0;height:1.5pt" o:hralign="center" o:hrstd="t" o:hr="t" fillcolor="#a0a0a0" stroked="f"/>
        </w:pict>
      </w:r>
    </w:p>
    <w:p w14:paraId="28DC85BE"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F0390E8" w14:textId="77777777" w:rsidR="00000000" w:rsidRDefault="00EF48A2">
      <w:pPr>
        <w:jc w:val="both"/>
        <w:divId w:val="1702591435"/>
        <w:rPr>
          <w:rFonts w:eastAsia="Times New Roman"/>
        </w:rPr>
      </w:pPr>
      <w:r>
        <w:rPr>
          <w:rFonts w:eastAsia="Times New Roman"/>
          <w:sz w:val="20"/>
          <w:szCs w:val="20"/>
        </w:rPr>
        <w:t>ineffective ITGCs, or that us</w:t>
      </w:r>
      <w:r>
        <w:rPr>
          <w:rFonts w:eastAsia="Times New Roman"/>
          <w:sz w:val="20"/>
          <w:szCs w:val="20"/>
        </w:rPr>
        <w:t>e data produced from systems impacted by the ineffective ITGCs were deemed ineffective at December 31 2022; an</w:t>
      </w:r>
      <w:r>
        <w:rPr>
          <w:rFonts w:eastAsia="Times New Roman"/>
          <w:sz w:val="20"/>
          <w:szCs w:val="20"/>
        </w:rPr>
        <w:t>d</w:t>
      </w:r>
      <w:r>
        <w:rPr>
          <w:rFonts w:eastAsia="Times New Roman"/>
          <w:sz w:val="20"/>
          <w:szCs w:val="20"/>
        </w:rPr>
        <w:t xml:space="preserve"> </w:t>
      </w:r>
    </w:p>
    <w:p w14:paraId="36DAE7AD" w14:textId="77777777" w:rsidR="00000000" w:rsidRDefault="00EF48A2">
      <w:pPr>
        <w:jc w:val="both"/>
        <w:divId w:val="746852821"/>
        <w:rPr>
          <w:rFonts w:eastAsia="Times New Roman"/>
        </w:rPr>
      </w:pPr>
      <w:r>
        <w:rPr>
          <w:rFonts w:eastAsia="Times New Roman"/>
          <w:sz w:val="20"/>
          <w:szCs w:val="20"/>
        </w:rPr>
        <w:t>b</w:t>
      </w:r>
      <w:r>
        <w:rPr>
          <w:rFonts w:eastAsia="Times New Roman"/>
          <w:sz w:val="20"/>
          <w:szCs w:val="20"/>
        </w:rPr>
        <w:t>)</w:t>
      </w:r>
    </w:p>
    <w:p w14:paraId="06F6B80F" w14:textId="77777777" w:rsidR="00000000" w:rsidRDefault="00EF48A2">
      <w:pPr>
        <w:jc w:val="both"/>
        <w:divId w:val="1664888876"/>
        <w:rPr>
          <w:rFonts w:eastAsia="Times New Roman"/>
        </w:rPr>
      </w:pPr>
      <w:r>
        <w:rPr>
          <w:rFonts w:eastAsia="Times New Roman"/>
          <w:sz w:val="20"/>
          <w:szCs w:val="20"/>
        </w:rPr>
        <w:t>Management did not have an adequate process in place to monitor and provide oversight over the completion of its testing and assessment of t</w:t>
      </w:r>
      <w:r>
        <w:rPr>
          <w:rFonts w:eastAsia="Times New Roman"/>
          <w:sz w:val="20"/>
          <w:szCs w:val="20"/>
        </w:rPr>
        <w:t>he design and operating effectiveness of internal control over financial reporting in a timely manner.</w:t>
      </w:r>
      <w:r>
        <w:rPr>
          <w:rFonts w:eastAsia="Times New Roman"/>
          <w:sz w:val="20"/>
          <w:szCs w:val="20"/>
        </w:rPr>
        <w:t xml:space="preserve"> </w:t>
      </w:r>
    </w:p>
    <w:p w14:paraId="41FFD39E" w14:textId="77777777" w:rsidR="00000000" w:rsidRDefault="00EF48A2">
      <w:pPr>
        <w:pStyle w:val="a3"/>
        <w:spacing w:before="180" w:beforeAutospacing="0" w:after="0" w:afterAutospacing="0"/>
        <w:jc w:val="both"/>
        <w:rPr>
          <w:sz w:val="20"/>
          <w:szCs w:val="20"/>
        </w:rPr>
      </w:pPr>
      <w:r>
        <w:rPr>
          <w:sz w:val="20"/>
          <w:szCs w:val="20"/>
        </w:rPr>
        <w:t>As such, management determined that it did not fully implement components of the COSO framework, including elements of the control environment, informat</w:t>
      </w:r>
      <w:r>
        <w:rPr>
          <w:sz w:val="20"/>
          <w:szCs w:val="20"/>
        </w:rPr>
        <w:t xml:space="preserve">ion and communication, control activities and monitoring activities components, relating to: (i) providing sufficient and timely management oversight and ownership over the internal control evaluation process; (ii) hiring and training sufficient personnel </w:t>
      </w:r>
      <w:r>
        <w:rPr>
          <w:sz w:val="20"/>
          <w:szCs w:val="20"/>
        </w:rPr>
        <w:t>to timely support the Company’s internal control objectives; (iii) performing timely monitoring and oversight to ascertain whether the components of internal control are present and functioning effectively</w:t>
      </w:r>
      <w:r>
        <w:rPr>
          <w:sz w:val="20"/>
          <w:szCs w:val="20"/>
        </w:rPr>
        <w:t>.</w:t>
      </w:r>
    </w:p>
    <w:p w14:paraId="0E6628C5" w14:textId="77777777" w:rsidR="00000000" w:rsidRDefault="00EF48A2">
      <w:pPr>
        <w:pStyle w:val="a3"/>
        <w:spacing w:before="180" w:beforeAutospacing="0" w:after="0" w:afterAutospacing="0"/>
        <w:jc w:val="both"/>
        <w:rPr>
          <w:sz w:val="20"/>
          <w:szCs w:val="20"/>
        </w:rPr>
      </w:pPr>
      <w:r>
        <w:rPr>
          <w:sz w:val="20"/>
          <w:szCs w:val="20"/>
        </w:rPr>
        <w:t>These deficiencies aggregated with other business</w:t>
      </w:r>
      <w:r>
        <w:rPr>
          <w:sz w:val="20"/>
          <w:szCs w:val="20"/>
        </w:rPr>
        <w:t xml:space="preserve"> process level control deficiencies could result in material misstatement in the financial statements and therefore constitute a material weakness. Based on this material weakness, the Company’s management concluded that as of December 31, 2022, the Compan</w:t>
      </w:r>
      <w:r>
        <w:rPr>
          <w:sz w:val="20"/>
          <w:szCs w:val="20"/>
        </w:rPr>
        <w:t>y’s internal control over financial reporting was not effective</w:t>
      </w:r>
      <w:r>
        <w:rPr>
          <w:sz w:val="20"/>
          <w:szCs w:val="20"/>
        </w:rPr>
        <w:t>.</w:t>
      </w:r>
    </w:p>
    <w:p w14:paraId="0036D547" w14:textId="77777777" w:rsidR="00000000" w:rsidRDefault="00EF48A2">
      <w:pPr>
        <w:pStyle w:val="a3"/>
        <w:spacing w:before="180" w:beforeAutospacing="0" w:after="0" w:afterAutospacing="0"/>
        <w:jc w:val="both"/>
        <w:rPr>
          <w:sz w:val="20"/>
          <w:szCs w:val="20"/>
        </w:rPr>
      </w:pPr>
      <w:r>
        <w:rPr>
          <w:sz w:val="20"/>
          <w:szCs w:val="20"/>
        </w:rPr>
        <w:t>The Company’s independent registered public accounting firm, Kost Forer Gabbay &amp; Kasierer, A Member of EY Global, has audited the effectiveness of the Company’s internal control over financia</w:t>
      </w:r>
      <w:r>
        <w:rPr>
          <w:sz w:val="20"/>
          <w:szCs w:val="20"/>
        </w:rPr>
        <w:t>l reporting as of December 31, 2022, and has expressed an adverse opinion, which appears in their report above</w:t>
      </w:r>
      <w:r>
        <w:rPr>
          <w:sz w:val="20"/>
          <w:szCs w:val="20"/>
        </w:rPr>
        <w:t>.</w:t>
      </w:r>
    </w:p>
    <w:p w14:paraId="52A0B1C0" w14:textId="77777777" w:rsidR="00000000" w:rsidRDefault="00EF48A2">
      <w:pPr>
        <w:pStyle w:val="a3"/>
        <w:spacing w:before="0" w:beforeAutospacing="0" w:after="0" w:afterAutospacing="0"/>
        <w:jc w:val="both"/>
        <w:rPr>
          <w:sz w:val="20"/>
          <w:szCs w:val="20"/>
        </w:rPr>
      </w:pPr>
      <w:r>
        <w:rPr>
          <w:sz w:val="20"/>
          <w:szCs w:val="20"/>
        </w:rPr>
        <w:t> </w:t>
      </w:r>
    </w:p>
    <w:p w14:paraId="79CFEBFD" w14:textId="77777777" w:rsidR="00000000" w:rsidRDefault="00EF48A2">
      <w:pPr>
        <w:pStyle w:val="a3"/>
        <w:spacing w:before="0" w:beforeAutospacing="0" w:after="0" w:afterAutospacing="0"/>
        <w:jc w:val="both"/>
        <w:rPr>
          <w:sz w:val="20"/>
          <w:szCs w:val="20"/>
        </w:rPr>
      </w:pPr>
      <w:r>
        <w:rPr>
          <w:b/>
          <w:bCs/>
          <w:sz w:val="20"/>
          <w:szCs w:val="20"/>
        </w:rPr>
        <w:t>Remediation Plan for the Material Weaknes</w:t>
      </w:r>
      <w:r>
        <w:rPr>
          <w:b/>
          <w:bCs/>
          <w:sz w:val="20"/>
          <w:szCs w:val="20"/>
        </w:rPr>
        <w:t>s</w:t>
      </w:r>
    </w:p>
    <w:p w14:paraId="389D3DF3" w14:textId="77777777" w:rsidR="00000000" w:rsidRDefault="00EF48A2">
      <w:pPr>
        <w:pStyle w:val="a3"/>
        <w:spacing w:before="180" w:beforeAutospacing="0" w:after="0" w:afterAutospacing="0"/>
        <w:jc w:val="both"/>
        <w:rPr>
          <w:sz w:val="20"/>
          <w:szCs w:val="20"/>
        </w:rPr>
      </w:pPr>
      <w:r>
        <w:rPr>
          <w:sz w:val="20"/>
          <w:szCs w:val="20"/>
        </w:rPr>
        <w:t>Management is committed to the remediation of the material weakness described above, as well as the continued improvement of the Company’s internal control over financial reporting. Management has implemented and continues to implement measures designed to</w:t>
      </w:r>
      <w:r>
        <w:rPr>
          <w:sz w:val="20"/>
          <w:szCs w:val="20"/>
        </w:rPr>
        <w:t xml:space="preserve"> ensure that control deficiencies contributing to the material weakness are remediated, such that these controls are designed, implemented and operating effectively</w:t>
      </w:r>
      <w:r>
        <w:rPr>
          <w:sz w:val="20"/>
          <w:szCs w:val="20"/>
        </w:rPr>
        <w:t>.</w:t>
      </w:r>
    </w:p>
    <w:p w14:paraId="035E62A1" w14:textId="77777777" w:rsidR="00000000" w:rsidRDefault="00EF48A2">
      <w:pPr>
        <w:pStyle w:val="a3"/>
        <w:spacing w:before="180" w:beforeAutospacing="0" w:after="0" w:afterAutospacing="0"/>
        <w:jc w:val="both"/>
        <w:rPr>
          <w:sz w:val="20"/>
          <w:szCs w:val="20"/>
        </w:rPr>
      </w:pPr>
      <w:r>
        <w:rPr>
          <w:sz w:val="20"/>
          <w:szCs w:val="20"/>
        </w:rPr>
        <w:t>As of the date of this Annual Report on Form 10-K, management is re-assessing the design o</w:t>
      </w:r>
      <w:r>
        <w:rPr>
          <w:sz w:val="20"/>
          <w:szCs w:val="20"/>
        </w:rPr>
        <w:t xml:space="preserve">f controls and modifying processes designed to improve our internal control over financial reporting and remediate the control deficiencies that led to the material weaknesses, including but not limited to, (a) hiring additional personnel with appropriate </w:t>
      </w:r>
      <w:r>
        <w:rPr>
          <w:sz w:val="20"/>
          <w:szCs w:val="20"/>
        </w:rPr>
        <w:t>technical skillsets, (b) developing an execution plan and resourcing to test controls and providing timely feedback of any deficiencies noted to complete remediation (c) establishing a training program for the entire organization to support ongoing executi</w:t>
      </w:r>
      <w:r>
        <w:rPr>
          <w:sz w:val="20"/>
          <w:szCs w:val="20"/>
        </w:rPr>
        <w:t>on of internal controls and adherence to control activities (d) actively monitoring corrective actions and providing status reporting to leadership on the progress</w:t>
      </w:r>
      <w:r>
        <w:rPr>
          <w:sz w:val="20"/>
          <w:szCs w:val="20"/>
        </w:rPr>
        <w:t>.</w:t>
      </w:r>
    </w:p>
    <w:p w14:paraId="56FA7BAD" w14:textId="77777777" w:rsidR="00000000" w:rsidRDefault="00EF48A2">
      <w:pPr>
        <w:pStyle w:val="a3"/>
        <w:spacing w:before="180" w:beforeAutospacing="0" w:after="0" w:afterAutospacing="0"/>
        <w:jc w:val="both"/>
        <w:rPr>
          <w:sz w:val="20"/>
          <w:szCs w:val="20"/>
        </w:rPr>
      </w:pPr>
      <w:r>
        <w:rPr>
          <w:sz w:val="20"/>
          <w:szCs w:val="20"/>
        </w:rPr>
        <w:t>We will continue to evaluate and improve the internal controls over financial reporting and</w:t>
      </w:r>
      <w:r>
        <w:rPr>
          <w:sz w:val="20"/>
          <w:szCs w:val="20"/>
        </w:rPr>
        <w:t xml:space="preserve"> take additional measures to address control deficiencies. Management will test and evaluate the implementation of internal controls and revised processes to ascertain whether they are designed and operating effectively to provide reasonable assurance that</w:t>
      </w:r>
      <w:r>
        <w:rPr>
          <w:sz w:val="20"/>
          <w:szCs w:val="20"/>
        </w:rPr>
        <w:t xml:space="preserve"> they will prevent or detect a material error in our financial statements</w:t>
      </w:r>
      <w:r>
        <w:rPr>
          <w:sz w:val="20"/>
          <w:szCs w:val="20"/>
        </w:rPr>
        <w:t>.</w:t>
      </w:r>
    </w:p>
    <w:p w14:paraId="626776BC" w14:textId="77777777" w:rsidR="00000000" w:rsidRDefault="00EF48A2">
      <w:pPr>
        <w:pStyle w:val="a3"/>
        <w:spacing w:before="180" w:beforeAutospacing="0" w:after="0" w:afterAutospacing="0"/>
        <w:jc w:val="both"/>
        <w:rPr>
          <w:sz w:val="20"/>
          <w:szCs w:val="20"/>
        </w:rPr>
      </w:pPr>
      <w:r>
        <w:rPr>
          <w:sz w:val="20"/>
          <w:szCs w:val="20"/>
        </w:rPr>
        <w:t>We believe that once these actions have been completed, it will remediate the material weakness. The material weakness will not be considered remediated, however, until the applicab</w:t>
      </w:r>
      <w:r>
        <w:rPr>
          <w:sz w:val="20"/>
          <w:szCs w:val="20"/>
        </w:rPr>
        <w:t>le controls operate for a sufficient period of time and management has concluded, through testing, that controls are operating effectively</w:t>
      </w:r>
      <w:r>
        <w:rPr>
          <w:sz w:val="20"/>
          <w:szCs w:val="20"/>
        </w:rPr>
        <w:t>.</w:t>
      </w:r>
    </w:p>
    <w:p w14:paraId="3642F0CD" w14:textId="77777777" w:rsidR="00000000" w:rsidRDefault="00EF48A2">
      <w:pPr>
        <w:pStyle w:val="a3"/>
        <w:spacing w:before="0" w:beforeAutospacing="0" w:after="0" w:afterAutospacing="0"/>
        <w:jc w:val="both"/>
        <w:rPr>
          <w:sz w:val="20"/>
          <w:szCs w:val="20"/>
        </w:rPr>
      </w:pPr>
      <w:r>
        <w:rPr>
          <w:sz w:val="20"/>
          <w:szCs w:val="20"/>
        </w:rPr>
        <w:t> </w:t>
      </w:r>
    </w:p>
    <w:p w14:paraId="411CAE88" w14:textId="77777777" w:rsidR="00000000" w:rsidRDefault="00EF48A2">
      <w:pPr>
        <w:pStyle w:val="a3"/>
        <w:spacing w:before="0" w:beforeAutospacing="0" w:after="0" w:afterAutospacing="0"/>
        <w:jc w:val="both"/>
        <w:rPr>
          <w:sz w:val="20"/>
          <w:szCs w:val="20"/>
        </w:rPr>
      </w:pPr>
      <w:r>
        <w:rPr>
          <w:b/>
          <w:bCs/>
          <w:sz w:val="20"/>
          <w:szCs w:val="20"/>
        </w:rPr>
        <w:t>Changes in Internal Control Over Financial Reportin</w:t>
      </w:r>
      <w:r>
        <w:rPr>
          <w:b/>
          <w:bCs/>
          <w:sz w:val="20"/>
          <w:szCs w:val="20"/>
        </w:rPr>
        <w:t>g</w:t>
      </w:r>
    </w:p>
    <w:p w14:paraId="04606AE1" w14:textId="77777777" w:rsidR="00000000" w:rsidRDefault="00EF48A2">
      <w:pPr>
        <w:pStyle w:val="a3"/>
        <w:spacing w:before="180" w:beforeAutospacing="0" w:after="0" w:afterAutospacing="0"/>
        <w:jc w:val="both"/>
        <w:rPr>
          <w:sz w:val="20"/>
          <w:szCs w:val="20"/>
        </w:rPr>
      </w:pPr>
      <w:r>
        <w:rPr>
          <w:sz w:val="20"/>
          <w:szCs w:val="20"/>
        </w:rPr>
        <w:t>We have implemented a new Enterprise Resource Planning (“ERP”</w:t>
      </w:r>
      <w:r>
        <w:rPr>
          <w:sz w:val="20"/>
          <w:szCs w:val="20"/>
        </w:rPr>
        <w:t>) system. Except for the changes in connection with the implementation of the ERP system discussed above, there have been no other changes in our internal control over financial reporting that occurred during the fiscal year ended December 31, 2022 that ha</w:t>
      </w:r>
      <w:r>
        <w:rPr>
          <w:sz w:val="20"/>
          <w:szCs w:val="20"/>
        </w:rPr>
        <w:t>ve materially affected, or are reasonably likely to materially affect, the Company’s internal control over financial reporting</w:t>
      </w:r>
      <w:r>
        <w:rPr>
          <w:sz w:val="20"/>
          <w:szCs w:val="20"/>
        </w:rPr>
        <w:t>.</w:t>
      </w:r>
    </w:p>
    <w:p w14:paraId="01F0FA8E" w14:textId="77777777" w:rsidR="00000000" w:rsidRDefault="00EF48A2">
      <w:pPr>
        <w:pStyle w:val="a3"/>
        <w:spacing w:before="0" w:beforeAutospacing="0" w:after="0" w:afterAutospacing="0"/>
        <w:rPr>
          <w:sz w:val="20"/>
          <w:szCs w:val="20"/>
        </w:rPr>
      </w:pPr>
      <w:r>
        <w:rPr>
          <w:sz w:val="20"/>
          <w:szCs w:val="20"/>
        </w:rPr>
        <w:t> </w:t>
      </w:r>
    </w:p>
    <w:p w14:paraId="14C8D1A3"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1</w:t>
      </w:r>
    </w:p>
    <w:p w14:paraId="771F0898" w14:textId="77777777" w:rsidR="00000000" w:rsidRDefault="00EF48A2">
      <w:pPr>
        <w:rPr>
          <w:rFonts w:eastAsia="Times New Roman"/>
        </w:rPr>
      </w:pPr>
      <w:r>
        <w:rPr>
          <w:rFonts w:eastAsia="Times New Roman"/>
        </w:rPr>
        <w:pict w14:anchorId="5833616F">
          <v:rect id="_x0000_i1108" style="width:0;height:1.5pt" o:hralign="center" o:hrstd="t" o:hr="t" fillcolor="#a0a0a0" stroked="f"/>
        </w:pict>
      </w:r>
    </w:p>
    <w:p w14:paraId="7C99B0C4"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2F1F51A8" w14:textId="77777777" w:rsidR="00000000" w:rsidRDefault="00EF48A2">
      <w:pPr>
        <w:pStyle w:val="a3"/>
        <w:spacing w:before="0" w:beforeAutospacing="0" w:after="0" w:afterAutospacing="0"/>
        <w:rPr>
          <w:sz w:val="20"/>
          <w:szCs w:val="20"/>
        </w:rPr>
      </w:pPr>
      <w:r>
        <w:rPr>
          <w:sz w:val="20"/>
          <w:szCs w:val="20"/>
        </w:rPr>
        <w:t> </w:t>
      </w:r>
    </w:p>
    <w:p w14:paraId="5F8C56A6" w14:textId="77777777" w:rsidR="00000000" w:rsidRDefault="00EF48A2">
      <w:pPr>
        <w:pStyle w:val="a3"/>
        <w:spacing w:before="0" w:beforeAutospacing="0" w:after="0" w:afterAutospacing="0"/>
        <w:rPr>
          <w:sz w:val="20"/>
          <w:szCs w:val="20"/>
        </w:rPr>
      </w:pPr>
      <w:r>
        <w:rPr>
          <w:b/>
          <w:bCs/>
          <w:sz w:val="20"/>
          <w:szCs w:val="20"/>
        </w:rPr>
        <w:t>I</w:t>
      </w:r>
      <w:r>
        <w:rPr>
          <w:b/>
          <w:bCs/>
          <w:sz w:val="20"/>
          <w:szCs w:val="20"/>
        </w:rPr>
        <w:t>t</w:t>
      </w:r>
      <w:r>
        <w:rPr>
          <w:b/>
          <w:bCs/>
          <w:sz w:val="20"/>
          <w:szCs w:val="20"/>
        </w:rPr>
        <w:t>em 9B. OTHER INFORMATIO</w:t>
      </w:r>
      <w:r>
        <w:rPr>
          <w:b/>
          <w:bCs/>
          <w:sz w:val="20"/>
          <w:szCs w:val="20"/>
        </w:rPr>
        <w:t>N</w:t>
      </w:r>
    </w:p>
    <w:p w14:paraId="25E4F61F" w14:textId="77777777" w:rsidR="00000000" w:rsidRDefault="00EF48A2">
      <w:pPr>
        <w:pStyle w:val="a3"/>
        <w:spacing w:before="180" w:beforeAutospacing="0" w:after="0" w:afterAutospacing="0"/>
        <w:jc w:val="both"/>
        <w:rPr>
          <w:sz w:val="20"/>
          <w:szCs w:val="20"/>
        </w:rPr>
      </w:pPr>
      <w:r>
        <w:rPr>
          <w:sz w:val="20"/>
          <w:szCs w:val="20"/>
        </w:rPr>
        <w:t>None</w:t>
      </w:r>
      <w:r>
        <w:rPr>
          <w:sz w:val="20"/>
          <w:szCs w:val="20"/>
        </w:rPr>
        <w:t>.</w:t>
      </w:r>
    </w:p>
    <w:p w14:paraId="5BC2D89B" w14:textId="77777777" w:rsidR="00000000" w:rsidRDefault="00EF48A2">
      <w:pPr>
        <w:pStyle w:val="a3"/>
        <w:spacing w:before="360" w:beforeAutospacing="0" w:after="0" w:afterAutospacing="0"/>
        <w:rPr>
          <w:sz w:val="20"/>
          <w:szCs w:val="20"/>
        </w:rPr>
      </w:pPr>
      <w:r>
        <w:rPr>
          <w:b/>
          <w:bCs/>
          <w:sz w:val="20"/>
          <w:szCs w:val="20"/>
        </w:rPr>
        <w:t>It</w:t>
      </w:r>
      <w:r>
        <w:rPr>
          <w:b/>
          <w:bCs/>
          <w:sz w:val="20"/>
          <w:szCs w:val="20"/>
        </w:rPr>
        <w:t>em 9C. DISCLOSURE REGARDING FOREIGN JURISDICTIONS THAT PREVENT INSPECTION</w:t>
      </w:r>
      <w:r>
        <w:rPr>
          <w:b/>
          <w:bCs/>
          <w:sz w:val="20"/>
          <w:szCs w:val="20"/>
        </w:rPr>
        <w:t>S</w:t>
      </w:r>
    </w:p>
    <w:p w14:paraId="5CFC87E0" w14:textId="77777777" w:rsidR="00000000" w:rsidRDefault="00EF48A2">
      <w:pPr>
        <w:pStyle w:val="a3"/>
        <w:spacing w:before="180" w:beforeAutospacing="0" w:after="0" w:afterAutospacing="0"/>
        <w:jc w:val="both"/>
        <w:rPr>
          <w:sz w:val="20"/>
          <w:szCs w:val="20"/>
        </w:rPr>
      </w:pPr>
      <w:r>
        <w:rPr>
          <w:sz w:val="20"/>
          <w:szCs w:val="20"/>
        </w:rPr>
        <w:t>Not Applicable</w:t>
      </w:r>
      <w:r>
        <w:rPr>
          <w:sz w:val="20"/>
          <w:szCs w:val="20"/>
        </w:rPr>
        <w:t>.</w:t>
      </w:r>
    </w:p>
    <w:p w14:paraId="5EF586D9"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2</w:t>
      </w:r>
    </w:p>
    <w:p w14:paraId="0C4310F2" w14:textId="77777777" w:rsidR="00000000" w:rsidRDefault="00EF48A2">
      <w:pPr>
        <w:rPr>
          <w:rFonts w:eastAsia="Times New Roman"/>
        </w:rPr>
      </w:pPr>
      <w:r>
        <w:rPr>
          <w:rFonts w:eastAsia="Times New Roman"/>
        </w:rPr>
        <w:pict w14:anchorId="462DBD36">
          <v:rect id="_x0000_i1109" style="width:0;height:1.5pt" o:hralign="center" o:hrstd="t" o:hr="t" fillcolor="#a0a0a0" stroked="f"/>
        </w:pict>
      </w:r>
    </w:p>
    <w:p w14:paraId="03EDCCCA"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4D60FB0" w14:textId="77777777" w:rsidR="00000000" w:rsidRDefault="00EF48A2">
      <w:pPr>
        <w:pStyle w:val="a3"/>
        <w:spacing w:before="0" w:beforeAutospacing="0" w:after="0" w:afterAutospacing="0"/>
        <w:jc w:val="center"/>
        <w:rPr>
          <w:sz w:val="20"/>
          <w:szCs w:val="20"/>
        </w:rPr>
      </w:pPr>
      <w:r>
        <w:rPr>
          <w:b/>
          <w:bCs/>
          <w:sz w:val="20"/>
          <w:szCs w:val="20"/>
        </w:rPr>
        <w:t>PART II</w:t>
      </w:r>
      <w:r>
        <w:rPr>
          <w:b/>
          <w:bCs/>
          <w:sz w:val="20"/>
          <w:szCs w:val="20"/>
        </w:rPr>
        <w:t>I</w:t>
      </w:r>
    </w:p>
    <w:p w14:paraId="3324B685"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10. DIRECTORS, EXECUTIVE OFFICERS AND CORPORATE GOVERNANC</w:t>
      </w:r>
      <w:r>
        <w:rPr>
          <w:b/>
          <w:bCs/>
          <w:sz w:val="20"/>
          <w:szCs w:val="20"/>
        </w:rPr>
        <w:t>E</w:t>
      </w:r>
    </w:p>
    <w:p w14:paraId="227ACF28" w14:textId="77777777" w:rsidR="00000000" w:rsidRDefault="00EF48A2">
      <w:pPr>
        <w:pStyle w:val="a3"/>
        <w:spacing w:before="180" w:beforeAutospacing="0" w:after="0" w:afterAutospacing="0"/>
        <w:jc w:val="both"/>
        <w:rPr>
          <w:sz w:val="20"/>
          <w:szCs w:val="20"/>
        </w:rPr>
      </w:pPr>
      <w:r>
        <w:rPr>
          <w:sz w:val="20"/>
          <w:szCs w:val="20"/>
        </w:rPr>
        <w:t>The information required by this item is incorporated by reference to the definitive Proxy Statement for our 2023 Annual Meeting of Stockholders, which will be filed with the SEC no later than 1</w:t>
      </w:r>
      <w:r>
        <w:rPr>
          <w:sz w:val="20"/>
          <w:szCs w:val="20"/>
        </w:rPr>
        <w:t>20 days after December 31, 2022</w:t>
      </w:r>
      <w:r>
        <w:rPr>
          <w:sz w:val="20"/>
          <w:szCs w:val="20"/>
        </w:rPr>
        <w:t>.</w:t>
      </w:r>
    </w:p>
    <w:p w14:paraId="5C69E5E8"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11. EXECUTIVE COMPENSATIO</w:t>
      </w:r>
      <w:r>
        <w:rPr>
          <w:b/>
          <w:bCs/>
          <w:sz w:val="20"/>
          <w:szCs w:val="20"/>
        </w:rPr>
        <w:t>N</w:t>
      </w:r>
    </w:p>
    <w:p w14:paraId="65A5CDD8" w14:textId="77777777" w:rsidR="00000000" w:rsidRDefault="00EF48A2">
      <w:pPr>
        <w:pStyle w:val="a3"/>
        <w:spacing w:before="180" w:beforeAutospacing="0" w:after="0" w:afterAutospacing="0"/>
        <w:jc w:val="both"/>
        <w:rPr>
          <w:sz w:val="20"/>
          <w:szCs w:val="20"/>
        </w:rPr>
      </w:pPr>
      <w:r>
        <w:rPr>
          <w:sz w:val="20"/>
          <w:szCs w:val="20"/>
        </w:rPr>
        <w:t>The information required by this item is incorporated by reference to the definitive Proxy Statement for our 2023 Annual Meeting of Stockholders, which will be filed with the SEC no later than 120 days after December 31, 2022</w:t>
      </w:r>
      <w:r>
        <w:rPr>
          <w:sz w:val="20"/>
          <w:szCs w:val="20"/>
        </w:rPr>
        <w:t>.</w:t>
      </w:r>
    </w:p>
    <w:p w14:paraId="24D6CC22"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12. SECURITY OWNERSHIP O</w:t>
      </w:r>
      <w:r>
        <w:rPr>
          <w:b/>
          <w:bCs/>
          <w:sz w:val="20"/>
          <w:szCs w:val="20"/>
        </w:rPr>
        <w:t>F CERTAIN BENEFICIAL OWNERS AND MANAGEMENT AND RELATED STOCKHOLDER MATTER</w:t>
      </w:r>
      <w:r>
        <w:rPr>
          <w:b/>
          <w:bCs/>
          <w:sz w:val="20"/>
          <w:szCs w:val="20"/>
        </w:rPr>
        <w:t>S</w:t>
      </w:r>
    </w:p>
    <w:p w14:paraId="5F620712" w14:textId="77777777" w:rsidR="00000000" w:rsidRDefault="00EF48A2">
      <w:pPr>
        <w:pStyle w:val="a3"/>
        <w:spacing w:before="180" w:beforeAutospacing="0" w:after="0" w:afterAutospacing="0"/>
        <w:jc w:val="both"/>
        <w:rPr>
          <w:sz w:val="20"/>
          <w:szCs w:val="20"/>
        </w:rPr>
      </w:pPr>
      <w:r>
        <w:rPr>
          <w:sz w:val="20"/>
          <w:szCs w:val="20"/>
        </w:rPr>
        <w:t>The information required by this item is incorporated by reference to the definitive Proxy Statement for our 2023 Annual Meeting of Stockholders, which will be filed with the SEC no</w:t>
      </w:r>
      <w:r>
        <w:rPr>
          <w:sz w:val="20"/>
          <w:szCs w:val="20"/>
        </w:rPr>
        <w:t xml:space="preserve"> later than 120 days after December 31, 2022</w:t>
      </w:r>
      <w:r>
        <w:rPr>
          <w:sz w:val="20"/>
          <w:szCs w:val="20"/>
        </w:rPr>
        <w:t>.</w:t>
      </w:r>
    </w:p>
    <w:p w14:paraId="4EB62BC2"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13. CERTAIN RELATIONSHIPS AND RELATED TRANSACTIONS, AND DIRECTOR INDEPENDENC</w:t>
      </w:r>
      <w:r>
        <w:rPr>
          <w:b/>
          <w:bCs/>
          <w:sz w:val="20"/>
          <w:szCs w:val="20"/>
        </w:rPr>
        <w:t>E</w:t>
      </w:r>
    </w:p>
    <w:p w14:paraId="3DB992BC" w14:textId="77777777" w:rsidR="00000000" w:rsidRDefault="00EF48A2">
      <w:pPr>
        <w:pStyle w:val="a3"/>
        <w:spacing w:before="180" w:beforeAutospacing="0" w:after="0" w:afterAutospacing="0"/>
        <w:jc w:val="both"/>
        <w:rPr>
          <w:sz w:val="20"/>
          <w:szCs w:val="20"/>
        </w:rPr>
      </w:pPr>
      <w:r>
        <w:rPr>
          <w:sz w:val="20"/>
          <w:szCs w:val="20"/>
        </w:rPr>
        <w:t>The information required by this item is incorporated by reference to the definitive Proxy Statement for our 2023 Annual Meetin</w:t>
      </w:r>
      <w:r>
        <w:rPr>
          <w:sz w:val="20"/>
          <w:szCs w:val="20"/>
        </w:rPr>
        <w:t>g of Stockholders, which will be filed with the SEC no later than 120 days after December 31, 2022</w:t>
      </w:r>
      <w:r>
        <w:rPr>
          <w:sz w:val="20"/>
          <w:szCs w:val="20"/>
        </w:rPr>
        <w:t>.</w:t>
      </w:r>
    </w:p>
    <w:p w14:paraId="133F074C" w14:textId="77777777" w:rsidR="00000000" w:rsidRDefault="00EF48A2">
      <w:pPr>
        <w:pStyle w:val="a3"/>
        <w:spacing w:before="360" w:beforeAutospacing="0" w:after="0" w:afterAutospacing="0"/>
        <w:rPr>
          <w:sz w:val="20"/>
          <w:szCs w:val="20"/>
        </w:rPr>
      </w:pPr>
      <w:r>
        <w:rPr>
          <w:b/>
          <w:bCs/>
          <w:sz w:val="20"/>
          <w:szCs w:val="20"/>
        </w:rPr>
        <w:t>It</w:t>
      </w:r>
      <w:r>
        <w:rPr>
          <w:b/>
          <w:bCs/>
          <w:sz w:val="20"/>
          <w:szCs w:val="20"/>
        </w:rPr>
        <w:t>e</w:t>
      </w:r>
      <w:r>
        <w:rPr>
          <w:b/>
          <w:bCs/>
          <w:sz w:val="20"/>
          <w:szCs w:val="20"/>
        </w:rPr>
        <w:t>m 14. PRINCIPAL ACCOUNTING FEES AND SERVICE</w:t>
      </w:r>
      <w:r>
        <w:rPr>
          <w:b/>
          <w:bCs/>
          <w:sz w:val="20"/>
          <w:szCs w:val="20"/>
        </w:rPr>
        <w:t>S</w:t>
      </w:r>
    </w:p>
    <w:p w14:paraId="7407AFA5" w14:textId="77777777" w:rsidR="00000000" w:rsidRDefault="00EF48A2">
      <w:pPr>
        <w:pStyle w:val="a3"/>
        <w:spacing w:before="180" w:beforeAutospacing="0" w:after="0" w:afterAutospacing="0"/>
        <w:jc w:val="both"/>
        <w:rPr>
          <w:sz w:val="20"/>
          <w:szCs w:val="20"/>
        </w:rPr>
      </w:pPr>
      <w:r>
        <w:rPr>
          <w:sz w:val="20"/>
          <w:szCs w:val="20"/>
        </w:rPr>
        <w:t>The information required by this item is incorporated by reference to the definitive Proxy Statement for our</w:t>
      </w:r>
      <w:r>
        <w:rPr>
          <w:sz w:val="20"/>
          <w:szCs w:val="20"/>
        </w:rPr>
        <w:t xml:space="preserve"> 2023 Annual Meeting of Stockholders, which will be filed with the SEC no later than 120 days after December 31, 2022</w:t>
      </w:r>
      <w:r>
        <w:rPr>
          <w:sz w:val="20"/>
          <w:szCs w:val="20"/>
        </w:rPr>
        <w:t>.</w:t>
      </w:r>
    </w:p>
    <w:p w14:paraId="65EA4041"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3</w:t>
      </w:r>
    </w:p>
    <w:p w14:paraId="66AFEC6E" w14:textId="77777777" w:rsidR="00000000" w:rsidRDefault="00EF48A2">
      <w:pPr>
        <w:rPr>
          <w:rFonts w:eastAsia="Times New Roman"/>
        </w:rPr>
      </w:pPr>
      <w:r>
        <w:rPr>
          <w:rFonts w:eastAsia="Times New Roman"/>
        </w:rPr>
        <w:pict w14:anchorId="63C08AF2">
          <v:rect id="_x0000_i1110" style="width:0;height:1.5pt" o:hralign="center" o:hrstd="t" o:hr="t" fillcolor="#a0a0a0" stroked="f"/>
        </w:pict>
      </w:r>
    </w:p>
    <w:p w14:paraId="060E2A9B"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68852C56" w14:textId="77777777" w:rsidR="00000000" w:rsidRDefault="00EF48A2">
      <w:pPr>
        <w:pStyle w:val="a3"/>
        <w:spacing w:before="0" w:beforeAutospacing="0" w:after="0" w:afterAutospacing="0"/>
        <w:jc w:val="center"/>
        <w:rPr>
          <w:sz w:val="20"/>
          <w:szCs w:val="20"/>
        </w:rPr>
      </w:pPr>
      <w:r>
        <w:rPr>
          <w:b/>
          <w:bCs/>
          <w:sz w:val="20"/>
          <w:szCs w:val="20"/>
        </w:rPr>
        <w:t>PART I</w:t>
      </w:r>
      <w:r>
        <w:rPr>
          <w:b/>
          <w:bCs/>
          <w:sz w:val="20"/>
          <w:szCs w:val="20"/>
        </w:rPr>
        <w:t>V</w:t>
      </w:r>
    </w:p>
    <w:p w14:paraId="5802C9A4"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15. EXHIBITS AND FINANCIAL STATEMENT</w:t>
      </w:r>
      <w:r>
        <w:rPr>
          <w:b/>
          <w:bCs/>
          <w:sz w:val="20"/>
          <w:szCs w:val="20"/>
        </w:rPr>
        <w:t xml:space="preserve"> SCHEDULE</w:t>
      </w:r>
      <w:r>
        <w:rPr>
          <w:b/>
          <w:bCs/>
          <w:sz w:val="20"/>
          <w:szCs w:val="20"/>
        </w:rPr>
        <w:t>S</w:t>
      </w:r>
    </w:p>
    <w:p w14:paraId="7DFE6FB7" w14:textId="77777777" w:rsidR="00000000" w:rsidRDefault="00EF48A2">
      <w:pPr>
        <w:jc w:val="both"/>
        <w:divId w:val="676467130"/>
        <w:rPr>
          <w:rFonts w:eastAsia="Times New Roman"/>
        </w:rPr>
      </w:pPr>
      <w:r>
        <w:rPr>
          <w:rFonts w:eastAsia="Times New Roman"/>
          <w:sz w:val="20"/>
          <w:szCs w:val="20"/>
        </w:rPr>
        <w:t>(a</w:t>
      </w:r>
      <w:r>
        <w:rPr>
          <w:rFonts w:eastAsia="Times New Roman"/>
          <w:sz w:val="20"/>
          <w:szCs w:val="20"/>
        </w:rPr>
        <w:t>)</w:t>
      </w:r>
    </w:p>
    <w:p w14:paraId="2510C933" w14:textId="77777777" w:rsidR="00000000" w:rsidRDefault="00EF48A2">
      <w:pPr>
        <w:jc w:val="both"/>
        <w:divId w:val="751778516"/>
        <w:rPr>
          <w:rFonts w:eastAsia="Times New Roman"/>
        </w:rPr>
      </w:pPr>
      <w:r>
        <w:rPr>
          <w:rFonts w:eastAsia="Times New Roman"/>
          <w:sz w:val="20"/>
          <w:szCs w:val="20"/>
        </w:rPr>
        <w:t>(1</w:t>
      </w:r>
      <w:r>
        <w:rPr>
          <w:rFonts w:eastAsia="Times New Roman"/>
          <w:sz w:val="20"/>
          <w:szCs w:val="20"/>
        </w:rPr>
        <w:t>)</w:t>
      </w:r>
    </w:p>
    <w:p w14:paraId="10037DFA" w14:textId="77777777" w:rsidR="00000000" w:rsidRDefault="00EF48A2">
      <w:pPr>
        <w:jc w:val="both"/>
        <w:divId w:val="541790217"/>
        <w:rPr>
          <w:rFonts w:eastAsia="Times New Roman"/>
        </w:rPr>
      </w:pPr>
      <w:r>
        <w:rPr>
          <w:rFonts w:eastAsia="Times New Roman"/>
          <w:sz w:val="20"/>
          <w:szCs w:val="20"/>
        </w:rPr>
        <w:t>Our Consolidated Financial Statements are listed in the Index to Consolidated Financial Statements and Supplemental Data filed as part of this Form 10-K. See Item 8 (pages 60 to 79</w:t>
      </w:r>
      <w:r>
        <w:rPr>
          <w:rFonts w:eastAsia="Times New Roman"/>
          <w:sz w:val="20"/>
          <w:szCs w:val="20"/>
        </w:rPr>
        <w:t>)</w:t>
      </w:r>
    </w:p>
    <w:p w14:paraId="71048821" w14:textId="77777777" w:rsidR="00000000" w:rsidRDefault="00EF48A2">
      <w:pPr>
        <w:jc w:val="both"/>
        <w:divId w:val="555513345"/>
        <w:rPr>
          <w:rFonts w:eastAsia="Times New Roman"/>
        </w:rPr>
      </w:pPr>
      <w:r>
        <w:rPr>
          <w:rFonts w:eastAsia="Times New Roman"/>
          <w:sz w:val="20"/>
          <w:szCs w:val="20"/>
        </w:rPr>
        <w:t>(2</w:t>
      </w:r>
      <w:r>
        <w:rPr>
          <w:rFonts w:eastAsia="Times New Roman"/>
          <w:sz w:val="20"/>
          <w:szCs w:val="20"/>
        </w:rPr>
        <w:t>)</w:t>
      </w:r>
    </w:p>
    <w:p w14:paraId="55E74F8D" w14:textId="77777777" w:rsidR="00000000" w:rsidRDefault="00EF48A2">
      <w:pPr>
        <w:jc w:val="both"/>
        <w:divId w:val="1674256600"/>
        <w:rPr>
          <w:rFonts w:eastAsia="Times New Roman"/>
        </w:rPr>
      </w:pPr>
      <w:r>
        <w:rPr>
          <w:rFonts w:eastAsia="Times New Roman"/>
          <w:sz w:val="20"/>
          <w:szCs w:val="20"/>
        </w:rPr>
        <w:t>Financial Statement Schedules</w:t>
      </w:r>
      <w:r>
        <w:rPr>
          <w:rFonts w:eastAsia="Times New Roman"/>
          <w:sz w:val="20"/>
          <w:szCs w:val="20"/>
        </w:rPr>
        <w:t xml:space="preserve"> </w:t>
      </w:r>
    </w:p>
    <w:p w14:paraId="25E3ADEA" w14:textId="77777777" w:rsidR="00000000" w:rsidRDefault="00EF48A2">
      <w:pPr>
        <w:pStyle w:val="a3"/>
        <w:spacing w:before="0" w:beforeAutospacing="0" w:after="0" w:afterAutospacing="0"/>
        <w:ind w:left="476"/>
        <w:jc w:val="both"/>
        <w:rPr>
          <w:sz w:val="20"/>
          <w:szCs w:val="20"/>
        </w:rPr>
      </w:pPr>
      <w:r>
        <w:rPr>
          <w:sz w:val="20"/>
          <w:szCs w:val="20"/>
        </w:rPr>
        <w:t>Not Applicabl</w:t>
      </w:r>
      <w:r>
        <w:rPr>
          <w:sz w:val="20"/>
          <w:szCs w:val="20"/>
        </w:rPr>
        <w:t>e</w:t>
      </w:r>
    </w:p>
    <w:p w14:paraId="2A93ADBF" w14:textId="77777777" w:rsidR="00000000" w:rsidRDefault="00EF48A2">
      <w:pPr>
        <w:jc w:val="both"/>
        <w:divId w:val="91052021"/>
        <w:rPr>
          <w:rFonts w:eastAsia="Times New Roman"/>
        </w:rPr>
      </w:pPr>
      <w:r>
        <w:rPr>
          <w:rFonts w:eastAsia="Times New Roman"/>
          <w:sz w:val="20"/>
          <w:szCs w:val="20"/>
        </w:rPr>
        <w:t>(3</w:t>
      </w:r>
      <w:r>
        <w:rPr>
          <w:rFonts w:eastAsia="Times New Roman"/>
          <w:sz w:val="20"/>
          <w:szCs w:val="20"/>
        </w:rPr>
        <w:t>)</w:t>
      </w:r>
    </w:p>
    <w:p w14:paraId="7E7D33A7" w14:textId="77777777" w:rsidR="00000000" w:rsidRDefault="00EF48A2">
      <w:pPr>
        <w:jc w:val="both"/>
        <w:divId w:val="629478051"/>
        <w:rPr>
          <w:rFonts w:eastAsia="Times New Roman"/>
        </w:rPr>
      </w:pPr>
      <w:r>
        <w:rPr>
          <w:rFonts w:eastAsia="Times New Roman"/>
          <w:sz w:val="20"/>
          <w:szCs w:val="20"/>
        </w:rPr>
        <w:t>T</w:t>
      </w:r>
      <w:r>
        <w:rPr>
          <w:rFonts w:eastAsia="Times New Roman"/>
          <w:sz w:val="20"/>
          <w:szCs w:val="20"/>
        </w:rPr>
        <w:t>he exhibits which are filed with this Form 10-K or are incorporated herein by reference are set forth in the Exhibit Index (page 85</w:t>
      </w:r>
      <w:r>
        <w:rPr>
          <w:rFonts w:eastAsia="Times New Roman"/>
          <w:sz w:val="20"/>
          <w:szCs w:val="20"/>
        </w:rPr>
        <w:t>)</w:t>
      </w:r>
    </w:p>
    <w:p w14:paraId="24338182" w14:textId="77777777" w:rsidR="00000000" w:rsidRDefault="00EF48A2">
      <w:pPr>
        <w:divId w:val="181358226"/>
        <w:rPr>
          <w:rFonts w:eastAsia="Times New Roman"/>
        </w:rPr>
      </w:pPr>
      <w:r>
        <w:rPr>
          <w:rFonts w:eastAsia="Times New Roman"/>
          <w:sz w:val="20"/>
          <w:szCs w:val="20"/>
        </w:rPr>
        <w:t>(b</w:t>
      </w:r>
      <w:r>
        <w:rPr>
          <w:rFonts w:eastAsia="Times New Roman"/>
          <w:sz w:val="20"/>
          <w:szCs w:val="20"/>
        </w:rPr>
        <w:t>)</w:t>
      </w:r>
    </w:p>
    <w:p w14:paraId="66FC2B2C" w14:textId="77777777" w:rsidR="00000000" w:rsidRDefault="00EF48A2">
      <w:pPr>
        <w:divId w:val="55932583"/>
        <w:rPr>
          <w:rFonts w:eastAsia="Times New Roman"/>
        </w:rPr>
      </w:pPr>
      <w:r>
        <w:rPr>
          <w:rFonts w:eastAsia="Times New Roman"/>
          <w:sz w:val="20"/>
          <w:szCs w:val="20"/>
        </w:rPr>
        <w:t>Exhibit</w:t>
      </w:r>
      <w:r>
        <w:rPr>
          <w:rFonts w:eastAsia="Times New Roman"/>
          <w:sz w:val="20"/>
          <w:szCs w:val="20"/>
        </w:rPr>
        <w:t>s</w:t>
      </w:r>
    </w:p>
    <w:p w14:paraId="731113BE" w14:textId="77777777" w:rsidR="00000000" w:rsidRDefault="00EF48A2">
      <w:pPr>
        <w:pStyle w:val="a3"/>
        <w:spacing w:before="0" w:beforeAutospacing="0" w:after="0" w:afterAutospacing="0"/>
        <w:ind w:left="476"/>
        <w:rPr>
          <w:sz w:val="20"/>
          <w:szCs w:val="20"/>
        </w:rPr>
      </w:pPr>
      <w:r>
        <w:rPr>
          <w:sz w:val="20"/>
          <w:szCs w:val="20"/>
        </w:rPr>
        <w:t>See the Exhibit Index included hereinafter on page 8</w:t>
      </w:r>
      <w:r>
        <w:rPr>
          <w:sz w:val="20"/>
          <w:szCs w:val="20"/>
        </w:rPr>
        <w:t>5</w:t>
      </w:r>
    </w:p>
    <w:p w14:paraId="712F5B47" w14:textId="77777777" w:rsidR="00000000" w:rsidRDefault="00EF48A2">
      <w:pPr>
        <w:jc w:val="both"/>
        <w:divId w:val="500631310"/>
        <w:rPr>
          <w:rFonts w:eastAsia="Times New Roman"/>
        </w:rPr>
      </w:pPr>
      <w:r>
        <w:rPr>
          <w:rFonts w:eastAsia="Times New Roman"/>
          <w:sz w:val="20"/>
          <w:szCs w:val="20"/>
        </w:rPr>
        <w:t>(c</w:t>
      </w:r>
      <w:r>
        <w:rPr>
          <w:rFonts w:eastAsia="Times New Roman"/>
          <w:sz w:val="20"/>
          <w:szCs w:val="20"/>
        </w:rPr>
        <w:t>)</w:t>
      </w:r>
    </w:p>
    <w:p w14:paraId="40CDAB5A" w14:textId="77777777" w:rsidR="00000000" w:rsidRDefault="00EF48A2">
      <w:pPr>
        <w:jc w:val="both"/>
        <w:divId w:val="1488551212"/>
        <w:rPr>
          <w:rFonts w:eastAsia="Times New Roman"/>
        </w:rPr>
      </w:pPr>
      <w:r>
        <w:rPr>
          <w:rFonts w:eastAsia="Times New Roman"/>
          <w:sz w:val="20"/>
          <w:szCs w:val="20"/>
        </w:rPr>
        <w:t>Financial Statement Schedules excluded from the annual report to stockholder</w:t>
      </w:r>
      <w:r>
        <w:rPr>
          <w:rFonts w:eastAsia="Times New Roman"/>
          <w:sz w:val="20"/>
          <w:szCs w:val="20"/>
        </w:rPr>
        <w:t>s</w:t>
      </w:r>
    </w:p>
    <w:p w14:paraId="2D337F94" w14:textId="77777777" w:rsidR="00000000" w:rsidRDefault="00EF48A2">
      <w:pPr>
        <w:pStyle w:val="a3"/>
        <w:spacing w:before="0" w:beforeAutospacing="0" w:after="0" w:afterAutospacing="0"/>
        <w:ind w:left="952"/>
        <w:jc w:val="both"/>
        <w:rPr>
          <w:sz w:val="20"/>
          <w:szCs w:val="20"/>
        </w:rPr>
      </w:pPr>
      <w:r>
        <w:rPr>
          <w:sz w:val="20"/>
          <w:szCs w:val="20"/>
        </w:rPr>
        <w:t>Non</w:t>
      </w:r>
      <w:r>
        <w:rPr>
          <w:sz w:val="20"/>
          <w:szCs w:val="20"/>
        </w:rPr>
        <w:t>e</w:t>
      </w:r>
    </w:p>
    <w:p w14:paraId="2BB2091D" w14:textId="77777777" w:rsidR="00000000" w:rsidRDefault="00EF48A2">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16. FORM 10-K SUMMAR</w:t>
      </w:r>
      <w:r>
        <w:rPr>
          <w:b/>
          <w:bCs/>
          <w:sz w:val="20"/>
          <w:szCs w:val="20"/>
        </w:rPr>
        <w:t>Y</w:t>
      </w:r>
    </w:p>
    <w:p w14:paraId="681467C9" w14:textId="77777777" w:rsidR="00000000" w:rsidRDefault="00EF48A2">
      <w:pPr>
        <w:pStyle w:val="a3"/>
        <w:spacing w:before="180" w:beforeAutospacing="0" w:after="0" w:afterAutospacing="0"/>
        <w:jc w:val="both"/>
        <w:rPr>
          <w:sz w:val="20"/>
          <w:szCs w:val="20"/>
        </w:rPr>
      </w:pPr>
      <w:r>
        <w:rPr>
          <w:sz w:val="20"/>
          <w:szCs w:val="20"/>
        </w:rPr>
        <w:t>None</w:t>
      </w:r>
      <w:r>
        <w:rPr>
          <w:sz w:val="20"/>
          <w:szCs w:val="20"/>
        </w:rPr>
        <w:t>.</w:t>
      </w:r>
    </w:p>
    <w:p w14:paraId="71DE8A72"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4</w:t>
      </w:r>
    </w:p>
    <w:p w14:paraId="01721DFF" w14:textId="77777777" w:rsidR="00000000" w:rsidRDefault="00EF48A2">
      <w:pPr>
        <w:rPr>
          <w:rFonts w:eastAsia="Times New Roman"/>
        </w:rPr>
      </w:pPr>
      <w:r>
        <w:rPr>
          <w:rFonts w:eastAsia="Times New Roman"/>
        </w:rPr>
        <w:pict w14:anchorId="6C9F46F2">
          <v:rect id="_x0000_i1111" style="width:0;height:1.5pt" o:hralign="center" o:hrstd="t" o:hr="t" fillcolor="#a0a0a0" stroked="f"/>
        </w:pict>
      </w:r>
    </w:p>
    <w:p w14:paraId="11F56661"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0E654732" w14:textId="77777777" w:rsidR="00000000" w:rsidRDefault="00EF48A2">
      <w:pPr>
        <w:pStyle w:val="a3"/>
        <w:spacing w:before="0" w:beforeAutospacing="0" w:after="0" w:afterAutospacing="0"/>
        <w:jc w:val="center"/>
        <w:rPr>
          <w:sz w:val="20"/>
          <w:szCs w:val="20"/>
        </w:rPr>
      </w:pPr>
      <w:r>
        <w:rPr>
          <w:b/>
          <w:bCs/>
          <w:sz w:val="20"/>
          <w:szCs w:val="20"/>
        </w:rPr>
        <w:t>E</w:t>
      </w:r>
      <w:r>
        <w:rPr>
          <w:b/>
          <w:bCs/>
          <w:sz w:val="20"/>
          <w:szCs w:val="20"/>
        </w:rPr>
        <w:t>X</w:t>
      </w:r>
      <w:r>
        <w:rPr>
          <w:b/>
          <w:bCs/>
          <w:sz w:val="20"/>
          <w:szCs w:val="20"/>
        </w:rPr>
        <w:t>HIBIT INDE</w:t>
      </w:r>
      <w:r>
        <w:rPr>
          <w:b/>
          <w:bCs/>
          <w:sz w:val="20"/>
          <w:szCs w:val="20"/>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99"/>
        <w:gridCol w:w="4574"/>
        <w:gridCol w:w="446"/>
        <w:gridCol w:w="608"/>
        <w:gridCol w:w="566"/>
        <w:gridCol w:w="593"/>
        <w:gridCol w:w="777"/>
      </w:tblGrid>
      <w:tr w:rsidR="00000000" w14:paraId="3B9BC4C7" w14:textId="77777777">
        <w:trPr>
          <w:tblCellSpacing w:w="15" w:type="dxa"/>
        </w:trPr>
        <w:tc>
          <w:tcPr>
            <w:tcW w:w="350" w:type="pct"/>
            <w:vAlign w:val="center"/>
            <w:hideMark/>
          </w:tcPr>
          <w:p w14:paraId="5E6911BB" w14:textId="77777777" w:rsidR="00000000" w:rsidRDefault="00EF48A2">
            <w:pPr>
              <w:rPr>
                <w:sz w:val="20"/>
                <w:szCs w:val="20"/>
              </w:rPr>
            </w:pPr>
          </w:p>
        </w:tc>
        <w:tc>
          <w:tcPr>
            <w:tcW w:w="49" w:type="pct"/>
            <w:vAlign w:val="center"/>
            <w:hideMark/>
          </w:tcPr>
          <w:p w14:paraId="7FDA1CD7" w14:textId="77777777" w:rsidR="00000000" w:rsidRDefault="00EF48A2">
            <w:pPr>
              <w:rPr>
                <w:rFonts w:eastAsia="Times New Roman"/>
                <w:sz w:val="20"/>
                <w:szCs w:val="20"/>
              </w:rPr>
            </w:pPr>
          </w:p>
        </w:tc>
        <w:tc>
          <w:tcPr>
            <w:tcW w:w="2900" w:type="pct"/>
            <w:vAlign w:val="center"/>
            <w:hideMark/>
          </w:tcPr>
          <w:p w14:paraId="6D916DD2" w14:textId="77777777" w:rsidR="00000000" w:rsidRDefault="00EF48A2">
            <w:pPr>
              <w:rPr>
                <w:rFonts w:eastAsia="Times New Roman"/>
                <w:sz w:val="20"/>
                <w:szCs w:val="20"/>
              </w:rPr>
            </w:pPr>
          </w:p>
        </w:tc>
        <w:tc>
          <w:tcPr>
            <w:tcW w:w="299" w:type="pct"/>
            <w:vAlign w:val="center"/>
            <w:hideMark/>
          </w:tcPr>
          <w:p w14:paraId="7F2F0C18" w14:textId="77777777" w:rsidR="00000000" w:rsidRDefault="00EF48A2">
            <w:pPr>
              <w:rPr>
                <w:rFonts w:eastAsia="Times New Roman"/>
                <w:sz w:val="20"/>
                <w:szCs w:val="20"/>
              </w:rPr>
            </w:pPr>
          </w:p>
        </w:tc>
        <w:tc>
          <w:tcPr>
            <w:tcW w:w="400" w:type="pct"/>
            <w:vAlign w:val="center"/>
            <w:hideMark/>
          </w:tcPr>
          <w:p w14:paraId="4AEFE9D5" w14:textId="77777777" w:rsidR="00000000" w:rsidRDefault="00EF48A2">
            <w:pPr>
              <w:rPr>
                <w:rFonts w:eastAsia="Times New Roman"/>
                <w:sz w:val="20"/>
                <w:szCs w:val="20"/>
              </w:rPr>
            </w:pPr>
          </w:p>
        </w:tc>
        <w:tc>
          <w:tcPr>
            <w:tcW w:w="299" w:type="pct"/>
            <w:vAlign w:val="center"/>
            <w:hideMark/>
          </w:tcPr>
          <w:p w14:paraId="70EA669E" w14:textId="77777777" w:rsidR="00000000" w:rsidRDefault="00EF48A2">
            <w:pPr>
              <w:rPr>
                <w:rFonts w:eastAsia="Times New Roman"/>
                <w:sz w:val="20"/>
                <w:szCs w:val="20"/>
              </w:rPr>
            </w:pPr>
          </w:p>
        </w:tc>
        <w:tc>
          <w:tcPr>
            <w:tcW w:w="299" w:type="pct"/>
            <w:vAlign w:val="center"/>
            <w:hideMark/>
          </w:tcPr>
          <w:p w14:paraId="6B6FBE39" w14:textId="77777777" w:rsidR="00000000" w:rsidRDefault="00EF48A2">
            <w:pPr>
              <w:rPr>
                <w:rFonts w:eastAsia="Times New Roman"/>
                <w:sz w:val="20"/>
                <w:szCs w:val="20"/>
              </w:rPr>
            </w:pPr>
          </w:p>
        </w:tc>
        <w:tc>
          <w:tcPr>
            <w:tcW w:w="400" w:type="pct"/>
            <w:vAlign w:val="center"/>
            <w:hideMark/>
          </w:tcPr>
          <w:p w14:paraId="38E1703E" w14:textId="77777777" w:rsidR="00000000" w:rsidRDefault="00EF48A2">
            <w:pPr>
              <w:rPr>
                <w:rFonts w:eastAsia="Times New Roman"/>
                <w:sz w:val="20"/>
                <w:szCs w:val="20"/>
              </w:rPr>
            </w:pPr>
          </w:p>
        </w:tc>
      </w:tr>
      <w:tr w:rsidR="00000000" w14:paraId="0A0E1513" w14:textId="77777777">
        <w:trPr>
          <w:trHeight w:val="160"/>
          <w:tblCellSpacing w:w="15" w:type="dxa"/>
        </w:trPr>
        <w:tc>
          <w:tcPr>
            <w:tcW w:w="0" w:type="auto"/>
            <w:tcMar>
              <w:top w:w="14" w:type="dxa"/>
              <w:left w:w="15" w:type="dxa"/>
              <w:bottom w:w="15" w:type="dxa"/>
              <w:right w:w="14" w:type="dxa"/>
            </w:tcMar>
            <w:vAlign w:val="bottom"/>
            <w:hideMark/>
          </w:tcPr>
          <w:p w14:paraId="61D8E05B"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5823E9A2"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74C6DF3D" w14:textId="77777777" w:rsidR="00000000" w:rsidRDefault="00EF48A2">
            <w:pPr>
              <w:pStyle w:val="a3"/>
              <w:spacing w:before="0" w:beforeAutospacing="0" w:after="0" w:afterAutospacing="0"/>
              <w:rPr>
                <w:sz w:val="16"/>
                <w:szCs w:val="16"/>
              </w:rPr>
            </w:pPr>
            <w:r>
              <w:rPr>
                <w:sz w:val="16"/>
                <w:szCs w:val="16"/>
              </w:rPr>
              <w:t> </w:t>
            </w:r>
          </w:p>
        </w:tc>
        <w:tc>
          <w:tcPr>
            <w:tcW w:w="0" w:type="auto"/>
            <w:gridSpan w:val="4"/>
            <w:tcBorders>
              <w:bottom w:val="single" w:sz="4" w:space="0" w:color="auto"/>
            </w:tcBorders>
            <w:tcMar>
              <w:top w:w="14" w:type="dxa"/>
              <w:left w:w="15" w:type="dxa"/>
              <w:bottom w:w="15" w:type="dxa"/>
              <w:right w:w="14" w:type="dxa"/>
            </w:tcMar>
            <w:vAlign w:val="bottom"/>
            <w:hideMark/>
          </w:tcPr>
          <w:p w14:paraId="0C6F1CE0" w14:textId="77777777" w:rsidR="00000000" w:rsidRDefault="00EF48A2">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c>
          <w:tcPr>
            <w:tcW w:w="0" w:type="auto"/>
            <w:tcMar>
              <w:top w:w="14" w:type="dxa"/>
              <w:left w:w="15" w:type="dxa"/>
              <w:bottom w:w="15" w:type="dxa"/>
              <w:right w:w="14" w:type="dxa"/>
            </w:tcMar>
            <w:vAlign w:val="bottom"/>
            <w:hideMark/>
          </w:tcPr>
          <w:p w14:paraId="1DB37EA4"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65D78D20" w14:textId="77777777">
        <w:trPr>
          <w:trHeight w:val="160"/>
          <w:tblCellSpacing w:w="15" w:type="dxa"/>
        </w:trPr>
        <w:tc>
          <w:tcPr>
            <w:tcW w:w="0" w:type="auto"/>
            <w:tcMar>
              <w:top w:w="14" w:type="dxa"/>
              <w:left w:w="15" w:type="dxa"/>
              <w:bottom w:w="15" w:type="dxa"/>
              <w:right w:w="14" w:type="dxa"/>
            </w:tcMar>
            <w:vAlign w:val="bottom"/>
            <w:hideMark/>
          </w:tcPr>
          <w:p w14:paraId="594B35EB" w14:textId="77777777" w:rsidR="00000000" w:rsidRDefault="00EF48A2">
            <w:pPr>
              <w:pStyle w:val="a3"/>
              <w:spacing w:before="0" w:beforeAutospacing="0" w:after="0" w:afterAutospacing="0"/>
              <w:jc w:val="center"/>
              <w:rPr>
                <w:sz w:val="16"/>
                <w:szCs w:val="16"/>
              </w:rPr>
            </w:pPr>
            <w:r>
              <w:rPr>
                <w:b/>
                <w:bCs/>
                <w:sz w:val="16"/>
                <w:szCs w:val="16"/>
              </w:rPr>
              <w:t>Exhibi</w:t>
            </w:r>
            <w:r>
              <w:rPr>
                <w:b/>
                <w:bCs/>
                <w:sz w:val="16"/>
                <w:szCs w:val="16"/>
              </w:rPr>
              <w:t>t</w:t>
            </w:r>
          </w:p>
          <w:p w14:paraId="3560652B" w14:textId="77777777" w:rsidR="00000000" w:rsidRDefault="00EF48A2">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14:paraId="4E15F292"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3B079D9C" w14:textId="77777777" w:rsidR="00000000" w:rsidRDefault="00EF48A2">
            <w:pPr>
              <w:pStyle w:val="a3"/>
              <w:spacing w:before="0" w:beforeAutospacing="0" w:after="0" w:afterAutospacing="0"/>
              <w:jc w:val="center"/>
              <w:rPr>
                <w:sz w:val="16"/>
                <w:szCs w:val="16"/>
              </w:rPr>
            </w:pPr>
            <w:r>
              <w:rPr>
                <w:b/>
                <w:bCs/>
                <w:sz w:val="16"/>
                <w:szCs w:val="16"/>
              </w:rPr>
              <w:t>Exhibit Descriptio</w:t>
            </w:r>
            <w:r>
              <w:rPr>
                <w:b/>
                <w:bCs/>
                <w:sz w:val="16"/>
                <w:szCs w:val="16"/>
              </w:rPr>
              <w:t>n</w:t>
            </w:r>
          </w:p>
        </w:tc>
        <w:tc>
          <w:tcPr>
            <w:tcW w:w="0" w:type="auto"/>
            <w:tcMar>
              <w:top w:w="14" w:type="dxa"/>
              <w:left w:w="15" w:type="dxa"/>
              <w:bottom w:w="15" w:type="dxa"/>
              <w:right w:w="14" w:type="dxa"/>
            </w:tcMar>
            <w:vAlign w:val="bottom"/>
            <w:hideMark/>
          </w:tcPr>
          <w:p w14:paraId="2E3649F5" w14:textId="77777777" w:rsidR="00000000" w:rsidRDefault="00EF48A2">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vAlign w:val="bottom"/>
            <w:hideMark/>
          </w:tcPr>
          <w:p w14:paraId="73BFFF23" w14:textId="77777777" w:rsidR="00000000" w:rsidRDefault="00EF48A2">
            <w:pPr>
              <w:pStyle w:val="a3"/>
              <w:spacing w:before="0" w:beforeAutospacing="0" w:after="0" w:afterAutospacing="0"/>
              <w:jc w:val="center"/>
              <w:rPr>
                <w:sz w:val="16"/>
                <w:szCs w:val="16"/>
              </w:rPr>
            </w:pPr>
            <w:r>
              <w:rPr>
                <w:b/>
                <w:bCs/>
                <w:sz w:val="16"/>
                <w:szCs w:val="16"/>
              </w:rPr>
              <w:t>File No</w:t>
            </w:r>
            <w:r>
              <w:rPr>
                <w:b/>
                <w:bCs/>
                <w:sz w:val="16"/>
                <w:szCs w:val="16"/>
              </w:rPr>
              <w:t>.</w:t>
            </w:r>
          </w:p>
        </w:tc>
        <w:tc>
          <w:tcPr>
            <w:tcW w:w="0" w:type="auto"/>
            <w:tcMar>
              <w:top w:w="14" w:type="dxa"/>
              <w:left w:w="15" w:type="dxa"/>
              <w:bottom w:w="15" w:type="dxa"/>
              <w:right w:w="14" w:type="dxa"/>
            </w:tcMar>
            <w:vAlign w:val="bottom"/>
            <w:hideMark/>
          </w:tcPr>
          <w:p w14:paraId="27ABD854" w14:textId="77777777" w:rsidR="00000000" w:rsidRDefault="00EF48A2">
            <w:pPr>
              <w:pStyle w:val="a3"/>
              <w:spacing w:before="0" w:beforeAutospacing="0" w:after="0" w:afterAutospacing="0"/>
              <w:jc w:val="center"/>
              <w:rPr>
                <w:sz w:val="16"/>
                <w:szCs w:val="16"/>
              </w:rPr>
            </w:pPr>
            <w:r>
              <w:rPr>
                <w:b/>
                <w:bCs/>
                <w:sz w:val="16"/>
                <w:szCs w:val="16"/>
              </w:rPr>
              <w:t>Exhibi</w:t>
            </w:r>
            <w:r>
              <w:rPr>
                <w:b/>
                <w:bCs/>
                <w:sz w:val="16"/>
                <w:szCs w:val="16"/>
              </w:rPr>
              <w:t>t</w:t>
            </w:r>
          </w:p>
        </w:tc>
        <w:tc>
          <w:tcPr>
            <w:tcW w:w="0" w:type="auto"/>
            <w:tcMar>
              <w:top w:w="14" w:type="dxa"/>
              <w:left w:w="15" w:type="dxa"/>
              <w:bottom w:w="15" w:type="dxa"/>
              <w:right w:w="14" w:type="dxa"/>
            </w:tcMar>
            <w:vAlign w:val="bottom"/>
            <w:hideMark/>
          </w:tcPr>
          <w:p w14:paraId="0696D6AD" w14:textId="77777777" w:rsidR="00000000" w:rsidRDefault="00EF48A2">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vAlign w:val="bottom"/>
            <w:hideMark/>
          </w:tcPr>
          <w:p w14:paraId="63B65B40" w14:textId="77777777" w:rsidR="00000000" w:rsidRDefault="00EF48A2">
            <w:pPr>
              <w:pStyle w:val="a3"/>
              <w:spacing w:before="0" w:beforeAutospacing="0" w:after="0" w:afterAutospacing="0"/>
              <w:jc w:val="center"/>
              <w:rPr>
                <w:sz w:val="16"/>
                <w:szCs w:val="16"/>
              </w:rPr>
            </w:pPr>
            <w:r>
              <w:rPr>
                <w:b/>
                <w:bCs/>
                <w:sz w:val="16"/>
                <w:szCs w:val="16"/>
              </w:rPr>
              <w:t>Filed/ Furnished Herewit</w:t>
            </w:r>
            <w:r>
              <w:rPr>
                <w:b/>
                <w:bCs/>
                <w:sz w:val="16"/>
                <w:szCs w:val="16"/>
              </w:rPr>
              <w:t>h</w:t>
            </w:r>
          </w:p>
        </w:tc>
      </w:tr>
      <w:tr w:rsidR="00000000" w14:paraId="6D0782B3" w14:textId="77777777">
        <w:trPr>
          <w:trHeight w:val="140"/>
          <w:tblCellSpacing w:w="15" w:type="dxa"/>
        </w:trPr>
        <w:tc>
          <w:tcPr>
            <w:tcW w:w="0" w:type="auto"/>
            <w:tcMar>
              <w:top w:w="14" w:type="dxa"/>
              <w:left w:w="15" w:type="dxa"/>
              <w:bottom w:w="15" w:type="dxa"/>
              <w:right w:w="14" w:type="dxa"/>
            </w:tcMar>
            <w:hideMark/>
          </w:tcPr>
          <w:p w14:paraId="194DED87" w14:textId="77777777" w:rsidR="00000000" w:rsidRDefault="00EF48A2">
            <w:pPr>
              <w:pStyle w:val="a3"/>
              <w:spacing w:before="0" w:beforeAutospacing="0" w:after="0" w:afterAutospacing="0"/>
              <w:rPr>
                <w:sz w:val="15"/>
                <w:szCs w:val="15"/>
              </w:rPr>
            </w:pPr>
            <w:hyperlink r:id="rId5" w:anchor="rom119648_45" w:history="1">
              <w:r>
                <w:rPr>
                  <w:rStyle w:val="a4"/>
                  <w:sz w:val="15"/>
                  <w:szCs w:val="15"/>
                </w:rPr>
                <w:t>2.</w:t>
              </w:r>
              <w:r>
                <w:rPr>
                  <w:rStyle w:val="a4"/>
                  <w:sz w:val="15"/>
                  <w:szCs w:val="15"/>
                </w:rPr>
                <w:t>1</w:t>
              </w:r>
            </w:hyperlink>
            <w:r>
              <w:rPr>
                <w:sz w:val="15"/>
                <w:szCs w:val="15"/>
              </w:rPr>
              <w:t>+</w:t>
            </w:r>
          </w:p>
        </w:tc>
        <w:tc>
          <w:tcPr>
            <w:tcW w:w="0" w:type="auto"/>
            <w:tcMar>
              <w:top w:w="14" w:type="dxa"/>
              <w:left w:w="15" w:type="dxa"/>
              <w:bottom w:w="15" w:type="dxa"/>
              <w:right w:w="14" w:type="dxa"/>
            </w:tcMar>
            <w:hideMark/>
          </w:tcPr>
          <w:p w14:paraId="5D9E12E8"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14483755" w14:textId="77777777" w:rsidR="00000000" w:rsidRDefault="00EF48A2">
            <w:pPr>
              <w:pStyle w:val="a3"/>
              <w:spacing w:before="0" w:beforeAutospacing="0" w:after="0" w:afterAutospacing="0"/>
              <w:rPr>
                <w:sz w:val="15"/>
                <w:szCs w:val="15"/>
              </w:rPr>
            </w:pPr>
            <w:hyperlink r:id="rId6" w:anchor="rom119648_45" w:history="1">
              <w:r>
                <w:rPr>
                  <w:rStyle w:val="a4"/>
                  <w:sz w:val="15"/>
                  <w:szCs w:val="15"/>
                </w:rPr>
                <w:t>Agreement and Pla</w:t>
              </w:r>
              <w:r>
                <w:rPr>
                  <w:rStyle w:val="a4"/>
                  <w:sz w:val="15"/>
                  <w:szCs w:val="15"/>
                </w:rPr>
                <w:t>n of Merger, dated as of January 12, 2021, by and among Hudson Executive Investment Corp., Tailwind Merger Sub I, Inc., Tailwind Merger Sub II, LLC, and Groop Internet Platform, Inc. (d/b/a Talkspace)</w:t>
              </w:r>
              <w:r>
                <w:rPr>
                  <w:rStyle w:val="a4"/>
                  <w:sz w:val="15"/>
                  <w:szCs w:val="15"/>
                </w:rPr>
                <w:t>.</w:t>
              </w:r>
            </w:hyperlink>
          </w:p>
        </w:tc>
        <w:tc>
          <w:tcPr>
            <w:tcW w:w="0" w:type="auto"/>
            <w:tcMar>
              <w:top w:w="14" w:type="dxa"/>
              <w:left w:w="15" w:type="dxa"/>
              <w:bottom w:w="15" w:type="dxa"/>
              <w:right w:w="14" w:type="dxa"/>
            </w:tcMar>
            <w:hideMark/>
          </w:tcPr>
          <w:p w14:paraId="317F84AE" w14:textId="77777777" w:rsidR="00000000" w:rsidRDefault="00EF48A2">
            <w:pPr>
              <w:pStyle w:val="a3"/>
              <w:spacing w:before="0" w:beforeAutospacing="0" w:after="0" w:afterAutospacing="0"/>
              <w:jc w:val="center"/>
              <w:rPr>
                <w:sz w:val="15"/>
                <w:szCs w:val="15"/>
              </w:rPr>
            </w:pPr>
            <w:r>
              <w:rPr>
                <w:sz w:val="15"/>
                <w:szCs w:val="15"/>
              </w:rPr>
              <w:t>S-</w:t>
            </w:r>
            <w:r>
              <w:rPr>
                <w:sz w:val="15"/>
                <w:szCs w:val="15"/>
              </w:rPr>
              <w:t>4</w:t>
            </w:r>
          </w:p>
        </w:tc>
        <w:tc>
          <w:tcPr>
            <w:tcW w:w="0" w:type="auto"/>
            <w:tcMar>
              <w:top w:w="14" w:type="dxa"/>
              <w:left w:w="15" w:type="dxa"/>
              <w:bottom w:w="15" w:type="dxa"/>
              <w:right w:w="14" w:type="dxa"/>
            </w:tcMar>
            <w:hideMark/>
          </w:tcPr>
          <w:p w14:paraId="0411E806" w14:textId="77777777" w:rsidR="00000000" w:rsidRDefault="00EF48A2">
            <w:pPr>
              <w:pStyle w:val="a3"/>
              <w:spacing w:before="0" w:beforeAutospacing="0" w:after="0" w:afterAutospacing="0"/>
              <w:jc w:val="center"/>
              <w:rPr>
                <w:sz w:val="15"/>
                <w:szCs w:val="15"/>
              </w:rPr>
            </w:pPr>
            <w:r>
              <w:rPr>
                <w:sz w:val="15"/>
                <w:szCs w:val="15"/>
              </w:rPr>
              <w:t>333-25263</w:t>
            </w:r>
            <w:r>
              <w:rPr>
                <w:sz w:val="15"/>
                <w:szCs w:val="15"/>
              </w:rPr>
              <w:t>8</w:t>
            </w:r>
          </w:p>
        </w:tc>
        <w:tc>
          <w:tcPr>
            <w:tcW w:w="0" w:type="auto"/>
            <w:tcMar>
              <w:top w:w="14" w:type="dxa"/>
              <w:left w:w="15" w:type="dxa"/>
              <w:bottom w:w="15" w:type="dxa"/>
              <w:right w:w="14" w:type="dxa"/>
            </w:tcMar>
            <w:hideMark/>
          </w:tcPr>
          <w:p w14:paraId="3DFED55E" w14:textId="77777777" w:rsidR="00000000" w:rsidRDefault="00EF48A2">
            <w:pPr>
              <w:pStyle w:val="a3"/>
              <w:spacing w:before="0" w:beforeAutospacing="0" w:after="0" w:afterAutospacing="0"/>
              <w:jc w:val="center"/>
              <w:rPr>
                <w:sz w:val="15"/>
                <w:szCs w:val="15"/>
              </w:rPr>
            </w:pPr>
            <w:r>
              <w:rPr>
                <w:sz w:val="15"/>
                <w:szCs w:val="15"/>
              </w:rPr>
              <w:t>2.</w:t>
            </w:r>
            <w:r>
              <w:rPr>
                <w:sz w:val="15"/>
                <w:szCs w:val="15"/>
              </w:rPr>
              <w:t>1</w:t>
            </w:r>
          </w:p>
        </w:tc>
        <w:tc>
          <w:tcPr>
            <w:tcW w:w="0" w:type="auto"/>
            <w:tcMar>
              <w:top w:w="14" w:type="dxa"/>
              <w:left w:w="15" w:type="dxa"/>
              <w:bottom w:w="15" w:type="dxa"/>
              <w:right w:w="14" w:type="dxa"/>
            </w:tcMar>
            <w:hideMark/>
          </w:tcPr>
          <w:p w14:paraId="744C50E9" w14:textId="77777777" w:rsidR="00000000" w:rsidRDefault="00EF48A2">
            <w:pPr>
              <w:pStyle w:val="a3"/>
              <w:spacing w:before="0" w:beforeAutospacing="0" w:after="0" w:afterAutospacing="0"/>
              <w:jc w:val="center"/>
              <w:rPr>
                <w:sz w:val="15"/>
                <w:szCs w:val="15"/>
              </w:rPr>
            </w:pPr>
            <w:r>
              <w:rPr>
                <w:sz w:val="15"/>
                <w:szCs w:val="15"/>
              </w:rPr>
              <w:t>2/2/2</w:t>
            </w:r>
            <w:r>
              <w:rPr>
                <w:sz w:val="15"/>
                <w:szCs w:val="15"/>
              </w:rPr>
              <w:t>1</w:t>
            </w:r>
          </w:p>
        </w:tc>
        <w:tc>
          <w:tcPr>
            <w:tcW w:w="0" w:type="auto"/>
            <w:tcMar>
              <w:top w:w="14" w:type="dxa"/>
              <w:left w:w="15" w:type="dxa"/>
              <w:bottom w:w="15" w:type="dxa"/>
              <w:right w:w="14" w:type="dxa"/>
            </w:tcMar>
            <w:hideMark/>
          </w:tcPr>
          <w:p w14:paraId="2EC8EBB6"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06A4241F" w14:textId="77777777">
        <w:trPr>
          <w:trHeight w:val="140"/>
          <w:tblCellSpacing w:w="15" w:type="dxa"/>
        </w:trPr>
        <w:tc>
          <w:tcPr>
            <w:tcW w:w="0" w:type="auto"/>
            <w:tcMar>
              <w:top w:w="14" w:type="dxa"/>
              <w:left w:w="15" w:type="dxa"/>
              <w:bottom w:w="15" w:type="dxa"/>
              <w:right w:w="14" w:type="dxa"/>
            </w:tcMar>
            <w:hideMark/>
          </w:tcPr>
          <w:p w14:paraId="542E0835" w14:textId="77777777" w:rsidR="00000000" w:rsidRDefault="00EF48A2">
            <w:pPr>
              <w:pStyle w:val="a3"/>
              <w:spacing w:before="0" w:beforeAutospacing="0" w:after="0" w:afterAutospacing="0"/>
              <w:rPr>
                <w:sz w:val="15"/>
                <w:szCs w:val="15"/>
              </w:rPr>
            </w:pPr>
            <w:hyperlink r:id="rId7" w:history="1">
              <w:r>
                <w:rPr>
                  <w:rStyle w:val="a4"/>
                  <w:sz w:val="15"/>
                  <w:szCs w:val="15"/>
                </w:rPr>
                <w:t>3.</w:t>
              </w:r>
              <w:r>
                <w:rPr>
                  <w:rStyle w:val="a4"/>
                  <w:sz w:val="15"/>
                  <w:szCs w:val="15"/>
                </w:rPr>
                <w:t>1</w:t>
              </w:r>
            </w:hyperlink>
          </w:p>
        </w:tc>
        <w:tc>
          <w:tcPr>
            <w:tcW w:w="0" w:type="auto"/>
            <w:tcMar>
              <w:top w:w="14" w:type="dxa"/>
              <w:left w:w="15" w:type="dxa"/>
              <w:bottom w:w="15" w:type="dxa"/>
              <w:right w:w="14" w:type="dxa"/>
            </w:tcMar>
            <w:hideMark/>
          </w:tcPr>
          <w:p w14:paraId="04FDCAC6"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1758C887" w14:textId="77777777" w:rsidR="00000000" w:rsidRDefault="00EF48A2">
            <w:pPr>
              <w:pStyle w:val="a3"/>
              <w:spacing w:before="0" w:beforeAutospacing="0" w:after="0" w:afterAutospacing="0"/>
              <w:rPr>
                <w:sz w:val="15"/>
                <w:szCs w:val="15"/>
              </w:rPr>
            </w:pPr>
            <w:hyperlink r:id="rId8" w:history="1">
              <w:r>
                <w:rPr>
                  <w:rStyle w:val="a4"/>
                  <w:sz w:val="15"/>
                  <w:szCs w:val="15"/>
                </w:rPr>
                <w:t>Second Amended and Restated Certificate of Incorporation of Talkspace, Inc</w:t>
              </w:r>
              <w:r>
                <w:rPr>
                  <w:rStyle w:val="a4"/>
                  <w:sz w:val="15"/>
                  <w:szCs w:val="15"/>
                </w:rPr>
                <w:t>.</w:t>
              </w:r>
            </w:hyperlink>
          </w:p>
        </w:tc>
        <w:tc>
          <w:tcPr>
            <w:tcW w:w="0" w:type="auto"/>
            <w:tcMar>
              <w:top w:w="14" w:type="dxa"/>
              <w:left w:w="15" w:type="dxa"/>
              <w:bottom w:w="15" w:type="dxa"/>
              <w:right w:w="14" w:type="dxa"/>
            </w:tcMar>
            <w:hideMark/>
          </w:tcPr>
          <w:p w14:paraId="4411982B" w14:textId="77777777" w:rsidR="00000000" w:rsidRDefault="00EF48A2">
            <w:pPr>
              <w:pStyle w:val="a3"/>
              <w:spacing w:before="0" w:beforeAutospacing="0" w:after="0" w:afterAutospacing="0"/>
              <w:jc w:val="center"/>
              <w:rPr>
                <w:sz w:val="15"/>
                <w:szCs w:val="15"/>
              </w:rPr>
            </w:pPr>
            <w:r>
              <w:rPr>
                <w:sz w:val="15"/>
                <w:szCs w:val="15"/>
              </w:rPr>
              <w:t>8-K/</w:t>
            </w:r>
            <w:r>
              <w:rPr>
                <w:sz w:val="15"/>
                <w:szCs w:val="15"/>
              </w:rPr>
              <w:t>A</w:t>
            </w:r>
          </w:p>
        </w:tc>
        <w:tc>
          <w:tcPr>
            <w:tcW w:w="0" w:type="auto"/>
            <w:tcMar>
              <w:top w:w="14" w:type="dxa"/>
              <w:left w:w="15" w:type="dxa"/>
              <w:bottom w:w="15" w:type="dxa"/>
              <w:right w:w="14" w:type="dxa"/>
            </w:tcMar>
            <w:hideMark/>
          </w:tcPr>
          <w:p w14:paraId="72077B24"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240C05E5" w14:textId="77777777" w:rsidR="00000000" w:rsidRDefault="00EF48A2">
            <w:pPr>
              <w:pStyle w:val="a3"/>
              <w:spacing w:before="0" w:beforeAutospacing="0" w:after="0" w:afterAutospacing="0"/>
              <w:jc w:val="center"/>
              <w:rPr>
                <w:sz w:val="15"/>
                <w:szCs w:val="15"/>
              </w:rPr>
            </w:pPr>
            <w:r>
              <w:rPr>
                <w:sz w:val="15"/>
                <w:szCs w:val="15"/>
              </w:rPr>
              <w:t>3.</w:t>
            </w:r>
            <w:r>
              <w:rPr>
                <w:sz w:val="15"/>
                <w:szCs w:val="15"/>
              </w:rPr>
              <w:t>1</w:t>
            </w:r>
          </w:p>
        </w:tc>
        <w:tc>
          <w:tcPr>
            <w:tcW w:w="0" w:type="auto"/>
            <w:tcMar>
              <w:top w:w="14" w:type="dxa"/>
              <w:left w:w="15" w:type="dxa"/>
              <w:bottom w:w="15" w:type="dxa"/>
              <w:right w:w="14" w:type="dxa"/>
            </w:tcMar>
            <w:hideMark/>
          </w:tcPr>
          <w:p w14:paraId="7C4AF8BB"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63351644"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1D1097FB" w14:textId="77777777">
        <w:trPr>
          <w:trHeight w:val="140"/>
          <w:tblCellSpacing w:w="15" w:type="dxa"/>
        </w:trPr>
        <w:tc>
          <w:tcPr>
            <w:tcW w:w="0" w:type="auto"/>
            <w:tcMar>
              <w:top w:w="14" w:type="dxa"/>
              <w:left w:w="15" w:type="dxa"/>
              <w:bottom w:w="15" w:type="dxa"/>
              <w:right w:w="14" w:type="dxa"/>
            </w:tcMar>
            <w:hideMark/>
          </w:tcPr>
          <w:p w14:paraId="620A5E93" w14:textId="77777777" w:rsidR="00000000" w:rsidRDefault="00EF48A2">
            <w:pPr>
              <w:pStyle w:val="a3"/>
              <w:spacing w:before="0" w:beforeAutospacing="0" w:after="0" w:afterAutospacing="0"/>
              <w:rPr>
                <w:sz w:val="15"/>
                <w:szCs w:val="15"/>
              </w:rPr>
            </w:pPr>
            <w:hyperlink r:id="rId9" w:history="1">
              <w:r>
                <w:rPr>
                  <w:rStyle w:val="a4"/>
                  <w:sz w:val="15"/>
                  <w:szCs w:val="15"/>
                </w:rPr>
                <w:t>3.</w:t>
              </w:r>
              <w:r>
                <w:rPr>
                  <w:rStyle w:val="a4"/>
                  <w:sz w:val="15"/>
                  <w:szCs w:val="15"/>
                </w:rPr>
                <w:t>2</w:t>
              </w:r>
            </w:hyperlink>
          </w:p>
        </w:tc>
        <w:tc>
          <w:tcPr>
            <w:tcW w:w="0" w:type="auto"/>
            <w:tcMar>
              <w:top w:w="14" w:type="dxa"/>
              <w:left w:w="15" w:type="dxa"/>
              <w:bottom w:w="15" w:type="dxa"/>
              <w:right w:w="14" w:type="dxa"/>
            </w:tcMar>
            <w:hideMark/>
          </w:tcPr>
          <w:p w14:paraId="42DB18C6"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6A5248EE" w14:textId="77777777" w:rsidR="00000000" w:rsidRDefault="00EF48A2">
            <w:pPr>
              <w:pStyle w:val="a3"/>
              <w:spacing w:before="0" w:beforeAutospacing="0" w:after="0" w:afterAutospacing="0"/>
              <w:rPr>
                <w:sz w:val="15"/>
                <w:szCs w:val="15"/>
              </w:rPr>
            </w:pPr>
            <w:hyperlink r:id="rId10" w:history="1">
              <w:r>
                <w:rPr>
                  <w:rStyle w:val="a4"/>
                  <w:sz w:val="15"/>
                  <w:szCs w:val="15"/>
                </w:rPr>
                <w:t>Bylaws of Talkspa</w:t>
              </w:r>
              <w:r>
                <w:rPr>
                  <w:rStyle w:val="a4"/>
                  <w:sz w:val="15"/>
                  <w:szCs w:val="15"/>
                </w:rPr>
                <w:t>ce, Inc</w:t>
              </w:r>
              <w:r>
                <w:rPr>
                  <w:rStyle w:val="a4"/>
                  <w:sz w:val="15"/>
                  <w:szCs w:val="15"/>
                </w:rPr>
                <w:t>.</w:t>
              </w:r>
            </w:hyperlink>
          </w:p>
        </w:tc>
        <w:tc>
          <w:tcPr>
            <w:tcW w:w="0" w:type="auto"/>
            <w:tcMar>
              <w:top w:w="14" w:type="dxa"/>
              <w:left w:w="15" w:type="dxa"/>
              <w:bottom w:w="15" w:type="dxa"/>
              <w:right w:w="14" w:type="dxa"/>
            </w:tcMar>
            <w:hideMark/>
          </w:tcPr>
          <w:p w14:paraId="71C4CCF7" w14:textId="77777777" w:rsidR="00000000" w:rsidRDefault="00EF48A2">
            <w:pPr>
              <w:pStyle w:val="a3"/>
              <w:spacing w:before="0" w:beforeAutospacing="0" w:after="0" w:afterAutospacing="0"/>
              <w:jc w:val="center"/>
              <w:rPr>
                <w:sz w:val="15"/>
                <w:szCs w:val="15"/>
              </w:rPr>
            </w:pPr>
            <w:r>
              <w:rPr>
                <w:sz w:val="15"/>
                <w:szCs w:val="15"/>
              </w:rPr>
              <w:t>8-K/</w:t>
            </w:r>
            <w:r>
              <w:rPr>
                <w:sz w:val="15"/>
                <w:szCs w:val="15"/>
              </w:rPr>
              <w:t>A</w:t>
            </w:r>
          </w:p>
        </w:tc>
        <w:tc>
          <w:tcPr>
            <w:tcW w:w="0" w:type="auto"/>
            <w:tcMar>
              <w:top w:w="14" w:type="dxa"/>
              <w:left w:w="15" w:type="dxa"/>
              <w:bottom w:w="15" w:type="dxa"/>
              <w:right w:w="14" w:type="dxa"/>
            </w:tcMar>
            <w:hideMark/>
          </w:tcPr>
          <w:p w14:paraId="25F81F43"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3AD406CF" w14:textId="77777777" w:rsidR="00000000" w:rsidRDefault="00EF48A2">
            <w:pPr>
              <w:pStyle w:val="a3"/>
              <w:spacing w:before="0" w:beforeAutospacing="0" w:after="0" w:afterAutospacing="0"/>
              <w:jc w:val="center"/>
              <w:rPr>
                <w:sz w:val="15"/>
                <w:szCs w:val="15"/>
              </w:rPr>
            </w:pPr>
            <w:r>
              <w:rPr>
                <w:sz w:val="15"/>
                <w:szCs w:val="15"/>
              </w:rPr>
              <w:t>3.</w:t>
            </w:r>
            <w:r>
              <w:rPr>
                <w:sz w:val="15"/>
                <w:szCs w:val="15"/>
              </w:rPr>
              <w:t>2</w:t>
            </w:r>
          </w:p>
        </w:tc>
        <w:tc>
          <w:tcPr>
            <w:tcW w:w="0" w:type="auto"/>
            <w:tcMar>
              <w:top w:w="14" w:type="dxa"/>
              <w:left w:w="15" w:type="dxa"/>
              <w:bottom w:w="15" w:type="dxa"/>
              <w:right w:w="14" w:type="dxa"/>
            </w:tcMar>
            <w:hideMark/>
          </w:tcPr>
          <w:p w14:paraId="73161940"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31D3953A"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35B526FD" w14:textId="77777777">
        <w:trPr>
          <w:trHeight w:val="140"/>
          <w:tblCellSpacing w:w="15" w:type="dxa"/>
        </w:trPr>
        <w:tc>
          <w:tcPr>
            <w:tcW w:w="0" w:type="auto"/>
            <w:tcMar>
              <w:top w:w="14" w:type="dxa"/>
              <w:left w:w="15" w:type="dxa"/>
              <w:bottom w:w="15" w:type="dxa"/>
              <w:right w:w="14" w:type="dxa"/>
            </w:tcMar>
            <w:hideMark/>
          </w:tcPr>
          <w:p w14:paraId="20A33DB8" w14:textId="77777777" w:rsidR="00000000" w:rsidRDefault="00EF48A2">
            <w:pPr>
              <w:pStyle w:val="a3"/>
              <w:spacing w:before="0" w:beforeAutospacing="0" w:after="0" w:afterAutospacing="0"/>
              <w:rPr>
                <w:sz w:val="15"/>
                <w:szCs w:val="15"/>
              </w:rPr>
            </w:pPr>
            <w:hyperlink r:id="rId11" w:history="1">
              <w:r>
                <w:rPr>
                  <w:rStyle w:val="a4"/>
                  <w:sz w:val="15"/>
                  <w:szCs w:val="15"/>
                </w:rPr>
                <w:t>4.</w:t>
              </w:r>
              <w:r>
                <w:rPr>
                  <w:rStyle w:val="a4"/>
                  <w:sz w:val="15"/>
                  <w:szCs w:val="15"/>
                </w:rPr>
                <w:t>1</w:t>
              </w:r>
            </w:hyperlink>
          </w:p>
        </w:tc>
        <w:tc>
          <w:tcPr>
            <w:tcW w:w="0" w:type="auto"/>
            <w:tcMar>
              <w:top w:w="14" w:type="dxa"/>
              <w:left w:w="15" w:type="dxa"/>
              <w:bottom w:w="15" w:type="dxa"/>
              <w:right w:w="14" w:type="dxa"/>
            </w:tcMar>
            <w:hideMark/>
          </w:tcPr>
          <w:p w14:paraId="318384E6"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1D8E4938" w14:textId="77777777" w:rsidR="00000000" w:rsidRDefault="00EF48A2">
            <w:pPr>
              <w:pStyle w:val="a3"/>
              <w:spacing w:before="0" w:beforeAutospacing="0" w:after="0" w:afterAutospacing="0"/>
              <w:rPr>
                <w:sz w:val="15"/>
                <w:szCs w:val="15"/>
              </w:rPr>
            </w:pPr>
            <w:hyperlink r:id="rId12" w:history="1">
              <w:r>
                <w:rPr>
                  <w:rStyle w:val="a4"/>
                  <w:sz w:val="15"/>
                  <w:szCs w:val="15"/>
                </w:rPr>
                <w:t>Warrant Agreement, dated as of June 8, 2020, by and between Continental Stock Transfer &amp; Trust Company and Hudson Executive Investment Corp</w:t>
              </w:r>
              <w:r>
                <w:rPr>
                  <w:rStyle w:val="a4"/>
                  <w:sz w:val="15"/>
                  <w:szCs w:val="15"/>
                </w:rPr>
                <w:t>.</w:t>
              </w:r>
              <w:r>
                <w:rPr>
                  <w:rStyle w:val="a4"/>
                  <w:sz w:val="15"/>
                  <w:szCs w:val="15"/>
                </w:rPr>
                <w:t xml:space="preserve"> </w:t>
              </w:r>
            </w:hyperlink>
          </w:p>
        </w:tc>
        <w:tc>
          <w:tcPr>
            <w:tcW w:w="0" w:type="auto"/>
            <w:tcMar>
              <w:top w:w="14" w:type="dxa"/>
              <w:left w:w="15" w:type="dxa"/>
              <w:bottom w:w="15" w:type="dxa"/>
              <w:right w:w="14" w:type="dxa"/>
            </w:tcMar>
            <w:hideMark/>
          </w:tcPr>
          <w:p w14:paraId="769B9EC4"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4B26B299" w14:textId="77777777" w:rsidR="00000000" w:rsidRDefault="00EF48A2">
            <w:pPr>
              <w:pStyle w:val="a3"/>
              <w:spacing w:before="0" w:beforeAutospacing="0" w:after="0" w:afterAutospacing="0"/>
              <w:jc w:val="center"/>
              <w:rPr>
                <w:sz w:val="15"/>
                <w:szCs w:val="15"/>
              </w:rPr>
            </w:pPr>
            <w:r>
              <w:rPr>
                <w:sz w:val="15"/>
                <w:szCs w:val="15"/>
              </w:rPr>
              <w:t>  001-3</w:t>
            </w:r>
            <w:r>
              <w:rPr>
                <w:sz w:val="15"/>
                <w:szCs w:val="15"/>
              </w:rPr>
              <w:t>931</w:t>
            </w:r>
            <w:r>
              <w:rPr>
                <w:sz w:val="15"/>
                <w:szCs w:val="15"/>
              </w:rPr>
              <w:t>4</w:t>
            </w:r>
            <w:r>
              <w:rPr>
                <w:sz w:val="15"/>
                <w:szCs w:val="15"/>
              </w:rPr>
              <w:t xml:space="preserve"> </w:t>
            </w:r>
          </w:p>
        </w:tc>
        <w:tc>
          <w:tcPr>
            <w:tcW w:w="0" w:type="auto"/>
            <w:tcMar>
              <w:top w:w="14" w:type="dxa"/>
              <w:left w:w="15" w:type="dxa"/>
              <w:bottom w:w="15" w:type="dxa"/>
              <w:right w:w="14" w:type="dxa"/>
            </w:tcMar>
            <w:hideMark/>
          </w:tcPr>
          <w:p w14:paraId="269E78EA" w14:textId="77777777" w:rsidR="00000000" w:rsidRDefault="00EF48A2">
            <w:pPr>
              <w:pStyle w:val="a3"/>
              <w:spacing w:before="0" w:beforeAutospacing="0" w:after="0" w:afterAutospacing="0"/>
              <w:jc w:val="center"/>
              <w:rPr>
                <w:sz w:val="15"/>
                <w:szCs w:val="15"/>
              </w:rPr>
            </w:pPr>
            <w:r>
              <w:rPr>
                <w:sz w:val="15"/>
                <w:szCs w:val="15"/>
              </w:rPr>
              <w:t>4.</w:t>
            </w:r>
            <w:r>
              <w:rPr>
                <w:sz w:val="15"/>
                <w:szCs w:val="15"/>
              </w:rPr>
              <w:t>1</w:t>
            </w:r>
          </w:p>
        </w:tc>
        <w:tc>
          <w:tcPr>
            <w:tcW w:w="0" w:type="auto"/>
            <w:tcMar>
              <w:top w:w="14" w:type="dxa"/>
              <w:left w:w="15" w:type="dxa"/>
              <w:bottom w:w="15" w:type="dxa"/>
              <w:right w:w="14" w:type="dxa"/>
            </w:tcMar>
            <w:hideMark/>
          </w:tcPr>
          <w:p w14:paraId="289180FA" w14:textId="77777777" w:rsidR="00000000" w:rsidRDefault="00EF48A2">
            <w:pPr>
              <w:pStyle w:val="a3"/>
              <w:spacing w:before="0" w:beforeAutospacing="0" w:after="0" w:afterAutospacing="0"/>
              <w:jc w:val="center"/>
              <w:rPr>
                <w:sz w:val="15"/>
                <w:szCs w:val="15"/>
              </w:rPr>
            </w:pPr>
            <w:r>
              <w:rPr>
                <w:sz w:val="15"/>
                <w:szCs w:val="15"/>
              </w:rPr>
              <w:t>6/11/2</w:t>
            </w:r>
            <w:r>
              <w:rPr>
                <w:sz w:val="15"/>
                <w:szCs w:val="15"/>
              </w:rPr>
              <w:t>0</w:t>
            </w:r>
          </w:p>
        </w:tc>
        <w:tc>
          <w:tcPr>
            <w:tcW w:w="0" w:type="auto"/>
            <w:tcMar>
              <w:top w:w="14" w:type="dxa"/>
              <w:left w:w="15" w:type="dxa"/>
              <w:bottom w:w="15" w:type="dxa"/>
              <w:right w:w="14" w:type="dxa"/>
            </w:tcMar>
            <w:hideMark/>
          </w:tcPr>
          <w:p w14:paraId="710DB3BC"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23AE7D83" w14:textId="77777777">
        <w:trPr>
          <w:trHeight w:val="140"/>
          <w:tblCellSpacing w:w="15" w:type="dxa"/>
        </w:trPr>
        <w:tc>
          <w:tcPr>
            <w:tcW w:w="0" w:type="auto"/>
            <w:tcMar>
              <w:top w:w="14" w:type="dxa"/>
              <w:left w:w="15" w:type="dxa"/>
              <w:bottom w:w="15" w:type="dxa"/>
              <w:right w:w="14" w:type="dxa"/>
            </w:tcMar>
            <w:hideMark/>
          </w:tcPr>
          <w:p w14:paraId="01A57CC6" w14:textId="77777777" w:rsidR="00000000" w:rsidRDefault="00EF48A2">
            <w:pPr>
              <w:pStyle w:val="a3"/>
              <w:spacing w:before="0" w:beforeAutospacing="0" w:after="0" w:afterAutospacing="0"/>
              <w:rPr>
                <w:sz w:val="15"/>
                <w:szCs w:val="15"/>
              </w:rPr>
            </w:pPr>
            <w:hyperlink r:id="rId13" w:history="1">
              <w:r>
                <w:rPr>
                  <w:rStyle w:val="a4"/>
                  <w:sz w:val="15"/>
                  <w:szCs w:val="15"/>
                </w:rPr>
                <w:t>4.</w:t>
              </w:r>
              <w:r>
                <w:rPr>
                  <w:rStyle w:val="a4"/>
                  <w:sz w:val="15"/>
                  <w:szCs w:val="15"/>
                </w:rPr>
                <w:t>2</w:t>
              </w:r>
            </w:hyperlink>
          </w:p>
        </w:tc>
        <w:tc>
          <w:tcPr>
            <w:tcW w:w="0" w:type="auto"/>
            <w:tcMar>
              <w:top w:w="14" w:type="dxa"/>
              <w:left w:w="15" w:type="dxa"/>
              <w:bottom w:w="15" w:type="dxa"/>
              <w:right w:w="14" w:type="dxa"/>
            </w:tcMar>
            <w:hideMark/>
          </w:tcPr>
          <w:p w14:paraId="44B068A2"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3EAAEB3D" w14:textId="77777777" w:rsidR="00000000" w:rsidRDefault="00EF48A2">
            <w:pPr>
              <w:pStyle w:val="a3"/>
              <w:spacing w:before="0" w:beforeAutospacing="0" w:after="0" w:afterAutospacing="0"/>
              <w:rPr>
                <w:sz w:val="15"/>
                <w:szCs w:val="15"/>
              </w:rPr>
            </w:pPr>
            <w:hyperlink r:id="rId14" w:history="1">
              <w:r>
                <w:rPr>
                  <w:rStyle w:val="a4"/>
                  <w:sz w:val="15"/>
                  <w:szCs w:val="15"/>
                </w:rPr>
                <w:t>Specimen Warrant Certif</w:t>
              </w:r>
              <w:r>
                <w:rPr>
                  <w:rStyle w:val="a4"/>
                  <w:sz w:val="15"/>
                  <w:szCs w:val="15"/>
                </w:rPr>
                <w:t>icate of the Registrant</w:t>
              </w:r>
              <w:r>
                <w:rPr>
                  <w:rStyle w:val="a4"/>
                  <w:sz w:val="15"/>
                  <w:szCs w:val="15"/>
                </w:rPr>
                <w:t>.</w:t>
              </w:r>
            </w:hyperlink>
          </w:p>
        </w:tc>
        <w:tc>
          <w:tcPr>
            <w:tcW w:w="0" w:type="auto"/>
            <w:tcMar>
              <w:top w:w="14" w:type="dxa"/>
              <w:left w:w="15" w:type="dxa"/>
              <w:bottom w:w="15" w:type="dxa"/>
              <w:right w:w="14" w:type="dxa"/>
            </w:tcMar>
            <w:hideMark/>
          </w:tcPr>
          <w:p w14:paraId="3E0F670A" w14:textId="77777777" w:rsidR="00000000" w:rsidRDefault="00EF48A2">
            <w:pPr>
              <w:pStyle w:val="a3"/>
              <w:spacing w:before="0" w:beforeAutospacing="0" w:after="0" w:afterAutospacing="0"/>
              <w:jc w:val="center"/>
              <w:rPr>
                <w:sz w:val="15"/>
                <w:szCs w:val="15"/>
              </w:rPr>
            </w:pPr>
            <w:r>
              <w:rPr>
                <w:sz w:val="15"/>
                <w:szCs w:val="15"/>
              </w:rPr>
              <w:t>S-1/</w:t>
            </w:r>
            <w:r>
              <w:rPr>
                <w:sz w:val="15"/>
                <w:szCs w:val="15"/>
              </w:rPr>
              <w:t>A</w:t>
            </w:r>
          </w:p>
        </w:tc>
        <w:tc>
          <w:tcPr>
            <w:tcW w:w="0" w:type="auto"/>
            <w:tcMar>
              <w:top w:w="14" w:type="dxa"/>
              <w:left w:w="15" w:type="dxa"/>
              <w:bottom w:w="15" w:type="dxa"/>
              <w:right w:w="14" w:type="dxa"/>
            </w:tcMar>
            <w:hideMark/>
          </w:tcPr>
          <w:p w14:paraId="6FF0C957" w14:textId="77777777" w:rsidR="00000000" w:rsidRDefault="00EF48A2">
            <w:pPr>
              <w:pStyle w:val="a3"/>
              <w:spacing w:before="0" w:beforeAutospacing="0" w:after="0" w:afterAutospacing="0"/>
              <w:jc w:val="center"/>
              <w:rPr>
                <w:sz w:val="15"/>
                <w:szCs w:val="15"/>
              </w:rPr>
            </w:pPr>
            <w:r>
              <w:rPr>
                <w:sz w:val="15"/>
                <w:szCs w:val="15"/>
              </w:rPr>
              <w:t>333-23858</w:t>
            </w:r>
            <w:r>
              <w:rPr>
                <w:sz w:val="15"/>
                <w:szCs w:val="15"/>
              </w:rPr>
              <w:t>3</w:t>
            </w:r>
            <w:r>
              <w:rPr>
                <w:sz w:val="15"/>
                <w:szCs w:val="15"/>
              </w:rPr>
              <w:t xml:space="preserve"> </w:t>
            </w:r>
          </w:p>
        </w:tc>
        <w:tc>
          <w:tcPr>
            <w:tcW w:w="0" w:type="auto"/>
            <w:tcMar>
              <w:top w:w="14" w:type="dxa"/>
              <w:left w:w="15" w:type="dxa"/>
              <w:bottom w:w="15" w:type="dxa"/>
              <w:right w:w="14" w:type="dxa"/>
            </w:tcMar>
            <w:hideMark/>
          </w:tcPr>
          <w:p w14:paraId="0368FF3A" w14:textId="77777777" w:rsidR="00000000" w:rsidRDefault="00EF48A2">
            <w:pPr>
              <w:pStyle w:val="a3"/>
              <w:spacing w:before="0" w:beforeAutospacing="0" w:after="0" w:afterAutospacing="0"/>
              <w:jc w:val="center"/>
              <w:rPr>
                <w:sz w:val="15"/>
                <w:szCs w:val="15"/>
              </w:rPr>
            </w:pPr>
            <w:r>
              <w:rPr>
                <w:sz w:val="15"/>
                <w:szCs w:val="15"/>
              </w:rPr>
              <w:t>4.</w:t>
            </w:r>
            <w:r>
              <w:rPr>
                <w:sz w:val="15"/>
                <w:szCs w:val="15"/>
              </w:rPr>
              <w:t>3</w:t>
            </w:r>
          </w:p>
        </w:tc>
        <w:tc>
          <w:tcPr>
            <w:tcW w:w="0" w:type="auto"/>
            <w:tcMar>
              <w:top w:w="14" w:type="dxa"/>
              <w:left w:w="15" w:type="dxa"/>
              <w:bottom w:w="15" w:type="dxa"/>
              <w:right w:w="14" w:type="dxa"/>
            </w:tcMar>
            <w:hideMark/>
          </w:tcPr>
          <w:p w14:paraId="6E1407D8" w14:textId="77777777" w:rsidR="00000000" w:rsidRDefault="00EF48A2">
            <w:pPr>
              <w:pStyle w:val="a3"/>
              <w:spacing w:before="0" w:beforeAutospacing="0" w:after="0" w:afterAutospacing="0"/>
              <w:jc w:val="center"/>
              <w:rPr>
                <w:sz w:val="15"/>
                <w:szCs w:val="15"/>
              </w:rPr>
            </w:pPr>
            <w:r>
              <w:rPr>
                <w:sz w:val="15"/>
                <w:szCs w:val="15"/>
              </w:rPr>
              <w:t>6/5/2</w:t>
            </w:r>
            <w:r>
              <w:rPr>
                <w:sz w:val="15"/>
                <w:szCs w:val="15"/>
              </w:rPr>
              <w:t>0</w:t>
            </w:r>
          </w:p>
        </w:tc>
        <w:tc>
          <w:tcPr>
            <w:tcW w:w="0" w:type="auto"/>
            <w:tcMar>
              <w:top w:w="14" w:type="dxa"/>
              <w:left w:w="15" w:type="dxa"/>
              <w:bottom w:w="15" w:type="dxa"/>
              <w:right w:w="14" w:type="dxa"/>
            </w:tcMar>
            <w:hideMark/>
          </w:tcPr>
          <w:p w14:paraId="117DD704"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3EA0E09D" w14:textId="77777777">
        <w:trPr>
          <w:trHeight w:val="140"/>
          <w:tblCellSpacing w:w="15" w:type="dxa"/>
        </w:trPr>
        <w:tc>
          <w:tcPr>
            <w:tcW w:w="0" w:type="auto"/>
            <w:tcMar>
              <w:top w:w="14" w:type="dxa"/>
              <w:left w:w="15" w:type="dxa"/>
              <w:bottom w:w="15" w:type="dxa"/>
              <w:right w:w="14" w:type="dxa"/>
            </w:tcMar>
            <w:hideMark/>
          </w:tcPr>
          <w:p w14:paraId="7811C1E2" w14:textId="77777777" w:rsidR="00000000" w:rsidRDefault="00EF48A2">
            <w:pPr>
              <w:pStyle w:val="a3"/>
              <w:spacing w:before="0" w:beforeAutospacing="0" w:after="0" w:afterAutospacing="0"/>
              <w:rPr>
                <w:sz w:val="15"/>
                <w:szCs w:val="15"/>
              </w:rPr>
            </w:pPr>
            <w:hyperlink r:id="rId15" w:history="1">
              <w:r>
                <w:rPr>
                  <w:rStyle w:val="a4"/>
                  <w:sz w:val="15"/>
                  <w:szCs w:val="15"/>
                </w:rPr>
                <w:t>4.</w:t>
              </w:r>
              <w:r>
                <w:rPr>
                  <w:rStyle w:val="a4"/>
                  <w:sz w:val="15"/>
                  <w:szCs w:val="15"/>
                </w:rPr>
                <w:t>3</w:t>
              </w:r>
            </w:hyperlink>
          </w:p>
        </w:tc>
        <w:tc>
          <w:tcPr>
            <w:tcW w:w="0" w:type="auto"/>
            <w:tcMar>
              <w:top w:w="14" w:type="dxa"/>
              <w:left w:w="15" w:type="dxa"/>
              <w:bottom w:w="15" w:type="dxa"/>
              <w:right w:w="14" w:type="dxa"/>
            </w:tcMar>
            <w:hideMark/>
          </w:tcPr>
          <w:p w14:paraId="5C47FD40"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0CB6DB8" w14:textId="77777777" w:rsidR="00000000" w:rsidRDefault="00EF48A2">
            <w:pPr>
              <w:pStyle w:val="a3"/>
              <w:spacing w:before="0" w:beforeAutospacing="0" w:after="0" w:afterAutospacing="0"/>
              <w:rPr>
                <w:sz w:val="15"/>
                <w:szCs w:val="15"/>
              </w:rPr>
            </w:pPr>
            <w:hyperlink r:id="rId16" w:history="1">
              <w:r>
                <w:rPr>
                  <w:rStyle w:val="a4"/>
                  <w:sz w:val="15"/>
                  <w:szCs w:val="15"/>
                </w:rPr>
                <w:t>Specimen Common Stock Certificate</w:t>
              </w:r>
              <w:r>
                <w:rPr>
                  <w:rStyle w:val="a4"/>
                  <w:sz w:val="15"/>
                  <w:szCs w:val="15"/>
                </w:rPr>
                <w:t>.</w:t>
              </w:r>
            </w:hyperlink>
          </w:p>
        </w:tc>
        <w:tc>
          <w:tcPr>
            <w:tcW w:w="0" w:type="auto"/>
            <w:tcMar>
              <w:top w:w="14" w:type="dxa"/>
              <w:left w:w="15" w:type="dxa"/>
              <w:bottom w:w="15" w:type="dxa"/>
              <w:right w:w="14" w:type="dxa"/>
            </w:tcMar>
            <w:hideMark/>
          </w:tcPr>
          <w:p w14:paraId="273D1425" w14:textId="77777777" w:rsidR="00000000" w:rsidRDefault="00EF48A2">
            <w:pPr>
              <w:pStyle w:val="a3"/>
              <w:spacing w:before="0" w:beforeAutospacing="0" w:after="0" w:afterAutospacing="0"/>
              <w:jc w:val="center"/>
              <w:rPr>
                <w:sz w:val="15"/>
                <w:szCs w:val="15"/>
              </w:rPr>
            </w:pPr>
            <w:r>
              <w:rPr>
                <w:sz w:val="15"/>
                <w:szCs w:val="15"/>
              </w:rPr>
              <w:t>S-4/</w:t>
            </w:r>
            <w:r>
              <w:rPr>
                <w:sz w:val="15"/>
                <w:szCs w:val="15"/>
              </w:rPr>
              <w:t>A</w:t>
            </w:r>
          </w:p>
        </w:tc>
        <w:tc>
          <w:tcPr>
            <w:tcW w:w="0" w:type="auto"/>
            <w:tcMar>
              <w:top w:w="14" w:type="dxa"/>
              <w:left w:w="15" w:type="dxa"/>
              <w:bottom w:w="15" w:type="dxa"/>
              <w:right w:w="14" w:type="dxa"/>
            </w:tcMar>
            <w:hideMark/>
          </w:tcPr>
          <w:p w14:paraId="6D3AA349" w14:textId="77777777" w:rsidR="00000000" w:rsidRDefault="00EF48A2">
            <w:pPr>
              <w:pStyle w:val="a3"/>
              <w:spacing w:before="0" w:beforeAutospacing="0" w:after="0" w:afterAutospacing="0"/>
              <w:jc w:val="center"/>
              <w:rPr>
                <w:sz w:val="15"/>
                <w:szCs w:val="15"/>
              </w:rPr>
            </w:pPr>
            <w:r>
              <w:rPr>
                <w:sz w:val="15"/>
                <w:szCs w:val="15"/>
              </w:rPr>
              <w:t>333-25263</w:t>
            </w:r>
            <w:r>
              <w:rPr>
                <w:sz w:val="15"/>
                <w:szCs w:val="15"/>
              </w:rPr>
              <w:t>8</w:t>
            </w:r>
            <w:r>
              <w:rPr>
                <w:sz w:val="15"/>
                <w:szCs w:val="15"/>
              </w:rPr>
              <w:t xml:space="preserve"> </w:t>
            </w:r>
          </w:p>
        </w:tc>
        <w:tc>
          <w:tcPr>
            <w:tcW w:w="0" w:type="auto"/>
            <w:tcMar>
              <w:top w:w="14" w:type="dxa"/>
              <w:left w:w="15" w:type="dxa"/>
              <w:bottom w:w="15" w:type="dxa"/>
              <w:right w:w="14" w:type="dxa"/>
            </w:tcMar>
            <w:hideMark/>
          </w:tcPr>
          <w:p w14:paraId="7D970B2C" w14:textId="77777777" w:rsidR="00000000" w:rsidRDefault="00EF48A2">
            <w:pPr>
              <w:pStyle w:val="a3"/>
              <w:spacing w:before="0" w:beforeAutospacing="0" w:after="0" w:afterAutospacing="0"/>
              <w:jc w:val="center"/>
              <w:rPr>
                <w:sz w:val="15"/>
                <w:szCs w:val="15"/>
              </w:rPr>
            </w:pPr>
            <w:r>
              <w:rPr>
                <w:sz w:val="15"/>
                <w:szCs w:val="15"/>
              </w:rPr>
              <w:t>4.</w:t>
            </w:r>
            <w:r>
              <w:rPr>
                <w:sz w:val="15"/>
                <w:szCs w:val="15"/>
              </w:rPr>
              <w:t>5</w:t>
            </w:r>
          </w:p>
        </w:tc>
        <w:tc>
          <w:tcPr>
            <w:tcW w:w="0" w:type="auto"/>
            <w:tcMar>
              <w:top w:w="14" w:type="dxa"/>
              <w:left w:w="15" w:type="dxa"/>
              <w:bottom w:w="15" w:type="dxa"/>
              <w:right w:w="14" w:type="dxa"/>
            </w:tcMar>
            <w:hideMark/>
          </w:tcPr>
          <w:p w14:paraId="2694874E" w14:textId="77777777" w:rsidR="00000000" w:rsidRDefault="00EF48A2">
            <w:pPr>
              <w:pStyle w:val="a3"/>
              <w:spacing w:before="0" w:beforeAutospacing="0" w:after="0" w:afterAutospacing="0"/>
              <w:jc w:val="center"/>
              <w:rPr>
                <w:sz w:val="15"/>
                <w:szCs w:val="15"/>
              </w:rPr>
            </w:pPr>
            <w:r>
              <w:rPr>
                <w:sz w:val="15"/>
                <w:szCs w:val="15"/>
              </w:rPr>
              <w:t>5/20/2</w:t>
            </w:r>
            <w:r>
              <w:rPr>
                <w:sz w:val="15"/>
                <w:szCs w:val="15"/>
              </w:rPr>
              <w:t>1</w:t>
            </w:r>
          </w:p>
        </w:tc>
        <w:tc>
          <w:tcPr>
            <w:tcW w:w="0" w:type="auto"/>
            <w:tcMar>
              <w:top w:w="14" w:type="dxa"/>
              <w:left w:w="15" w:type="dxa"/>
              <w:bottom w:w="15" w:type="dxa"/>
              <w:right w:w="14" w:type="dxa"/>
            </w:tcMar>
            <w:hideMark/>
          </w:tcPr>
          <w:p w14:paraId="2B17799A"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0680CBB4" w14:textId="77777777">
        <w:trPr>
          <w:trHeight w:val="140"/>
          <w:tblCellSpacing w:w="15" w:type="dxa"/>
        </w:trPr>
        <w:tc>
          <w:tcPr>
            <w:tcW w:w="0" w:type="auto"/>
            <w:tcMar>
              <w:top w:w="14" w:type="dxa"/>
              <w:left w:w="15" w:type="dxa"/>
              <w:bottom w:w="15" w:type="dxa"/>
              <w:right w:w="14" w:type="dxa"/>
            </w:tcMar>
            <w:hideMark/>
          </w:tcPr>
          <w:p w14:paraId="3CD5AE71" w14:textId="77777777" w:rsidR="00000000" w:rsidRDefault="00EF48A2">
            <w:pPr>
              <w:pStyle w:val="a3"/>
              <w:spacing w:before="0" w:beforeAutospacing="0" w:after="0" w:afterAutospacing="0"/>
              <w:rPr>
                <w:sz w:val="15"/>
                <w:szCs w:val="15"/>
              </w:rPr>
            </w:pPr>
            <w:hyperlink r:id="rId17" w:history="1">
              <w:r>
                <w:rPr>
                  <w:rStyle w:val="a4"/>
                  <w:sz w:val="15"/>
                  <w:szCs w:val="15"/>
                </w:rPr>
                <w:t>4.</w:t>
              </w:r>
              <w:r>
                <w:rPr>
                  <w:rStyle w:val="a4"/>
                  <w:sz w:val="15"/>
                  <w:szCs w:val="15"/>
                </w:rPr>
                <w:t>4</w:t>
              </w:r>
            </w:hyperlink>
          </w:p>
        </w:tc>
        <w:tc>
          <w:tcPr>
            <w:tcW w:w="0" w:type="auto"/>
            <w:tcMar>
              <w:top w:w="14" w:type="dxa"/>
              <w:left w:w="15" w:type="dxa"/>
              <w:bottom w:w="15" w:type="dxa"/>
              <w:right w:w="14" w:type="dxa"/>
            </w:tcMar>
            <w:hideMark/>
          </w:tcPr>
          <w:p w14:paraId="6C9202DC"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38849BA5" w14:textId="77777777" w:rsidR="00000000" w:rsidRDefault="00EF48A2">
            <w:pPr>
              <w:pStyle w:val="a3"/>
              <w:spacing w:before="0" w:beforeAutospacing="0" w:after="0" w:afterAutospacing="0"/>
              <w:rPr>
                <w:sz w:val="15"/>
                <w:szCs w:val="15"/>
              </w:rPr>
            </w:pPr>
            <w:hyperlink r:id="rId18" w:history="1">
              <w:r>
                <w:rPr>
                  <w:rStyle w:val="a4"/>
                  <w:sz w:val="15"/>
                  <w:szCs w:val="15"/>
                </w:rPr>
                <w:t>Description of Common Stock</w:t>
              </w:r>
              <w:r>
                <w:rPr>
                  <w:rStyle w:val="a4"/>
                  <w:sz w:val="15"/>
                  <w:szCs w:val="15"/>
                </w:rPr>
                <w:t>.</w:t>
              </w:r>
            </w:hyperlink>
          </w:p>
        </w:tc>
        <w:tc>
          <w:tcPr>
            <w:tcW w:w="0" w:type="auto"/>
            <w:tcMar>
              <w:top w:w="14" w:type="dxa"/>
              <w:left w:w="15" w:type="dxa"/>
              <w:bottom w:w="15" w:type="dxa"/>
              <w:right w:w="14" w:type="dxa"/>
            </w:tcMar>
            <w:hideMark/>
          </w:tcPr>
          <w:p w14:paraId="5253EE2B"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78E4D0AB"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7D262348" w14:textId="77777777" w:rsidR="00000000" w:rsidRDefault="00EF48A2">
            <w:pPr>
              <w:pStyle w:val="a3"/>
              <w:spacing w:before="0" w:beforeAutospacing="0" w:after="0" w:afterAutospacing="0"/>
              <w:jc w:val="center"/>
              <w:rPr>
                <w:sz w:val="15"/>
                <w:szCs w:val="15"/>
              </w:rPr>
            </w:pPr>
            <w:r>
              <w:rPr>
                <w:sz w:val="15"/>
                <w:szCs w:val="15"/>
              </w:rPr>
              <w:t>4.</w:t>
            </w:r>
            <w:r>
              <w:rPr>
                <w:sz w:val="15"/>
                <w:szCs w:val="15"/>
              </w:rPr>
              <w:t>4</w:t>
            </w:r>
          </w:p>
        </w:tc>
        <w:tc>
          <w:tcPr>
            <w:tcW w:w="0" w:type="auto"/>
            <w:tcMar>
              <w:top w:w="14" w:type="dxa"/>
              <w:left w:w="15" w:type="dxa"/>
              <w:bottom w:w="15" w:type="dxa"/>
              <w:right w:w="14" w:type="dxa"/>
            </w:tcMar>
            <w:hideMark/>
          </w:tcPr>
          <w:p w14:paraId="3B248867"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0391AC04"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30592242" w14:textId="77777777">
        <w:trPr>
          <w:trHeight w:val="140"/>
          <w:tblCellSpacing w:w="15" w:type="dxa"/>
        </w:trPr>
        <w:tc>
          <w:tcPr>
            <w:tcW w:w="0" w:type="auto"/>
            <w:tcMar>
              <w:top w:w="14" w:type="dxa"/>
              <w:left w:w="15" w:type="dxa"/>
              <w:bottom w:w="15" w:type="dxa"/>
              <w:right w:w="14" w:type="dxa"/>
            </w:tcMar>
            <w:hideMark/>
          </w:tcPr>
          <w:p w14:paraId="16137F5A" w14:textId="77777777" w:rsidR="00000000" w:rsidRDefault="00EF48A2">
            <w:pPr>
              <w:pStyle w:val="a3"/>
              <w:spacing w:before="0" w:beforeAutospacing="0" w:after="0" w:afterAutospacing="0"/>
              <w:rPr>
                <w:sz w:val="15"/>
                <w:szCs w:val="15"/>
              </w:rPr>
            </w:pPr>
            <w:hyperlink r:id="rId19" w:history="1">
              <w:r>
                <w:rPr>
                  <w:rStyle w:val="a4"/>
                  <w:sz w:val="15"/>
                  <w:szCs w:val="15"/>
                </w:rPr>
                <w:t>10.</w:t>
              </w:r>
              <w:r>
                <w:rPr>
                  <w:rStyle w:val="a4"/>
                  <w:sz w:val="15"/>
                  <w:szCs w:val="15"/>
                </w:rPr>
                <w:t>1</w:t>
              </w:r>
            </w:hyperlink>
            <w:r>
              <w:rPr>
                <w:sz w:val="15"/>
                <w:szCs w:val="15"/>
              </w:rPr>
              <w:t>†</w:t>
            </w:r>
          </w:p>
        </w:tc>
        <w:tc>
          <w:tcPr>
            <w:tcW w:w="0" w:type="auto"/>
            <w:tcMar>
              <w:top w:w="14" w:type="dxa"/>
              <w:left w:w="15" w:type="dxa"/>
              <w:bottom w:w="15" w:type="dxa"/>
              <w:right w:w="14" w:type="dxa"/>
            </w:tcMar>
            <w:hideMark/>
          </w:tcPr>
          <w:p w14:paraId="050953B3"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1DCAFC0" w14:textId="77777777" w:rsidR="00000000" w:rsidRDefault="00EF48A2">
            <w:pPr>
              <w:pStyle w:val="a3"/>
              <w:spacing w:before="0" w:beforeAutospacing="0" w:after="0" w:afterAutospacing="0"/>
              <w:rPr>
                <w:sz w:val="15"/>
                <w:szCs w:val="15"/>
              </w:rPr>
            </w:pPr>
            <w:hyperlink r:id="rId20" w:history="1">
              <w:r>
                <w:rPr>
                  <w:rStyle w:val="a4"/>
                  <w:sz w:val="15"/>
                  <w:szCs w:val="15"/>
                </w:rPr>
                <w:t>2021 Incentive Award Plan</w:t>
              </w:r>
              <w:r>
                <w:rPr>
                  <w:rStyle w:val="a4"/>
                  <w:sz w:val="15"/>
                  <w:szCs w:val="15"/>
                </w:rPr>
                <w:t>.</w:t>
              </w:r>
            </w:hyperlink>
          </w:p>
        </w:tc>
        <w:tc>
          <w:tcPr>
            <w:tcW w:w="0" w:type="auto"/>
            <w:tcMar>
              <w:top w:w="14" w:type="dxa"/>
              <w:left w:w="15" w:type="dxa"/>
              <w:bottom w:w="15" w:type="dxa"/>
              <w:right w:w="14" w:type="dxa"/>
            </w:tcMar>
            <w:hideMark/>
          </w:tcPr>
          <w:p w14:paraId="1A4F3BA8" w14:textId="77777777" w:rsidR="00000000" w:rsidRDefault="00EF48A2">
            <w:pPr>
              <w:pStyle w:val="a3"/>
              <w:spacing w:before="0" w:beforeAutospacing="0" w:after="0" w:afterAutospacing="0"/>
              <w:jc w:val="center"/>
              <w:rPr>
                <w:sz w:val="15"/>
                <w:szCs w:val="15"/>
              </w:rPr>
            </w:pPr>
            <w:r>
              <w:rPr>
                <w:sz w:val="15"/>
                <w:szCs w:val="15"/>
              </w:rPr>
              <w:t>S-</w:t>
            </w:r>
            <w:r>
              <w:rPr>
                <w:sz w:val="15"/>
                <w:szCs w:val="15"/>
              </w:rPr>
              <w:t>8</w:t>
            </w:r>
          </w:p>
        </w:tc>
        <w:tc>
          <w:tcPr>
            <w:tcW w:w="0" w:type="auto"/>
            <w:tcMar>
              <w:top w:w="14" w:type="dxa"/>
              <w:left w:w="15" w:type="dxa"/>
              <w:bottom w:w="15" w:type="dxa"/>
              <w:right w:w="14" w:type="dxa"/>
            </w:tcMar>
            <w:hideMark/>
          </w:tcPr>
          <w:p w14:paraId="6CB06CE0" w14:textId="77777777" w:rsidR="00000000" w:rsidRDefault="00EF48A2">
            <w:pPr>
              <w:pStyle w:val="a3"/>
              <w:spacing w:before="0" w:beforeAutospacing="0" w:after="0" w:afterAutospacing="0"/>
              <w:jc w:val="center"/>
              <w:rPr>
                <w:sz w:val="15"/>
                <w:szCs w:val="15"/>
              </w:rPr>
            </w:pPr>
            <w:r>
              <w:rPr>
                <w:sz w:val="15"/>
                <w:szCs w:val="15"/>
              </w:rPr>
              <w:t>333-</w:t>
            </w:r>
            <w:r>
              <w:rPr>
                <w:sz w:val="15"/>
                <w:szCs w:val="15"/>
              </w:rPr>
              <w:t>25916</w:t>
            </w:r>
            <w:r>
              <w:rPr>
                <w:sz w:val="15"/>
                <w:szCs w:val="15"/>
              </w:rPr>
              <w:t>5</w:t>
            </w:r>
          </w:p>
        </w:tc>
        <w:tc>
          <w:tcPr>
            <w:tcW w:w="0" w:type="auto"/>
            <w:tcMar>
              <w:top w:w="14" w:type="dxa"/>
              <w:left w:w="15" w:type="dxa"/>
              <w:bottom w:w="15" w:type="dxa"/>
              <w:right w:w="14" w:type="dxa"/>
            </w:tcMar>
            <w:hideMark/>
          </w:tcPr>
          <w:p w14:paraId="474DCD34" w14:textId="77777777" w:rsidR="00000000" w:rsidRDefault="00EF48A2">
            <w:pPr>
              <w:pStyle w:val="a3"/>
              <w:spacing w:before="0" w:beforeAutospacing="0" w:after="0" w:afterAutospacing="0"/>
              <w:jc w:val="center"/>
              <w:rPr>
                <w:sz w:val="15"/>
                <w:szCs w:val="15"/>
              </w:rPr>
            </w:pPr>
            <w:r>
              <w:rPr>
                <w:sz w:val="15"/>
                <w:szCs w:val="15"/>
              </w:rPr>
              <w:t>99.</w:t>
            </w:r>
            <w:r>
              <w:rPr>
                <w:sz w:val="15"/>
                <w:szCs w:val="15"/>
              </w:rPr>
              <w:t>1</w:t>
            </w:r>
          </w:p>
        </w:tc>
        <w:tc>
          <w:tcPr>
            <w:tcW w:w="0" w:type="auto"/>
            <w:tcMar>
              <w:top w:w="14" w:type="dxa"/>
              <w:left w:w="15" w:type="dxa"/>
              <w:bottom w:w="15" w:type="dxa"/>
              <w:right w:w="14" w:type="dxa"/>
            </w:tcMar>
            <w:hideMark/>
          </w:tcPr>
          <w:p w14:paraId="0EC6193D" w14:textId="77777777" w:rsidR="00000000" w:rsidRDefault="00EF48A2">
            <w:pPr>
              <w:pStyle w:val="a3"/>
              <w:spacing w:before="0" w:beforeAutospacing="0" w:after="0" w:afterAutospacing="0"/>
              <w:jc w:val="center"/>
              <w:rPr>
                <w:sz w:val="15"/>
                <w:szCs w:val="15"/>
              </w:rPr>
            </w:pPr>
            <w:r>
              <w:rPr>
                <w:sz w:val="15"/>
                <w:szCs w:val="15"/>
              </w:rPr>
              <w:t>8/30/2</w:t>
            </w:r>
            <w:r>
              <w:rPr>
                <w:sz w:val="15"/>
                <w:szCs w:val="15"/>
              </w:rPr>
              <w:t>1</w:t>
            </w:r>
          </w:p>
        </w:tc>
        <w:tc>
          <w:tcPr>
            <w:tcW w:w="0" w:type="auto"/>
            <w:tcMar>
              <w:top w:w="14" w:type="dxa"/>
              <w:left w:w="15" w:type="dxa"/>
              <w:bottom w:w="15" w:type="dxa"/>
              <w:right w:w="14" w:type="dxa"/>
            </w:tcMar>
            <w:hideMark/>
          </w:tcPr>
          <w:p w14:paraId="60C2E85D"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5DA1310B" w14:textId="77777777">
        <w:trPr>
          <w:trHeight w:val="140"/>
          <w:tblCellSpacing w:w="15" w:type="dxa"/>
        </w:trPr>
        <w:tc>
          <w:tcPr>
            <w:tcW w:w="0" w:type="auto"/>
            <w:tcMar>
              <w:top w:w="14" w:type="dxa"/>
              <w:left w:w="15" w:type="dxa"/>
              <w:bottom w:w="15" w:type="dxa"/>
              <w:right w:w="14" w:type="dxa"/>
            </w:tcMar>
            <w:hideMark/>
          </w:tcPr>
          <w:p w14:paraId="66841C16" w14:textId="77777777" w:rsidR="00000000" w:rsidRDefault="00EF48A2">
            <w:pPr>
              <w:pStyle w:val="a3"/>
              <w:spacing w:before="0" w:beforeAutospacing="0" w:after="0" w:afterAutospacing="0"/>
              <w:rPr>
                <w:sz w:val="15"/>
                <w:szCs w:val="15"/>
              </w:rPr>
            </w:pPr>
            <w:hyperlink r:id="rId21" w:history="1">
              <w:r>
                <w:rPr>
                  <w:rStyle w:val="a4"/>
                  <w:sz w:val="15"/>
                  <w:szCs w:val="15"/>
                </w:rPr>
                <w:t>10.</w:t>
              </w:r>
              <w:r>
                <w:rPr>
                  <w:rStyle w:val="a4"/>
                  <w:sz w:val="15"/>
                  <w:szCs w:val="15"/>
                </w:rPr>
                <w:t>2</w:t>
              </w:r>
            </w:hyperlink>
            <w:r>
              <w:rPr>
                <w:sz w:val="15"/>
                <w:szCs w:val="15"/>
              </w:rPr>
              <w:t>†</w:t>
            </w:r>
          </w:p>
        </w:tc>
        <w:tc>
          <w:tcPr>
            <w:tcW w:w="0" w:type="auto"/>
            <w:tcMar>
              <w:top w:w="14" w:type="dxa"/>
              <w:left w:w="15" w:type="dxa"/>
              <w:bottom w:w="15" w:type="dxa"/>
              <w:right w:w="14" w:type="dxa"/>
            </w:tcMar>
            <w:hideMark/>
          </w:tcPr>
          <w:p w14:paraId="75365739"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40BD20BD" w14:textId="77777777" w:rsidR="00000000" w:rsidRDefault="00EF48A2">
            <w:pPr>
              <w:pStyle w:val="a3"/>
              <w:spacing w:before="0" w:beforeAutospacing="0" w:after="0" w:afterAutospacing="0"/>
              <w:rPr>
                <w:sz w:val="15"/>
                <w:szCs w:val="15"/>
              </w:rPr>
            </w:pPr>
            <w:hyperlink r:id="rId22" w:history="1">
              <w:r>
                <w:rPr>
                  <w:rStyle w:val="a4"/>
                  <w:sz w:val="15"/>
                  <w:szCs w:val="15"/>
                </w:rPr>
                <w:t>2021 Employee Stock Purchase Plan</w:t>
              </w:r>
              <w:r>
                <w:rPr>
                  <w:rStyle w:val="a4"/>
                  <w:sz w:val="15"/>
                  <w:szCs w:val="15"/>
                </w:rPr>
                <w:t>.</w:t>
              </w:r>
            </w:hyperlink>
          </w:p>
        </w:tc>
        <w:tc>
          <w:tcPr>
            <w:tcW w:w="0" w:type="auto"/>
            <w:tcMar>
              <w:top w:w="14" w:type="dxa"/>
              <w:left w:w="15" w:type="dxa"/>
              <w:bottom w:w="15" w:type="dxa"/>
              <w:right w:w="14" w:type="dxa"/>
            </w:tcMar>
            <w:hideMark/>
          </w:tcPr>
          <w:p w14:paraId="329DD664" w14:textId="77777777" w:rsidR="00000000" w:rsidRDefault="00EF48A2">
            <w:pPr>
              <w:pStyle w:val="a3"/>
              <w:spacing w:before="0" w:beforeAutospacing="0" w:after="0" w:afterAutospacing="0"/>
              <w:jc w:val="center"/>
              <w:rPr>
                <w:sz w:val="15"/>
                <w:szCs w:val="15"/>
              </w:rPr>
            </w:pPr>
            <w:r>
              <w:rPr>
                <w:sz w:val="15"/>
                <w:szCs w:val="15"/>
              </w:rPr>
              <w:t>S-</w:t>
            </w:r>
            <w:r>
              <w:rPr>
                <w:sz w:val="15"/>
                <w:szCs w:val="15"/>
              </w:rPr>
              <w:t>8</w:t>
            </w:r>
          </w:p>
        </w:tc>
        <w:tc>
          <w:tcPr>
            <w:tcW w:w="0" w:type="auto"/>
            <w:tcMar>
              <w:top w:w="14" w:type="dxa"/>
              <w:left w:w="15" w:type="dxa"/>
              <w:bottom w:w="15" w:type="dxa"/>
              <w:right w:w="14" w:type="dxa"/>
            </w:tcMar>
            <w:hideMark/>
          </w:tcPr>
          <w:p w14:paraId="6C368B19" w14:textId="77777777" w:rsidR="00000000" w:rsidRDefault="00EF48A2">
            <w:pPr>
              <w:pStyle w:val="a3"/>
              <w:spacing w:before="0" w:beforeAutospacing="0" w:after="0" w:afterAutospacing="0"/>
              <w:jc w:val="center"/>
              <w:rPr>
                <w:sz w:val="15"/>
                <w:szCs w:val="15"/>
              </w:rPr>
            </w:pPr>
            <w:r>
              <w:rPr>
                <w:sz w:val="15"/>
                <w:szCs w:val="15"/>
              </w:rPr>
              <w:t>333-25916</w:t>
            </w:r>
            <w:r>
              <w:rPr>
                <w:sz w:val="15"/>
                <w:szCs w:val="15"/>
              </w:rPr>
              <w:t>5</w:t>
            </w:r>
          </w:p>
        </w:tc>
        <w:tc>
          <w:tcPr>
            <w:tcW w:w="0" w:type="auto"/>
            <w:tcMar>
              <w:top w:w="14" w:type="dxa"/>
              <w:left w:w="15" w:type="dxa"/>
              <w:bottom w:w="15" w:type="dxa"/>
              <w:right w:w="14" w:type="dxa"/>
            </w:tcMar>
            <w:hideMark/>
          </w:tcPr>
          <w:p w14:paraId="038336F2" w14:textId="77777777" w:rsidR="00000000" w:rsidRDefault="00EF48A2">
            <w:pPr>
              <w:pStyle w:val="a3"/>
              <w:spacing w:before="0" w:beforeAutospacing="0" w:after="0" w:afterAutospacing="0"/>
              <w:jc w:val="center"/>
              <w:rPr>
                <w:sz w:val="15"/>
                <w:szCs w:val="15"/>
              </w:rPr>
            </w:pPr>
            <w:r>
              <w:rPr>
                <w:sz w:val="15"/>
                <w:szCs w:val="15"/>
              </w:rPr>
              <w:t>99.</w:t>
            </w:r>
            <w:r>
              <w:rPr>
                <w:sz w:val="15"/>
                <w:szCs w:val="15"/>
              </w:rPr>
              <w:t>2</w:t>
            </w:r>
          </w:p>
        </w:tc>
        <w:tc>
          <w:tcPr>
            <w:tcW w:w="0" w:type="auto"/>
            <w:tcMar>
              <w:top w:w="14" w:type="dxa"/>
              <w:left w:w="15" w:type="dxa"/>
              <w:bottom w:w="15" w:type="dxa"/>
              <w:right w:w="14" w:type="dxa"/>
            </w:tcMar>
            <w:hideMark/>
          </w:tcPr>
          <w:p w14:paraId="5BDF94F0" w14:textId="77777777" w:rsidR="00000000" w:rsidRDefault="00EF48A2">
            <w:pPr>
              <w:pStyle w:val="a3"/>
              <w:spacing w:before="0" w:beforeAutospacing="0" w:after="0" w:afterAutospacing="0"/>
              <w:jc w:val="center"/>
              <w:rPr>
                <w:sz w:val="15"/>
                <w:szCs w:val="15"/>
              </w:rPr>
            </w:pPr>
            <w:r>
              <w:rPr>
                <w:sz w:val="15"/>
                <w:szCs w:val="15"/>
              </w:rPr>
              <w:t>8/30/2</w:t>
            </w:r>
            <w:r>
              <w:rPr>
                <w:sz w:val="15"/>
                <w:szCs w:val="15"/>
              </w:rPr>
              <w:t>1</w:t>
            </w:r>
          </w:p>
        </w:tc>
        <w:tc>
          <w:tcPr>
            <w:tcW w:w="0" w:type="auto"/>
            <w:tcMar>
              <w:top w:w="14" w:type="dxa"/>
              <w:left w:w="15" w:type="dxa"/>
              <w:bottom w:w="15" w:type="dxa"/>
              <w:right w:w="14" w:type="dxa"/>
            </w:tcMar>
            <w:hideMark/>
          </w:tcPr>
          <w:p w14:paraId="2B61AFC7"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6FE22EE6" w14:textId="77777777">
        <w:trPr>
          <w:trHeight w:val="140"/>
          <w:tblCellSpacing w:w="15" w:type="dxa"/>
        </w:trPr>
        <w:tc>
          <w:tcPr>
            <w:tcW w:w="0" w:type="auto"/>
            <w:tcMar>
              <w:top w:w="14" w:type="dxa"/>
              <w:left w:w="15" w:type="dxa"/>
              <w:bottom w:w="15" w:type="dxa"/>
              <w:right w:w="14" w:type="dxa"/>
            </w:tcMar>
            <w:hideMark/>
          </w:tcPr>
          <w:p w14:paraId="0BE36557" w14:textId="77777777" w:rsidR="00000000" w:rsidRDefault="00EF48A2">
            <w:pPr>
              <w:pStyle w:val="a3"/>
              <w:spacing w:before="0" w:beforeAutospacing="0" w:after="0" w:afterAutospacing="0"/>
              <w:rPr>
                <w:sz w:val="15"/>
                <w:szCs w:val="15"/>
              </w:rPr>
            </w:pPr>
            <w:hyperlink r:id="rId23" w:history="1">
              <w:r>
                <w:rPr>
                  <w:rStyle w:val="a4"/>
                  <w:sz w:val="15"/>
                  <w:szCs w:val="15"/>
                </w:rPr>
                <w:t>10.</w:t>
              </w:r>
              <w:r>
                <w:rPr>
                  <w:rStyle w:val="a4"/>
                  <w:sz w:val="15"/>
                  <w:szCs w:val="15"/>
                </w:rPr>
                <w:t>3</w:t>
              </w:r>
            </w:hyperlink>
            <w:r>
              <w:rPr>
                <w:sz w:val="15"/>
                <w:szCs w:val="15"/>
              </w:rPr>
              <w:t>†</w:t>
            </w:r>
          </w:p>
        </w:tc>
        <w:tc>
          <w:tcPr>
            <w:tcW w:w="0" w:type="auto"/>
            <w:tcMar>
              <w:top w:w="14" w:type="dxa"/>
              <w:left w:w="15" w:type="dxa"/>
              <w:bottom w:w="15" w:type="dxa"/>
              <w:right w:w="14" w:type="dxa"/>
            </w:tcMar>
            <w:hideMark/>
          </w:tcPr>
          <w:p w14:paraId="2DB37520"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8A12125" w14:textId="77777777" w:rsidR="00000000" w:rsidRDefault="00EF48A2">
            <w:pPr>
              <w:pStyle w:val="a3"/>
              <w:spacing w:before="0" w:beforeAutospacing="0" w:after="0" w:afterAutospacing="0"/>
              <w:rPr>
                <w:sz w:val="15"/>
                <w:szCs w:val="15"/>
              </w:rPr>
            </w:pPr>
            <w:hyperlink r:id="rId24" w:history="1">
              <w:r>
                <w:rPr>
                  <w:rStyle w:val="a4"/>
                  <w:sz w:val="15"/>
                  <w:szCs w:val="15"/>
                </w:rPr>
                <w:t>2014 Stock Incentive Plan</w:t>
              </w:r>
              <w:r>
                <w:rPr>
                  <w:rStyle w:val="a4"/>
                  <w:sz w:val="15"/>
                  <w:szCs w:val="15"/>
                </w:rPr>
                <w:t>.</w:t>
              </w:r>
            </w:hyperlink>
          </w:p>
        </w:tc>
        <w:tc>
          <w:tcPr>
            <w:tcW w:w="0" w:type="auto"/>
            <w:tcMar>
              <w:top w:w="14" w:type="dxa"/>
              <w:left w:w="15" w:type="dxa"/>
              <w:bottom w:w="15" w:type="dxa"/>
              <w:right w:w="14" w:type="dxa"/>
            </w:tcMar>
            <w:hideMark/>
          </w:tcPr>
          <w:p w14:paraId="38815E16" w14:textId="77777777" w:rsidR="00000000" w:rsidRDefault="00EF48A2">
            <w:pPr>
              <w:pStyle w:val="a3"/>
              <w:spacing w:before="0" w:beforeAutospacing="0" w:after="0" w:afterAutospacing="0"/>
              <w:jc w:val="center"/>
              <w:rPr>
                <w:sz w:val="15"/>
                <w:szCs w:val="15"/>
              </w:rPr>
            </w:pPr>
            <w:r>
              <w:rPr>
                <w:sz w:val="15"/>
                <w:szCs w:val="15"/>
              </w:rPr>
              <w:t>S-</w:t>
            </w:r>
            <w:r>
              <w:rPr>
                <w:sz w:val="15"/>
                <w:szCs w:val="15"/>
              </w:rPr>
              <w:t>8</w:t>
            </w:r>
          </w:p>
        </w:tc>
        <w:tc>
          <w:tcPr>
            <w:tcW w:w="0" w:type="auto"/>
            <w:tcMar>
              <w:top w:w="14" w:type="dxa"/>
              <w:left w:w="15" w:type="dxa"/>
              <w:bottom w:w="15" w:type="dxa"/>
              <w:right w:w="14" w:type="dxa"/>
            </w:tcMar>
            <w:hideMark/>
          </w:tcPr>
          <w:p w14:paraId="56033D12" w14:textId="77777777" w:rsidR="00000000" w:rsidRDefault="00EF48A2">
            <w:pPr>
              <w:pStyle w:val="a3"/>
              <w:spacing w:before="0" w:beforeAutospacing="0" w:after="0" w:afterAutospacing="0"/>
              <w:jc w:val="center"/>
              <w:rPr>
                <w:sz w:val="15"/>
                <w:szCs w:val="15"/>
              </w:rPr>
            </w:pPr>
            <w:r>
              <w:rPr>
                <w:sz w:val="15"/>
                <w:szCs w:val="15"/>
              </w:rPr>
              <w:t>333-25916</w:t>
            </w:r>
            <w:r>
              <w:rPr>
                <w:sz w:val="15"/>
                <w:szCs w:val="15"/>
              </w:rPr>
              <w:t>5</w:t>
            </w:r>
          </w:p>
        </w:tc>
        <w:tc>
          <w:tcPr>
            <w:tcW w:w="0" w:type="auto"/>
            <w:tcMar>
              <w:top w:w="14" w:type="dxa"/>
              <w:left w:w="15" w:type="dxa"/>
              <w:bottom w:w="15" w:type="dxa"/>
              <w:right w:w="14" w:type="dxa"/>
            </w:tcMar>
            <w:hideMark/>
          </w:tcPr>
          <w:p w14:paraId="554AB587" w14:textId="77777777" w:rsidR="00000000" w:rsidRDefault="00EF48A2">
            <w:pPr>
              <w:pStyle w:val="a3"/>
              <w:spacing w:before="0" w:beforeAutospacing="0" w:after="0" w:afterAutospacing="0"/>
              <w:jc w:val="center"/>
              <w:rPr>
                <w:sz w:val="15"/>
                <w:szCs w:val="15"/>
              </w:rPr>
            </w:pPr>
            <w:r>
              <w:rPr>
                <w:sz w:val="15"/>
                <w:szCs w:val="15"/>
              </w:rPr>
              <w:t>99.</w:t>
            </w:r>
            <w:r>
              <w:rPr>
                <w:sz w:val="15"/>
                <w:szCs w:val="15"/>
              </w:rPr>
              <w:t>3</w:t>
            </w:r>
          </w:p>
        </w:tc>
        <w:tc>
          <w:tcPr>
            <w:tcW w:w="0" w:type="auto"/>
            <w:tcMar>
              <w:top w:w="14" w:type="dxa"/>
              <w:left w:w="15" w:type="dxa"/>
              <w:bottom w:w="15" w:type="dxa"/>
              <w:right w:w="14" w:type="dxa"/>
            </w:tcMar>
            <w:hideMark/>
          </w:tcPr>
          <w:p w14:paraId="2E22DBA7" w14:textId="77777777" w:rsidR="00000000" w:rsidRDefault="00EF48A2">
            <w:pPr>
              <w:pStyle w:val="a3"/>
              <w:spacing w:before="0" w:beforeAutospacing="0" w:after="0" w:afterAutospacing="0"/>
              <w:jc w:val="center"/>
              <w:rPr>
                <w:sz w:val="15"/>
                <w:szCs w:val="15"/>
              </w:rPr>
            </w:pPr>
            <w:r>
              <w:rPr>
                <w:sz w:val="15"/>
                <w:szCs w:val="15"/>
              </w:rPr>
              <w:t>8/30/2</w:t>
            </w:r>
            <w:r>
              <w:rPr>
                <w:sz w:val="15"/>
                <w:szCs w:val="15"/>
              </w:rPr>
              <w:t>1</w:t>
            </w:r>
          </w:p>
        </w:tc>
        <w:tc>
          <w:tcPr>
            <w:tcW w:w="0" w:type="auto"/>
            <w:tcMar>
              <w:top w:w="14" w:type="dxa"/>
              <w:left w:w="15" w:type="dxa"/>
              <w:bottom w:w="15" w:type="dxa"/>
              <w:right w:w="14" w:type="dxa"/>
            </w:tcMar>
            <w:hideMark/>
          </w:tcPr>
          <w:p w14:paraId="0A5166D2"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0FDDC55F" w14:textId="77777777">
        <w:trPr>
          <w:trHeight w:val="140"/>
          <w:tblCellSpacing w:w="15" w:type="dxa"/>
        </w:trPr>
        <w:tc>
          <w:tcPr>
            <w:tcW w:w="0" w:type="auto"/>
            <w:tcMar>
              <w:top w:w="14" w:type="dxa"/>
              <w:left w:w="15" w:type="dxa"/>
              <w:bottom w:w="15" w:type="dxa"/>
              <w:right w:w="14" w:type="dxa"/>
            </w:tcMar>
            <w:hideMark/>
          </w:tcPr>
          <w:p w14:paraId="532E18A0" w14:textId="77777777" w:rsidR="00000000" w:rsidRDefault="00EF48A2">
            <w:pPr>
              <w:pStyle w:val="a3"/>
              <w:spacing w:before="0" w:beforeAutospacing="0" w:after="0" w:afterAutospacing="0"/>
              <w:rPr>
                <w:sz w:val="15"/>
                <w:szCs w:val="15"/>
              </w:rPr>
            </w:pPr>
            <w:hyperlink r:id="rId25" w:history="1">
              <w:r>
                <w:rPr>
                  <w:rStyle w:val="a4"/>
                  <w:sz w:val="15"/>
                  <w:szCs w:val="15"/>
                </w:rPr>
                <w:t>10.</w:t>
              </w:r>
              <w:r>
                <w:rPr>
                  <w:rStyle w:val="a4"/>
                  <w:sz w:val="15"/>
                  <w:szCs w:val="15"/>
                </w:rPr>
                <w:t>4</w:t>
              </w:r>
            </w:hyperlink>
            <w:r>
              <w:rPr>
                <w:sz w:val="15"/>
                <w:szCs w:val="15"/>
              </w:rPr>
              <w:t>†</w:t>
            </w:r>
          </w:p>
        </w:tc>
        <w:tc>
          <w:tcPr>
            <w:tcW w:w="0" w:type="auto"/>
            <w:tcMar>
              <w:top w:w="14" w:type="dxa"/>
              <w:left w:w="15" w:type="dxa"/>
              <w:bottom w:w="15" w:type="dxa"/>
              <w:right w:w="14" w:type="dxa"/>
            </w:tcMar>
            <w:hideMark/>
          </w:tcPr>
          <w:p w14:paraId="2A73A1B2"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310EEEE6" w14:textId="77777777" w:rsidR="00000000" w:rsidRDefault="00EF48A2">
            <w:pPr>
              <w:pStyle w:val="a3"/>
              <w:spacing w:before="0" w:beforeAutospacing="0" w:after="0" w:afterAutospacing="0"/>
              <w:rPr>
                <w:sz w:val="15"/>
                <w:szCs w:val="15"/>
              </w:rPr>
            </w:pPr>
            <w:hyperlink r:id="rId26" w:history="1">
              <w:r>
                <w:rPr>
                  <w:rStyle w:val="a4"/>
                  <w:sz w:val="15"/>
                  <w:szCs w:val="15"/>
                </w:rPr>
                <w:t>Form of Indemnification Agreement</w:t>
              </w:r>
              <w:r>
                <w:rPr>
                  <w:rStyle w:val="a4"/>
                  <w:sz w:val="15"/>
                  <w:szCs w:val="15"/>
                </w:rPr>
                <w:t>.</w:t>
              </w:r>
            </w:hyperlink>
          </w:p>
        </w:tc>
        <w:tc>
          <w:tcPr>
            <w:tcW w:w="0" w:type="auto"/>
            <w:tcMar>
              <w:top w:w="14" w:type="dxa"/>
              <w:left w:w="15" w:type="dxa"/>
              <w:bottom w:w="15" w:type="dxa"/>
              <w:right w:w="14" w:type="dxa"/>
            </w:tcMar>
            <w:hideMark/>
          </w:tcPr>
          <w:p w14:paraId="24EFC11A"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1CCFCA3B"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6A8DED5B"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1</w:t>
            </w:r>
          </w:p>
        </w:tc>
        <w:tc>
          <w:tcPr>
            <w:tcW w:w="0" w:type="auto"/>
            <w:tcMar>
              <w:top w:w="14" w:type="dxa"/>
              <w:left w:w="15" w:type="dxa"/>
              <w:bottom w:w="15" w:type="dxa"/>
              <w:right w:w="14" w:type="dxa"/>
            </w:tcMar>
            <w:hideMark/>
          </w:tcPr>
          <w:p w14:paraId="61D7B78A"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2BA91029"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6C395F52" w14:textId="77777777">
        <w:trPr>
          <w:trHeight w:val="140"/>
          <w:tblCellSpacing w:w="15" w:type="dxa"/>
        </w:trPr>
        <w:tc>
          <w:tcPr>
            <w:tcW w:w="0" w:type="auto"/>
            <w:tcMar>
              <w:top w:w="14" w:type="dxa"/>
              <w:left w:w="15" w:type="dxa"/>
              <w:bottom w:w="15" w:type="dxa"/>
              <w:right w:w="14" w:type="dxa"/>
            </w:tcMar>
            <w:hideMark/>
          </w:tcPr>
          <w:p w14:paraId="49E98422" w14:textId="77777777" w:rsidR="00000000" w:rsidRDefault="00EF48A2">
            <w:pPr>
              <w:pStyle w:val="a3"/>
              <w:spacing w:before="0" w:beforeAutospacing="0" w:after="0" w:afterAutospacing="0"/>
              <w:rPr>
                <w:sz w:val="15"/>
                <w:szCs w:val="15"/>
              </w:rPr>
            </w:pPr>
            <w:hyperlink r:id="rId27" w:history="1">
              <w:r>
                <w:rPr>
                  <w:rStyle w:val="a4"/>
                  <w:sz w:val="15"/>
                  <w:szCs w:val="15"/>
                </w:rPr>
                <w:t>10.</w:t>
              </w:r>
              <w:r>
                <w:rPr>
                  <w:rStyle w:val="a4"/>
                  <w:sz w:val="15"/>
                  <w:szCs w:val="15"/>
                </w:rPr>
                <w:t>5</w:t>
              </w:r>
            </w:hyperlink>
          </w:p>
        </w:tc>
        <w:tc>
          <w:tcPr>
            <w:tcW w:w="0" w:type="auto"/>
            <w:tcMar>
              <w:top w:w="14" w:type="dxa"/>
              <w:left w:w="15" w:type="dxa"/>
              <w:bottom w:w="15" w:type="dxa"/>
              <w:right w:w="14" w:type="dxa"/>
            </w:tcMar>
            <w:hideMark/>
          </w:tcPr>
          <w:p w14:paraId="1E7EF627"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07B5FBEE" w14:textId="77777777" w:rsidR="00000000" w:rsidRDefault="00EF48A2">
            <w:pPr>
              <w:pStyle w:val="a3"/>
              <w:spacing w:before="0" w:beforeAutospacing="0" w:after="0" w:afterAutospacing="0"/>
              <w:rPr>
                <w:sz w:val="15"/>
                <w:szCs w:val="15"/>
              </w:rPr>
            </w:pPr>
            <w:hyperlink r:id="rId28" w:history="1">
              <w:r>
                <w:rPr>
                  <w:rStyle w:val="a4"/>
                  <w:sz w:val="15"/>
                  <w:szCs w:val="15"/>
                </w:rPr>
                <w:t xml:space="preserve">Amended and Restated Registration Rights </w:t>
              </w:r>
              <w:r>
                <w:rPr>
                  <w:rStyle w:val="a4"/>
                  <w:sz w:val="15"/>
                  <w:szCs w:val="15"/>
                </w:rPr>
                <w:t>Agreement, by and among Talkspace, Inc. and the holders party thereto</w:t>
              </w:r>
              <w:r>
                <w:rPr>
                  <w:rStyle w:val="a4"/>
                  <w:sz w:val="15"/>
                  <w:szCs w:val="15"/>
                </w:rPr>
                <w:t>.</w:t>
              </w:r>
            </w:hyperlink>
          </w:p>
        </w:tc>
        <w:tc>
          <w:tcPr>
            <w:tcW w:w="0" w:type="auto"/>
            <w:tcMar>
              <w:top w:w="14" w:type="dxa"/>
              <w:left w:w="15" w:type="dxa"/>
              <w:bottom w:w="15" w:type="dxa"/>
              <w:right w:w="14" w:type="dxa"/>
            </w:tcMar>
            <w:hideMark/>
          </w:tcPr>
          <w:p w14:paraId="6B8E910E"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575FBDBF"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0EFF2560"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2</w:t>
            </w:r>
          </w:p>
        </w:tc>
        <w:tc>
          <w:tcPr>
            <w:tcW w:w="0" w:type="auto"/>
            <w:tcMar>
              <w:top w:w="14" w:type="dxa"/>
              <w:left w:w="15" w:type="dxa"/>
              <w:bottom w:w="15" w:type="dxa"/>
              <w:right w:w="14" w:type="dxa"/>
            </w:tcMar>
            <w:hideMark/>
          </w:tcPr>
          <w:p w14:paraId="6D49974F"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3B3E9DD2"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1CFB909E" w14:textId="77777777">
        <w:trPr>
          <w:trHeight w:val="140"/>
          <w:tblCellSpacing w:w="15" w:type="dxa"/>
        </w:trPr>
        <w:tc>
          <w:tcPr>
            <w:tcW w:w="0" w:type="auto"/>
            <w:tcMar>
              <w:top w:w="14" w:type="dxa"/>
              <w:left w:w="15" w:type="dxa"/>
              <w:bottom w:w="15" w:type="dxa"/>
              <w:right w:w="14" w:type="dxa"/>
            </w:tcMar>
            <w:hideMark/>
          </w:tcPr>
          <w:p w14:paraId="700ACB6A" w14:textId="77777777" w:rsidR="00000000" w:rsidRDefault="00EF48A2">
            <w:pPr>
              <w:pStyle w:val="a3"/>
              <w:spacing w:before="0" w:beforeAutospacing="0" w:after="0" w:afterAutospacing="0"/>
              <w:rPr>
                <w:sz w:val="15"/>
                <w:szCs w:val="15"/>
              </w:rPr>
            </w:pPr>
            <w:hyperlink r:id="rId29" w:history="1">
              <w:r>
                <w:rPr>
                  <w:rStyle w:val="a4"/>
                  <w:sz w:val="15"/>
                  <w:szCs w:val="15"/>
                </w:rPr>
                <w:t>10.</w:t>
              </w:r>
              <w:r>
                <w:rPr>
                  <w:rStyle w:val="a4"/>
                  <w:sz w:val="15"/>
                  <w:szCs w:val="15"/>
                </w:rPr>
                <w:t>6</w:t>
              </w:r>
            </w:hyperlink>
            <w:r>
              <w:rPr>
                <w:sz w:val="15"/>
                <w:szCs w:val="15"/>
              </w:rPr>
              <w:t>†</w:t>
            </w:r>
          </w:p>
        </w:tc>
        <w:tc>
          <w:tcPr>
            <w:tcW w:w="0" w:type="auto"/>
            <w:tcMar>
              <w:top w:w="14" w:type="dxa"/>
              <w:left w:w="15" w:type="dxa"/>
              <w:bottom w:w="15" w:type="dxa"/>
              <w:right w:w="14" w:type="dxa"/>
            </w:tcMar>
            <w:hideMark/>
          </w:tcPr>
          <w:p w14:paraId="692AA0CF"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2368166B" w14:textId="77777777" w:rsidR="00000000" w:rsidRDefault="00EF48A2">
            <w:pPr>
              <w:pStyle w:val="a3"/>
              <w:spacing w:before="0" w:beforeAutospacing="0" w:after="0" w:afterAutospacing="0"/>
              <w:rPr>
                <w:sz w:val="15"/>
                <w:szCs w:val="15"/>
              </w:rPr>
            </w:pPr>
            <w:hyperlink r:id="rId30" w:history="1">
              <w:r>
                <w:rPr>
                  <w:rStyle w:val="a4"/>
                  <w:sz w:val="15"/>
                  <w:szCs w:val="15"/>
                </w:rPr>
                <w:t>Non-Employee Director Compensation Program</w:t>
              </w:r>
              <w:r>
                <w:rPr>
                  <w:rStyle w:val="a4"/>
                  <w:sz w:val="15"/>
                  <w:szCs w:val="15"/>
                </w:rPr>
                <w:t>.</w:t>
              </w:r>
            </w:hyperlink>
          </w:p>
        </w:tc>
        <w:tc>
          <w:tcPr>
            <w:tcW w:w="0" w:type="auto"/>
            <w:tcMar>
              <w:top w:w="14" w:type="dxa"/>
              <w:left w:w="15" w:type="dxa"/>
              <w:bottom w:w="15" w:type="dxa"/>
              <w:right w:w="14" w:type="dxa"/>
            </w:tcMar>
            <w:hideMark/>
          </w:tcPr>
          <w:p w14:paraId="6B30CBF4"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4A0D3B9D"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78B4C621"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3</w:t>
            </w:r>
          </w:p>
        </w:tc>
        <w:tc>
          <w:tcPr>
            <w:tcW w:w="0" w:type="auto"/>
            <w:tcMar>
              <w:top w:w="14" w:type="dxa"/>
              <w:left w:w="15" w:type="dxa"/>
              <w:bottom w:w="15" w:type="dxa"/>
              <w:right w:w="14" w:type="dxa"/>
            </w:tcMar>
            <w:hideMark/>
          </w:tcPr>
          <w:p w14:paraId="4A21E6DC"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11A25DF7"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4D1D328A" w14:textId="77777777">
        <w:trPr>
          <w:trHeight w:val="140"/>
          <w:tblCellSpacing w:w="15" w:type="dxa"/>
        </w:trPr>
        <w:tc>
          <w:tcPr>
            <w:tcW w:w="0" w:type="auto"/>
            <w:tcMar>
              <w:top w:w="14" w:type="dxa"/>
              <w:left w:w="15" w:type="dxa"/>
              <w:bottom w:w="15" w:type="dxa"/>
              <w:right w:w="14" w:type="dxa"/>
            </w:tcMar>
            <w:hideMark/>
          </w:tcPr>
          <w:p w14:paraId="79E7C69A" w14:textId="77777777" w:rsidR="00000000" w:rsidRDefault="00EF48A2">
            <w:pPr>
              <w:pStyle w:val="a3"/>
              <w:spacing w:before="0" w:beforeAutospacing="0" w:after="0" w:afterAutospacing="0"/>
              <w:rPr>
                <w:sz w:val="15"/>
                <w:szCs w:val="15"/>
              </w:rPr>
            </w:pPr>
            <w:hyperlink r:id="rId31" w:history="1">
              <w:r>
                <w:rPr>
                  <w:rStyle w:val="a4"/>
                  <w:sz w:val="15"/>
                  <w:szCs w:val="15"/>
                </w:rPr>
                <w:t>10.</w:t>
              </w:r>
              <w:r>
                <w:rPr>
                  <w:rStyle w:val="a4"/>
                  <w:sz w:val="15"/>
                  <w:szCs w:val="15"/>
                </w:rPr>
                <w:t>7</w:t>
              </w:r>
            </w:hyperlink>
            <w:r>
              <w:rPr>
                <w:sz w:val="15"/>
                <w:szCs w:val="15"/>
              </w:rPr>
              <w:t>†</w:t>
            </w:r>
          </w:p>
        </w:tc>
        <w:tc>
          <w:tcPr>
            <w:tcW w:w="0" w:type="auto"/>
            <w:tcMar>
              <w:top w:w="14" w:type="dxa"/>
              <w:left w:w="15" w:type="dxa"/>
              <w:bottom w:w="15" w:type="dxa"/>
              <w:right w:w="14" w:type="dxa"/>
            </w:tcMar>
            <w:hideMark/>
          </w:tcPr>
          <w:p w14:paraId="4BBAED8B"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D37C10A" w14:textId="77777777" w:rsidR="00000000" w:rsidRDefault="00EF48A2">
            <w:pPr>
              <w:pStyle w:val="a3"/>
              <w:spacing w:before="0" w:beforeAutospacing="0" w:after="0" w:afterAutospacing="0"/>
              <w:rPr>
                <w:sz w:val="15"/>
                <w:szCs w:val="15"/>
              </w:rPr>
            </w:pPr>
            <w:hyperlink r:id="rId32" w:history="1">
              <w:r>
                <w:rPr>
                  <w:rStyle w:val="a4"/>
                  <w:sz w:val="15"/>
                  <w:szCs w:val="15"/>
                </w:rPr>
                <w:t>Form of Stock Option Agreement under the Talkspace, Inc. 2021 Incentive Award Plan</w:t>
              </w:r>
              <w:r>
                <w:rPr>
                  <w:rStyle w:val="a4"/>
                  <w:sz w:val="15"/>
                  <w:szCs w:val="15"/>
                </w:rPr>
                <w:t>.</w:t>
              </w:r>
            </w:hyperlink>
          </w:p>
        </w:tc>
        <w:tc>
          <w:tcPr>
            <w:tcW w:w="0" w:type="auto"/>
            <w:tcMar>
              <w:top w:w="14" w:type="dxa"/>
              <w:left w:w="15" w:type="dxa"/>
              <w:bottom w:w="15" w:type="dxa"/>
              <w:right w:w="14" w:type="dxa"/>
            </w:tcMar>
            <w:hideMark/>
          </w:tcPr>
          <w:p w14:paraId="3EF58AC7"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6CD9CE94"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7AD6FF3F" w14:textId="77777777" w:rsidR="00000000" w:rsidRDefault="00EF48A2">
            <w:pPr>
              <w:pStyle w:val="a3"/>
              <w:spacing w:before="0" w:beforeAutospacing="0" w:after="0" w:afterAutospacing="0"/>
              <w:jc w:val="center"/>
              <w:rPr>
                <w:sz w:val="15"/>
                <w:szCs w:val="15"/>
              </w:rPr>
            </w:pPr>
            <w:r>
              <w:rPr>
                <w:sz w:val="15"/>
                <w:szCs w:val="15"/>
              </w:rPr>
              <w:t>10.7(a</w:t>
            </w:r>
            <w:r>
              <w:rPr>
                <w:sz w:val="15"/>
                <w:szCs w:val="15"/>
              </w:rPr>
              <w:t>)</w:t>
            </w:r>
          </w:p>
        </w:tc>
        <w:tc>
          <w:tcPr>
            <w:tcW w:w="0" w:type="auto"/>
            <w:tcMar>
              <w:top w:w="14" w:type="dxa"/>
              <w:left w:w="15" w:type="dxa"/>
              <w:bottom w:w="15" w:type="dxa"/>
              <w:right w:w="14" w:type="dxa"/>
            </w:tcMar>
            <w:hideMark/>
          </w:tcPr>
          <w:p w14:paraId="250AFAEA"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3148B38F"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63BEC68A" w14:textId="77777777">
        <w:trPr>
          <w:trHeight w:val="140"/>
          <w:tblCellSpacing w:w="15" w:type="dxa"/>
        </w:trPr>
        <w:tc>
          <w:tcPr>
            <w:tcW w:w="0" w:type="auto"/>
            <w:tcMar>
              <w:top w:w="14" w:type="dxa"/>
              <w:left w:w="15" w:type="dxa"/>
              <w:bottom w:w="15" w:type="dxa"/>
              <w:right w:w="14" w:type="dxa"/>
            </w:tcMar>
            <w:hideMark/>
          </w:tcPr>
          <w:p w14:paraId="7428BDCF" w14:textId="77777777" w:rsidR="00000000" w:rsidRDefault="00EF48A2">
            <w:pPr>
              <w:pStyle w:val="a3"/>
              <w:spacing w:before="0" w:beforeAutospacing="0" w:after="0" w:afterAutospacing="0"/>
              <w:rPr>
                <w:sz w:val="15"/>
                <w:szCs w:val="15"/>
              </w:rPr>
            </w:pPr>
            <w:hyperlink r:id="rId33" w:history="1">
              <w:r>
                <w:rPr>
                  <w:rStyle w:val="a4"/>
                  <w:sz w:val="15"/>
                  <w:szCs w:val="15"/>
                </w:rPr>
                <w:t>10.</w:t>
              </w:r>
              <w:r>
                <w:rPr>
                  <w:rStyle w:val="a4"/>
                  <w:sz w:val="15"/>
                  <w:szCs w:val="15"/>
                </w:rPr>
                <w:t>8</w:t>
              </w:r>
            </w:hyperlink>
            <w:r>
              <w:rPr>
                <w:sz w:val="15"/>
                <w:szCs w:val="15"/>
              </w:rPr>
              <w:t>†</w:t>
            </w:r>
          </w:p>
        </w:tc>
        <w:tc>
          <w:tcPr>
            <w:tcW w:w="0" w:type="auto"/>
            <w:tcMar>
              <w:top w:w="14" w:type="dxa"/>
              <w:left w:w="15" w:type="dxa"/>
              <w:bottom w:w="15" w:type="dxa"/>
              <w:right w:w="14" w:type="dxa"/>
            </w:tcMar>
            <w:hideMark/>
          </w:tcPr>
          <w:p w14:paraId="5A069AB2"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4A69791A" w14:textId="77777777" w:rsidR="00000000" w:rsidRDefault="00EF48A2">
            <w:pPr>
              <w:pStyle w:val="a3"/>
              <w:spacing w:before="0" w:beforeAutospacing="0" w:after="0" w:afterAutospacing="0"/>
              <w:rPr>
                <w:sz w:val="15"/>
                <w:szCs w:val="15"/>
              </w:rPr>
            </w:pPr>
            <w:hyperlink r:id="rId34" w:history="1">
              <w:r>
                <w:rPr>
                  <w:rStyle w:val="a4"/>
                  <w:sz w:val="15"/>
                  <w:szCs w:val="15"/>
                </w:rPr>
                <w:t xml:space="preserve">Form of Restricted Stock Unit Agreement under the Talkspace, Inc. 2021 </w:t>
              </w:r>
              <w:r>
                <w:rPr>
                  <w:rStyle w:val="a4"/>
                  <w:sz w:val="15"/>
                  <w:szCs w:val="15"/>
                </w:rPr>
                <w:t>Incentive Award Plan</w:t>
              </w:r>
              <w:r>
                <w:rPr>
                  <w:rStyle w:val="a4"/>
                  <w:sz w:val="15"/>
                  <w:szCs w:val="15"/>
                </w:rPr>
                <w:t>.</w:t>
              </w:r>
            </w:hyperlink>
          </w:p>
        </w:tc>
        <w:tc>
          <w:tcPr>
            <w:tcW w:w="0" w:type="auto"/>
            <w:tcMar>
              <w:top w:w="14" w:type="dxa"/>
              <w:left w:w="15" w:type="dxa"/>
              <w:bottom w:w="15" w:type="dxa"/>
              <w:right w:w="14" w:type="dxa"/>
            </w:tcMar>
            <w:hideMark/>
          </w:tcPr>
          <w:p w14:paraId="4B57BD80"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000DB64A"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2916DFBE" w14:textId="77777777" w:rsidR="00000000" w:rsidRDefault="00EF48A2">
            <w:pPr>
              <w:pStyle w:val="a3"/>
              <w:spacing w:before="0" w:beforeAutospacing="0" w:after="0" w:afterAutospacing="0"/>
              <w:jc w:val="center"/>
              <w:rPr>
                <w:sz w:val="15"/>
                <w:szCs w:val="15"/>
              </w:rPr>
            </w:pPr>
            <w:r>
              <w:rPr>
                <w:sz w:val="15"/>
                <w:szCs w:val="15"/>
              </w:rPr>
              <w:t>10.7(b</w:t>
            </w:r>
            <w:r>
              <w:rPr>
                <w:sz w:val="15"/>
                <w:szCs w:val="15"/>
              </w:rPr>
              <w:t>)</w:t>
            </w:r>
          </w:p>
        </w:tc>
        <w:tc>
          <w:tcPr>
            <w:tcW w:w="0" w:type="auto"/>
            <w:tcMar>
              <w:top w:w="14" w:type="dxa"/>
              <w:left w:w="15" w:type="dxa"/>
              <w:bottom w:w="15" w:type="dxa"/>
              <w:right w:w="14" w:type="dxa"/>
            </w:tcMar>
            <w:hideMark/>
          </w:tcPr>
          <w:p w14:paraId="6D9251F7"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215F6552"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56653651" w14:textId="77777777">
        <w:trPr>
          <w:trHeight w:val="140"/>
          <w:tblCellSpacing w:w="15" w:type="dxa"/>
        </w:trPr>
        <w:tc>
          <w:tcPr>
            <w:tcW w:w="0" w:type="auto"/>
            <w:tcMar>
              <w:top w:w="14" w:type="dxa"/>
              <w:left w:w="15" w:type="dxa"/>
              <w:bottom w:w="15" w:type="dxa"/>
              <w:right w:w="14" w:type="dxa"/>
            </w:tcMar>
            <w:hideMark/>
          </w:tcPr>
          <w:p w14:paraId="28D38E7A" w14:textId="77777777" w:rsidR="00000000" w:rsidRDefault="00EF48A2">
            <w:pPr>
              <w:pStyle w:val="a3"/>
              <w:spacing w:before="0" w:beforeAutospacing="0" w:after="0" w:afterAutospacing="0"/>
              <w:rPr>
                <w:sz w:val="15"/>
                <w:szCs w:val="15"/>
              </w:rPr>
            </w:pPr>
            <w:hyperlink r:id="rId35" w:history="1">
              <w:r>
                <w:rPr>
                  <w:rStyle w:val="a4"/>
                  <w:sz w:val="15"/>
                  <w:szCs w:val="15"/>
                </w:rPr>
                <w:t>10.</w:t>
              </w:r>
              <w:r>
                <w:rPr>
                  <w:rStyle w:val="a4"/>
                  <w:sz w:val="15"/>
                  <w:szCs w:val="15"/>
                </w:rPr>
                <w:t>9</w:t>
              </w:r>
            </w:hyperlink>
            <w:r>
              <w:rPr>
                <w:sz w:val="15"/>
                <w:szCs w:val="15"/>
              </w:rPr>
              <w:t>†</w:t>
            </w:r>
          </w:p>
        </w:tc>
        <w:tc>
          <w:tcPr>
            <w:tcW w:w="0" w:type="auto"/>
            <w:tcMar>
              <w:top w:w="14" w:type="dxa"/>
              <w:left w:w="15" w:type="dxa"/>
              <w:bottom w:w="15" w:type="dxa"/>
              <w:right w:w="14" w:type="dxa"/>
            </w:tcMar>
            <w:hideMark/>
          </w:tcPr>
          <w:p w14:paraId="570D98D7"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3FAD44A0" w14:textId="77777777" w:rsidR="00000000" w:rsidRDefault="00EF48A2">
            <w:pPr>
              <w:pStyle w:val="a3"/>
              <w:spacing w:before="0" w:beforeAutospacing="0" w:after="0" w:afterAutospacing="0"/>
              <w:rPr>
                <w:sz w:val="15"/>
                <w:szCs w:val="15"/>
              </w:rPr>
            </w:pPr>
            <w:hyperlink r:id="rId36" w:history="1">
              <w:r>
                <w:rPr>
                  <w:rStyle w:val="a4"/>
                  <w:sz w:val="15"/>
                  <w:szCs w:val="15"/>
                </w:rPr>
                <w:t>Executive Severance Plan</w:t>
              </w:r>
              <w:r>
                <w:rPr>
                  <w:rStyle w:val="a4"/>
                  <w:sz w:val="15"/>
                  <w:szCs w:val="15"/>
                </w:rPr>
                <w:t>.</w:t>
              </w:r>
            </w:hyperlink>
          </w:p>
        </w:tc>
        <w:tc>
          <w:tcPr>
            <w:tcW w:w="0" w:type="auto"/>
            <w:tcMar>
              <w:top w:w="14" w:type="dxa"/>
              <w:left w:w="15" w:type="dxa"/>
              <w:bottom w:w="15" w:type="dxa"/>
              <w:right w:w="14" w:type="dxa"/>
            </w:tcMar>
            <w:hideMark/>
          </w:tcPr>
          <w:p w14:paraId="752E83C4"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1481E7A6"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r>
              <w:rPr>
                <w:sz w:val="15"/>
                <w:szCs w:val="15"/>
              </w:rPr>
              <w:t xml:space="preserve"> </w:t>
            </w:r>
          </w:p>
        </w:tc>
        <w:tc>
          <w:tcPr>
            <w:tcW w:w="0" w:type="auto"/>
            <w:tcMar>
              <w:top w:w="14" w:type="dxa"/>
              <w:left w:w="15" w:type="dxa"/>
              <w:bottom w:w="15" w:type="dxa"/>
              <w:right w:w="14" w:type="dxa"/>
            </w:tcMar>
            <w:hideMark/>
          </w:tcPr>
          <w:p w14:paraId="56A07F14"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9</w:t>
            </w:r>
          </w:p>
        </w:tc>
        <w:tc>
          <w:tcPr>
            <w:tcW w:w="0" w:type="auto"/>
            <w:tcMar>
              <w:top w:w="14" w:type="dxa"/>
              <w:left w:w="15" w:type="dxa"/>
              <w:bottom w:w="15" w:type="dxa"/>
              <w:right w:w="14" w:type="dxa"/>
            </w:tcMar>
            <w:hideMark/>
          </w:tcPr>
          <w:p w14:paraId="66380FCF" w14:textId="77777777" w:rsidR="00000000" w:rsidRDefault="00EF48A2">
            <w:pPr>
              <w:pStyle w:val="a3"/>
              <w:spacing w:before="0" w:beforeAutospacing="0" w:after="0" w:afterAutospacing="0"/>
              <w:jc w:val="center"/>
              <w:rPr>
                <w:sz w:val="15"/>
                <w:szCs w:val="15"/>
              </w:rPr>
            </w:pPr>
            <w:r>
              <w:rPr>
                <w:sz w:val="15"/>
                <w:szCs w:val="15"/>
              </w:rPr>
              <w:t>6/23/2</w:t>
            </w:r>
            <w:r>
              <w:rPr>
                <w:sz w:val="15"/>
                <w:szCs w:val="15"/>
              </w:rPr>
              <w:t>1</w:t>
            </w:r>
          </w:p>
        </w:tc>
        <w:tc>
          <w:tcPr>
            <w:tcW w:w="0" w:type="auto"/>
            <w:tcMar>
              <w:top w:w="14" w:type="dxa"/>
              <w:left w:w="15" w:type="dxa"/>
              <w:bottom w:w="15" w:type="dxa"/>
              <w:right w:w="14" w:type="dxa"/>
            </w:tcMar>
            <w:hideMark/>
          </w:tcPr>
          <w:p w14:paraId="0FC36779"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5686F130" w14:textId="77777777">
        <w:trPr>
          <w:trHeight w:val="140"/>
          <w:tblCellSpacing w:w="15" w:type="dxa"/>
        </w:trPr>
        <w:tc>
          <w:tcPr>
            <w:tcW w:w="0" w:type="auto"/>
            <w:tcMar>
              <w:top w:w="14" w:type="dxa"/>
              <w:left w:w="15" w:type="dxa"/>
              <w:bottom w:w="15" w:type="dxa"/>
              <w:right w:w="14" w:type="dxa"/>
            </w:tcMar>
            <w:hideMark/>
          </w:tcPr>
          <w:p w14:paraId="03E1A576" w14:textId="77777777" w:rsidR="00000000" w:rsidRDefault="00EF48A2">
            <w:pPr>
              <w:pStyle w:val="a3"/>
              <w:spacing w:before="0" w:beforeAutospacing="0" w:after="0" w:afterAutospacing="0"/>
              <w:rPr>
                <w:sz w:val="15"/>
                <w:szCs w:val="15"/>
              </w:rPr>
            </w:pPr>
            <w:hyperlink r:id="rId37" w:history="1">
              <w:r>
                <w:rPr>
                  <w:rStyle w:val="a4"/>
                  <w:sz w:val="15"/>
                  <w:szCs w:val="15"/>
                </w:rPr>
                <w:t>10.1</w:t>
              </w:r>
              <w:r>
                <w:rPr>
                  <w:rStyle w:val="a4"/>
                  <w:sz w:val="15"/>
                  <w:szCs w:val="15"/>
                </w:rPr>
                <w:t>0</w:t>
              </w:r>
              <w:r>
                <w:rPr>
                  <w:rStyle w:val="a4"/>
                  <w:sz w:val="15"/>
                  <w:szCs w:val="15"/>
                </w:rPr>
                <w:t>+</w:t>
              </w:r>
            </w:hyperlink>
          </w:p>
        </w:tc>
        <w:tc>
          <w:tcPr>
            <w:tcW w:w="0" w:type="auto"/>
            <w:tcMar>
              <w:top w:w="14" w:type="dxa"/>
              <w:left w:w="15" w:type="dxa"/>
              <w:bottom w:w="15" w:type="dxa"/>
              <w:right w:w="14" w:type="dxa"/>
            </w:tcMar>
            <w:hideMark/>
          </w:tcPr>
          <w:p w14:paraId="02953FCA"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32BCEA65" w14:textId="77777777" w:rsidR="00000000" w:rsidRDefault="00EF48A2">
            <w:pPr>
              <w:pStyle w:val="a3"/>
              <w:spacing w:before="0" w:beforeAutospacing="0" w:after="0" w:afterAutospacing="0"/>
              <w:rPr>
                <w:sz w:val="15"/>
                <w:szCs w:val="15"/>
              </w:rPr>
            </w:pPr>
            <w:hyperlink r:id="rId38" w:history="1">
              <w:r>
                <w:rPr>
                  <w:rStyle w:val="a4"/>
                  <w:sz w:val="15"/>
                  <w:szCs w:val="15"/>
                </w:rPr>
                <w:t>Credit and Security Agreement, dated as of March 15, 2021, by and among Talkspace Network LLC, Groop Internet Platform, Inc. and JPM</w:t>
              </w:r>
              <w:r>
                <w:rPr>
                  <w:rStyle w:val="a4"/>
                  <w:sz w:val="15"/>
                  <w:szCs w:val="15"/>
                </w:rPr>
                <w:t>organ Chase Bank, N.A</w:t>
              </w:r>
              <w:r>
                <w:rPr>
                  <w:rStyle w:val="a4"/>
                  <w:sz w:val="15"/>
                  <w:szCs w:val="15"/>
                </w:rPr>
                <w:t>.</w:t>
              </w:r>
            </w:hyperlink>
          </w:p>
        </w:tc>
        <w:tc>
          <w:tcPr>
            <w:tcW w:w="0" w:type="auto"/>
            <w:tcMar>
              <w:top w:w="14" w:type="dxa"/>
              <w:left w:w="15" w:type="dxa"/>
              <w:bottom w:w="15" w:type="dxa"/>
              <w:right w:w="14" w:type="dxa"/>
            </w:tcMar>
            <w:hideMark/>
          </w:tcPr>
          <w:p w14:paraId="1478FF83" w14:textId="77777777" w:rsidR="00000000" w:rsidRDefault="00EF48A2">
            <w:pPr>
              <w:pStyle w:val="a3"/>
              <w:spacing w:before="0" w:beforeAutospacing="0" w:after="0" w:afterAutospacing="0"/>
              <w:jc w:val="center"/>
              <w:rPr>
                <w:sz w:val="15"/>
                <w:szCs w:val="15"/>
              </w:rPr>
            </w:pPr>
            <w:r>
              <w:rPr>
                <w:sz w:val="15"/>
                <w:szCs w:val="15"/>
              </w:rPr>
              <w:t>S-4/</w:t>
            </w:r>
            <w:r>
              <w:rPr>
                <w:sz w:val="15"/>
                <w:szCs w:val="15"/>
              </w:rPr>
              <w:t>A</w:t>
            </w:r>
          </w:p>
        </w:tc>
        <w:tc>
          <w:tcPr>
            <w:tcW w:w="0" w:type="auto"/>
            <w:tcMar>
              <w:top w:w="14" w:type="dxa"/>
              <w:left w:w="15" w:type="dxa"/>
              <w:bottom w:w="15" w:type="dxa"/>
              <w:right w:w="14" w:type="dxa"/>
            </w:tcMar>
            <w:hideMark/>
          </w:tcPr>
          <w:p w14:paraId="00EEEE67" w14:textId="77777777" w:rsidR="00000000" w:rsidRDefault="00EF48A2">
            <w:pPr>
              <w:pStyle w:val="a3"/>
              <w:spacing w:before="0" w:beforeAutospacing="0" w:after="0" w:afterAutospacing="0"/>
              <w:jc w:val="center"/>
              <w:rPr>
                <w:sz w:val="15"/>
                <w:szCs w:val="15"/>
              </w:rPr>
            </w:pPr>
            <w:r>
              <w:rPr>
                <w:sz w:val="15"/>
                <w:szCs w:val="15"/>
              </w:rPr>
              <w:t>333-25263</w:t>
            </w:r>
            <w:r>
              <w:rPr>
                <w:sz w:val="15"/>
                <w:szCs w:val="15"/>
              </w:rPr>
              <w:t>8</w:t>
            </w:r>
            <w:r>
              <w:rPr>
                <w:sz w:val="15"/>
                <w:szCs w:val="15"/>
              </w:rPr>
              <w:t xml:space="preserve"> </w:t>
            </w:r>
          </w:p>
        </w:tc>
        <w:tc>
          <w:tcPr>
            <w:tcW w:w="0" w:type="auto"/>
            <w:tcMar>
              <w:top w:w="14" w:type="dxa"/>
              <w:left w:w="15" w:type="dxa"/>
              <w:bottom w:w="15" w:type="dxa"/>
              <w:right w:w="14" w:type="dxa"/>
            </w:tcMar>
            <w:hideMark/>
          </w:tcPr>
          <w:p w14:paraId="693CA687" w14:textId="77777777" w:rsidR="00000000" w:rsidRDefault="00EF48A2">
            <w:pPr>
              <w:pStyle w:val="a3"/>
              <w:spacing w:before="0" w:beforeAutospacing="0" w:after="0" w:afterAutospacing="0"/>
              <w:jc w:val="center"/>
              <w:rPr>
                <w:sz w:val="15"/>
                <w:szCs w:val="15"/>
              </w:rPr>
            </w:pPr>
            <w:r>
              <w:rPr>
                <w:sz w:val="15"/>
                <w:szCs w:val="15"/>
              </w:rPr>
              <w:t>10.1</w:t>
            </w:r>
            <w:r>
              <w:rPr>
                <w:sz w:val="15"/>
                <w:szCs w:val="15"/>
              </w:rPr>
              <w:t>9</w:t>
            </w:r>
          </w:p>
        </w:tc>
        <w:tc>
          <w:tcPr>
            <w:tcW w:w="0" w:type="auto"/>
            <w:tcMar>
              <w:top w:w="14" w:type="dxa"/>
              <w:left w:w="15" w:type="dxa"/>
              <w:bottom w:w="15" w:type="dxa"/>
              <w:right w:w="14" w:type="dxa"/>
            </w:tcMar>
            <w:hideMark/>
          </w:tcPr>
          <w:p w14:paraId="56CD8353" w14:textId="77777777" w:rsidR="00000000" w:rsidRDefault="00EF48A2">
            <w:pPr>
              <w:pStyle w:val="a3"/>
              <w:spacing w:before="0" w:beforeAutospacing="0" w:after="0" w:afterAutospacing="0"/>
              <w:jc w:val="center"/>
              <w:rPr>
                <w:sz w:val="15"/>
                <w:szCs w:val="15"/>
              </w:rPr>
            </w:pPr>
            <w:r>
              <w:rPr>
                <w:sz w:val="15"/>
                <w:szCs w:val="15"/>
              </w:rPr>
              <w:t>4/6/2</w:t>
            </w:r>
            <w:r>
              <w:rPr>
                <w:sz w:val="15"/>
                <w:szCs w:val="15"/>
              </w:rPr>
              <w:t>1</w:t>
            </w:r>
          </w:p>
        </w:tc>
        <w:tc>
          <w:tcPr>
            <w:tcW w:w="0" w:type="auto"/>
            <w:tcMar>
              <w:top w:w="14" w:type="dxa"/>
              <w:left w:w="15" w:type="dxa"/>
              <w:bottom w:w="15" w:type="dxa"/>
              <w:right w:w="14" w:type="dxa"/>
            </w:tcMar>
            <w:hideMark/>
          </w:tcPr>
          <w:p w14:paraId="2533FD3E"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4AF4D909" w14:textId="77777777">
        <w:trPr>
          <w:trHeight w:val="140"/>
          <w:tblCellSpacing w:w="15" w:type="dxa"/>
        </w:trPr>
        <w:tc>
          <w:tcPr>
            <w:tcW w:w="0" w:type="auto"/>
            <w:tcMar>
              <w:top w:w="14" w:type="dxa"/>
              <w:left w:w="15" w:type="dxa"/>
              <w:bottom w:w="15" w:type="dxa"/>
              <w:right w:w="14" w:type="dxa"/>
            </w:tcMar>
            <w:hideMark/>
          </w:tcPr>
          <w:p w14:paraId="11DFAB16" w14:textId="77777777" w:rsidR="00000000" w:rsidRDefault="00EF48A2">
            <w:pPr>
              <w:pStyle w:val="a3"/>
              <w:spacing w:before="0" w:beforeAutospacing="0" w:after="0" w:afterAutospacing="0"/>
              <w:rPr>
                <w:sz w:val="15"/>
                <w:szCs w:val="15"/>
              </w:rPr>
            </w:pPr>
            <w:hyperlink r:id="rId39" w:history="1">
              <w:r>
                <w:rPr>
                  <w:rStyle w:val="a4"/>
                  <w:sz w:val="15"/>
                  <w:szCs w:val="15"/>
                </w:rPr>
                <w:t>10.1</w:t>
              </w:r>
              <w:r>
                <w:rPr>
                  <w:rStyle w:val="a4"/>
                  <w:sz w:val="15"/>
                  <w:szCs w:val="15"/>
                </w:rPr>
                <w:t>1</w:t>
              </w:r>
            </w:hyperlink>
            <w:r>
              <w:rPr>
                <w:sz w:val="15"/>
                <w:szCs w:val="15"/>
              </w:rPr>
              <w:t>†</w:t>
            </w:r>
          </w:p>
        </w:tc>
        <w:tc>
          <w:tcPr>
            <w:tcW w:w="0" w:type="auto"/>
            <w:tcMar>
              <w:top w:w="14" w:type="dxa"/>
              <w:left w:w="15" w:type="dxa"/>
              <w:bottom w:w="15" w:type="dxa"/>
              <w:right w:w="14" w:type="dxa"/>
            </w:tcMar>
            <w:hideMark/>
          </w:tcPr>
          <w:p w14:paraId="4CB32D01"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10D25A2E" w14:textId="77777777" w:rsidR="00000000" w:rsidRDefault="00EF48A2">
            <w:pPr>
              <w:pStyle w:val="a3"/>
              <w:spacing w:before="0" w:beforeAutospacing="0" w:after="0" w:afterAutospacing="0"/>
              <w:rPr>
                <w:sz w:val="15"/>
                <w:szCs w:val="15"/>
              </w:rPr>
            </w:pPr>
            <w:hyperlink r:id="rId40" w:history="1">
              <w:r>
                <w:rPr>
                  <w:rStyle w:val="a4"/>
                  <w:sz w:val="15"/>
                  <w:szCs w:val="15"/>
                </w:rPr>
                <w:t>Employment Agreement, dated July 2, 2021, between the Company and Jennifer Fulk</w:t>
              </w:r>
              <w:r>
                <w:rPr>
                  <w:rStyle w:val="a4"/>
                  <w:sz w:val="15"/>
                  <w:szCs w:val="15"/>
                </w:rPr>
                <w:t>.</w:t>
              </w:r>
            </w:hyperlink>
          </w:p>
        </w:tc>
        <w:tc>
          <w:tcPr>
            <w:tcW w:w="0" w:type="auto"/>
            <w:tcMar>
              <w:top w:w="14" w:type="dxa"/>
              <w:left w:w="15" w:type="dxa"/>
              <w:bottom w:w="15" w:type="dxa"/>
              <w:right w:w="14" w:type="dxa"/>
            </w:tcMar>
            <w:hideMark/>
          </w:tcPr>
          <w:p w14:paraId="70DA4FE1"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Q</w:t>
            </w:r>
          </w:p>
        </w:tc>
        <w:tc>
          <w:tcPr>
            <w:tcW w:w="0" w:type="auto"/>
            <w:tcMar>
              <w:top w:w="14" w:type="dxa"/>
              <w:left w:w="15" w:type="dxa"/>
              <w:bottom w:w="15" w:type="dxa"/>
              <w:right w:w="14" w:type="dxa"/>
            </w:tcMar>
            <w:hideMark/>
          </w:tcPr>
          <w:p w14:paraId="02375B49"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20B5AC67" w14:textId="77777777" w:rsidR="00000000" w:rsidRDefault="00EF48A2">
            <w:pPr>
              <w:pStyle w:val="a3"/>
              <w:spacing w:before="0" w:beforeAutospacing="0" w:after="0" w:afterAutospacing="0"/>
              <w:jc w:val="center"/>
              <w:rPr>
                <w:sz w:val="15"/>
                <w:szCs w:val="15"/>
              </w:rPr>
            </w:pPr>
            <w:r>
              <w:rPr>
                <w:sz w:val="15"/>
                <w:szCs w:val="15"/>
              </w:rPr>
              <w:t>10.1</w:t>
            </w:r>
            <w:r>
              <w:rPr>
                <w:sz w:val="15"/>
                <w:szCs w:val="15"/>
              </w:rPr>
              <w:t>4</w:t>
            </w:r>
          </w:p>
        </w:tc>
        <w:tc>
          <w:tcPr>
            <w:tcW w:w="0" w:type="auto"/>
            <w:tcMar>
              <w:top w:w="14" w:type="dxa"/>
              <w:left w:w="15" w:type="dxa"/>
              <w:bottom w:w="15" w:type="dxa"/>
              <w:right w:w="14" w:type="dxa"/>
            </w:tcMar>
            <w:hideMark/>
          </w:tcPr>
          <w:p w14:paraId="74A3BDB0" w14:textId="77777777" w:rsidR="00000000" w:rsidRDefault="00EF48A2">
            <w:pPr>
              <w:pStyle w:val="a3"/>
              <w:spacing w:before="0" w:beforeAutospacing="0" w:after="0" w:afterAutospacing="0"/>
              <w:jc w:val="center"/>
              <w:rPr>
                <w:sz w:val="15"/>
                <w:szCs w:val="15"/>
              </w:rPr>
            </w:pPr>
            <w:r>
              <w:rPr>
                <w:sz w:val="15"/>
                <w:szCs w:val="15"/>
              </w:rPr>
              <w:t>8/9/2</w:t>
            </w:r>
            <w:r>
              <w:rPr>
                <w:sz w:val="15"/>
                <w:szCs w:val="15"/>
              </w:rPr>
              <w:t>1</w:t>
            </w:r>
          </w:p>
        </w:tc>
        <w:tc>
          <w:tcPr>
            <w:tcW w:w="0" w:type="auto"/>
            <w:tcMar>
              <w:top w:w="14" w:type="dxa"/>
              <w:left w:w="15" w:type="dxa"/>
              <w:bottom w:w="15" w:type="dxa"/>
              <w:right w:w="14" w:type="dxa"/>
            </w:tcMar>
            <w:hideMark/>
          </w:tcPr>
          <w:p w14:paraId="48B10AB7"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2021E3E1" w14:textId="77777777">
        <w:trPr>
          <w:trHeight w:val="140"/>
          <w:tblCellSpacing w:w="15" w:type="dxa"/>
        </w:trPr>
        <w:tc>
          <w:tcPr>
            <w:tcW w:w="0" w:type="auto"/>
            <w:tcMar>
              <w:top w:w="14" w:type="dxa"/>
              <w:left w:w="15" w:type="dxa"/>
              <w:bottom w:w="15" w:type="dxa"/>
              <w:right w:w="14" w:type="dxa"/>
            </w:tcMar>
            <w:hideMark/>
          </w:tcPr>
          <w:p w14:paraId="2E36FDD8" w14:textId="77777777" w:rsidR="00000000" w:rsidRDefault="00EF48A2">
            <w:pPr>
              <w:pStyle w:val="a3"/>
              <w:spacing w:before="0" w:beforeAutospacing="0" w:after="0" w:afterAutospacing="0"/>
              <w:rPr>
                <w:sz w:val="15"/>
                <w:szCs w:val="15"/>
              </w:rPr>
            </w:pPr>
            <w:hyperlink r:id="rId41" w:history="1">
              <w:r>
                <w:rPr>
                  <w:rStyle w:val="a4"/>
                  <w:sz w:val="15"/>
                  <w:szCs w:val="15"/>
                </w:rPr>
                <w:t>10.1</w:t>
              </w:r>
              <w:r>
                <w:rPr>
                  <w:rStyle w:val="a4"/>
                  <w:sz w:val="15"/>
                  <w:szCs w:val="15"/>
                </w:rPr>
                <w:t>2</w:t>
              </w:r>
            </w:hyperlink>
            <w:r>
              <w:rPr>
                <w:sz w:val="15"/>
                <w:szCs w:val="15"/>
              </w:rPr>
              <w:t>†</w:t>
            </w:r>
          </w:p>
        </w:tc>
        <w:tc>
          <w:tcPr>
            <w:tcW w:w="0" w:type="auto"/>
            <w:tcMar>
              <w:top w:w="14" w:type="dxa"/>
              <w:left w:w="15" w:type="dxa"/>
              <w:bottom w:w="15" w:type="dxa"/>
              <w:right w:w="14" w:type="dxa"/>
            </w:tcMar>
            <w:hideMark/>
          </w:tcPr>
          <w:p w14:paraId="0EB51D91"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53BEBD6" w14:textId="77777777" w:rsidR="00000000" w:rsidRDefault="00EF48A2">
            <w:pPr>
              <w:pStyle w:val="a3"/>
              <w:spacing w:before="0" w:beforeAutospacing="0" w:after="0" w:afterAutospacing="0"/>
              <w:rPr>
                <w:sz w:val="15"/>
                <w:szCs w:val="15"/>
              </w:rPr>
            </w:pPr>
            <w:hyperlink r:id="rId42" w:history="1">
              <w:r>
                <w:rPr>
                  <w:rStyle w:val="a4"/>
                  <w:sz w:val="15"/>
                  <w:szCs w:val="15"/>
                </w:rPr>
                <w:t>Retention Agreement, dated December 6, 2021</w:t>
              </w:r>
              <w:r>
                <w:rPr>
                  <w:rStyle w:val="a4"/>
                  <w:sz w:val="15"/>
                  <w:szCs w:val="15"/>
                </w:rPr>
                <w:t xml:space="preserve"> by and between the Company and Jennifer Fulk</w:t>
              </w:r>
              <w:r>
                <w:rPr>
                  <w:rStyle w:val="a4"/>
                  <w:sz w:val="15"/>
                  <w:szCs w:val="15"/>
                </w:rPr>
                <w:t>.</w:t>
              </w:r>
            </w:hyperlink>
          </w:p>
        </w:tc>
        <w:tc>
          <w:tcPr>
            <w:tcW w:w="0" w:type="auto"/>
            <w:tcMar>
              <w:top w:w="14" w:type="dxa"/>
              <w:left w:w="15" w:type="dxa"/>
              <w:bottom w:w="15" w:type="dxa"/>
              <w:right w:w="14" w:type="dxa"/>
            </w:tcMar>
            <w:hideMark/>
          </w:tcPr>
          <w:p w14:paraId="76D3585D" w14:textId="77777777" w:rsidR="00000000" w:rsidRDefault="00EF48A2">
            <w:pPr>
              <w:pStyle w:val="a3"/>
              <w:spacing w:before="0" w:beforeAutospacing="0" w:after="0" w:afterAutospacing="0"/>
              <w:jc w:val="center"/>
              <w:rPr>
                <w:sz w:val="15"/>
                <w:szCs w:val="15"/>
              </w:rPr>
            </w:pPr>
            <w:r>
              <w:rPr>
                <w:sz w:val="15"/>
                <w:szCs w:val="15"/>
              </w:rPr>
              <w:t>8-</w:t>
            </w:r>
            <w:r>
              <w:rPr>
                <w:sz w:val="15"/>
                <w:szCs w:val="15"/>
              </w:rPr>
              <w:t>K</w:t>
            </w:r>
          </w:p>
        </w:tc>
        <w:tc>
          <w:tcPr>
            <w:tcW w:w="0" w:type="auto"/>
            <w:tcMar>
              <w:top w:w="14" w:type="dxa"/>
              <w:left w:w="15" w:type="dxa"/>
              <w:bottom w:w="15" w:type="dxa"/>
              <w:right w:w="14" w:type="dxa"/>
            </w:tcMar>
            <w:hideMark/>
          </w:tcPr>
          <w:p w14:paraId="24F1F002"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709138E4"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1</w:t>
            </w:r>
          </w:p>
        </w:tc>
        <w:tc>
          <w:tcPr>
            <w:tcW w:w="0" w:type="auto"/>
            <w:tcMar>
              <w:top w:w="14" w:type="dxa"/>
              <w:left w:w="15" w:type="dxa"/>
              <w:bottom w:w="15" w:type="dxa"/>
              <w:right w:w="14" w:type="dxa"/>
            </w:tcMar>
            <w:hideMark/>
          </w:tcPr>
          <w:p w14:paraId="0E407D90" w14:textId="77777777" w:rsidR="00000000" w:rsidRDefault="00EF48A2">
            <w:pPr>
              <w:pStyle w:val="a3"/>
              <w:spacing w:before="0" w:beforeAutospacing="0" w:after="0" w:afterAutospacing="0"/>
              <w:jc w:val="center"/>
              <w:rPr>
                <w:sz w:val="15"/>
                <w:szCs w:val="15"/>
              </w:rPr>
            </w:pPr>
            <w:r>
              <w:rPr>
                <w:sz w:val="15"/>
                <w:szCs w:val="15"/>
              </w:rPr>
              <w:t>12/10/2</w:t>
            </w:r>
            <w:r>
              <w:rPr>
                <w:sz w:val="15"/>
                <w:szCs w:val="15"/>
              </w:rPr>
              <w:t>1</w:t>
            </w:r>
          </w:p>
        </w:tc>
        <w:tc>
          <w:tcPr>
            <w:tcW w:w="0" w:type="auto"/>
            <w:tcMar>
              <w:top w:w="14" w:type="dxa"/>
              <w:left w:w="15" w:type="dxa"/>
              <w:bottom w:w="15" w:type="dxa"/>
              <w:right w:w="14" w:type="dxa"/>
            </w:tcMar>
            <w:hideMark/>
          </w:tcPr>
          <w:p w14:paraId="5B1DC52B"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3E291781" w14:textId="77777777">
        <w:trPr>
          <w:trHeight w:val="140"/>
          <w:tblCellSpacing w:w="15" w:type="dxa"/>
        </w:trPr>
        <w:tc>
          <w:tcPr>
            <w:tcW w:w="0" w:type="auto"/>
            <w:tcMar>
              <w:top w:w="14" w:type="dxa"/>
              <w:left w:w="15" w:type="dxa"/>
              <w:bottom w:w="15" w:type="dxa"/>
              <w:right w:w="14" w:type="dxa"/>
            </w:tcMar>
            <w:hideMark/>
          </w:tcPr>
          <w:p w14:paraId="4F2FFFBC" w14:textId="77777777" w:rsidR="00000000" w:rsidRDefault="00EF48A2">
            <w:pPr>
              <w:pStyle w:val="a3"/>
              <w:spacing w:before="0" w:beforeAutospacing="0" w:after="0" w:afterAutospacing="0"/>
              <w:rPr>
                <w:sz w:val="15"/>
                <w:szCs w:val="15"/>
              </w:rPr>
            </w:pPr>
            <w:hyperlink r:id="rId43" w:history="1">
              <w:r>
                <w:rPr>
                  <w:rStyle w:val="a4"/>
                  <w:sz w:val="15"/>
                  <w:szCs w:val="15"/>
                </w:rPr>
                <w:t>10.1</w:t>
              </w:r>
              <w:r>
                <w:rPr>
                  <w:rStyle w:val="a4"/>
                  <w:sz w:val="15"/>
                  <w:szCs w:val="15"/>
                </w:rPr>
                <w:t>6</w:t>
              </w:r>
            </w:hyperlink>
            <w:r>
              <w:rPr>
                <w:sz w:val="15"/>
                <w:szCs w:val="15"/>
              </w:rPr>
              <w:t>†</w:t>
            </w:r>
          </w:p>
        </w:tc>
        <w:tc>
          <w:tcPr>
            <w:tcW w:w="0" w:type="auto"/>
            <w:tcMar>
              <w:top w:w="14" w:type="dxa"/>
              <w:left w:w="15" w:type="dxa"/>
              <w:bottom w:w="15" w:type="dxa"/>
              <w:right w:w="14" w:type="dxa"/>
            </w:tcMar>
            <w:hideMark/>
          </w:tcPr>
          <w:p w14:paraId="7F72B6B2"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6ED7BDFA" w14:textId="77777777" w:rsidR="00000000" w:rsidRDefault="00EF48A2">
            <w:pPr>
              <w:pStyle w:val="a3"/>
              <w:spacing w:before="0" w:beforeAutospacing="0" w:after="0" w:afterAutospacing="0"/>
              <w:rPr>
                <w:sz w:val="15"/>
                <w:szCs w:val="15"/>
              </w:rPr>
            </w:pPr>
            <w:hyperlink r:id="rId44" w:history="1">
              <w:r>
                <w:rPr>
                  <w:rStyle w:val="a4"/>
                  <w:sz w:val="15"/>
                  <w:szCs w:val="15"/>
                </w:rPr>
                <w:t>Employment Offer Letter, dated as of June 22, 2021, by and between Talkspace, Inc. and Gil Margolin</w:t>
              </w:r>
              <w:r>
                <w:rPr>
                  <w:rStyle w:val="a4"/>
                  <w:sz w:val="15"/>
                  <w:szCs w:val="15"/>
                </w:rPr>
                <w:t>.</w:t>
              </w:r>
            </w:hyperlink>
          </w:p>
        </w:tc>
        <w:tc>
          <w:tcPr>
            <w:tcW w:w="0" w:type="auto"/>
            <w:tcMar>
              <w:top w:w="14" w:type="dxa"/>
              <w:left w:w="15" w:type="dxa"/>
              <w:bottom w:w="15" w:type="dxa"/>
              <w:right w:w="14" w:type="dxa"/>
            </w:tcMar>
            <w:hideMark/>
          </w:tcPr>
          <w:p w14:paraId="65A00EA3"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485E75EE"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6ADF08D2" w14:textId="77777777" w:rsidR="00000000" w:rsidRDefault="00EF48A2">
            <w:pPr>
              <w:pStyle w:val="a3"/>
              <w:spacing w:before="0" w:beforeAutospacing="0" w:after="0" w:afterAutospacing="0"/>
              <w:jc w:val="center"/>
              <w:rPr>
                <w:sz w:val="15"/>
                <w:szCs w:val="15"/>
              </w:rPr>
            </w:pPr>
            <w:r>
              <w:rPr>
                <w:sz w:val="15"/>
                <w:szCs w:val="15"/>
              </w:rPr>
              <w:t>10.1</w:t>
            </w:r>
            <w:r>
              <w:rPr>
                <w:sz w:val="15"/>
                <w:szCs w:val="15"/>
              </w:rPr>
              <w:t>6</w:t>
            </w:r>
          </w:p>
        </w:tc>
        <w:tc>
          <w:tcPr>
            <w:tcW w:w="0" w:type="auto"/>
            <w:tcMar>
              <w:top w:w="14" w:type="dxa"/>
              <w:left w:w="15" w:type="dxa"/>
              <w:bottom w:w="15" w:type="dxa"/>
              <w:right w:w="14" w:type="dxa"/>
            </w:tcMar>
            <w:hideMark/>
          </w:tcPr>
          <w:p w14:paraId="09624692"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1A3A0045"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62BFF659" w14:textId="77777777">
        <w:trPr>
          <w:trHeight w:val="140"/>
          <w:tblCellSpacing w:w="15" w:type="dxa"/>
        </w:trPr>
        <w:tc>
          <w:tcPr>
            <w:tcW w:w="0" w:type="auto"/>
            <w:tcMar>
              <w:top w:w="14" w:type="dxa"/>
              <w:left w:w="15" w:type="dxa"/>
              <w:bottom w:w="15" w:type="dxa"/>
              <w:right w:w="14" w:type="dxa"/>
            </w:tcMar>
            <w:hideMark/>
          </w:tcPr>
          <w:p w14:paraId="497791CB" w14:textId="77777777" w:rsidR="00000000" w:rsidRDefault="00EF48A2">
            <w:pPr>
              <w:pStyle w:val="a3"/>
              <w:spacing w:before="0" w:beforeAutospacing="0" w:after="0" w:afterAutospacing="0"/>
              <w:rPr>
                <w:sz w:val="15"/>
                <w:szCs w:val="15"/>
              </w:rPr>
            </w:pPr>
            <w:hyperlink r:id="rId45" w:history="1">
              <w:r>
                <w:rPr>
                  <w:rStyle w:val="a4"/>
                  <w:sz w:val="15"/>
                  <w:szCs w:val="15"/>
                </w:rPr>
                <w:t>10.1</w:t>
              </w:r>
              <w:r>
                <w:rPr>
                  <w:rStyle w:val="a4"/>
                  <w:sz w:val="15"/>
                  <w:szCs w:val="15"/>
                </w:rPr>
                <w:t>7</w:t>
              </w:r>
              <w:r>
                <w:rPr>
                  <w:rStyle w:val="a4"/>
                  <w:sz w:val="15"/>
                  <w:szCs w:val="15"/>
                </w:rPr>
                <w:t>†</w:t>
              </w:r>
            </w:hyperlink>
          </w:p>
        </w:tc>
        <w:tc>
          <w:tcPr>
            <w:tcW w:w="0" w:type="auto"/>
            <w:tcMar>
              <w:top w:w="14" w:type="dxa"/>
              <w:left w:w="15" w:type="dxa"/>
              <w:bottom w:w="15" w:type="dxa"/>
              <w:right w:w="14" w:type="dxa"/>
            </w:tcMar>
            <w:hideMark/>
          </w:tcPr>
          <w:p w14:paraId="0B210219"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0C5A3B66" w14:textId="77777777" w:rsidR="00000000" w:rsidRDefault="00EF48A2">
            <w:pPr>
              <w:pStyle w:val="a3"/>
              <w:spacing w:before="0" w:beforeAutospacing="0" w:after="0" w:afterAutospacing="0"/>
              <w:rPr>
                <w:sz w:val="15"/>
                <w:szCs w:val="15"/>
              </w:rPr>
            </w:pPr>
            <w:hyperlink r:id="rId46" w:history="1">
              <w:r>
                <w:rPr>
                  <w:rStyle w:val="a4"/>
                  <w:sz w:val="15"/>
                  <w:szCs w:val="15"/>
                </w:rPr>
                <w:t>Employment Offer Letter, dated as of June 22, 2021, by and between Talkspace, Inc. and Samara Braunstein</w:t>
              </w:r>
              <w:r>
                <w:rPr>
                  <w:rStyle w:val="a4"/>
                  <w:sz w:val="15"/>
                  <w:szCs w:val="15"/>
                </w:rPr>
                <w:t>.</w:t>
              </w:r>
            </w:hyperlink>
          </w:p>
        </w:tc>
        <w:tc>
          <w:tcPr>
            <w:tcW w:w="0" w:type="auto"/>
            <w:tcMar>
              <w:top w:w="14" w:type="dxa"/>
              <w:left w:w="15" w:type="dxa"/>
              <w:bottom w:w="15" w:type="dxa"/>
              <w:right w:w="14" w:type="dxa"/>
            </w:tcMar>
            <w:hideMark/>
          </w:tcPr>
          <w:p w14:paraId="7CA56203"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6FAE0280"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01A2DA9F" w14:textId="77777777" w:rsidR="00000000" w:rsidRDefault="00EF48A2">
            <w:pPr>
              <w:pStyle w:val="a3"/>
              <w:spacing w:before="0" w:beforeAutospacing="0" w:after="0" w:afterAutospacing="0"/>
              <w:jc w:val="center"/>
              <w:rPr>
                <w:sz w:val="15"/>
                <w:szCs w:val="15"/>
              </w:rPr>
            </w:pPr>
            <w:r>
              <w:rPr>
                <w:sz w:val="15"/>
                <w:szCs w:val="15"/>
              </w:rPr>
              <w:t>10.1</w:t>
            </w:r>
            <w:r>
              <w:rPr>
                <w:sz w:val="15"/>
                <w:szCs w:val="15"/>
              </w:rPr>
              <w:t>7</w:t>
            </w:r>
          </w:p>
        </w:tc>
        <w:tc>
          <w:tcPr>
            <w:tcW w:w="0" w:type="auto"/>
            <w:tcMar>
              <w:top w:w="14" w:type="dxa"/>
              <w:left w:w="15" w:type="dxa"/>
              <w:bottom w:w="15" w:type="dxa"/>
              <w:right w:w="14" w:type="dxa"/>
            </w:tcMar>
            <w:hideMark/>
          </w:tcPr>
          <w:p w14:paraId="5FA9AB73"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0B2342A2"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19B51288" w14:textId="77777777">
        <w:trPr>
          <w:trHeight w:val="140"/>
          <w:tblCellSpacing w:w="15" w:type="dxa"/>
        </w:trPr>
        <w:tc>
          <w:tcPr>
            <w:tcW w:w="0" w:type="auto"/>
            <w:tcMar>
              <w:top w:w="14" w:type="dxa"/>
              <w:left w:w="15" w:type="dxa"/>
              <w:bottom w:w="15" w:type="dxa"/>
              <w:right w:w="14" w:type="dxa"/>
            </w:tcMar>
            <w:hideMark/>
          </w:tcPr>
          <w:p w14:paraId="795AA8B1" w14:textId="77777777" w:rsidR="00000000" w:rsidRDefault="00EF48A2">
            <w:pPr>
              <w:pStyle w:val="a3"/>
              <w:spacing w:before="0" w:beforeAutospacing="0" w:after="0" w:afterAutospacing="0"/>
              <w:rPr>
                <w:sz w:val="15"/>
                <w:szCs w:val="15"/>
              </w:rPr>
            </w:pPr>
            <w:hyperlink r:id="rId47" w:history="1">
              <w:r>
                <w:rPr>
                  <w:rStyle w:val="a4"/>
                  <w:sz w:val="15"/>
                  <w:szCs w:val="15"/>
                </w:rPr>
                <w:t>10.1</w:t>
              </w:r>
              <w:r>
                <w:rPr>
                  <w:rStyle w:val="a4"/>
                  <w:sz w:val="15"/>
                  <w:szCs w:val="15"/>
                </w:rPr>
                <w:t>8</w:t>
              </w:r>
            </w:hyperlink>
            <w:r>
              <w:rPr>
                <w:sz w:val="15"/>
                <w:szCs w:val="15"/>
              </w:rPr>
              <w:t>†</w:t>
            </w:r>
          </w:p>
        </w:tc>
        <w:tc>
          <w:tcPr>
            <w:tcW w:w="0" w:type="auto"/>
            <w:tcMar>
              <w:top w:w="14" w:type="dxa"/>
              <w:left w:w="15" w:type="dxa"/>
              <w:bottom w:w="15" w:type="dxa"/>
              <w:right w:w="14" w:type="dxa"/>
            </w:tcMar>
            <w:hideMark/>
          </w:tcPr>
          <w:p w14:paraId="260691E0"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651716B7" w14:textId="77777777" w:rsidR="00000000" w:rsidRDefault="00EF48A2">
            <w:pPr>
              <w:pStyle w:val="a3"/>
              <w:spacing w:before="0" w:beforeAutospacing="0" w:after="0" w:afterAutospacing="0"/>
              <w:rPr>
                <w:sz w:val="15"/>
                <w:szCs w:val="15"/>
              </w:rPr>
            </w:pPr>
            <w:hyperlink r:id="rId48" w:history="1">
              <w:r>
                <w:rPr>
                  <w:rStyle w:val="a4"/>
                  <w:sz w:val="15"/>
                  <w:szCs w:val="15"/>
                </w:rPr>
                <w:t>Employment Offer Letter, dated as of</w:t>
              </w:r>
              <w:r>
                <w:rPr>
                  <w:rStyle w:val="a4"/>
                  <w:sz w:val="15"/>
                  <w:szCs w:val="15"/>
                </w:rPr>
                <w:t xml:space="preserve"> June 22, 2021, by and between Talkspace, Inc. and John C. Reilly</w:t>
              </w:r>
              <w:r>
                <w:rPr>
                  <w:rStyle w:val="a4"/>
                  <w:sz w:val="15"/>
                  <w:szCs w:val="15"/>
                </w:rPr>
                <w:t>.</w:t>
              </w:r>
            </w:hyperlink>
          </w:p>
        </w:tc>
        <w:tc>
          <w:tcPr>
            <w:tcW w:w="0" w:type="auto"/>
            <w:tcMar>
              <w:top w:w="14" w:type="dxa"/>
              <w:left w:w="15" w:type="dxa"/>
              <w:bottom w:w="15" w:type="dxa"/>
              <w:right w:w="14" w:type="dxa"/>
            </w:tcMar>
            <w:hideMark/>
          </w:tcPr>
          <w:p w14:paraId="41CF4A3D"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485FE53E"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21EA689F" w14:textId="77777777" w:rsidR="00000000" w:rsidRDefault="00EF48A2">
            <w:pPr>
              <w:pStyle w:val="a3"/>
              <w:spacing w:before="0" w:beforeAutospacing="0" w:after="0" w:afterAutospacing="0"/>
              <w:jc w:val="center"/>
              <w:rPr>
                <w:sz w:val="15"/>
                <w:szCs w:val="15"/>
              </w:rPr>
            </w:pPr>
            <w:r>
              <w:rPr>
                <w:sz w:val="15"/>
                <w:szCs w:val="15"/>
              </w:rPr>
              <w:t>10.1</w:t>
            </w:r>
            <w:r>
              <w:rPr>
                <w:sz w:val="15"/>
                <w:szCs w:val="15"/>
              </w:rPr>
              <w:t>8</w:t>
            </w:r>
          </w:p>
        </w:tc>
        <w:tc>
          <w:tcPr>
            <w:tcW w:w="0" w:type="auto"/>
            <w:tcMar>
              <w:top w:w="14" w:type="dxa"/>
              <w:left w:w="15" w:type="dxa"/>
              <w:bottom w:w="15" w:type="dxa"/>
              <w:right w:w="14" w:type="dxa"/>
            </w:tcMar>
            <w:hideMark/>
          </w:tcPr>
          <w:p w14:paraId="38BC6139"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2DEA89CC"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5DC23A4F" w14:textId="77777777">
        <w:trPr>
          <w:trHeight w:val="140"/>
          <w:tblCellSpacing w:w="15" w:type="dxa"/>
        </w:trPr>
        <w:tc>
          <w:tcPr>
            <w:tcW w:w="0" w:type="auto"/>
            <w:tcMar>
              <w:top w:w="14" w:type="dxa"/>
              <w:left w:w="15" w:type="dxa"/>
              <w:bottom w:w="15" w:type="dxa"/>
              <w:right w:w="14" w:type="dxa"/>
            </w:tcMar>
            <w:hideMark/>
          </w:tcPr>
          <w:p w14:paraId="5294A074" w14:textId="77777777" w:rsidR="00000000" w:rsidRDefault="00EF48A2">
            <w:pPr>
              <w:pStyle w:val="a3"/>
              <w:spacing w:before="0" w:beforeAutospacing="0" w:after="0" w:afterAutospacing="0"/>
              <w:rPr>
                <w:sz w:val="15"/>
                <w:szCs w:val="15"/>
              </w:rPr>
            </w:pPr>
            <w:hyperlink r:id="rId49" w:history="1">
              <w:r>
                <w:rPr>
                  <w:rStyle w:val="a4"/>
                  <w:sz w:val="15"/>
                  <w:szCs w:val="15"/>
                </w:rPr>
                <w:t>10.1</w:t>
              </w:r>
              <w:r>
                <w:rPr>
                  <w:rStyle w:val="a4"/>
                  <w:sz w:val="15"/>
                  <w:szCs w:val="15"/>
                </w:rPr>
                <w:t>9</w:t>
              </w:r>
            </w:hyperlink>
            <w:r>
              <w:rPr>
                <w:sz w:val="15"/>
                <w:szCs w:val="15"/>
              </w:rPr>
              <w:t>†</w:t>
            </w:r>
          </w:p>
        </w:tc>
        <w:tc>
          <w:tcPr>
            <w:tcW w:w="0" w:type="auto"/>
            <w:tcMar>
              <w:top w:w="14" w:type="dxa"/>
              <w:left w:w="15" w:type="dxa"/>
              <w:bottom w:w="15" w:type="dxa"/>
              <w:right w:w="14" w:type="dxa"/>
            </w:tcMar>
            <w:hideMark/>
          </w:tcPr>
          <w:p w14:paraId="2ADC730F"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6636D605" w14:textId="77777777" w:rsidR="00000000" w:rsidRDefault="00EF48A2">
            <w:pPr>
              <w:pStyle w:val="a3"/>
              <w:spacing w:before="0" w:beforeAutospacing="0" w:after="0" w:afterAutospacing="0"/>
              <w:rPr>
                <w:sz w:val="15"/>
                <w:szCs w:val="15"/>
              </w:rPr>
            </w:pPr>
            <w:hyperlink r:id="rId50" w:history="1">
              <w:r>
                <w:rPr>
                  <w:rStyle w:val="a4"/>
                  <w:sz w:val="15"/>
                  <w:szCs w:val="15"/>
                </w:rPr>
                <w:t>Retention Agreement, dated as of December 6, 2021, by and between Talkspace, Inc. and Gil Margolin</w:t>
              </w:r>
              <w:r>
                <w:rPr>
                  <w:rStyle w:val="a4"/>
                  <w:sz w:val="15"/>
                  <w:szCs w:val="15"/>
                </w:rPr>
                <w:t>.</w:t>
              </w:r>
            </w:hyperlink>
          </w:p>
        </w:tc>
        <w:tc>
          <w:tcPr>
            <w:tcW w:w="0" w:type="auto"/>
            <w:tcMar>
              <w:top w:w="14" w:type="dxa"/>
              <w:left w:w="15" w:type="dxa"/>
              <w:bottom w:w="15" w:type="dxa"/>
              <w:right w:w="14" w:type="dxa"/>
            </w:tcMar>
            <w:hideMark/>
          </w:tcPr>
          <w:p w14:paraId="60BD7A45"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60089DF4"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45A08144" w14:textId="77777777" w:rsidR="00000000" w:rsidRDefault="00EF48A2">
            <w:pPr>
              <w:pStyle w:val="a3"/>
              <w:spacing w:before="0" w:beforeAutospacing="0" w:after="0" w:afterAutospacing="0"/>
              <w:jc w:val="center"/>
              <w:rPr>
                <w:sz w:val="15"/>
                <w:szCs w:val="15"/>
              </w:rPr>
            </w:pPr>
            <w:r>
              <w:rPr>
                <w:sz w:val="15"/>
                <w:szCs w:val="15"/>
              </w:rPr>
              <w:t>10.1</w:t>
            </w:r>
            <w:r>
              <w:rPr>
                <w:sz w:val="15"/>
                <w:szCs w:val="15"/>
              </w:rPr>
              <w:t>9</w:t>
            </w:r>
          </w:p>
        </w:tc>
        <w:tc>
          <w:tcPr>
            <w:tcW w:w="0" w:type="auto"/>
            <w:tcMar>
              <w:top w:w="14" w:type="dxa"/>
              <w:left w:w="15" w:type="dxa"/>
              <w:bottom w:w="15" w:type="dxa"/>
              <w:right w:w="14" w:type="dxa"/>
            </w:tcMar>
            <w:hideMark/>
          </w:tcPr>
          <w:p w14:paraId="398BEF8F"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48722354"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1F2178FA" w14:textId="77777777">
        <w:trPr>
          <w:trHeight w:val="140"/>
          <w:tblCellSpacing w:w="15" w:type="dxa"/>
        </w:trPr>
        <w:tc>
          <w:tcPr>
            <w:tcW w:w="0" w:type="auto"/>
            <w:tcMar>
              <w:top w:w="14" w:type="dxa"/>
              <w:left w:w="15" w:type="dxa"/>
              <w:bottom w:w="15" w:type="dxa"/>
              <w:right w:w="14" w:type="dxa"/>
            </w:tcMar>
            <w:hideMark/>
          </w:tcPr>
          <w:p w14:paraId="7F43DF02" w14:textId="77777777" w:rsidR="00000000" w:rsidRDefault="00EF48A2">
            <w:pPr>
              <w:pStyle w:val="a3"/>
              <w:spacing w:before="0" w:beforeAutospacing="0" w:after="0" w:afterAutospacing="0"/>
              <w:rPr>
                <w:sz w:val="15"/>
                <w:szCs w:val="15"/>
              </w:rPr>
            </w:pPr>
            <w:hyperlink r:id="rId51" w:history="1">
              <w:r>
                <w:rPr>
                  <w:rStyle w:val="a4"/>
                  <w:sz w:val="15"/>
                  <w:szCs w:val="15"/>
                </w:rPr>
                <w:t>10.2</w:t>
              </w:r>
              <w:r>
                <w:rPr>
                  <w:rStyle w:val="a4"/>
                  <w:sz w:val="15"/>
                  <w:szCs w:val="15"/>
                </w:rPr>
                <w:t>0</w:t>
              </w:r>
            </w:hyperlink>
            <w:r>
              <w:rPr>
                <w:sz w:val="15"/>
                <w:szCs w:val="15"/>
              </w:rPr>
              <w:t>†</w:t>
            </w:r>
          </w:p>
        </w:tc>
        <w:tc>
          <w:tcPr>
            <w:tcW w:w="0" w:type="auto"/>
            <w:tcMar>
              <w:top w:w="14" w:type="dxa"/>
              <w:left w:w="15" w:type="dxa"/>
              <w:bottom w:w="15" w:type="dxa"/>
              <w:right w:w="14" w:type="dxa"/>
            </w:tcMar>
            <w:hideMark/>
          </w:tcPr>
          <w:p w14:paraId="69CF48A9"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0235BD4" w14:textId="77777777" w:rsidR="00000000" w:rsidRDefault="00EF48A2">
            <w:pPr>
              <w:pStyle w:val="a3"/>
              <w:spacing w:before="0" w:beforeAutospacing="0" w:after="0" w:afterAutospacing="0"/>
              <w:rPr>
                <w:sz w:val="15"/>
                <w:szCs w:val="15"/>
              </w:rPr>
            </w:pPr>
            <w:hyperlink r:id="rId52" w:history="1">
              <w:r>
                <w:rPr>
                  <w:rStyle w:val="a4"/>
                  <w:sz w:val="15"/>
                  <w:szCs w:val="15"/>
                </w:rPr>
                <w:t>Retention Agreement, dated as of December 6,202</w:t>
              </w:r>
              <w:r>
                <w:rPr>
                  <w:rStyle w:val="a4"/>
                  <w:sz w:val="15"/>
                  <w:szCs w:val="15"/>
                </w:rPr>
                <w:t>1, by and between Talkspace, Inc. and Samara Braunstein</w:t>
              </w:r>
              <w:r>
                <w:rPr>
                  <w:rStyle w:val="a4"/>
                  <w:sz w:val="15"/>
                  <w:szCs w:val="15"/>
                </w:rPr>
                <w:t>.</w:t>
              </w:r>
            </w:hyperlink>
          </w:p>
        </w:tc>
        <w:tc>
          <w:tcPr>
            <w:tcW w:w="0" w:type="auto"/>
            <w:tcMar>
              <w:top w:w="14" w:type="dxa"/>
              <w:left w:w="15" w:type="dxa"/>
              <w:bottom w:w="15" w:type="dxa"/>
              <w:right w:w="14" w:type="dxa"/>
            </w:tcMar>
            <w:hideMark/>
          </w:tcPr>
          <w:p w14:paraId="7786A516"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03782B5E"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342457B1" w14:textId="77777777" w:rsidR="00000000" w:rsidRDefault="00EF48A2">
            <w:pPr>
              <w:pStyle w:val="a3"/>
              <w:spacing w:before="0" w:beforeAutospacing="0" w:after="0" w:afterAutospacing="0"/>
              <w:jc w:val="center"/>
              <w:rPr>
                <w:sz w:val="15"/>
                <w:szCs w:val="15"/>
              </w:rPr>
            </w:pPr>
            <w:r>
              <w:rPr>
                <w:sz w:val="15"/>
                <w:szCs w:val="15"/>
              </w:rPr>
              <w:t>10.2</w:t>
            </w:r>
            <w:r>
              <w:rPr>
                <w:sz w:val="15"/>
                <w:szCs w:val="15"/>
              </w:rPr>
              <w:t>0</w:t>
            </w:r>
          </w:p>
        </w:tc>
        <w:tc>
          <w:tcPr>
            <w:tcW w:w="0" w:type="auto"/>
            <w:tcMar>
              <w:top w:w="14" w:type="dxa"/>
              <w:left w:w="15" w:type="dxa"/>
              <w:bottom w:w="15" w:type="dxa"/>
              <w:right w:w="14" w:type="dxa"/>
            </w:tcMar>
            <w:hideMark/>
          </w:tcPr>
          <w:p w14:paraId="7144F106"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7CDF5735"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445D4FB9" w14:textId="77777777">
        <w:trPr>
          <w:trHeight w:val="140"/>
          <w:tblCellSpacing w:w="15" w:type="dxa"/>
        </w:trPr>
        <w:tc>
          <w:tcPr>
            <w:tcW w:w="0" w:type="auto"/>
            <w:tcMar>
              <w:top w:w="14" w:type="dxa"/>
              <w:left w:w="15" w:type="dxa"/>
              <w:bottom w:w="15" w:type="dxa"/>
              <w:right w:w="14" w:type="dxa"/>
            </w:tcMar>
            <w:hideMark/>
          </w:tcPr>
          <w:p w14:paraId="622AD7E0" w14:textId="77777777" w:rsidR="00000000" w:rsidRDefault="00EF48A2">
            <w:pPr>
              <w:pStyle w:val="a3"/>
              <w:spacing w:before="0" w:beforeAutospacing="0" w:after="0" w:afterAutospacing="0"/>
              <w:rPr>
                <w:sz w:val="15"/>
                <w:szCs w:val="15"/>
              </w:rPr>
            </w:pPr>
            <w:hyperlink r:id="rId53" w:history="1">
              <w:r>
                <w:rPr>
                  <w:rStyle w:val="a4"/>
                  <w:sz w:val="15"/>
                  <w:szCs w:val="15"/>
                </w:rPr>
                <w:t>10.2</w:t>
              </w:r>
              <w:r>
                <w:rPr>
                  <w:rStyle w:val="a4"/>
                  <w:sz w:val="15"/>
                  <w:szCs w:val="15"/>
                </w:rPr>
                <w:t>1</w:t>
              </w:r>
            </w:hyperlink>
            <w:r>
              <w:rPr>
                <w:sz w:val="15"/>
                <w:szCs w:val="15"/>
              </w:rPr>
              <w:t>†</w:t>
            </w:r>
          </w:p>
        </w:tc>
        <w:tc>
          <w:tcPr>
            <w:tcW w:w="0" w:type="auto"/>
            <w:tcMar>
              <w:top w:w="14" w:type="dxa"/>
              <w:left w:w="15" w:type="dxa"/>
              <w:bottom w:w="15" w:type="dxa"/>
              <w:right w:w="14" w:type="dxa"/>
            </w:tcMar>
            <w:hideMark/>
          </w:tcPr>
          <w:p w14:paraId="20A88A0A"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7CC4570E" w14:textId="77777777" w:rsidR="00000000" w:rsidRDefault="00EF48A2">
            <w:pPr>
              <w:pStyle w:val="a3"/>
              <w:spacing w:before="0" w:beforeAutospacing="0" w:after="0" w:afterAutospacing="0"/>
              <w:rPr>
                <w:sz w:val="15"/>
                <w:szCs w:val="15"/>
              </w:rPr>
            </w:pPr>
            <w:hyperlink r:id="rId54" w:history="1">
              <w:r>
                <w:rPr>
                  <w:rStyle w:val="a4"/>
                  <w:sz w:val="15"/>
                  <w:szCs w:val="15"/>
                </w:rPr>
                <w:t>Retention Agreement, dated as of December 6, 2021, by and between Talkspace, Inc. and John C. Reilly</w:t>
              </w:r>
              <w:r>
                <w:rPr>
                  <w:rStyle w:val="a4"/>
                  <w:sz w:val="15"/>
                  <w:szCs w:val="15"/>
                </w:rPr>
                <w:t>.</w:t>
              </w:r>
            </w:hyperlink>
          </w:p>
        </w:tc>
        <w:tc>
          <w:tcPr>
            <w:tcW w:w="0" w:type="auto"/>
            <w:tcMar>
              <w:top w:w="14" w:type="dxa"/>
              <w:left w:w="15" w:type="dxa"/>
              <w:bottom w:w="15" w:type="dxa"/>
              <w:right w:w="14" w:type="dxa"/>
            </w:tcMar>
            <w:hideMark/>
          </w:tcPr>
          <w:p w14:paraId="134CA17C" w14:textId="77777777" w:rsidR="00000000" w:rsidRDefault="00EF48A2">
            <w:pPr>
              <w:pStyle w:val="a3"/>
              <w:spacing w:before="0" w:beforeAutospacing="0" w:after="0" w:afterAutospacing="0"/>
              <w:jc w:val="center"/>
              <w:rPr>
                <w:sz w:val="15"/>
                <w:szCs w:val="15"/>
              </w:rPr>
            </w:pPr>
            <w:r>
              <w:rPr>
                <w:sz w:val="15"/>
                <w:szCs w:val="15"/>
              </w:rPr>
              <w:t>10-</w:t>
            </w:r>
            <w:r>
              <w:rPr>
                <w:sz w:val="15"/>
                <w:szCs w:val="15"/>
              </w:rPr>
              <w:t>K</w:t>
            </w:r>
          </w:p>
        </w:tc>
        <w:tc>
          <w:tcPr>
            <w:tcW w:w="0" w:type="auto"/>
            <w:tcMar>
              <w:top w:w="14" w:type="dxa"/>
              <w:left w:w="15" w:type="dxa"/>
              <w:bottom w:w="15" w:type="dxa"/>
              <w:right w:w="14" w:type="dxa"/>
            </w:tcMar>
            <w:hideMark/>
          </w:tcPr>
          <w:p w14:paraId="7DDBCD03" w14:textId="77777777" w:rsidR="00000000" w:rsidRDefault="00EF48A2">
            <w:pPr>
              <w:pStyle w:val="a3"/>
              <w:spacing w:before="0" w:beforeAutospacing="0" w:after="0" w:afterAutospacing="0"/>
              <w:jc w:val="center"/>
              <w:rPr>
                <w:sz w:val="15"/>
                <w:szCs w:val="15"/>
              </w:rPr>
            </w:pPr>
            <w:r>
              <w:rPr>
                <w:sz w:val="15"/>
                <w:szCs w:val="15"/>
              </w:rPr>
              <w:t>001-3931</w:t>
            </w:r>
            <w:r>
              <w:rPr>
                <w:sz w:val="15"/>
                <w:szCs w:val="15"/>
              </w:rPr>
              <w:t>4</w:t>
            </w:r>
          </w:p>
        </w:tc>
        <w:tc>
          <w:tcPr>
            <w:tcW w:w="0" w:type="auto"/>
            <w:tcMar>
              <w:top w:w="14" w:type="dxa"/>
              <w:left w:w="15" w:type="dxa"/>
              <w:bottom w:w="15" w:type="dxa"/>
              <w:right w:w="14" w:type="dxa"/>
            </w:tcMar>
            <w:hideMark/>
          </w:tcPr>
          <w:p w14:paraId="7454EA6B" w14:textId="77777777" w:rsidR="00000000" w:rsidRDefault="00EF48A2">
            <w:pPr>
              <w:pStyle w:val="a3"/>
              <w:spacing w:before="0" w:beforeAutospacing="0" w:after="0" w:afterAutospacing="0"/>
              <w:jc w:val="center"/>
              <w:rPr>
                <w:sz w:val="15"/>
                <w:szCs w:val="15"/>
              </w:rPr>
            </w:pPr>
            <w:r>
              <w:rPr>
                <w:sz w:val="15"/>
                <w:szCs w:val="15"/>
              </w:rPr>
              <w:t>10.2</w:t>
            </w:r>
            <w:r>
              <w:rPr>
                <w:sz w:val="15"/>
                <w:szCs w:val="15"/>
              </w:rPr>
              <w:t>1</w:t>
            </w:r>
          </w:p>
        </w:tc>
        <w:tc>
          <w:tcPr>
            <w:tcW w:w="0" w:type="auto"/>
            <w:tcMar>
              <w:top w:w="14" w:type="dxa"/>
              <w:left w:w="15" w:type="dxa"/>
              <w:bottom w:w="15" w:type="dxa"/>
              <w:right w:w="14" w:type="dxa"/>
            </w:tcMar>
            <w:hideMark/>
          </w:tcPr>
          <w:p w14:paraId="78B1EE4C" w14:textId="77777777" w:rsidR="00000000" w:rsidRDefault="00EF48A2">
            <w:pPr>
              <w:pStyle w:val="a3"/>
              <w:spacing w:before="0" w:beforeAutospacing="0" w:after="0" w:afterAutospacing="0"/>
              <w:jc w:val="center"/>
              <w:rPr>
                <w:sz w:val="15"/>
                <w:szCs w:val="15"/>
              </w:rPr>
            </w:pPr>
            <w:r>
              <w:rPr>
                <w:sz w:val="15"/>
                <w:szCs w:val="15"/>
              </w:rPr>
              <w:t>2/25/2</w:t>
            </w:r>
            <w:r>
              <w:rPr>
                <w:sz w:val="15"/>
                <w:szCs w:val="15"/>
              </w:rPr>
              <w:t>2</w:t>
            </w:r>
          </w:p>
        </w:tc>
        <w:tc>
          <w:tcPr>
            <w:tcW w:w="0" w:type="auto"/>
            <w:tcMar>
              <w:top w:w="14" w:type="dxa"/>
              <w:left w:w="15" w:type="dxa"/>
              <w:bottom w:w="15" w:type="dxa"/>
              <w:right w:w="14" w:type="dxa"/>
            </w:tcMar>
            <w:hideMark/>
          </w:tcPr>
          <w:p w14:paraId="5D0FDB4F" w14:textId="77777777" w:rsidR="00000000" w:rsidRDefault="00EF48A2">
            <w:pPr>
              <w:pStyle w:val="a3"/>
              <w:spacing w:before="0" w:beforeAutospacing="0" w:after="0" w:afterAutospacing="0"/>
              <w:jc w:val="center"/>
              <w:rPr>
                <w:sz w:val="15"/>
                <w:szCs w:val="15"/>
              </w:rPr>
            </w:pPr>
            <w:r>
              <w:rPr>
                <w:sz w:val="15"/>
                <w:szCs w:val="15"/>
              </w:rPr>
              <w:t> </w:t>
            </w:r>
          </w:p>
        </w:tc>
      </w:tr>
      <w:tr w:rsidR="00000000" w14:paraId="322DA25B" w14:textId="77777777">
        <w:trPr>
          <w:trHeight w:val="140"/>
          <w:tblCellSpacing w:w="15" w:type="dxa"/>
        </w:trPr>
        <w:tc>
          <w:tcPr>
            <w:tcW w:w="0" w:type="auto"/>
            <w:tcMar>
              <w:top w:w="14" w:type="dxa"/>
              <w:left w:w="15" w:type="dxa"/>
              <w:bottom w:w="15" w:type="dxa"/>
              <w:right w:w="14" w:type="dxa"/>
            </w:tcMar>
            <w:hideMark/>
          </w:tcPr>
          <w:p w14:paraId="4AC846DF" w14:textId="77777777" w:rsidR="00000000" w:rsidRDefault="00EF48A2">
            <w:pPr>
              <w:pStyle w:val="a3"/>
              <w:spacing w:before="0" w:beforeAutospacing="0" w:after="0" w:afterAutospacing="0"/>
              <w:rPr>
                <w:sz w:val="15"/>
                <w:szCs w:val="15"/>
              </w:rPr>
            </w:pPr>
            <w:hyperlink r:id="rId55" w:history="1">
              <w:r>
                <w:rPr>
                  <w:rStyle w:val="a4"/>
                  <w:sz w:val="15"/>
                  <w:szCs w:val="15"/>
                </w:rPr>
                <w:t>10.2</w:t>
              </w:r>
              <w:r>
                <w:rPr>
                  <w:rStyle w:val="a4"/>
                  <w:sz w:val="15"/>
                  <w:szCs w:val="15"/>
                </w:rPr>
                <w:t>2</w:t>
              </w:r>
            </w:hyperlink>
            <w:r>
              <w:rPr>
                <w:sz w:val="15"/>
                <w:szCs w:val="15"/>
              </w:rPr>
              <w:t>†</w:t>
            </w:r>
          </w:p>
        </w:tc>
        <w:tc>
          <w:tcPr>
            <w:tcW w:w="0" w:type="auto"/>
            <w:tcMar>
              <w:top w:w="14" w:type="dxa"/>
              <w:left w:w="15" w:type="dxa"/>
              <w:bottom w:w="15" w:type="dxa"/>
              <w:right w:w="14" w:type="dxa"/>
            </w:tcMar>
            <w:hideMark/>
          </w:tcPr>
          <w:p w14:paraId="0053AA9D"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24C4F518" w14:textId="77777777" w:rsidR="00000000" w:rsidRDefault="00EF48A2">
            <w:pPr>
              <w:pStyle w:val="a3"/>
              <w:spacing w:before="0" w:beforeAutospacing="0" w:after="0" w:afterAutospacing="0"/>
              <w:rPr>
                <w:sz w:val="15"/>
                <w:szCs w:val="15"/>
              </w:rPr>
            </w:pPr>
            <w:hyperlink r:id="rId56" w:history="1">
              <w:r>
                <w:rPr>
                  <w:rStyle w:val="a4"/>
                  <w:sz w:val="15"/>
                  <w:szCs w:val="15"/>
                </w:rPr>
                <w:t>Emplo</w:t>
              </w:r>
              <w:r>
                <w:rPr>
                  <w:rStyle w:val="a4"/>
                  <w:sz w:val="15"/>
                  <w:szCs w:val="15"/>
                </w:rPr>
                <w:t>yment Offer Letter, dated as of November 9, 2022, by and between Talkspace, Inc. and Jon R. Cohen</w:t>
              </w:r>
              <w:r>
                <w:rPr>
                  <w:rStyle w:val="a4"/>
                  <w:sz w:val="15"/>
                  <w:szCs w:val="15"/>
                </w:rPr>
                <w:t>.</w:t>
              </w:r>
            </w:hyperlink>
          </w:p>
        </w:tc>
        <w:tc>
          <w:tcPr>
            <w:tcW w:w="0" w:type="auto"/>
            <w:tcMar>
              <w:top w:w="14" w:type="dxa"/>
              <w:left w:w="15" w:type="dxa"/>
              <w:bottom w:w="15" w:type="dxa"/>
              <w:right w:w="14" w:type="dxa"/>
            </w:tcMar>
            <w:hideMark/>
          </w:tcPr>
          <w:p w14:paraId="32FB6C11"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726DA1F0"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72EA6540"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53B4C33"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EE7156B"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760762FC" w14:textId="77777777">
        <w:trPr>
          <w:trHeight w:val="140"/>
          <w:tblCellSpacing w:w="15" w:type="dxa"/>
        </w:trPr>
        <w:tc>
          <w:tcPr>
            <w:tcW w:w="0" w:type="auto"/>
            <w:tcMar>
              <w:top w:w="14" w:type="dxa"/>
              <w:left w:w="15" w:type="dxa"/>
              <w:bottom w:w="15" w:type="dxa"/>
              <w:right w:w="14" w:type="dxa"/>
            </w:tcMar>
            <w:hideMark/>
          </w:tcPr>
          <w:p w14:paraId="1BBA59E6" w14:textId="77777777" w:rsidR="00000000" w:rsidRDefault="00EF48A2">
            <w:pPr>
              <w:pStyle w:val="a3"/>
              <w:spacing w:before="0" w:beforeAutospacing="0" w:after="0" w:afterAutospacing="0"/>
              <w:rPr>
                <w:sz w:val="15"/>
                <w:szCs w:val="15"/>
              </w:rPr>
            </w:pPr>
            <w:hyperlink r:id="rId57" w:history="1">
              <w:r>
                <w:rPr>
                  <w:rStyle w:val="a4"/>
                  <w:sz w:val="15"/>
                  <w:szCs w:val="15"/>
                </w:rPr>
                <w:t>21.</w:t>
              </w:r>
              <w:r>
                <w:rPr>
                  <w:rStyle w:val="a4"/>
                  <w:sz w:val="15"/>
                  <w:szCs w:val="15"/>
                </w:rPr>
                <w:t>1</w:t>
              </w:r>
            </w:hyperlink>
          </w:p>
        </w:tc>
        <w:tc>
          <w:tcPr>
            <w:tcW w:w="0" w:type="auto"/>
            <w:tcMar>
              <w:top w:w="14" w:type="dxa"/>
              <w:left w:w="15" w:type="dxa"/>
              <w:bottom w:w="15" w:type="dxa"/>
              <w:right w:w="14" w:type="dxa"/>
            </w:tcMar>
            <w:hideMark/>
          </w:tcPr>
          <w:p w14:paraId="5717820D"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3BE52116" w14:textId="77777777" w:rsidR="00000000" w:rsidRDefault="00EF48A2">
            <w:pPr>
              <w:pStyle w:val="a3"/>
              <w:spacing w:before="0" w:beforeAutospacing="0" w:after="0" w:afterAutospacing="0"/>
              <w:rPr>
                <w:sz w:val="15"/>
                <w:szCs w:val="15"/>
              </w:rPr>
            </w:pPr>
            <w:hyperlink r:id="rId58" w:history="1">
              <w:r>
                <w:rPr>
                  <w:rStyle w:val="a4"/>
                  <w:sz w:val="15"/>
                  <w:szCs w:val="15"/>
                </w:rPr>
                <w:t>List of Subsidiaries of Talkspace, Inc</w:t>
              </w:r>
              <w:r>
                <w:rPr>
                  <w:rStyle w:val="a4"/>
                  <w:sz w:val="15"/>
                  <w:szCs w:val="15"/>
                </w:rPr>
                <w:t>.</w:t>
              </w:r>
            </w:hyperlink>
          </w:p>
        </w:tc>
        <w:tc>
          <w:tcPr>
            <w:tcW w:w="0" w:type="auto"/>
            <w:tcMar>
              <w:top w:w="14" w:type="dxa"/>
              <w:left w:w="15" w:type="dxa"/>
              <w:bottom w:w="15" w:type="dxa"/>
              <w:right w:w="14" w:type="dxa"/>
            </w:tcMar>
            <w:hideMark/>
          </w:tcPr>
          <w:p w14:paraId="6033263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54D713C"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6FDC432"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705C6AE2"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47D4D33"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50C945D9" w14:textId="77777777">
        <w:trPr>
          <w:trHeight w:val="140"/>
          <w:tblCellSpacing w:w="15" w:type="dxa"/>
        </w:trPr>
        <w:tc>
          <w:tcPr>
            <w:tcW w:w="0" w:type="auto"/>
            <w:tcMar>
              <w:top w:w="14" w:type="dxa"/>
              <w:left w:w="15" w:type="dxa"/>
              <w:bottom w:w="15" w:type="dxa"/>
              <w:right w:w="14" w:type="dxa"/>
            </w:tcMar>
            <w:hideMark/>
          </w:tcPr>
          <w:p w14:paraId="146D4600" w14:textId="77777777" w:rsidR="00000000" w:rsidRDefault="00EF48A2">
            <w:pPr>
              <w:pStyle w:val="a3"/>
              <w:spacing w:before="0" w:beforeAutospacing="0" w:after="0" w:afterAutospacing="0"/>
              <w:rPr>
                <w:sz w:val="15"/>
                <w:szCs w:val="15"/>
              </w:rPr>
            </w:pPr>
            <w:hyperlink r:id="rId59" w:history="1">
              <w:r>
                <w:rPr>
                  <w:rStyle w:val="a4"/>
                  <w:sz w:val="15"/>
                  <w:szCs w:val="15"/>
                </w:rPr>
                <w:t>23.</w:t>
              </w:r>
              <w:r>
                <w:rPr>
                  <w:rStyle w:val="a4"/>
                  <w:sz w:val="15"/>
                  <w:szCs w:val="15"/>
                </w:rPr>
                <w:t>1</w:t>
              </w:r>
            </w:hyperlink>
          </w:p>
        </w:tc>
        <w:tc>
          <w:tcPr>
            <w:tcW w:w="0" w:type="auto"/>
            <w:tcMar>
              <w:top w:w="14" w:type="dxa"/>
              <w:left w:w="15" w:type="dxa"/>
              <w:bottom w:w="15" w:type="dxa"/>
              <w:right w:w="14" w:type="dxa"/>
            </w:tcMar>
            <w:hideMark/>
          </w:tcPr>
          <w:p w14:paraId="3F232992"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42FE8906" w14:textId="77777777" w:rsidR="00000000" w:rsidRDefault="00EF48A2">
            <w:pPr>
              <w:pStyle w:val="a3"/>
              <w:spacing w:before="0" w:beforeAutospacing="0" w:after="0" w:afterAutospacing="0"/>
              <w:rPr>
                <w:sz w:val="15"/>
                <w:szCs w:val="15"/>
              </w:rPr>
            </w:pPr>
            <w:hyperlink r:id="rId60" w:history="1">
              <w:r>
                <w:rPr>
                  <w:rStyle w:val="a4"/>
                  <w:sz w:val="15"/>
                  <w:szCs w:val="15"/>
                </w:rPr>
                <w:t>Consent of Kost Forer Gabbay &amp; Kasierer, a member of Ernst &amp; Young Global, Independent Registered Public Accounting Firm</w:t>
              </w:r>
              <w:r>
                <w:rPr>
                  <w:rStyle w:val="a4"/>
                  <w:sz w:val="15"/>
                  <w:szCs w:val="15"/>
                </w:rPr>
                <w:t>.</w:t>
              </w:r>
            </w:hyperlink>
          </w:p>
        </w:tc>
        <w:tc>
          <w:tcPr>
            <w:tcW w:w="0" w:type="auto"/>
            <w:tcMar>
              <w:top w:w="14" w:type="dxa"/>
              <w:left w:w="15" w:type="dxa"/>
              <w:bottom w:w="15" w:type="dxa"/>
              <w:right w:w="14" w:type="dxa"/>
            </w:tcMar>
            <w:hideMark/>
          </w:tcPr>
          <w:p w14:paraId="39DB93DB"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7C408E2"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76959526"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387C4D8"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A977DFD"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3BCBC1B0" w14:textId="77777777">
        <w:trPr>
          <w:trHeight w:val="140"/>
          <w:tblCellSpacing w:w="15" w:type="dxa"/>
        </w:trPr>
        <w:tc>
          <w:tcPr>
            <w:tcW w:w="0" w:type="auto"/>
            <w:tcMar>
              <w:top w:w="14" w:type="dxa"/>
              <w:left w:w="15" w:type="dxa"/>
              <w:bottom w:w="15" w:type="dxa"/>
              <w:right w:w="14" w:type="dxa"/>
            </w:tcMar>
            <w:hideMark/>
          </w:tcPr>
          <w:p w14:paraId="54898819" w14:textId="77777777" w:rsidR="00000000" w:rsidRDefault="00EF48A2">
            <w:pPr>
              <w:pStyle w:val="a3"/>
              <w:spacing w:before="0" w:beforeAutospacing="0" w:after="0" w:afterAutospacing="0"/>
              <w:rPr>
                <w:sz w:val="15"/>
                <w:szCs w:val="15"/>
              </w:rPr>
            </w:pPr>
            <w:hyperlink r:id="rId61" w:history="1">
              <w:r>
                <w:rPr>
                  <w:rStyle w:val="a4"/>
                  <w:sz w:val="15"/>
                  <w:szCs w:val="15"/>
                </w:rPr>
                <w:t>31.</w:t>
              </w:r>
              <w:r>
                <w:rPr>
                  <w:rStyle w:val="a4"/>
                  <w:sz w:val="15"/>
                  <w:szCs w:val="15"/>
                </w:rPr>
                <w:t>1</w:t>
              </w:r>
            </w:hyperlink>
          </w:p>
        </w:tc>
        <w:tc>
          <w:tcPr>
            <w:tcW w:w="0" w:type="auto"/>
            <w:tcMar>
              <w:top w:w="14" w:type="dxa"/>
              <w:left w:w="15" w:type="dxa"/>
              <w:bottom w:w="15" w:type="dxa"/>
              <w:right w:w="14" w:type="dxa"/>
            </w:tcMar>
            <w:hideMark/>
          </w:tcPr>
          <w:p w14:paraId="3B3700FF"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482E0F47" w14:textId="77777777" w:rsidR="00000000" w:rsidRDefault="00EF48A2">
            <w:pPr>
              <w:pStyle w:val="a3"/>
              <w:spacing w:before="0" w:beforeAutospacing="0" w:after="0" w:afterAutospacing="0"/>
              <w:rPr>
                <w:sz w:val="15"/>
                <w:szCs w:val="15"/>
              </w:rPr>
            </w:pPr>
            <w:hyperlink r:id="rId62" w:history="1">
              <w:r>
                <w:rPr>
                  <w:rStyle w:val="a4"/>
                  <w:sz w:val="15"/>
                  <w:szCs w:val="15"/>
                </w:rPr>
                <w:t>Certification of Chief Executive Officer pursuant to Rule 13a-14(a)/15d-14(a)</w:t>
              </w:r>
              <w:r>
                <w:rPr>
                  <w:rStyle w:val="a4"/>
                  <w:sz w:val="15"/>
                  <w:szCs w:val="15"/>
                </w:rPr>
                <w:t>.</w:t>
              </w:r>
            </w:hyperlink>
          </w:p>
        </w:tc>
        <w:tc>
          <w:tcPr>
            <w:tcW w:w="0" w:type="auto"/>
            <w:tcMar>
              <w:top w:w="14" w:type="dxa"/>
              <w:left w:w="15" w:type="dxa"/>
              <w:bottom w:w="15" w:type="dxa"/>
              <w:right w:w="14" w:type="dxa"/>
            </w:tcMar>
            <w:hideMark/>
          </w:tcPr>
          <w:p w14:paraId="2A0CEC10"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4CC8F069"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53BBDABD"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8C36265"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AA29F73"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7FDA4016" w14:textId="77777777">
        <w:trPr>
          <w:trHeight w:val="140"/>
          <w:tblCellSpacing w:w="15" w:type="dxa"/>
        </w:trPr>
        <w:tc>
          <w:tcPr>
            <w:tcW w:w="0" w:type="auto"/>
            <w:tcMar>
              <w:top w:w="14" w:type="dxa"/>
              <w:left w:w="15" w:type="dxa"/>
              <w:bottom w:w="15" w:type="dxa"/>
              <w:right w:w="14" w:type="dxa"/>
            </w:tcMar>
            <w:hideMark/>
          </w:tcPr>
          <w:p w14:paraId="12D25EA6" w14:textId="77777777" w:rsidR="00000000" w:rsidRDefault="00EF48A2">
            <w:pPr>
              <w:pStyle w:val="a3"/>
              <w:spacing w:before="0" w:beforeAutospacing="0" w:after="0" w:afterAutospacing="0"/>
              <w:rPr>
                <w:sz w:val="15"/>
                <w:szCs w:val="15"/>
              </w:rPr>
            </w:pPr>
            <w:hyperlink r:id="rId63" w:history="1">
              <w:r>
                <w:rPr>
                  <w:rStyle w:val="a4"/>
                  <w:sz w:val="15"/>
                  <w:szCs w:val="15"/>
                </w:rPr>
                <w:t>31.</w:t>
              </w:r>
              <w:r>
                <w:rPr>
                  <w:rStyle w:val="a4"/>
                  <w:sz w:val="15"/>
                  <w:szCs w:val="15"/>
                </w:rPr>
                <w:t>2</w:t>
              </w:r>
            </w:hyperlink>
          </w:p>
        </w:tc>
        <w:tc>
          <w:tcPr>
            <w:tcW w:w="0" w:type="auto"/>
            <w:tcMar>
              <w:top w:w="14" w:type="dxa"/>
              <w:left w:w="15" w:type="dxa"/>
              <w:bottom w:w="15" w:type="dxa"/>
              <w:right w:w="14" w:type="dxa"/>
            </w:tcMar>
            <w:hideMark/>
          </w:tcPr>
          <w:p w14:paraId="2B85B463"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436608A4" w14:textId="77777777" w:rsidR="00000000" w:rsidRDefault="00EF48A2">
            <w:pPr>
              <w:pStyle w:val="a3"/>
              <w:spacing w:before="0" w:beforeAutospacing="0" w:after="0" w:afterAutospacing="0"/>
              <w:rPr>
                <w:sz w:val="15"/>
                <w:szCs w:val="15"/>
              </w:rPr>
            </w:pPr>
            <w:hyperlink r:id="rId64" w:history="1">
              <w:r>
                <w:rPr>
                  <w:rStyle w:val="a4"/>
                  <w:sz w:val="15"/>
                  <w:szCs w:val="15"/>
                </w:rPr>
                <w:t>Certification of Chief F</w:t>
              </w:r>
              <w:r>
                <w:rPr>
                  <w:rStyle w:val="a4"/>
                  <w:sz w:val="15"/>
                  <w:szCs w:val="15"/>
                </w:rPr>
                <w:t>inancial Officer pursuant to Rule 13a-14(a)/15d-14(a)</w:t>
              </w:r>
              <w:r>
                <w:rPr>
                  <w:rStyle w:val="a4"/>
                  <w:sz w:val="15"/>
                  <w:szCs w:val="15"/>
                </w:rPr>
                <w:t>.</w:t>
              </w:r>
            </w:hyperlink>
          </w:p>
        </w:tc>
        <w:tc>
          <w:tcPr>
            <w:tcW w:w="0" w:type="auto"/>
            <w:tcMar>
              <w:top w:w="14" w:type="dxa"/>
              <w:left w:w="15" w:type="dxa"/>
              <w:bottom w:w="15" w:type="dxa"/>
              <w:right w:w="14" w:type="dxa"/>
            </w:tcMar>
            <w:hideMark/>
          </w:tcPr>
          <w:p w14:paraId="3C664AC7"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B4F8DE8"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7603E069"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DC501E7"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59E6A1CE"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7F34B54E" w14:textId="77777777">
        <w:trPr>
          <w:trHeight w:val="140"/>
          <w:tblCellSpacing w:w="15" w:type="dxa"/>
        </w:trPr>
        <w:tc>
          <w:tcPr>
            <w:tcW w:w="0" w:type="auto"/>
            <w:tcMar>
              <w:top w:w="14" w:type="dxa"/>
              <w:left w:w="15" w:type="dxa"/>
              <w:bottom w:w="15" w:type="dxa"/>
              <w:right w:w="14" w:type="dxa"/>
            </w:tcMar>
            <w:hideMark/>
          </w:tcPr>
          <w:p w14:paraId="72D98D8A" w14:textId="77777777" w:rsidR="00000000" w:rsidRDefault="00EF48A2">
            <w:pPr>
              <w:pStyle w:val="a3"/>
              <w:spacing w:before="0" w:beforeAutospacing="0" w:after="0" w:afterAutospacing="0"/>
              <w:rPr>
                <w:sz w:val="15"/>
                <w:szCs w:val="15"/>
              </w:rPr>
            </w:pPr>
            <w:hyperlink r:id="rId65" w:history="1">
              <w:r>
                <w:rPr>
                  <w:rStyle w:val="a4"/>
                  <w:sz w:val="15"/>
                  <w:szCs w:val="15"/>
                </w:rPr>
                <w:t>32.</w:t>
              </w:r>
              <w:r>
                <w:rPr>
                  <w:rStyle w:val="a4"/>
                  <w:sz w:val="15"/>
                  <w:szCs w:val="15"/>
                </w:rPr>
                <w:t>1</w:t>
              </w:r>
            </w:hyperlink>
          </w:p>
        </w:tc>
        <w:tc>
          <w:tcPr>
            <w:tcW w:w="0" w:type="auto"/>
            <w:tcMar>
              <w:top w:w="14" w:type="dxa"/>
              <w:left w:w="15" w:type="dxa"/>
              <w:bottom w:w="15" w:type="dxa"/>
              <w:right w:w="14" w:type="dxa"/>
            </w:tcMar>
            <w:hideMark/>
          </w:tcPr>
          <w:p w14:paraId="1F17E996"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7368DC1B" w14:textId="77777777" w:rsidR="00000000" w:rsidRDefault="00EF48A2">
            <w:pPr>
              <w:pStyle w:val="a3"/>
              <w:spacing w:before="0" w:beforeAutospacing="0" w:after="0" w:afterAutospacing="0"/>
              <w:rPr>
                <w:sz w:val="15"/>
                <w:szCs w:val="15"/>
              </w:rPr>
            </w:pPr>
            <w:hyperlink r:id="rId66" w:history="1">
              <w:r>
                <w:rPr>
                  <w:rStyle w:val="a4"/>
                  <w:sz w:val="15"/>
                  <w:szCs w:val="15"/>
                </w:rPr>
                <w:t>Certification of Chief Executive Officer pursuant to 18 U.S.C. Section 1350</w:t>
              </w:r>
              <w:r>
                <w:rPr>
                  <w:rStyle w:val="a4"/>
                  <w:sz w:val="15"/>
                  <w:szCs w:val="15"/>
                </w:rPr>
                <w:t>.</w:t>
              </w:r>
            </w:hyperlink>
          </w:p>
        </w:tc>
        <w:tc>
          <w:tcPr>
            <w:tcW w:w="0" w:type="auto"/>
            <w:tcMar>
              <w:top w:w="14" w:type="dxa"/>
              <w:left w:w="15" w:type="dxa"/>
              <w:bottom w:w="15" w:type="dxa"/>
              <w:right w:w="14" w:type="dxa"/>
            </w:tcMar>
            <w:hideMark/>
          </w:tcPr>
          <w:p w14:paraId="18D0F5FE"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379C041"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0D1532F"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4970F62F"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DA14730" w14:textId="77777777" w:rsidR="00000000" w:rsidRDefault="00EF48A2">
            <w:pPr>
              <w:pStyle w:val="a3"/>
              <w:spacing w:before="0" w:beforeAutospacing="0" w:after="0" w:afterAutospacing="0"/>
              <w:jc w:val="center"/>
              <w:rPr>
                <w:sz w:val="15"/>
                <w:szCs w:val="15"/>
              </w:rPr>
            </w:pPr>
            <w:r>
              <w:rPr>
                <w:b/>
                <w:bCs/>
                <w:sz w:val="15"/>
                <w:szCs w:val="15"/>
              </w:rPr>
              <w:t>*</w:t>
            </w:r>
            <w:r>
              <w:rPr>
                <w:b/>
                <w:bCs/>
                <w:sz w:val="15"/>
                <w:szCs w:val="15"/>
              </w:rPr>
              <w:t>*</w:t>
            </w:r>
          </w:p>
        </w:tc>
      </w:tr>
      <w:tr w:rsidR="00000000" w14:paraId="68968BD2" w14:textId="77777777">
        <w:trPr>
          <w:trHeight w:val="140"/>
          <w:tblCellSpacing w:w="15" w:type="dxa"/>
        </w:trPr>
        <w:tc>
          <w:tcPr>
            <w:tcW w:w="0" w:type="auto"/>
            <w:tcMar>
              <w:top w:w="14" w:type="dxa"/>
              <w:left w:w="15" w:type="dxa"/>
              <w:bottom w:w="15" w:type="dxa"/>
              <w:right w:w="14" w:type="dxa"/>
            </w:tcMar>
            <w:hideMark/>
          </w:tcPr>
          <w:p w14:paraId="241C6C5F" w14:textId="77777777" w:rsidR="00000000" w:rsidRDefault="00EF48A2">
            <w:pPr>
              <w:pStyle w:val="a3"/>
              <w:spacing w:before="0" w:beforeAutospacing="0" w:after="0" w:afterAutospacing="0"/>
              <w:rPr>
                <w:sz w:val="15"/>
                <w:szCs w:val="15"/>
              </w:rPr>
            </w:pPr>
            <w:hyperlink r:id="rId67" w:history="1">
              <w:r>
                <w:rPr>
                  <w:rStyle w:val="a4"/>
                  <w:sz w:val="15"/>
                  <w:szCs w:val="15"/>
                </w:rPr>
                <w:t>32.</w:t>
              </w:r>
              <w:r>
                <w:rPr>
                  <w:rStyle w:val="a4"/>
                  <w:sz w:val="15"/>
                  <w:szCs w:val="15"/>
                </w:rPr>
                <w:t>2</w:t>
              </w:r>
            </w:hyperlink>
          </w:p>
        </w:tc>
        <w:tc>
          <w:tcPr>
            <w:tcW w:w="0" w:type="auto"/>
            <w:tcMar>
              <w:top w:w="14" w:type="dxa"/>
              <w:left w:w="15" w:type="dxa"/>
              <w:bottom w:w="15" w:type="dxa"/>
              <w:right w:w="14" w:type="dxa"/>
            </w:tcMar>
            <w:hideMark/>
          </w:tcPr>
          <w:p w14:paraId="717635E0"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5EFDC982" w14:textId="77777777" w:rsidR="00000000" w:rsidRDefault="00EF48A2">
            <w:pPr>
              <w:pStyle w:val="a3"/>
              <w:spacing w:before="0" w:beforeAutospacing="0" w:after="0" w:afterAutospacing="0"/>
              <w:rPr>
                <w:sz w:val="15"/>
                <w:szCs w:val="15"/>
              </w:rPr>
            </w:pPr>
            <w:hyperlink r:id="rId68" w:history="1">
              <w:r>
                <w:rPr>
                  <w:rStyle w:val="a4"/>
                  <w:sz w:val="15"/>
                  <w:szCs w:val="15"/>
                </w:rPr>
                <w:t>Certification of Chief Financial Officer pursuant to 18 U.S.C. Section 1350</w:t>
              </w:r>
              <w:r>
                <w:rPr>
                  <w:rStyle w:val="a4"/>
                  <w:sz w:val="15"/>
                  <w:szCs w:val="15"/>
                </w:rPr>
                <w:t>.</w:t>
              </w:r>
            </w:hyperlink>
          </w:p>
        </w:tc>
        <w:tc>
          <w:tcPr>
            <w:tcW w:w="0" w:type="auto"/>
            <w:tcMar>
              <w:top w:w="14" w:type="dxa"/>
              <w:left w:w="15" w:type="dxa"/>
              <w:bottom w:w="15" w:type="dxa"/>
              <w:right w:w="14" w:type="dxa"/>
            </w:tcMar>
            <w:hideMark/>
          </w:tcPr>
          <w:p w14:paraId="4928793C"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0BFDA0D"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4B1CE3BD"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2E599A49"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E80A714" w14:textId="77777777" w:rsidR="00000000" w:rsidRDefault="00EF48A2">
            <w:pPr>
              <w:pStyle w:val="a3"/>
              <w:spacing w:before="0" w:beforeAutospacing="0" w:after="0" w:afterAutospacing="0"/>
              <w:jc w:val="center"/>
              <w:rPr>
                <w:sz w:val="15"/>
                <w:szCs w:val="15"/>
              </w:rPr>
            </w:pPr>
            <w:r>
              <w:rPr>
                <w:b/>
                <w:bCs/>
                <w:sz w:val="15"/>
                <w:szCs w:val="15"/>
              </w:rPr>
              <w:t>*</w:t>
            </w:r>
            <w:r>
              <w:rPr>
                <w:b/>
                <w:bCs/>
                <w:sz w:val="15"/>
                <w:szCs w:val="15"/>
              </w:rPr>
              <w:t>*</w:t>
            </w:r>
          </w:p>
        </w:tc>
      </w:tr>
      <w:tr w:rsidR="00000000" w14:paraId="5F4EB8BC" w14:textId="77777777">
        <w:trPr>
          <w:trHeight w:val="140"/>
          <w:tblCellSpacing w:w="15" w:type="dxa"/>
        </w:trPr>
        <w:tc>
          <w:tcPr>
            <w:tcW w:w="0" w:type="auto"/>
            <w:tcMar>
              <w:top w:w="14" w:type="dxa"/>
              <w:left w:w="15" w:type="dxa"/>
              <w:bottom w:w="15" w:type="dxa"/>
              <w:right w:w="14" w:type="dxa"/>
            </w:tcMar>
            <w:hideMark/>
          </w:tcPr>
          <w:p w14:paraId="727EE428" w14:textId="77777777" w:rsidR="00000000" w:rsidRDefault="00EF48A2">
            <w:pPr>
              <w:pStyle w:val="a3"/>
              <w:spacing w:before="0" w:beforeAutospacing="0" w:after="0" w:afterAutospacing="0"/>
              <w:rPr>
                <w:sz w:val="15"/>
                <w:szCs w:val="15"/>
              </w:rPr>
            </w:pPr>
            <w:r>
              <w:rPr>
                <w:sz w:val="15"/>
                <w:szCs w:val="15"/>
              </w:rPr>
              <w:t>101.IN</w:t>
            </w:r>
            <w:r>
              <w:rPr>
                <w:sz w:val="15"/>
                <w:szCs w:val="15"/>
              </w:rPr>
              <w:t>S</w:t>
            </w:r>
          </w:p>
        </w:tc>
        <w:tc>
          <w:tcPr>
            <w:tcW w:w="0" w:type="auto"/>
            <w:tcMar>
              <w:top w:w="14" w:type="dxa"/>
              <w:left w:w="15" w:type="dxa"/>
              <w:bottom w:w="15" w:type="dxa"/>
              <w:right w:w="14" w:type="dxa"/>
            </w:tcMar>
            <w:hideMark/>
          </w:tcPr>
          <w:p w14:paraId="0903CFD1"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72482D02" w14:textId="77777777" w:rsidR="00000000" w:rsidRDefault="00EF48A2">
            <w:pPr>
              <w:pStyle w:val="a3"/>
              <w:spacing w:before="0" w:beforeAutospacing="0" w:after="0" w:afterAutospacing="0"/>
              <w:rPr>
                <w:sz w:val="15"/>
                <w:szCs w:val="15"/>
              </w:rPr>
            </w:pPr>
            <w:r>
              <w:rPr>
                <w:sz w:val="15"/>
                <w:szCs w:val="15"/>
              </w:rPr>
              <w:t>Inline XBRL Instance Document – the instance document does not appear in the Interacti</w:t>
            </w:r>
            <w:r>
              <w:rPr>
                <w:sz w:val="15"/>
                <w:szCs w:val="15"/>
              </w:rPr>
              <w:t>ve Data File because XBRL tags are embedded within the Inline XBRL document</w:t>
            </w:r>
            <w:r>
              <w:rPr>
                <w:sz w:val="15"/>
                <w:szCs w:val="15"/>
              </w:rPr>
              <w:t>.</w:t>
            </w:r>
          </w:p>
        </w:tc>
        <w:tc>
          <w:tcPr>
            <w:tcW w:w="0" w:type="auto"/>
            <w:tcMar>
              <w:top w:w="14" w:type="dxa"/>
              <w:left w:w="15" w:type="dxa"/>
              <w:bottom w:w="15" w:type="dxa"/>
              <w:right w:w="14" w:type="dxa"/>
            </w:tcMar>
            <w:hideMark/>
          </w:tcPr>
          <w:p w14:paraId="55F3ACBF"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0370185"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5941EE88"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5168BF7B"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A86C560"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2872C9EB" w14:textId="77777777">
        <w:trPr>
          <w:trHeight w:val="140"/>
          <w:tblCellSpacing w:w="15" w:type="dxa"/>
        </w:trPr>
        <w:tc>
          <w:tcPr>
            <w:tcW w:w="0" w:type="auto"/>
            <w:tcMar>
              <w:top w:w="14" w:type="dxa"/>
              <w:left w:w="15" w:type="dxa"/>
              <w:bottom w:w="15" w:type="dxa"/>
              <w:right w:w="14" w:type="dxa"/>
            </w:tcMar>
            <w:hideMark/>
          </w:tcPr>
          <w:p w14:paraId="6A11DB5C" w14:textId="77777777" w:rsidR="00000000" w:rsidRDefault="00EF48A2">
            <w:pPr>
              <w:pStyle w:val="a3"/>
              <w:spacing w:before="0" w:beforeAutospacing="0" w:after="0" w:afterAutospacing="0"/>
              <w:rPr>
                <w:sz w:val="15"/>
                <w:szCs w:val="15"/>
              </w:rPr>
            </w:pPr>
            <w:r>
              <w:rPr>
                <w:sz w:val="15"/>
                <w:szCs w:val="15"/>
              </w:rPr>
              <w:t>101.SC</w:t>
            </w:r>
            <w:r>
              <w:rPr>
                <w:sz w:val="15"/>
                <w:szCs w:val="15"/>
              </w:rPr>
              <w:t>H</w:t>
            </w:r>
          </w:p>
        </w:tc>
        <w:tc>
          <w:tcPr>
            <w:tcW w:w="0" w:type="auto"/>
            <w:tcMar>
              <w:top w:w="14" w:type="dxa"/>
              <w:left w:w="15" w:type="dxa"/>
              <w:bottom w:w="15" w:type="dxa"/>
              <w:right w:w="14" w:type="dxa"/>
            </w:tcMar>
            <w:hideMark/>
          </w:tcPr>
          <w:p w14:paraId="4A195B2C"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49CB7F66" w14:textId="77777777" w:rsidR="00000000" w:rsidRDefault="00EF48A2">
            <w:pPr>
              <w:pStyle w:val="a3"/>
              <w:spacing w:before="0" w:beforeAutospacing="0" w:after="0" w:afterAutospacing="0"/>
              <w:rPr>
                <w:sz w:val="15"/>
                <w:szCs w:val="15"/>
              </w:rPr>
            </w:pPr>
            <w:r>
              <w:rPr>
                <w:sz w:val="15"/>
                <w:szCs w:val="15"/>
              </w:rPr>
              <w:t>Inline XBRL Taxonomy Extension Schema Documen</w:t>
            </w:r>
            <w:r>
              <w:rPr>
                <w:sz w:val="15"/>
                <w:szCs w:val="15"/>
              </w:rPr>
              <w:t>t</w:t>
            </w:r>
          </w:p>
        </w:tc>
        <w:tc>
          <w:tcPr>
            <w:tcW w:w="0" w:type="auto"/>
            <w:tcMar>
              <w:top w:w="14" w:type="dxa"/>
              <w:left w:w="15" w:type="dxa"/>
              <w:bottom w:w="15" w:type="dxa"/>
              <w:right w:w="14" w:type="dxa"/>
            </w:tcMar>
            <w:hideMark/>
          </w:tcPr>
          <w:p w14:paraId="1EE352C9"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1EB9D9F"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70AA3DF"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E3D63F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430351F"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084D33A7" w14:textId="77777777">
        <w:trPr>
          <w:trHeight w:val="140"/>
          <w:tblCellSpacing w:w="15" w:type="dxa"/>
        </w:trPr>
        <w:tc>
          <w:tcPr>
            <w:tcW w:w="0" w:type="auto"/>
            <w:tcMar>
              <w:top w:w="14" w:type="dxa"/>
              <w:left w:w="15" w:type="dxa"/>
              <w:bottom w:w="15" w:type="dxa"/>
              <w:right w:w="14" w:type="dxa"/>
            </w:tcMar>
            <w:hideMark/>
          </w:tcPr>
          <w:p w14:paraId="56B9062D" w14:textId="77777777" w:rsidR="00000000" w:rsidRDefault="00EF48A2">
            <w:pPr>
              <w:pStyle w:val="a3"/>
              <w:spacing w:before="0" w:beforeAutospacing="0" w:after="0" w:afterAutospacing="0"/>
              <w:rPr>
                <w:sz w:val="15"/>
                <w:szCs w:val="15"/>
              </w:rPr>
            </w:pPr>
            <w:r>
              <w:rPr>
                <w:sz w:val="15"/>
                <w:szCs w:val="15"/>
              </w:rPr>
              <w:t>101.CA</w:t>
            </w:r>
            <w:r>
              <w:rPr>
                <w:sz w:val="15"/>
                <w:szCs w:val="15"/>
              </w:rPr>
              <w:t>L</w:t>
            </w:r>
          </w:p>
        </w:tc>
        <w:tc>
          <w:tcPr>
            <w:tcW w:w="0" w:type="auto"/>
            <w:tcMar>
              <w:top w:w="14" w:type="dxa"/>
              <w:left w:w="15" w:type="dxa"/>
              <w:bottom w:w="15" w:type="dxa"/>
              <w:right w:w="14" w:type="dxa"/>
            </w:tcMar>
            <w:hideMark/>
          </w:tcPr>
          <w:p w14:paraId="132EC2F8"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03FA56AD" w14:textId="77777777" w:rsidR="00000000" w:rsidRDefault="00EF48A2">
            <w:pPr>
              <w:pStyle w:val="a3"/>
              <w:spacing w:before="0" w:beforeAutospacing="0" w:after="0" w:afterAutospacing="0"/>
              <w:rPr>
                <w:sz w:val="15"/>
                <w:szCs w:val="15"/>
              </w:rPr>
            </w:pPr>
            <w:r>
              <w:rPr>
                <w:sz w:val="15"/>
                <w:szCs w:val="15"/>
              </w:rPr>
              <w:t>Inline XBRL Taxonomy Extension Calculation Linkbase Documen</w:t>
            </w:r>
            <w:r>
              <w:rPr>
                <w:sz w:val="15"/>
                <w:szCs w:val="15"/>
              </w:rPr>
              <w:t>t</w:t>
            </w:r>
          </w:p>
        </w:tc>
        <w:tc>
          <w:tcPr>
            <w:tcW w:w="0" w:type="auto"/>
            <w:tcMar>
              <w:top w:w="14" w:type="dxa"/>
              <w:left w:w="15" w:type="dxa"/>
              <w:bottom w:w="15" w:type="dxa"/>
              <w:right w:w="14" w:type="dxa"/>
            </w:tcMar>
            <w:hideMark/>
          </w:tcPr>
          <w:p w14:paraId="35DBCF4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4CAB21D1"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5C3D3F0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4A77277"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6DF1C4B"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59409C7B" w14:textId="77777777">
        <w:trPr>
          <w:trHeight w:val="140"/>
          <w:tblCellSpacing w:w="15" w:type="dxa"/>
        </w:trPr>
        <w:tc>
          <w:tcPr>
            <w:tcW w:w="0" w:type="auto"/>
            <w:tcMar>
              <w:top w:w="14" w:type="dxa"/>
              <w:left w:w="15" w:type="dxa"/>
              <w:bottom w:w="15" w:type="dxa"/>
              <w:right w:w="14" w:type="dxa"/>
            </w:tcMar>
            <w:hideMark/>
          </w:tcPr>
          <w:p w14:paraId="14C34F4F" w14:textId="77777777" w:rsidR="00000000" w:rsidRDefault="00EF48A2">
            <w:pPr>
              <w:pStyle w:val="a3"/>
              <w:spacing w:before="0" w:beforeAutospacing="0" w:after="0" w:afterAutospacing="0"/>
              <w:rPr>
                <w:sz w:val="15"/>
                <w:szCs w:val="15"/>
              </w:rPr>
            </w:pPr>
            <w:r>
              <w:rPr>
                <w:sz w:val="15"/>
                <w:szCs w:val="15"/>
              </w:rPr>
              <w:t>101.DE</w:t>
            </w:r>
            <w:r>
              <w:rPr>
                <w:sz w:val="15"/>
                <w:szCs w:val="15"/>
              </w:rPr>
              <w:t>F</w:t>
            </w:r>
          </w:p>
        </w:tc>
        <w:tc>
          <w:tcPr>
            <w:tcW w:w="0" w:type="auto"/>
            <w:tcMar>
              <w:top w:w="14" w:type="dxa"/>
              <w:left w:w="15" w:type="dxa"/>
              <w:bottom w:w="15" w:type="dxa"/>
              <w:right w:w="14" w:type="dxa"/>
            </w:tcMar>
            <w:hideMark/>
          </w:tcPr>
          <w:p w14:paraId="23C641AC"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07D23144" w14:textId="77777777" w:rsidR="00000000" w:rsidRDefault="00EF48A2">
            <w:pPr>
              <w:pStyle w:val="a3"/>
              <w:spacing w:before="0" w:beforeAutospacing="0" w:after="0" w:afterAutospacing="0"/>
              <w:rPr>
                <w:sz w:val="15"/>
                <w:szCs w:val="15"/>
              </w:rPr>
            </w:pPr>
            <w:r>
              <w:rPr>
                <w:sz w:val="15"/>
                <w:szCs w:val="15"/>
              </w:rPr>
              <w:t>Inline XBRL Taxonomy Extension Definition Linkbase Documen</w:t>
            </w:r>
            <w:r>
              <w:rPr>
                <w:sz w:val="15"/>
                <w:szCs w:val="15"/>
              </w:rPr>
              <w:t>t</w:t>
            </w:r>
          </w:p>
        </w:tc>
        <w:tc>
          <w:tcPr>
            <w:tcW w:w="0" w:type="auto"/>
            <w:tcMar>
              <w:top w:w="14" w:type="dxa"/>
              <w:left w:w="15" w:type="dxa"/>
              <w:bottom w:w="15" w:type="dxa"/>
              <w:right w:w="14" w:type="dxa"/>
            </w:tcMar>
            <w:hideMark/>
          </w:tcPr>
          <w:p w14:paraId="25B89FA6"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6D161A5"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99BD59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A5D520E"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39219AE9"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6476E641" w14:textId="77777777">
        <w:trPr>
          <w:trHeight w:val="140"/>
          <w:tblCellSpacing w:w="15" w:type="dxa"/>
        </w:trPr>
        <w:tc>
          <w:tcPr>
            <w:tcW w:w="0" w:type="auto"/>
            <w:tcMar>
              <w:top w:w="14" w:type="dxa"/>
              <w:left w:w="15" w:type="dxa"/>
              <w:bottom w:w="15" w:type="dxa"/>
              <w:right w:w="14" w:type="dxa"/>
            </w:tcMar>
            <w:hideMark/>
          </w:tcPr>
          <w:p w14:paraId="1EC01199" w14:textId="77777777" w:rsidR="00000000" w:rsidRDefault="00EF48A2">
            <w:pPr>
              <w:pStyle w:val="a3"/>
              <w:spacing w:before="0" w:beforeAutospacing="0" w:after="0" w:afterAutospacing="0"/>
              <w:rPr>
                <w:sz w:val="15"/>
                <w:szCs w:val="15"/>
              </w:rPr>
            </w:pPr>
            <w:r>
              <w:rPr>
                <w:sz w:val="15"/>
                <w:szCs w:val="15"/>
              </w:rPr>
              <w:t>101.LA</w:t>
            </w:r>
            <w:r>
              <w:rPr>
                <w:sz w:val="15"/>
                <w:szCs w:val="15"/>
              </w:rPr>
              <w:t>B</w:t>
            </w:r>
          </w:p>
        </w:tc>
        <w:tc>
          <w:tcPr>
            <w:tcW w:w="0" w:type="auto"/>
            <w:tcMar>
              <w:top w:w="14" w:type="dxa"/>
              <w:left w:w="15" w:type="dxa"/>
              <w:bottom w:w="15" w:type="dxa"/>
              <w:right w:w="14" w:type="dxa"/>
            </w:tcMar>
            <w:hideMark/>
          </w:tcPr>
          <w:p w14:paraId="496FD82C"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62C4F5A9" w14:textId="77777777" w:rsidR="00000000" w:rsidRDefault="00EF48A2">
            <w:pPr>
              <w:pStyle w:val="a3"/>
              <w:spacing w:before="0" w:beforeAutospacing="0" w:after="0" w:afterAutospacing="0"/>
              <w:rPr>
                <w:sz w:val="15"/>
                <w:szCs w:val="15"/>
              </w:rPr>
            </w:pPr>
            <w:r>
              <w:rPr>
                <w:sz w:val="15"/>
                <w:szCs w:val="15"/>
              </w:rPr>
              <w:t>Inline XBRL Taxonomy Extension Label Linkbase Documen</w:t>
            </w:r>
            <w:r>
              <w:rPr>
                <w:sz w:val="15"/>
                <w:szCs w:val="15"/>
              </w:rPr>
              <w:t>t</w:t>
            </w:r>
          </w:p>
        </w:tc>
        <w:tc>
          <w:tcPr>
            <w:tcW w:w="0" w:type="auto"/>
            <w:tcMar>
              <w:top w:w="14" w:type="dxa"/>
              <w:left w:w="15" w:type="dxa"/>
              <w:bottom w:w="15" w:type="dxa"/>
              <w:right w:w="14" w:type="dxa"/>
            </w:tcMar>
            <w:hideMark/>
          </w:tcPr>
          <w:p w14:paraId="391140E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5F3454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40B524C2"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0500544"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8E6AC91"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5CD653F6" w14:textId="77777777">
        <w:trPr>
          <w:trHeight w:val="140"/>
          <w:tblCellSpacing w:w="15" w:type="dxa"/>
        </w:trPr>
        <w:tc>
          <w:tcPr>
            <w:tcW w:w="0" w:type="auto"/>
            <w:tcMar>
              <w:top w:w="14" w:type="dxa"/>
              <w:left w:w="15" w:type="dxa"/>
              <w:bottom w:w="15" w:type="dxa"/>
              <w:right w:w="14" w:type="dxa"/>
            </w:tcMar>
            <w:hideMark/>
          </w:tcPr>
          <w:p w14:paraId="406C40EF" w14:textId="77777777" w:rsidR="00000000" w:rsidRDefault="00EF48A2">
            <w:pPr>
              <w:pStyle w:val="a3"/>
              <w:spacing w:before="0" w:beforeAutospacing="0" w:after="0" w:afterAutospacing="0"/>
              <w:rPr>
                <w:sz w:val="15"/>
                <w:szCs w:val="15"/>
              </w:rPr>
            </w:pPr>
            <w:r>
              <w:rPr>
                <w:sz w:val="15"/>
                <w:szCs w:val="15"/>
              </w:rPr>
              <w:t>101.PR</w:t>
            </w:r>
            <w:r>
              <w:rPr>
                <w:sz w:val="15"/>
                <w:szCs w:val="15"/>
              </w:rPr>
              <w:t>E</w:t>
            </w:r>
          </w:p>
        </w:tc>
        <w:tc>
          <w:tcPr>
            <w:tcW w:w="0" w:type="auto"/>
            <w:tcMar>
              <w:top w:w="14" w:type="dxa"/>
              <w:left w:w="15" w:type="dxa"/>
              <w:bottom w:w="15" w:type="dxa"/>
              <w:right w:w="14" w:type="dxa"/>
            </w:tcMar>
            <w:hideMark/>
          </w:tcPr>
          <w:p w14:paraId="1403DD67"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73518451" w14:textId="77777777" w:rsidR="00000000" w:rsidRDefault="00EF48A2">
            <w:pPr>
              <w:pStyle w:val="a3"/>
              <w:spacing w:before="0" w:beforeAutospacing="0" w:after="0" w:afterAutospacing="0"/>
              <w:rPr>
                <w:sz w:val="15"/>
                <w:szCs w:val="15"/>
              </w:rPr>
            </w:pPr>
            <w:r>
              <w:rPr>
                <w:sz w:val="15"/>
                <w:szCs w:val="15"/>
              </w:rPr>
              <w:t>Inline XBRL Taxonomy Extension Presentation Linkbase Documen</w:t>
            </w:r>
            <w:r>
              <w:rPr>
                <w:sz w:val="15"/>
                <w:szCs w:val="15"/>
              </w:rPr>
              <w:t>t</w:t>
            </w:r>
          </w:p>
        </w:tc>
        <w:tc>
          <w:tcPr>
            <w:tcW w:w="0" w:type="auto"/>
            <w:tcMar>
              <w:top w:w="14" w:type="dxa"/>
              <w:left w:w="15" w:type="dxa"/>
              <w:bottom w:w="15" w:type="dxa"/>
              <w:right w:w="14" w:type="dxa"/>
            </w:tcMar>
            <w:hideMark/>
          </w:tcPr>
          <w:p w14:paraId="194E17B5"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3F02D07"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FFC612E"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6028C9F2"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7D83783" w14:textId="77777777" w:rsidR="00000000" w:rsidRDefault="00EF48A2">
            <w:pPr>
              <w:pStyle w:val="a3"/>
              <w:spacing w:before="0" w:beforeAutospacing="0" w:after="0" w:afterAutospacing="0"/>
              <w:jc w:val="center"/>
              <w:rPr>
                <w:sz w:val="15"/>
                <w:szCs w:val="15"/>
              </w:rPr>
            </w:pPr>
            <w:r>
              <w:rPr>
                <w:b/>
                <w:bCs/>
                <w:sz w:val="15"/>
                <w:szCs w:val="15"/>
              </w:rPr>
              <w:t>*</w:t>
            </w:r>
          </w:p>
        </w:tc>
      </w:tr>
      <w:tr w:rsidR="00000000" w14:paraId="0982D181" w14:textId="77777777">
        <w:trPr>
          <w:trHeight w:val="490"/>
          <w:tblCellSpacing w:w="15" w:type="dxa"/>
        </w:trPr>
        <w:tc>
          <w:tcPr>
            <w:tcW w:w="0" w:type="auto"/>
            <w:tcMar>
              <w:top w:w="14" w:type="dxa"/>
              <w:left w:w="15" w:type="dxa"/>
              <w:bottom w:w="15" w:type="dxa"/>
              <w:right w:w="14" w:type="dxa"/>
            </w:tcMar>
            <w:hideMark/>
          </w:tcPr>
          <w:p w14:paraId="255FE720" w14:textId="77777777" w:rsidR="00000000" w:rsidRDefault="00EF48A2">
            <w:pPr>
              <w:pStyle w:val="a3"/>
              <w:spacing w:before="0" w:beforeAutospacing="0" w:after="0" w:afterAutospacing="0"/>
              <w:rPr>
                <w:sz w:val="15"/>
                <w:szCs w:val="15"/>
              </w:rPr>
            </w:pPr>
            <w:r>
              <w:rPr>
                <w:sz w:val="15"/>
                <w:szCs w:val="15"/>
              </w:rPr>
              <w:t>10</w:t>
            </w:r>
            <w:r>
              <w:rPr>
                <w:sz w:val="15"/>
                <w:szCs w:val="15"/>
              </w:rPr>
              <w:t>4</w:t>
            </w:r>
          </w:p>
        </w:tc>
        <w:tc>
          <w:tcPr>
            <w:tcW w:w="0" w:type="auto"/>
            <w:tcMar>
              <w:top w:w="14" w:type="dxa"/>
              <w:left w:w="15" w:type="dxa"/>
              <w:bottom w:w="15" w:type="dxa"/>
              <w:right w:w="14" w:type="dxa"/>
            </w:tcMar>
            <w:hideMark/>
          </w:tcPr>
          <w:p w14:paraId="6B327989" w14:textId="77777777" w:rsidR="00000000" w:rsidRDefault="00EF48A2">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14:paraId="0A6D5E7B" w14:textId="77777777" w:rsidR="00000000" w:rsidRDefault="00EF48A2">
            <w:pPr>
              <w:pStyle w:val="a3"/>
              <w:spacing w:before="0" w:beforeAutospacing="0" w:after="0" w:afterAutospacing="0"/>
              <w:rPr>
                <w:sz w:val="15"/>
                <w:szCs w:val="15"/>
              </w:rPr>
            </w:pPr>
            <w:r>
              <w:rPr>
                <w:sz w:val="15"/>
                <w:szCs w:val="15"/>
              </w:rPr>
              <w:t>Cover Page Interactive Data File (as formatted as Inline XBRL and containe</w:t>
            </w:r>
            <w:r>
              <w:rPr>
                <w:sz w:val="15"/>
                <w:szCs w:val="15"/>
              </w:rPr>
              <w:t>d</w:t>
            </w:r>
          </w:p>
          <w:p w14:paraId="20CE42C4" w14:textId="77777777" w:rsidR="00000000" w:rsidRDefault="00EF48A2">
            <w:pPr>
              <w:pStyle w:val="a3"/>
              <w:spacing w:before="0" w:beforeAutospacing="0" w:after="0" w:afterAutospacing="0"/>
              <w:rPr>
                <w:sz w:val="15"/>
                <w:szCs w:val="15"/>
              </w:rPr>
            </w:pPr>
            <w:r>
              <w:rPr>
                <w:sz w:val="15"/>
                <w:szCs w:val="15"/>
              </w:rPr>
              <w:t>in Exhibit 101)</w:t>
            </w:r>
            <w:r>
              <w:rPr>
                <w:sz w:val="15"/>
                <w:szCs w:val="15"/>
              </w:rPr>
              <w:t>.</w:t>
            </w:r>
          </w:p>
        </w:tc>
        <w:tc>
          <w:tcPr>
            <w:tcW w:w="0" w:type="auto"/>
            <w:tcMar>
              <w:top w:w="14" w:type="dxa"/>
              <w:left w:w="15" w:type="dxa"/>
              <w:bottom w:w="15" w:type="dxa"/>
              <w:right w:w="14" w:type="dxa"/>
            </w:tcMar>
            <w:hideMark/>
          </w:tcPr>
          <w:p w14:paraId="23E427E1"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02DAB1F1"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1AE91DCE"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7C29249A" w14:textId="77777777" w:rsidR="00000000" w:rsidRDefault="00EF48A2">
            <w:pPr>
              <w:pStyle w:val="a3"/>
              <w:spacing w:before="0" w:beforeAutospacing="0" w:after="0" w:afterAutospacing="0"/>
              <w:jc w:val="center"/>
              <w:rPr>
                <w:sz w:val="15"/>
                <w:szCs w:val="15"/>
              </w:rPr>
            </w:pPr>
            <w:r>
              <w:rPr>
                <w:sz w:val="15"/>
                <w:szCs w:val="15"/>
              </w:rPr>
              <w:t> </w:t>
            </w:r>
          </w:p>
        </w:tc>
        <w:tc>
          <w:tcPr>
            <w:tcW w:w="0" w:type="auto"/>
            <w:tcMar>
              <w:top w:w="14" w:type="dxa"/>
              <w:left w:w="15" w:type="dxa"/>
              <w:bottom w:w="15" w:type="dxa"/>
              <w:right w:w="14" w:type="dxa"/>
            </w:tcMar>
            <w:hideMark/>
          </w:tcPr>
          <w:p w14:paraId="516E24B3" w14:textId="77777777" w:rsidR="00000000" w:rsidRDefault="00EF48A2">
            <w:pPr>
              <w:pStyle w:val="a3"/>
              <w:spacing w:before="0" w:beforeAutospacing="0" w:after="0" w:afterAutospacing="0"/>
              <w:jc w:val="center"/>
              <w:rPr>
                <w:sz w:val="15"/>
                <w:szCs w:val="15"/>
              </w:rPr>
            </w:pPr>
            <w:r>
              <w:rPr>
                <w:b/>
                <w:bCs/>
                <w:sz w:val="15"/>
                <w:szCs w:val="15"/>
              </w:rPr>
              <w:t>*</w:t>
            </w:r>
          </w:p>
        </w:tc>
      </w:tr>
    </w:tbl>
    <w:p w14:paraId="7AABF99B" w14:textId="77777777" w:rsidR="00000000" w:rsidRDefault="00EF48A2">
      <w:pPr>
        <w:pStyle w:val="a3"/>
        <w:pBdr>
          <w:bottom w:val="single" w:sz="4" w:space="1" w:color="auto"/>
        </w:pBdr>
        <w:spacing w:before="0" w:beforeAutospacing="0" w:after="0" w:afterAutospacing="0"/>
        <w:ind w:right="9524"/>
        <w:rPr>
          <w:sz w:val="20"/>
          <w:szCs w:val="20"/>
        </w:rPr>
      </w:pPr>
      <w:r>
        <w:rPr>
          <w:sz w:val="12"/>
          <w:szCs w:val="12"/>
        </w:rPr>
        <w:t> </w:t>
      </w:r>
    </w:p>
    <w:p w14:paraId="3293B4E8" w14:textId="77777777" w:rsidR="00000000" w:rsidRDefault="00EF48A2">
      <w:pPr>
        <w:pStyle w:val="a3"/>
        <w:spacing w:before="60" w:beforeAutospacing="0" w:after="0" w:afterAutospacing="0"/>
        <w:ind w:hanging="581"/>
        <w:jc w:val="both"/>
        <w:rPr>
          <w:sz w:val="20"/>
          <w:szCs w:val="20"/>
        </w:rPr>
      </w:pPr>
      <w:r>
        <w:rPr>
          <w:sz w:val="14"/>
          <w:szCs w:val="14"/>
        </w:rPr>
        <w:t>* Filed herewith</w:t>
      </w:r>
      <w:r>
        <w:rPr>
          <w:sz w:val="14"/>
          <w:szCs w:val="14"/>
        </w:rPr>
        <w:t>.</w:t>
      </w:r>
      <w:r>
        <w:rPr>
          <w:sz w:val="14"/>
          <w:szCs w:val="14"/>
        </w:rPr>
        <w:t xml:space="preserve"> </w:t>
      </w:r>
    </w:p>
    <w:p w14:paraId="678FFD06" w14:textId="77777777" w:rsidR="00000000" w:rsidRDefault="00EF48A2">
      <w:pPr>
        <w:pStyle w:val="a3"/>
        <w:spacing w:before="60" w:beforeAutospacing="0" w:after="0" w:afterAutospacing="0"/>
        <w:ind w:hanging="581"/>
        <w:jc w:val="both"/>
        <w:rPr>
          <w:sz w:val="20"/>
          <w:szCs w:val="20"/>
        </w:rPr>
      </w:pPr>
      <w:r>
        <w:rPr>
          <w:sz w:val="14"/>
          <w:szCs w:val="14"/>
        </w:rPr>
        <w:t>** Furnished herewith</w:t>
      </w:r>
      <w:r>
        <w:rPr>
          <w:sz w:val="14"/>
          <w:szCs w:val="14"/>
        </w:rPr>
        <w:t>.</w:t>
      </w:r>
    </w:p>
    <w:p w14:paraId="19EAB9BB" w14:textId="77777777" w:rsidR="00000000" w:rsidRDefault="00EF48A2">
      <w:pPr>
        <w:pStyle w:val="a3"/>
        <w:spacing w:before="60" w:beforeAutospacing="0" w:after="0" w:afterAutospacing="0"/>
        <w:ind w:hanging="581"/>
        <w:jc w:val="both"/>
        <w:rPr>
          <w:sz w:val="20"/>
          <w:szCs w:val="20"/>
        </w:rPr>
      </w:pPr>
      <w:r>
        <w:rPr>
          <w:sz w:val="14"/>
          <w:szCs w:val="14"/>
        </w:rPr>
        <w:t>† Indicates management contract or compensatory plan</w:t>
      </w:r>
      <w:r>
        <w:rPr>
          <w:sz w:val="14"/>
          <w:szCs w:val="14"/>
        </w:rPr>
        <w:t>.</w:t>
      </w:r>
    </w:p>
    <w:p w14:paraId="5CE3F9A6" w14:textId="77777777" w:rsidR="00000000" w:rsidRDefault="00EF48A2">
      <w:pPr>
        <w:pStyle w:val="a3"/>
        <w:spacing w:before="60" w:beforeAutospacing="0" w:after="0" w:afterAutospacing="0"/>
        <w:ind w:hanging="581"/>
        <w:jc w:val="both"/>
        <w:rPr>
          <w:sz w:val="20"/>
          <w:szCs w:val="20"/>
        </w:rPr>
      </w:pPr>
      <w:r>
        <w:rPr>
          <w:sz w:val="14"/>
          <w:szCs w:val="14"/>
        </w:rPr>
        <w:t xml:space="preserve">+ </w:t>
      </w:r>
      <w:r>
        <w:rPr>
          <w:sz w:val="14"/>
          <w:szCs w:val="14"/>
        </w:rPr>
        <w:t>Schedules and exhibits have been omitted pursuant to Item 601(b)(2) of Regulation S-K. The Registrant agrees to furnish supplementally a cop</w:t>
      </w:r>
      <w:r>
        <w:rPr>
          <w:sz w:val="14"/>
          <w:szCs w:val="14"/>
        </w:rPr>
        <w:t>y</w:t>
      </w:r>
      <w:r>
        <w:rPr>
          <w:sz w:val="14"/>
          <w:szCs w:val="14"/>
        </w:rPr>
        <w:t xml:space="preserve"> </w:t>
      </w:r>
    </w:p>
    <w:p w14:paraId="30ED306B" w14:textId="77777777" w:rsidR="00000000" w:rsidRDefault="00EF48A2">
      <w:pPr>
        <w:pStyle w:val="a3"/>
        <w:spacing w:before="0" w:beforeAutospacing="0" w:after="0" w:afterAutospacing="0"/>
        <w:ind w:hanging="581"/>
        <w:jc w:val="both"/>
        <w:rPr>
          <w:sz w:val="20"/>
          <w:szCs w:val="20"/>
        </w:rPr>
      </w:pPr>
      <w:r>
        <w:rPr>
          <w:sz w:val="14"/>
          <w:szCs w:val="14"/>
        </w:rPr>
        <w:t>of any omitted schedule or exhibit to the SEC upon request</w:t>
      </w:r>
      <w:r>
        <w:rPr>
          <w:sz w:val="14"/>
          <w:szCs w:val="14"/>
        </w:rPr>
        <w:t>.</w:t>
      </w:r>
    </w:p>
    <w:p w14:paraId="16674DEB"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5</w:t>
      </w:r>
    </w:p>
    <w:p w14:paraId="1424EA12" w14:textId="77777777" w:rsidR="00000000" w:rsidRDefault="00EF48A2">
      <w:pPr>
        <w:rPr>
          <w:rFonts w:eastAsia="Times New Roman"/>
        </w:rPr>
      </w:pPr>
      <w:r>
        <w:rPr>
          <w:rFonts w:eastAsia="Times New Roman"/>
        </w:rPr>
        <w:pict w14:anchorId="3571945F">
          <v:rect id="_x0000_i1112" style="width:0;height:1.5pt" o:hralign="center" o:hrstd="t" o:hr="t" fillcolor="#a0a0a0" stroked="f"/>
        </w:pict>
      </w:r>
    </w:p>
    <w:p w14:paraId="673462C5" w14:textId="77777777" w:rsidR="00000000" w:rsidRDefault="00EF48A2">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14:paraId="5FBDFC2D" w14:textId="77777777" w:rsidR="00000000" w:rsidRDefault="00EF48A2">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14:paraId="168037AC" w14:textId="77777777" w:rsidR="00000000" w:rsidRDefault="00EF48A2">
      <w:pPr>
        <w:pStyle w:val="a3"/>
        <w:spacing w:before="240" w:beforeAutospacing="0" w:after="0" w:afterAutospacing="0"/>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r>
        <w:rPr>
          <w:sz w:val="20"/>
          <w:szCs w:val="20"/>
        </w:rPr>
        <w:t>.</w:t>
      </w:r>
    </w:p>
    <w:p w14:paraId="4FE4757C" w14:textId="77777777" w:rsidR="00000000" w:rsidRDefault="00EF48A2">
      <w:pPr>
        <w:pStyle w:val="a3"/>
        <w:spacing w:before="0" w:beforeAutospacing="0" w:after="0" w:afterAutospacing="0"/>
        <w:rPr>
          <w:sz w:val="20"/>
          <w:szCs w:val="20"/>
        </w:rPr>
      </w:pPr>
      <w:r>
        <w:t> </w:t>
      </w:r>
    </w:p>
    <w:p w14:paraId="0A7BF223" w14:textId="77777777" w:rsidR="00000000" w:rsidRDefault="00EF48A2">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251"/>
        <w:gridCol w:w="480"/>
        <w:gridCol w:w="3828"/>
      </w:tblGrid>
      <w:tr w:rsidR="00000000" w14:paraId="4189955A" w14:textId="77777777">
        <w:trPr>
          <w:tblCellSpacing w:w="15" w:type="dxa"/>
        </w:trPr>
        <w:tc>
          <w:tcPr>
            <w:tcW w:w="2269" w:type="pct"/>
            <w:vAlign w:val="center"/>
            <w:hideMark/>
          </w:tcPr>
          <w:p w14:paraId="5004E542" w14:textId="77777777" w:rsidR="00000000" w:rsidRDefault="00EF48A2">
            <w:pPr>
              <w:rPr>
                <w:sz w:val="20"/>
                <w:szCs w:val="20"/>
              </w:rPr>
            </w:pPr>
          </w:p>
        </w:tc>
        <w:tc>
          <w:tcPr>
            <w:tcW w:w="135" w:type="pct"/>
            <w:vAlign w:val="center"/>
            <w:hideMark/>
          </w:tcPr>
          <w:p w14:paraId="66DBE5D2" w14:textId="77777777" w:rsidR="00000000" w:rsidRDefault="00EF48A2">
            <w:pPr>
              <w:rPr>
                <w:rFonts w:eastAsia="Times New Roman"/>
                <w:sz w:val="20"/>
                <w:szCs w:val="20"/>
              </w:rPr>
            </w:pPr>
          </w:p>
        </w:tc>
        <w:tc>
          <w:tcPr>
            <w:tcW w:w="276" w:type="pct"/>
            <w:vAlign w:val="center"/>
            <w:hideMark/>
          </w:tcPr>
          <w:p w14:paraId="1D0CA91F" w14:textId="77777777" w:rsidR="00000000" w:rsidRDefault="00EF48A2">
            <w:pPr>
              <w:rPr>
                <w:rFonts w:eastAsia="Times New Roman"/>
                <w:sz w:val="20"/>
                <w:szCs w:val="20"/>
              </w:rPr>
            </w:pPr>
          </w:p>
        </w:tc>
        <w:tc>
          <w:tcPr>
            <w:tcW w:w="2319" w:type="pct"/>
            <w:vAlign w:val="center"/>
            <w:hideMark/>
          </w:tcPr>
          <w:p w14:paraId="09C0B918" w14:textId="77777777" w:rsidR="00000000" w:rsidRDefault="00EF48A2">
            <w:pPr>
              <w:rPr>
                <w:rFonts w:eastAsia="Times New Roman"/>
                <w:sz w:val="20"/>
                <w:szCs w:val="20"/>
              </w:rPr>
            </w:pPr>
          </w:p>
        </w:tc>
      </w:tr>
      <w:tr w:rsidR="00000000" w14:paraId="5AD434C7" w14:textId="77777777">
        <w:trPr>
          <w:trHeight w:val="200"/>
          <w:tblCellSpacing w:w="15" w:type="dxa"/>
        </w:trPr>
        <w:tc>
          <w:tcPr>
            <w:tcW w:w="0" w:type="auto"/>
            <w:tcMar>
              <w:top w:w="14" w:type="dxa"/>
              <w:left w:w="15" w:type="dxa"/>
              <w:bottom w:w="15" w:type="dxa"/>
              <w:right w:w="14" w:type="dxa"/>
            </w:tcMar>
            <w:hideMark/>
          </w:tcPr>
          <w:p w14:paraId="56336A0C"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D782BB9" w14:textId="77777777" w:rsidR="00000000" w:rsidRDefault="00EF48A2">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14:paraId="5632181F" w14:textId="77777777" w:rsidR="00000000" w:rsidRDefault="00EF48A2">
            <w:pPr>
              <w:pStyle w:val="a3"/>
              <w:spacing w:before="0" w:beforeAutospacing="0" w:after="0" w:afterAutospacing="0"/>
              <w:rPr>
                <w:sz w:val="20"/>
                <w:szCs w:val="20"/>
              </w:rPr>
            </w:pPr>
            <w:r>
              <w:rPr>
                <w:b/>
                <w:bCs/>
                <w:sz w:val="20"/>
                <w:szCs w:val="20"/>
              </w:rPr>
              <w:t>TALKSPACE, INC</w:t>
            </w:r>
            <w:r>
              <w:rPr>
                <w:b/>
                <w:bCs/>
                <w:sz w:val="20"/>
                <w:szCs w:val="20"/>
              </w:rPr>
              <w:t>.</w:t>
            </w:r>
          </w:p>
        </w:tc>
      </w:tr>
      <w:tr w:rsidR="00000000" w14:paraId="1593F5FA" w14:textId="77777777">
        <w:trPr>
          <w:trHeight w:val="200"/>
          <w:tblCellSpacing w:w="15" w:type="dxa"/>
        </w:trPr>
        <w:tc>
          <w:tcPr>
            <w:tcW w:w="0" w:type="auto"/>
            <w:tcMar>
              <w:top w:w="14" w:type="dxa"/>
              <w:left w:w="15" w:type="dxa"/>
              <w:bottom w:w="15" w:type="dxa"/>
              <w:right w:w="14" w:type="dxa"/>
            </w:tcMar>
            <w:vAlign w:val="center"/>
            <w:hideMark/>
          </w:tcPr>
          <w:p w14:paraId="19F99621"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7012FA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38EE8D3"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C86AC7C" w14:textId="77777777" w:rsidR="00000000" w:rsidRDefault="00EF48A2">
            <w:pPr>
              <w:pStyle w:val="a3"/>
              <w:spacing w:before="0" w:beforeAutospacing="0" w:after="0" w:afterAutospacing="0"/>
              <w:rPr>
                <w:sz w:val="20"/>
                <w:szCs w:val="20"/>
              </w:rPr>
            </w:pPr>
            <w:r>
              <w:rPr>
                <w:sz w:val="20"/>
                <w:szCs w:val="20"/>
              </w:rPr>
              <w:t> </w:t>
            </w:r>
          </w:p>
        </w:tc>
      </w:tr>
      <w:tr w:rsidR="00000000" w14:paraId="1C33CB63" w14:textId="77777777">
        <w:trPr>
          <w:trHeight w:val="200"/>
          <w:tblCellSpacing w:w="15" w:type="dxa"/>
        </w:trPr>
        <w:tc>
          <w:tcPr>
            <w:tcW w:w="0" w:type="auto"/>
            <w:tcMar>
              <w:top w:w="14" w:type="dxa"/>
              <w:left w:w="15" w:type="dxa"/>
              <w:bottom w:w="15" w:type="dxa"/>
              <w:right w:w="14" w:type="dxa"/>
            </w:tcMar>
            <w:vAlign w:val="bottom"/>
            <w:hideMark/>
          </w:tcPr>
          <w:p w14:paraId="685044FF" w14:textId="77777777" w:rsidR="00000000" w:rsidRDefault="00EF48A2">
            <w:pPr>
              <w:pStyle w:val="a3"/>
              <w:spacing w:before="0" w:beforeAutospacing="0" w:after="0" w:afterAutospacing="0"/>
              <w:rPr>
                <w:sz w:val="20"/>
                <w:szCs w:val="20"/>
              </w:rPr>
            </w:pPr>
            <w:r>
              <w:rPr>
                <w:sz w:val="20"/>
                <w:szCs w:val="20"/>
              </w:rPr>
              <w:t>Date: March 10, 202</w:t>
            </w:r>
            <w:r>
              <w:rPr>
                <w:sz w:val="20"/>
                <w:szCs w:val="20"/>
              </w:rPr>
              <w:t>3</w:t>
            </w:r>
          </w:p>
        </w:tc>
        <w:tc>
          <w:tcPr>
            <w:tcW w:w="0" w:type="auto"/>
            <w:tcMar>
              <w:top w:w="14" w:type="dxa"/>
              <w:left w:w="15" w:type="dxa"/>
              <w:bottom w:w="15" w:type="dxa"/>
              <w:right w:w="14" w:type="dxa"/>
            </w:tcMar>
            <w:vAlign w:val="bottom"/>
            <w:hideMark/>
          </w:tcPr>
          <w:p w14:paraId="6A73C7EC"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76C9880A" w14:textId="77777777" w:rsidR="00000000" w:rsidRDefault="00EF48A2">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14:paraId="2C74E9A3" w14:textId="77777777" w:rsidR="00000000" w:rsidRDefault="00EF48A2">
            <w:pPr>
              <w:pStyle w:val="a3"/>
              <w:spacing w:before="0" w:beforeAutospacing="0" w:after="0" w:afterAutospacing="0"/>
              <w:rPr>
                <w:sz w:val="20"/>
                <w:szCs w:val="20"/>
              </w:rPr>
            </w:pPr>
            <w:r>
              <w:rPr>
                <w:sz w:val="20"/>
                <w:szCs w:val="20"/>
              </w:rPr>
              <w:t>/s/ Jon R. Cohe</w:t>
            </w:r>
            <w:r>
              <w:rPr>
                <w:sz w:val="20"/>
                <w:szCs w:val="20"/>
              </w:rPr>
              <w:t>n</w:t>
            </w:r>
          </w:p>
        </w:tc>
      </w:tr>
      <w:tr w:rsidR="00000000" w14:paraId="4C21D2C2" w14:textId="77777777">
        <w:trPr>
          <w:trHeight w:val="200"/>
          <w:tblCellSpacing w:w="15" w:type="dxa"/>
        </w:trPr>
        <w:tc>
          <w:tcPr>
            <w:tcW w:w="0" w:type="auto"/>
            <w:tcMar>
              <w:top w:w="14" w:type="dxa"/>
              <w:left w:w="15" w:type="dxa"/>
              <w:bottom w:w="15" w:type="dxa"/>
              <w:right w:w="14" w:type="dxa"/>
            </w:tcMar>
            <w:vAlign w:val="bottom"/>
            <w:hideMark/>
          </w:tcPr>
          <w:p w14:paraId="0A0E5F26"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464E189"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14:paraId="0D2D2F79" w14:textId="77777777" w:rsidR="00000000" w:rsidRDefault="00EF48A2">
            <w:pPr>
              <w:pStyle w:val="a3"/>
              <w:spacing w:before="0" w:beforeAutospacing="0" w:after="0" w:afterAutospacing="0"/>
              <w:rPr>
                <w:sz w:val="20"/>
                <w:szCs w:val="20"/>
              </w:rPr>
            </w:pPr>
            <w:r>
              <w:rPr>
                <w:b/>
                <w:bCs/>
                <w:sz w:val="20"/>
                <w:szCs w:val="20"/>
              </w:rPr>
              <w:t> </w:t>
            </w:r>
          </w:p>
        </w:tc>
        <w:tc>
          <w:tcPr>
            <w:tcW w:w="0" w:type="auto"/>
            <w:tcMar>
              <w:top w:w="14" w:type="dxa"/>
              <w:left w:w="15" w:type="dxa"/>
              <w:bottom w:w="15" w:type="dxa"/>
              <w:right w:w="14" w:type="dxa"/>
            </w:tcMar>
            <w:vAlign w:val="bottom"/>
            <w:hideMark/>
          </w:tcPr>
          <w:p w14:paraId="1982DB40" w14:textId="77777777" w:rsidR="00000000" w:rsidRDefault="00EF48A2">
            <w:pPr>
              <w:pStyle w:val="a3"/>
              <w:spacing w:before="0" w:beforeAutospacing="0" w:after="0" w:afterAutospacing="0"/>
              <w:rPr>
                <w:sz w:val="20"/>
                <w:szCs w:val="20"/>
              </w:rPr>
            </w:pPr>
            <w:r>
              <w:rPr>
                <w:sz w:val="20"/>
                <w:szCs w:val="20"/>
              </w:rPr>
              <w:t>Jon R. Cohe</w:t>
            </w:r>
            <w:r>
              <w:rPr>
                <w:sz w:val="20"/>
                <w:szCs w:val="20"/>
              </w:rPr>
              <w:t>n</w:t>
            </w:r>
          </w:p>
        </w:tc>
      </w:tr>
      <w:tr w:rsidR="00000000" w14:paraId="1DDCCFE7" w14:textId="77777777">
        <w:trPr>
          <w:trHeight w:val="200"/>
          <w:tblCellSpacing w:w="15" w:type="dxa"/>
        </w:trPr>
        <w:tc>
          <w:tcPr>
            <w:tcW w:w="0" w:type="auto"/>
            <w:tcMar>
              <w:top w:w="14" w:type="dxa"/>
              <w:left w:w="15" w:type="dxa"/>
              <w:bottom w:w="15" w:type="dxa"/>
              <w:right w:w="14" w:type="dxa"/>
            </w:tcMar>
            <w:vAlign w:val="bottom"/>
            <w:hideMark/>
          </w:tcPr>
          <w:p w14:paraId="489F3245"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E585A15"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E84A960" w14:textId="77777777" w:rsidR="00000000" w:rsidRDefault="00EF48A2">
            <w:pPr>
              <w:pStyle w:val="a3"/>
              <w:spacing w:before="0" w:beforeAutospacing="0" w:after="0" w:afterAutospacing="0"/>
              <w:rPr>
                <w:sz w:val="20"/>
                <w:szCs w:val="20"/>
              </w:rPr>
            </w:pPr>
            <w:r>
              <w:rPr>
                <w:b/>
                <w:bCs/>
                <w:sz w:val="20"/>
                <w:szCs w:val="20"/>
              </w:rPr>
              <w:t> </w:t>
            </w:r>
          </w:p>
        </w:tc>
        <w:tc>
          <w:tcPr>
            <w:tcW w:w="0" w:type="auto"/>
            <w:tcMar>
              <w:top w:w="14" w:type="dxa"/>
              <w:left w:w="15" w:type="dxa"/>
              <w:bottom w:w="15" w:type="dxa"/>
              <w:right w:w="14" w:type="dxa"/>
            </w:tcMar>
            <w:vAlign w:val="bottom"/>
            <w:hideMark/>
          </w:tcPr>
          <w:p w14:paraId="0262A83D" w14:textId="77777777" w:rsidR="00000000" w:rsidRDefault="00EF48A2">
            <w:pPr>
              <w:pStyle w:val="a3"/>
              <w:spacing w:before="0" w:beforeAutospacing="0" w:after="0" w:afterAutospacing="0"/>
              <w:rPr>
                <w:sz w:val="20"/>
                <w:szCs w:val="20"/>
              </w:rPr>
            </w:pPr>
            <w:r>
              <w:rPr>
                <w:sz w:val="20"/>
                <w:szCs w:val="20"/>
              </w:rPr>
              <w:t>Chief Executive Office</w:t>
            </w:r>
            <w:r>
              <w:rPr>
                <w:sz w:val="20"/>
                <w:szCs w:val="20"/>
              </w:rPr>
              <w:t>r</w:t>
            </w:r>
          </w:p>
        </w:tc>
      </w:tr>
    </w:tbl>
    <w:p w14:paraId="3B209D0C" w14:textId="77777777" w:rsidR="00000000" w:rsidRDefault="00EF48A2">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251"/>
        <w:gridCol w:w="480"/>
        <w:gridCol w:w="3828"/>
      </w:tblGrid>
      <w:tr w:rsidR="00000000" w14:paraId="09EB5EE7" w14:textId="77777777">
        <w:trPr>
          <w:tblCellSpacing w:w="15" w:type="dxa"/>
        </w:trPr>
        <w:tc>
          <w:tcPr>
            <w:tcW w:w="2269" w:type="pct"/>
            <w:vAlign w:val="center"/>
            <w:hideMark/>
          </w:tcPr>
          <w:p w14:paraId="6D35B4D1" w14:textId="77777777" w:rsidR="00000000" w:rsidRDefault="00EF48A2">
            <w:pPr>
              <w:rPr>
                <w:sz w:val="20"/>
                <w:szCs w:val="20"/>
              </w:rPr>
            </w:pPr>
          </w:p>
        </w:tc>
        <w:tc>
          <w:tcPr>
            <w:tcW w:w="135" w:type="pct"/>
            <w:vAlign w:val="center"/>
            <w:hideMark/>
          </w:tcPr>
          <w:p w14:paraId="40669F80" w14:textId="77777777" w:rsidR="00000000" w:rsidRDefault="00EF48A2">
            <w:pPr>
              <w:rPr>
                <w:rFonts w:eastAsia="Times New Roman"/>
                <w:sz w:val="20"/>
                <w:szCs w:val="20"/>
              </w:rPr>
            </w:pPr>
          </w:p>
        </w:tc>
        <w:tc>
          <w:tcPr>
            <w:tcW w:w="276" w:type="pct"/>
            <w:vAlign w:val="center"/>
            <w:hideMark/>
          </w:tcPr>
          <w:p w14:paraId="3C01C8CB" w14:textId="77777777" w:rsidR="00000000" w:rsidRDefault="00EF48A2">
            <w:pPr>
              <w:rPr>
                <w:rFonts w:eastAsia="Times New Roman"/>
                <w:sz w:val="20"/>
                <w:szCs w:val="20"/>
              </w:rPr>
            </w:pPr>
          </w:p>
        </w:tc>
        <w:tc>
          <w:tcPr>
            <w:tcW w:w="2319" w:type="pct"/>
            <w:vAlign w:val="center"/>
            <w:hideMark/>
          </w:tcPr>
          <w:p w14:paraId="2B80DEAD" w14:textId="77777777" w:rsidR="00000000" w:rsidRDefault="00EF48A2">
            <w:pPr>
              <w:rPr>
                <w:rFonts w:eastAsia="Times New Roman"/>
                <w:sz w:val="20"/>
                <w:szCs w:val="20"/>
              </w:rPr>
            </w:pPr>
          </w:p>
        </w:tc>
      </w:tr>
      <w:tr w:rsidR="00000000" w14:paraId="7640BD3B" w14:textId="77777777">
        <w:trPr>
          <w:trHeight w:val="200"/>
          <w:tblCellSpacing w:w="15" w:type="dxa"/>
        </w:trPr>
        <w:tc>
          <w:tcPr>
            <w:tcW w:w="0" w:type="auto"/>
            <w:tcMar>
              <w:top w:w="14" w:type="dxa"/>
              <w:left w:w="15" w:type="dxa"/>
              <w:bottom w:w="15" w:type="dxa"/>
              <w:right w:w="14" w:type="dxa"/>
            </w:tcMar>
            <w:vAlign w:val="bottom"/>
            <w:hideMark/>
          </w:tcPr>
          <w:p w14:paraId="25A48568" w14:textId="77777777" w:rsidR="00000000" w:rsidRDefault="00EF48A2">
            <w:pPr>
              <w:pStyle w:val="a3"/>
              <w:spacing w:before="0" w:beforeAutospacing="0" w:after="0" w:afterAutospacing="0"/>
              <w:rPr>
                <w:sz w:val="20"/>
                <w:szCs w:val="20"/>
              </w:rPr>
            </w:pPr>
            <w:r>
              <w:rPr>
                <w:sz w:val="20"/>
                <w:szCs w:val="20"/>
              </w:rPr>
              <w:t>Date: March 10, 202</w:t>
            </w:r>
            <w:r>
              <w:rPr>
                <w:sz w:val="20"/>
                <w:szCs w:val="20"/>
              </w:rPr>
              <w:t>3</w:t>
            </w:r>
          </w:p>
        </w:tc>
        <w:tc>
          <w:tcPr>
            <w:tcW w:w="0" w:type="auto"/>
            <w:tcMar>
              <w:top w:w="14" w:type="dxa"/>
              <w:left w:w="15" w:type="dxa"/>
              <w:bottom w:w="15" w:type="dxa"/>
              <w:right w:w="14" w:type="dxa"/>
            </w:tcMar>
            <w:vAlign w:val="bottom"/>
            <w:hideMark/>
          </w:tcPr>
          <w:p w14:paraId="339EB72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6AE635BA" w14:textId="77777777" w:rsidR="00000000" w:rsidRDefault="00EF48A2">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14:paraId="1CA80E7E" w14:textId="77777777" w:rsidR="00000000" w:rsidRDefault="00EF48A2">
            <w:pPr>
              <w:pStyle w:val="a3"/>
              <w:spacing w:before="0" w:beforeAutospacing="0" w:after="0" w:afterAutospacing="0"/>
              <w:rPr>
                <w:sz w:val="20"/>
                <w:szCs w:val="20"/>
              </w:rPr>
            </w:pPr>
            <w:r>
              <w:rPr>
                <w:sz w:val="20"/>
                <w:szCs w:val="20"/>
              </w:rPr>
              <w:t>/s/ Jennifer Ful</w:t>
            </w:r>
            <w:r>
              <w:rPr>
                <w:sz w:val="20"/>
                <w:szCs w:val="20"/>
              </w:rPr>
              <w:t>k</w:t>
            </w:r>
          </w:p>
        </w:tc>
      </w:tr>
      <w:tr w:rsidR="00000000" w14:paraId="60F4D934" w14:textId="77777777">
        <w:trPr>
          <w:trHeight w:val="200"/>
          <w:tblCellSpacing w:w="15" w:type="dxa"/>
        </w:trPr>
        <w:tc>
          <w:tcPr>
            <w:tcW w:w="0" w:type="auto"/>
            <w:tcMar>
              <w:top w:w="14" w:type="dxa"/>
              <w:left w:w="15" w:type="dxa"/>
              <w:bottom w:w="15" w:type="dxa"/>
              <w:right w:w="14" w:type="dxa"/>
            </w:tcMar>
            <w:vAlign w:val="bottom"/>
            <w:hideMark/>
          </w:tcPr>
          <w:p w14:paraId="2CA868E3"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3CC8808"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14:paraId="688B8441" w14:textId="77777777" w:rsidR="00000000" w:rsidRDefault="00EF48A2">
            <w:pPr>
              <w:pStyle w:val="a3"/>
              <w:spacing w:before="0" w:beforeAutospacing="0" w:after="0" w:afterAutospacing="0"/>
              <w:rPr>
                <w:sz w:val="20"/>
                <w:szCs w:val="20"/>
              </w:rPr>
            </w:pPr>
            <w:r>
              <w:rPr>
                <w:b/>
                <w:bCs/>
                <w:sz w:val="20"/>
                <w:szCs w:val="20"/>
              </w:rPr>
              <w:t> </w:t>
            </w:r>
          </w:p>
        </w:tc>
        <w:tc>
          <w:tcPr>
            <w:tcW w:w="0" w:type="auto"/>
            <w:tcMar>
              <w:top w:w="14" w:type="dxa"/>
              <w:left w:w="15" w:type="dxa"/>
              <w:bottom w:w="15" w:type="dxa"/>
              <w:right w:w="14" w:type="dxa"/>
            </w:tcMar>
            <w:vAlign w:val="bottom"/>
            <w:hideMark/>
          </w:tcPr>
          <w:p w14:paraId="4B5D9A4A" w14:textId="77777777" w:rsidR="00000000" w:rsidRDefault="00EF48A2">
            <w:pPr>
              <w:pStyle w:val="a3"/>
              <w:spacing w:before="0" w:beforeAutospacing="0" w:after="0" w:afterAutospacing="0"/>
              <w:rPr>
                <w:sz w:val="20"/>
                <w:szCs w:val="20"/>
              </w:rPr>
            </w:pPr>
            <w:r>
              <w:rPr>
                <w:sz w:val="20"/>
                <w:szCs w:val="20"/>
              </w:rPr>
              <w:t>Jennifer Ful</w:t>
            </w:r>
            <w:r>
              <w:rPr>
                <w:sz w:val="20"/>
                <w:szCs w:val="20"/>
              </w:rPr>
              <w:t>k</w:t>
            </w:r>
          </w:p>
        </w:tc>
      </w:tr>
      <w:tr w:rsidR="00000000" w14:paraId="1E948529" w14:textId="77777777">
        <w:trPr>
          <w:trHeight w:val="200"/>
          <w:tblCellSpacing w:w="15" w:type="dxa"/>
        </w:trPr>
        <w:tc>
          <w:tcPr>
            <w:tcW w:w="0" w:type="auto"/>
            <w:tcMar>
              <w:top w:w="14" w:type="dxa"/>
              <w:left w:w="15" w:type="dxa"/>
              <w:bottom w:w="15" w:type="dxa"/>
              <w:right w:w="14" w:type="dxa"/>
            </w:tcMar>
            <w:vAlign w:val="bottom"/>
            <w:hideMark/>
          </w:tcPr>
          <w:p w14:paraId="2C3D954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1959D03"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3B56776" w14:textId="77777777" w:rsidR="00000000" w:rsidRDefault="00EF48A2">
            <w:pPr>
              <w:pStyle w:val="a3"/>
              <w:spacing w:before="0" w:beforeAutospacing="0" w:after="0" w:afterAutospacing="0"/>
              <w:rPr>
                <w:sz w:val="20"/>
                <w:szCs w:val="20"/>
              </w:rPr>
            </w:pPr>
            <w:r>
              <w:rPr>
                <w:b/>
                <w:bCs/>
                <w:sz w:val="20"/>
                <w:szCs w:val="20"/>
              </w:rPr>
              <w:t> </w:t>
            </w:r>
          </w:p>
        </w:tc>
        <w:tc>
          <w:tcPr>
            <w:tcW w:w="0" w:type="auto"/>
            <w:tcMar>
              <w:top w:w="14" w:type="dxa"/>
              <w:left w:w="15" w:type="dxa"/>
              <w:bottom w:w="15" w:type="dxa"/>
              <w:right w:w="14" w:type="dxa"/>
            </w:tcMar>
            <w:vAlign w:val="bottom"/>
            <w:hideMark/>
          </w:tcPr>
          <w:p w14:paraId="114EFEE0" w14:textId="77777777" w:rsidR="00000000" w:rsidRDefault="00EF48A2">
            <w:pPr>
              <w:pStyle w:val="a3"/>
              <w:spacing w:before="0" w:beforeAutospacing="0" w:after="0" w:afterAutospacing="0"/>
              <w:rPr>
                <w:sz w:val="20"/>
                <w:szCs w:val="20"/>
              </w:rPr>
            </w:pPr>
            <w:r>
              <w:rPr>
                <w:sz w:val="20"/>
                <w:szCs w:val="20"/>
              </w:rPr>
              <w:t>Chief Financial Office</w:t>
            </w:r>
            <w:r>
              <w:rPr>
                <w:sz w:val="20"/>
                <w:szCs w:val="20"/>
              </w:rPr>
              <w:t>r</w:t>
            </w:r>
          </w:p>
        </w:tc>
      </w:tr>
    </w:tbl>
    <w:p w14:paraId="42C528B2" w14:textId="77777777" w:rsidR="00000000" w:rsidRDefault="00EF48A2">
      <w:pPr>
        <w:pStyle w:val="a3"/>
        <w:spacing w:before="0" w:beforeAutospacing="0" w:after="0" w:afterAutospacing="0"/>
        <w:rPr>
          <w:sz w:val="20"/>
          <w:szCs w:val="20"/>
        </w:rPr>
      </w:pPr>
      <w:r>
        <w:t> </w:t>
      </w:r>
    </w:p>
    <w:p w14:paraId="20B7145A" w14:textId="77777777" w:rsidR="00000000" w:rsidRDefault="00EF48A2">
      <w:pPr>
        <w:pStyle w:val="a3"/>
        <w:spacing w:before="0" w:beforeAutospacing="0" w:after="0" w:afterAutospacing="0"/>
        <w:rPr>
          <w:sz w:val="20"/>
          <w:szCs w:val="20"/>
        </w:rPr>
      </w:pPr>
      <w:r>
        <w:t> </w:t>
      </w:r>
    </w:p>
    <w:p w14:paraId="2A947273" w14:textId="77777777" w:rsidR="00000000" w:rsidRDefault="00EF48A2">
      <w:pPr>
        <w:pStyle w:val="a3"/>
        <w:spacing w:before="0" w:beforeAutospacing="0" w:after="0" w:afterAutospacing="0"/>
        <w:jc w:val="both"/>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r>
        <w:rPr>
          <w:sz w:val="20"/>
          <w:szCs w:val="20"/>
        </w:rPr>
        <w:t>.</w:t>
      </w:r>
    </w:p>
    <w:p w14:paraId="1BF770A2" w14:textId="77777777" w:rsidR="00000000" w:rsidRDefault="00EF48A2">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7"/>
        <w:gridCol w:w="113"/>
        <w:gridCol w:w="3550"/>
        <w:gridCol w:w="113"/>
        <w:gridCol w:w="1803"/>
      </w:tblGrid>
      <w:tr w:rsidR="00000000" w14:paraId="0EDB1011" w14:textId="77777777">
        <w:trPr>
          <w:tblCellSpacing w:w="15" w:type="dxa"/>
        </w:trPr>
        <w:tc>
          <w:tcPr>
            <w:tcW w:w="1649" w:type="pct"/>
            <w:vAlign w:val="center"/>
            <w:hideMark/>
          </w:tcPr>
          <w:p w14:paraId="7EA8BBEF" w14:textId="77777777" w:rsidR="00000000" w:rsidRDefault="00EF48A2">
            <w:pPr>
              <w:rPr>
                <w:sz w:val="20"/>
                <w:szCs w:val="20"/>
              </w:rPr>
            </w:pPr>
          </w:p>
        </w:tc>
        <w:tc>
          <w:tcPr>
            <w:tcW w:w="51" w:type="pct"/>
            <w:vAlign w:val="center"/>
            <w:hideMark/>
          </w:tcPr>
          <w:p w14:paraId="2A3EABCC" w14:textId="77777777" w:rsidR="00000000" w:rsidRDefault="00EF48A2">
            <w:pPr>
              <w:rPr>
                <w:rFonts w:eastAsia="Times New Roman"/>
                <w:sz w:val="20"/>
                <w:szCs w:val="20"/>
              </w:rPr>
            </w:pPr>
          </w:p>
        </w:tc>
        <w:tc>
          <w:tcPr>
            <w:tcW w:w="2165" w:type="pct"/>
            <w:vAlign w:val="center"/>
            <w:hideMark/>
          </w:tcPr>
          <w:p w14:paraId="41518135" w14:textId="77777777" w:rsidR="00000000" w:rsidRDefault="00EF48A2">
            <w:pPr>
              <w:rPr>
                <w:rFonts w:eastAsia="Times New Roman"/>
                <w:sz w:val="20"/>
                <w:szCs w:val="20"/>
              </w:rPr>
            </w:pPr>
          </w:p>
        </w:tc>
        <w:tc>
          <w:tcPr>
            <w:tcW w:w="51" w:type="pct"/>
            <w:vAlign w:val="center"/>
            <w:hideMark/>
          </w:tcPr>
          <w:p w14:paraId="6ED6AEC2" w14:textId="77777777" w:rsidR="00000000" w:rsidRDefault="00EF48A2">
            <w:pPr>
              <w:rPr>
                <w:rFonts w:eastAsia="Times New Roman"/>
                <w:sz w:val="20"/>
                <w:szCs w:val="20"/>
              </w:rPr>
            </w:pPr>
          </w:p>
        </w:tc>
        <w:tc>
          <w:tcPr>
            <w:tcW w:w="1081" w:type="pct"/>
            <w:vAlign w:val="center"/>
            <w:hideMark/>
          </w:tcPr>
          <w:p w14:paraId="3CFB46E2" w14:textId="77777777" w:rsidR="00000000" w:rsidRDefault="00EF48A2">
            <w:pPr>
              <w:rPr>
                <w:rFonts w:eastAsia="Times New Roman"/>
                <w:sz w:val="20"/>
                <w:szCs w:val="20"/>
              </w:rPr>
            </w:pPr>
          </w:p>
        </w:tc>
      </w:tr>
      <w:tr w:rsidR="00000000" w14:paraId="0C975FAF" w14:textId="77777777">
        <w:trPr>
          <w:trHeight w:val="160"/>
          <w:tblCellSpacing w:w="15" w:type="dxa"/>
        </w:trPr>
        <w:tc>
          <w:tcPr>
            <w:tcW w:w="0" w:type="auto"/>
            <w:tcMar>
              <w:top w:w="14" w:type="dxa"/>
              <w:left w:w="15" w:type="dxa"/>
              <w:bottom w:w="15" w:type="dxa"/>
              <w:right w:w="14" w:type="dxa"/>
            </w:tcMar>
            <w:vAlign w:val="bottom"/>
            <w:hideMark/>
          </w:tcPr>
          <w:p w14:paraId="050405FD" w14:textId="77777777" w:rsidR="00000000" w:rsidRDefault="00EF48A2">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tcMar>
              <w:top w:w="14" w:type="dxa"/>
              <w:left w:w="15" w:type="dxa"/>
              <w:bottom w:w="15" w:type="dxa"/>
              <w:right w:w="14" w:type="dxa"/>
            </w:tcMar>
            <w:vAlign w:val="bottom"/>
            <w:hideMark/>
          </w:tcPr>
          <w:p w14:paraId="06667C07" w14:textId="77777777" w:rsidR="00000000" w:rsidRDefault="00EF48A2">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14:paraId="24B0C61A" w14:textId="77777777" w:rsidR="00000000" w:rsidRDefault="00EF48A2">
            <w:pPr>
              <w:pStyle w:val="a3"/>
              <w:spacing w:before="0" w:beforeAutospacing="0" w:after="0" w:afterAutospacing="0"/>
              <w:jc w:val="center"/>
              <w:rPr>
                <w:sz w:val="16"/>
                <w:szCs w:val="16"/>
              </w:rPr>
            </w:pPr>
            <w:r>
              <w:rPr>
                <w:b/>
                <w:bCs/>
                <w:sz w:val="16"/>
                <w:szCs w:val="16"/>
              </w:rPr>
              <w:t>Titl</w:t>
            </w:r>
            <w:r>
              <w:rPr>
                <w:b/>
                <w:bCs/>
                <w:sz w:val="16"/>
                <w:szCs w:val="16"/>
              </w:rPr>
              <w:t>e</w:t>
            </w:r>
          </w:p>
        </w:tc>
        <w:tc>
          <w:tcPr>
            <w:tcW w:w="0" w:type="auto"/>
            <w:tcMar>
              <w:top w:w="14" w:type="dxa"/>
              <w:left w:w="15" w:type="dxa"/>
              <w:bottom w:w="15" w:type="dxa"/>
              <w:right w:w="14" w:type="dxa"/>
            </w:tcMar>
            <w:vAlign w:val="bottom"/>
            <w:hideMark/>
          </w:tcPr>
          <w:p w14:paraId="2CAC97B5" w14:textId="77777777" w:rsidR="00000000" w:rsidRDefault="00EF48A2">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14:paraId="7444C06F" w14:textId="77777777" w:rsidR="00000000" w:rsidRDefault="00EF48A2">
            <w:pPr>
              <w:pStyle w:val="a3"/>
              <w:spacing w:before="0" w:beforeAutospacing="0" w:after="0" w:afterAutospacing="0"/>
              <w:jc w:val="center"/>
              <w:rPr>
                <w:sz w:val="16"/>
                <w:szCs w:val="16"/>
              </w:rPr>
            </w:pPr>
            <w:r>
              <w:rPr>
                <w:b/>
                <w:bCs/>
                <w:sz w:val="16"/>
                <w:szCs w:val="16"/>
              </w:rPr>
              <w:t>Dat</w:t>
            </w:r>
            <w:r>
              <w:rPr>
                <w:b/>
                <w:bCs/>
                <w:sz w:val="16"/>
                <w:szCs w:val="16"/>
              </w:rPr>
              <w:t>e</w:t>
            </w:r>
          </w:p>
        </w:tc>
      </w:tr>
      <w:tr w:rsidR="00000000" w14:paraId="2E1E1478" w14:textId="77777777">
        <w:trPr>
          <w:trHeight w:val="80"/>
          <w:tblCellSpacing w:w="15" w:type="dxa"/>
        </w:trPr>
        <w:tc>
          <w:tcPr>
            <w:tcW w:w="0" w:type="auto"/>
            <w:tcMar>
              <w:top w:w="14" w:type="dxa"/>
              <w:left w:w="15" w:type="dxa"/>
              <w:bottom w:w="15" w:type="dxa"/>
              <w:right w:w="14" w:type="dxa"/>
            </w:tcMar>
            <w:vAlign w:val="bottom"/>
            <w:hideMark/>
          </w:tcPr>
          <w:p w14:paraId="263E6BB5"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43B6BBE5" w14:textId="77777777" w:rsidR="00000000" w:rsidRDefault="00EF48A2">
            <w:pPr>
              <w:pStyle w:val="a3"/>
              <w:spacing w:before="0" w:beforeAutospacing="0" w:after="0" w:afterAutospacing="0"/>
              <w:rPr>
                <w:sz w:val="8"/>
                <w:szCs w:val="8"/>
              </w:rPr>
            </w:pPr>
            <w:r>
              <w:rPr>
                <w:b/>
                <w:bCs/>
                <w:sz w:val="8"/>
                <w:szCs w:val="8"/>
              </w:rPr>
              <w:t> </w:t>
            </w:r>
          </w:p>
        </w:tc>
        <w:tc>
          <w:tcPr>
            <w:tcW w:w="0" w:type="auto"/>
            <w:tcMar>
              <w:top w:w="14" w:type="dxa"/>
              <w:left w:w="15" w:type="dxa"/>
              <w:bottom w:w="15" w:type="dxa"/>
              <w:right w:w="14" w:type="dxa"/>
            </w:tcMar>
            <w:vAlign w:val="bottom"/>
            <w:hideMark/>
          </w:tcPr>
          <w:p w14:paraId="5453226C"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145C6819" w14:textId="77777777" w:rsidR="00000000" w:rsidRDefault="00EF48A2">
            <w:pPr>
              <w:pStyle w:val="a3"/>
              <w:spacing w:before="0" w:beforeAutospacing="0" w:after="0" w:afterAutospacing="0"/>
              <w:rPr>
                <w:sz w:val="8"/>
                <w:szCs w:val="8"/>
              </w:rPr>
            </w:pPr>
            <w:r>
              <w:rPr>
                <w:b/>
                <w:bCs/>
                <w:sz w:val="8"/>
                <w:szCs w:val="8"/>
              </w:rPr>
              <w:t> </w:t>
            </w:r>
          </w:p>
        </w:tc>
        <w:tc>
          <w:tcPr>
            <w:tcW w:w="0" w:type="auto"/>
            <w:tcMar>
              <w:top w:w="14" w:type="dxa"/>
              <w:left w:w="15" w:type="dxa"/>
              <w:bottom w:w="15" w:type="dxa"/>
              <w:right w:w="14" w:type="dxa"/>
            </w:tcMar>
            <w:vAlign w:val="bottom"/>
            <w:hideMark/>
          </w:tcPr>
          <w:p w14:paraId="381238E9" w14:textId="77777777" w:rsidR="00000000" w:rsidRDefault="00EF48A2">
            <w:pPr>
              <w:pStyle w:val="a3"/>
              <w:spacing w:before="0" w:beforeAutospacing="0" w:after="0" w:afterAutospacing="0"/>
              <w:jc w:val="center"/>
              <w:rPr>
                <w:sz w:val="8"/>
                <w:szCs w:val="8"/>
              </w:rPr>
            </w:pPr>
            <w:r>
              <w:rPr>
                <w:b/>
                <w:bCs/>
                <w:sz w:val="8"/>
                <w:szCs w:val="8"/>
              </w:rPr>
              <w:t> </w:t>
            </w:r>
          </w:p>
        </w:tc>
      </w:tr>
      <w:tr w:rsidR="00000000" w14:paraId="4EA83FD4" w14:textId="77777777">
        <w:trPr>
          <w:trHeight w:val="200"/>
          <w:tblCellSpacing w:w="15" w:type="dxa"/>
        </w:trPr>
        <w:tc>
          <w:tcPr>
            <w:tcW w:w="0" w:type="auto"/>
            <w:tcMar>
              <w:top w:w="14" w:type="dxa"/>
              <w:left w:w="15" w:type="dxa"/>
              <w:bottom w:w="15" w:type="dxa"/>
              <w:right w:w="14" w:type="dxa"/>
            </w:tcMar>
            <w:vAlign w:val="bottom"/>
            <w:hideMark/>
          </w:tcPr>
          <w:p w14:paraId="5304008E" w14:textId="77777777" w:rsidR="00000000" w:rsidRDefault="00EF48A2">
            <w:pPr>
              <w:pStyle w:val="a3"/>
              <w:spacing w:before="0" w:beforeAutospacing="0" w:after="0" w:afterAutospacing="0"/>
              <w:jc w:val="center"/>
              <w:rPr>
                <w:sz w:val="20"/>
                <w:szCs w:val="20"/>
              </w:rPr>
            </w:pPr>
            <w:r>
              <w:rPr>
                <w:sz w:val="20"/>
                <w:szCs w:val="20"/>
              </w:rPr>
              <w:t>/s/ Jon R. Cohe</w:t>
            </w:r>
            <w:r>
              <w:rPr>
                <w:sz w:val="20"/>
                <w:szCs w:val="20"/>
              </w:rPr>
              <w:t>n</w:t>
            </w:r>
          </w:p>
        </w:tc>
        <w:tc>
          <w:tcPr>
            <w:tcW w:w="0" w:type="auto"/>
            <w:tcMar>
              <w:top w:w="14" w:type="dxa"/>
              <w:left w:w="15" w:type="dxa"/>
              <w:bottom w:w="15" w:type="dxa"/>
              <w:right w:w="14" w:type="dxa"/>
            </w:tcMar>
            <w:vAlign w:val="bottom"/>
            <w:hideMark/>
          </w:tcPr>
          <w:p w14:paraId="5B9633E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C532454" w14:textId="77777777" w:rsidR="00000000" w:rsidRDefault="00EF48A2">
            <w:pPr>
              <w:pStyle w:val="a3"/>
              <w:spacing w:before="0" w:beforeAutospacing="0" w:after="0" w:afterAutospacing="0"/>
              <w:jc w:val="center"/>
              <w:rPr>
                <w:sz w:val="20"/>
                <w:szCs w:val="20"/>
              </w:rPr>
            </w:pPr>
            <w:r>
              <w:rPr>
                <w:sz w:val="20"/>
                <w:szCs w:val="20"/>
              </w:rPr>
              <w:t>Chief Executive Officer and Directo</w:t>
            </w:r>
            <w:r>
              <w:rPr>
                <w:sz w:val="20"/>
                <w:szCs w:val="20"/>
              </w:rPr>
              <w:t>r</w:t>
            </w:r>
          </w:p>
        </w:tc>
        <w:tc>
          <w:tcPr>
            <w:tcW w:w="0" w:type="auto"/>
            <w:tcMar>
              <w:top w:w="14" w:type="dxa"/>
              <w:left w:w="15" w:type="dxa"/>
              <w:bottom w:w="15" w:type="dxa"/>
              <w:right w:w="14" w:type="dxa"/>
            </w:tcMar>
            <w:vAlign w:val="bottom"/>
            <w:hideMark/>
          </w:tcPr>
          <w:p w14:paraId="0CA56F74"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1B16CD0" w14:textId="77777777" w:rsidR="00000000" w:rsidRDefault="00EF48A2">
            <w:pPr>
              <w:pStyle w:val="a3"/>
              <w:spacing w:before="0" w:beforeAutospacing="0" w:after="0" w:afterAutospacing="0"/>
              <w:jc w:val="center"/>
              <w:rPr>
                <w:sz w:val="20"/>
                <w:szCs w:val="20"/>
              </w:rPr>
            </w:pPr>
            <w:r>
              <w:rPr>
                <w:sz w:val="20"/>
                <w:szCs w:val="20"/>
              </w:rPr>
              <w:t>March 10, 202</w:t>
            </w:r>
            <w:r>
              <w:rPr>
                <w:sz w:val="20"/>
                <w:szCs w:val="20"/>
              </w:rPr>
              <w:t>3</w:t>
            </w:r>
          </w:p>
        </w:tc>
      </w:tr>
      <w:tr w:rsidR="00000000" w14:paraId="05345811" w14:textId="77777777">
        <w:trPr>
          <w:trHeight w:val="200"/>
          <w:tblCellSpacing w:w="15" w:type="dxa"/>
        </w:trPr>
        <w:tc>
          <w:tcPr>
            <w:tcW w:w="0" w:type="auto"/>
            <w:tcMar>
              <w:top w:w="14" w:type="dxa"/>
              <w:left w:w="15" w:type="dxa"/>
              <w:bottom w:w="15" w:type="dxa"/>
              <w:right w:w="14" w:type="dxa"/>
            </w:tcMar>
            <w:vAlign w:val="bottom"/>
            <w:hideMark/>
          </w:tcPr>
          <w:p w14:paraId="27A580CF" w14:textId="77777777" w:rsidR="00000000" w:rsidRDefault="00EF48A2">
            <w:pPr>
              <w:pStyle w:val="a3"/>
              <w:spacing w:before="0" w:beforeAutospacing="0" w:after="0" w:afterAutospacing="0"/>
              <w:jc w:val="center"/>
              <w:rPr>
                <w:sz w:val="16"/>
                <w:szCs w:val="16"/>
              </w:rPr>
            </w:pPr>
            <w:r>
              <w:rPr>
                <w:b/>
                <w:bCs/>
                <w:sz w:val="16"/>
                <w:szCs w:val="16"/>
              </w:rPr>
              <w:t>Jon R. Cohe</w:t>
            </w:r>
            <w:r>
              <w:rPr>
                <w:b/>
                <w:bCs/>
                <w:sz w:val="16"/>
                <w:szCs w:val="16"/>
              </w:rPr>
              <w:t>n</w:t>
            </w:r>
          </w:p>
        </w:tc>
        <w:tc>
          <w:tcPr>
            <w:tcW w:w="0" w:type="auto"/>
            <w:tcMar>
              <w:top w:w="14" w:type="dxa"/>
              <w:left w:w="15" w:type="dxa"/>
              <w:bottom w:w="15" w:type="dxa"/>
              <w:right w:w="14" w:type="dxa"/>
            </w:tcMar>
            <w:vAlign w:val="bottom"/>
            <w:hideMark/>
          </w:tcPr>
          <w:p w14:paraId="134B420B"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4931665B" w14:textId="77777777" w:rsidR="00000000" w:rsidRDefault="00EF48A2">
            <w:pPr>
              <w:pStyle w:val="a3"/>
              <w:spacing w:before="0" w:beforeAutospacing="0" w:after="0" w:afterAutospacing="0"/>
              <w:jc w:val="center"/>
              <w:rPr>
                <w:sz w:val="20"/>
                <w:szCs w:val="20"/>
              </w:rPr>
            </w:pPr>
            <w:r>
              <w:rPr>
                <w:sz w:val="20"/>
                <w:szCs w:val="20"/>
              </w:rPr>
              <w:t>(Principal Executive Officer</w:t>
            </w:r>
            <w:r>
              <w:rPr>
                <w:sz w:val="20"/>
                <w:szCs w:val="20"/>
              </w:rPr>
              <w:t>)</w:t>
            </w:r>
          </w:p>
        </w:tc>
        <w:tc>
          <w:tcPr>
            <w:tcW w:w="0" w:type="auto"/>
            <w:tcMar>
              <w:top w:w="14" w:type="dxa"/>
              <w:left w:w="15" w:type="dxa"/>
              <w:bottom w:w="15" w:type="dxa"/>
              <w:right w:w="14" w:type="dxa"/>
            </w:tcMar>
            <w:vAlign w:val="bottom"/>
            <w:hideMark/>
          </w:tcPr>
          <w:p w14:paraId="07307A0B"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69C6A853" w14:textId="77777777" w:rsidR="00000000" w:rsidRDefault="00EF48A2">
            <w:pPr>
              <w:pStyle w:val="a3"/>
              <w:spacing w:before="0" w:beforeAutospacing="0" w:after="0" w:afterAutospacing="0"/>
              <w:rPr>
                <w:sz w:val="16"/>
                <w:szCs w:val="16"/>
              </w:rPr>
            </w:pPr>
            <w:r>
              <w:rPr>
                <w:sz w:val="16"/>
                <w:szCs w:val="16"/>
              </w:rPr>
              <w:t> </w:t>
            </w:r>
          </w:p>
        </w:tc>
      </w:tr>
      <w:tr w:rsidR="00000000" w14:paraId="23143690" w14:textId="77777777">
        <w:trPr>
          <w:trHeight w:val="80"/>
          <w:tblCellSpacing w:w="15" w:type="dxa"/>
        </w:trPr>
        <w:tc>
          <w:tcPr>
            <w:tcW w:w="0" w:type="auto"/>
            <w:tcMar>
              <w:top w:w="14" w:type="dxa"/>
              <w:left w:w="15" w:type="dxa"/>
              <w:bottom w:w="15" w:type="dxa"/>
              <w:right w:w="14" w:type="dxa"/>
            </w:tcMar>
            <w:vAlign w:val="bottom"/>
            <w:hideMark/>
          </w:tcPr>
          <w:p w14:paraId="44232478"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133AF473"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57C0A5FC"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14AC95F5"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3C019093" w14:textId="77777777" w:rsidR="00000000" w:rsidRDefault="00EF48A2">
            <w:pPr>
              <w:pStyle w:val="a3"/>
              <w:spacing w:before="0" w:beforeAutospacing="0" w:after="0" w:afterAutospacing="0"/>
              <w:rPr>
                <w:sz w:val="8"/>
                <w:szCs w:val="8"/>
              </w:rPr>
            </w:pPr>
            <w:r>
              <w:rPr>
                <w:sz w:val="8"/>
                <w:szCs w:val="8"/>
              </w:rPr>
              <w:t> </w:t>
            </w:r>
          </w:p>
        </w:tc>
      </w:tr>
      <w:tr w:rsidR="00000000" w14:paraId="20C58245" w14:textId="77777777">
        <w:trPr>
          <w:trHeight w:val="200"/>
          <w:tblCellSpacing w:w="15" w:type="dxa"/>
        </w:trPr>
        <w:tc>
          <w:tcPr>
            <w:tcW w:w="0" w:type="auto"/>
            <w:tcMar>
              <w:top w:w="14" w:type="dxa"/>
              <w:left w:w="15" w:type="dxa"/>
              <w:bottom w:w="15" w:type="dxa"/>
              <w:right w:w="14" w:type="dxa"/>
            </w:tcMar>
            <w:vAlign w:val="bottom"/>
            <w:hideMark/>
          </w:tcPr>
          <w:p w14:paraId="597E0003" w14:textId="77777777" w:rsidR="00000000" w:rsidRDefault="00EF48A2">
            <w:pPr>
              <w:pStyle w:val="a3"/>
              <w:spacing w:before="0" w:beforeAutospacing="0" w:after="0" w:afterAutospacing="0"/>
              <w:jc w:val="center"/>
              <w:rPr>
                <w:sz w:val="20"/>
                <w:szCs w:val="20"/>
              </w:rPr>
            </w:pPr>
            <w:r>
              <w:rPr>
                <w:sz w:val="20"/>
                <w:szCs w:val="20"/>
              </w:rPr>
              <w:t>/s/ Jennifer Ful</w:t>
            </w:r>
            <w:r>
              <w:rPr>
                <w:sz w:val="20"/>
                <w:szCs w:val="20"/>
              </w:rPr>
              <w:t>k</w:t>
            </w:r>
          </w:p>
        </w:tc>
        <w:tc>
          <w:tcPr>
            <w:tcW w:w="0" w:type="auto"/>
            <w:tcMar>
              <w:top w:w="14" w:type="dxa"/>
              <w:left w:w="15" w:type="dxa"/>
              <w:bottom w:w="15" w:type="dxa"/>
              <w:right w:w="14" w:type="dxa"/>
            </w:tcMar>
            <w:vAlign w:val="bottom"/>
            <w:hideMark/>
          </w:tcPr>
          <w:p w14:paraId="51D35ACA"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44EE035" w14:textId="77777777" w:rsidR="00000000" w:rsidRDefault="00EF48A2">
            <w:pPr>
              <w:pStyle w:val="a3"/>
              <w:spacing w:before="0" w:beforeAutospacing="0" w:after="0" w:afterAutospacing="0"/>
              <w:jc w:val="center"/>
              <w:rPr>
                <w:sz w:val="20"/>
                <w:szCs w:val="20"/>
              </w:rPr>
            </w:pPr>
            <w:r>
              <w:rPr>
                <w:sz w:val="20"/>
                <w:szCs w:val="20"/>
              </w:rPr>
              <w:t>Chief Financial Office</w:t>
            </w:r>
            <w:r>
              <w:rPr>
                <w:sz w:val="20"/>
                <w:szCs w:val="20"/>
              </w:rPr>
              <w:t>r</w:t>
            </w:r>
          </w:p>
        </w:tc>
        <w:tc>
          <w:tcPr>
            <w:tcW w:w="0" w:type="auto"/>
            <w:tcMar>
              <w:top w:w="14" w:type="dxa"/>
              <w:left w:w="15" w:type="dxa"/>
              <w:bottom w:w="15" w:type="dxa"/>
              <w:right w:w="14" w:type="dxa"/>
            </w:tcMar>
            <w:vAlign w:val="bottom"/>
            <w:hideMark/>
          </w:tcPr>
          <w:p w14:paraId="50FC2F83"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5B7A1C2" w14:textId="77777777" w:rsidR="00000000" w:rsidRDefault="00EF48A2">
            <w:pPr>
              <w:pStyle w:val="a3"/>
              <w:spacing w:before="0" w:beforeAutospacing="0" w:after="0" w:afterAutospacing="0"/>
              <w:jc w:val="center"/>
              <w:rPr>
                <w:sz w:val="20"/>
                <w:szCs w:val="20"/>
              </w:rPr>
            </w:pPr>
            <w:r>
              <w:rPr>
                <w:sz w:val="20"/>
                <w:szCs w:val="20"/>
              </w:rPr>
              <w:t> March 10, 202</w:t>
            </w:r>
            <w:r>
              <w:rPr>
                <w:sz w:val="20"/>
                <w:szCs w:val="20"/>
              </w:rPr>
              <w:t>3</w:t>
            </w:r>
          </w:p>
        </w:tc>
      </w:tr>
      <w:tr w:rsidR="00000000" w14:paraId="21BF1498" w14:textId="77777777">
        <w:trPr>
          <w:trHeight w:val="200"/>
          <w:tblCellSpacing w:w="15" w:type="dxa"/>
        </w:trPr>
        <w:tc>
          <w:tcPr>
            <w:tcW w:w="0" w:type="auto"/>
            <w:tcMar>
              <w:top w:w="14" w:type="dxa"/>
              <w:left w:w="15" w:type="dxa"/>
              <w:bottom w:w="15" w:type="dxa"/>
              <w:right w:w="14" w:type="dxa"/>
            </w:tcMar>
            <w:vAlign w:val="bottom"/>
            <w:hideMark/>
          </w:tcPr>
          <w:p w14:paraId="54234F08" w14:textId="77777777" w:rsidR="00000000" w:rsidRDefault="00EF48A2">
            <w:pPr>
              <w:pStyle w:val="a3"/>
              <w:spacing w:before="0" w:beforeAutospacing="0" w:after="0" w:afterAutospacing="0"/>
              <w:jc w:val="center"/>
              <w:rPr>
                <w:sz w:val="16"/>
                <w:szCs w:val="16"/>
              </w:rPr>
            </w:pPr>
            <w:r>
              <w:rPr>
                <w:b/>
                <w:bCs/>
                <w:sz w:val="16"/>
                <w:szCs w:val="16"/>
              </w:rPr>
              <w:t>Jennifer Ful</w:t>
            </w:r>
            <w:r>
              <w:rPr>
                <w:b/>
                <w:bCs/>
                <w:sz w:val="16"/>
                <w:szCs w:val="16"/>
              </w:rPr>
              <w:t>k</w:t>
            </w:r>
          </w:p>
        </w:tc>
        <w:tc>
          <w:tcPr>
            <w:tcW w:w="0" w:type="auto"/>
            <w:tcMar>
              <w:top w:w="14" w:type="dxa"/>
              <w:left w:w="15" w:type="dxa"/>
              <w:bottom w:w="15" w:type="dxa"/>
              <w:right w:w="14" w:type="dxa"/>
            </w:tcMar>
            <w:vAlign w:val="bottom"/>
            <w:hideMark/>
          </w:tcPr>
          <w:p w14:paraId="699BC80F"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1856E5B5" w14:textId="77777777" w:rsidR="00000000" w:rsidRDefault="00EF48A2">
            <w:pPr>
              <w:pStyle w:val="a3"/>
              <w:spacing w:before="0" w:beforeAutospacing="0" w:after="0" w:afterAutospacing="0"/>
              <w:jc w:val="center"/>
              <w:rPr>
                <w:sz w:val="20"/>
                <w:szCs w:val="20"/>
              </w:rPr>
            </w:pPr>
            <w:r>
              <w:rPr>
                <w:sz w:val="20"/>
                <w:szCs w:val="20"/>
              </w:rPr>
              <w:t>(Principal Financial and Accounting Officer</w:t>
            </w:r>
            <w:r>
              <w:rPr>
                <w:sz w:val="20"/>
                <w:szCs w:val="20"/>
              </w:rPr>
              <w:t>)</w:t>
            </w:r>
          </w:p>
        </w:tc>
        <w:tc>
          <w:tcPr>
            <w:tcW w:w="0" w:type="auto"/>
            <w:tcMar>
              <w:top w:w="14" w:type="dxa"/>
              <w:left w:w="15" w:type="dxa"/>
              <w:bottom w:w="15" w:type="dxa"/>
              <w:right w:w="14" w:type="dxa"/>
            </w:tcMar>
            <w:vAlign w:val="bottom"/>
            <w:hideMark/>
          </w:tcPr>
          <w:p w14:paraId="58B706B3"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0088F8D8" w14:textId="77777777" w:rsidR="00000000" w:rsidRDefault="00EF48A2">
            <w:pPr>
              <w:pStyle w:val="a3"/>
              <w:spacing w:before="0" w:beforeAutospacing="0" w:after="0" w:afterAutospacing="0"/>
              <w:rPr>
                <w:sz w:val="16"/>
                <w:szCs w:val="16"/>
              </w:rPr>
            </w:pPr>
            <w:r>
              <w:rPr>
                <w:sz w:val="16"/>
                <w:szCs w:val="16"/>
              </w:rPr>
              <w:t> </w:t>
            </w:r>
          </w:p>
        </w:tc>
      </w:tr>
      <w:tr w:rsidR="00000000" w14:paraId="1DFDCFE6" w14:textId="77777777">
        <w:trPr>
          <w:trHeight w:val="80"/>
          <w:tblCellSpacing w:w="15" w:type="dxa"/>
        </w:trPr>
        <w:tc>
          <w:tcPr>
            <w:tcW w:w="0" w:type="auto"/>
            <w:tcMar>
              <w:top w:w="14" w:type="dxa"/>
              <w:left w:w="15" w:type="dxa"/>
              <w:bottom w:w="15" w:type="dxa"/>
              <w:right w:w="14" w:type="dxa"/>
            </w:tcMar>
            <w:vAlign w:val="bottom"/>
            <w:hideMark/>
          </w:tcPr>
          <w:p w14:paraId="3A85BF72"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380E4E8C"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17E80FA7"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3CAD3563"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5BE5E7E3" w14:textId="77777777" w:rsidR="00000000" w:rsidRDefault="00EF48A2">
            <w:pPr>
              <w:pStyle w:val="a3"/>
              <w:spacing w:before="0" w:beforeAutospacing="0" w:after="0" w:afterAutospacing="0"/>
              <w:rPr>
                <w:sz w:val="8"/>
                <w:szCs w:val="8"/>
              </w:rPr>
            </w:pPr>
            <w:r>
              <w:rPr>
                <w:sz w:val="8"/>
                <w:szCs w:val="8"/>
              </w:rPr>
              <w:t> </w:t>
            </w:r>
          </w:p>
        </w:tc>
      </w:tr>
      <w:tr w:rsidR="00000000" w14:paraId="59D31E74" w14:textId="77777777">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14:paraId="2D1D7BA1" w14:textId="77777777" w:rsidR="00000000" w:rsidRDefault="00EF48A2">
            <w:pPr>
              <w:pStyle w:val="a3"/>
              <w:spacing w:before="0" w:beforeAutospacing="0" w:after="0" w:afterAutospacing="0"/>
              <w:jc w:val="center"/>
              <w:rPr>
                <w:sz w:val="20"/>
                <w:szCs w:val="20"/>
              </w:rPr>
            </w:pPr>
            <w:r>
              <w:rPr>
                <w:sz w:val="20"/>
                <w:szCs w:val="20"/>
              </w:rPr>
              <w:t>/s/ Douglas Braunstei</w:t>
            </w:r>
            <w:r>
              <w:rPr>
                <w:sz w:val="20"/>
                <w:szCs w:val="20"/>
              </w:rPr>
              <w:t>n</w:t>
            </w:r>
          </w:p>
        </w:tc>
        <w:tc>
          <w:tcPr>
            <w:tcW w:w="0" w:type="auto"/>
            <w:tcMar>
              <w:top w:w="14" w:type="dxa"/>
              <w:left w:w="15" w:type="dxa"/>
              <w:bottom w:w="15" w:type="dxa"/>
              <w:right w:w="14" w:type="dxa"/>
            </w:tcMar>
            <w:vAlign w:val="bottom"/>
            <w:hideMark/>
          </w:tcPr>
          <w:p w14:paraId="5F1C977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6ECABF7" w14:textId="77777777" w:rsidR="00000000" w:rsidRDefault="00EF48A2">
            <w:pPr>
              <w:pStyle w:val="a3"/>
              <w:spacing w:before="0" w:beforeAutospacing="0" w:after="0" w:afterAutospacing="0"/>
              <w:jc w:val="center"/>
              <w:rPr>
                <w:sz w:val="20"/>
                <w:szCs w:val="20"/>
              </w:rPr>
            </w:pPr>
            <w:r>
              <w:rPr>
                <w:sz w:val="20"/>
                <w:szCs w:val="20"/>
              </w:rPr>
              <w:t>Chairman of the Boar</w:t>
            </w:r>
            <w:r>
              <w:rPr>
                <w:sz w:val="20"/>
                <w:szCs w:val="20"/>
              </w:rPr>
              <w:t>d</w:t>
            </w:r>
          </w:p>
        </w:tc>
        <w:tc>
          <w:tcPr>
            <w:tcW w:w="0" w:type="auto"/>
            <w:tcMar>
              <w:top w:w="14" w:type="dxa"/>
              <w:left w:w="15" w:type="dxa"/>
              <w:bottom w:w="15" w:type="dxa"/>
              <w:right w:w="14" w:type="dxa"/>
            </w:tcMar>
            <w:vAlign w:val="bottom"/>
            <w:hideMark/>
          </w:tcPr>
          <w:p w14:paraId="208E11DA"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54F99FC" w14:textId="77777777" w:rsidR="00000000" w:rsidRDefault="00EF48A2">
            <w:pPr>
              <w:pStyle w:val="a3"/>
              <w:spacing w:before="0" w:beforeAutospacing="0" w:after="0" w:afterAutospacing="0"/>
              <w:jc w:val="center"/>
              <w:rPr>
                <w:sz w:val="20"/>
                <w:szCs w:val="20"/>
              </w:rPr>
            </w:pPr>
            <w:r>
              <w:rPr>
                <w:sz w:val="20"/>
                <w:szCs w:val="20"/>
              </w:rPr>
              <w:t>March 10, 202</w:t>
            </w:r>
            <w:r>
              <w:rPr>
                <w:sz w:val="20"/>
                <w:szCs w:val="20"/>
              </w:rPr>
              <w:t>3</w:t>
            </w:r>
          </w:p>
        </w:tc>
      </w:tr>
      <w:tr w:rsidR="00000000" w14:paraId="3842BAD4" w14:textId="77777777">
        <w:trPr>
          <w:trHeight w:val="160"/>
          <w:tblCellSpacing w:w="15" w:type="dxa"/>
        </w:trPr>
        <w:tc>
          <w:tcPr>
            <w:tcW w:w="0" w:type="auto"/>
            <w:tcMar>
              <w:top w:w="14" w:type="dxa"/>
              <w:left w:w="15" w:type="dxa"/>
              <w:bottom w:w="15" w:type="dxa"/>
              <w:right w:w="14" w:type="dxa"/>
            </w:tcMar>
            <w:vAlign w:val="bottom"/>
            <w:hideMark/>
          </w:tcPr>
          <w:p w14:paraId="1344340A" w14:textId="77777777" w:rsidR="00000000" w:rsidRDefault="00EF48A2">
            <w:pPr>
              <w:pStyle w:val="a3"/>
              <w:spacing w:before="0" w:beforeAutospacing="0" w:after="0" w:afterAutospacing="0"/>
              <w:jc w:val="center"/>
              <w:rPr>
                <w:sz w:val="16"/>
                <w:szCs w:val="16"/>
              </w:rPr>
            </w:pPr>
            <w:r>
              <w:rPr>
                <w:b/>
                <w:bCs/>
                <w:sz w:val="16"/>
                <w:szCs w:val="16"/>
              </w:rPr>
              <w:t>Douglas Braunstei</w:t>
            </w:r>
            <w:r>
              <w:rPr>
                <w:b/>
                <w:bCs/>
                <w:sz w:val="16"/>
                <w:szCs w:val="16"/>
              </w:rPr>
              <w:t>n</w:t>
            </w:r>
          </w:p>
        </w:tc>
        <w:tc>
          <w:tcPr>
            <w:tcW w:w="0" w:type="auto"/>
            <w:tcMar>
              <w:top w:w="14" w:type="dxa"/>
              <w:left w:w="15" w:type="dxa"/>
              <w:bottom w:w="15" w:type="dxa"/>
              <w:right w:w="14" w:type="dxa"/>
            </w:tcMar>
            <w:vAlign w:val="bottom"/>
            <w:hideMark/>
          </w:tcPr>
          <w:p w14:paraId="3A8D2CB0"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4F83999" w14:textId="77777777" w:rsidR="00000000" w:rsidRDefault="00EF48A2">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vAlign w:val="bottom"/>
            <w:hideMark/>
          </w:tcPr>
          <w:p w14:paraId="51C67E5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6EAC98B" w14:textId="77777777" w:rsidR="00000000" w:rsidRDefault="00EF48A2">
            <w:pPr>
              <w:pStyle w:val="a3"/>
              <w:spacing w:before="0" w:beforeAutospacing="0" w:after="0" w:afterAutospacing="0"/>
              <w:jc w:val="center"/>
              <w:rPr>
                <w:sz w:val="20"/>
                <w:szCs w:val="20"/>
              </w:rPr>
            </w:pPr>
            <w:r>
              <w:rPr>
                <w:sz w:val="20"/>
                <w:szCs w:val="20"/>
              </w:rPr>
              <w:t> </w:t>
            </w:r>
          </w:p>
        </w:tc>
      </w:tr>
      <w:tr w:rsidR="00000000" w14:paraId="2721CB4B" w14:textId="77777777">
        <w:trPr>
          <w:trHeight w:val="432"/>
          <w:tblCellSpacing w:w="15" w:type="dxa"/>
        </w:trPr>
        <w:tc>
          <w:tcPr>
            <w:tcW w:w="0" w:type="auto"/>
            <w:tcMar>
              <w:top w:w="14" w:type="dxa"/>
              <w:left w:w="15" w:type="dxa"/>
              <w:bottom w:w="15" w:type="dxa"/>
              <w:right w:w="14" w:type="dxa"/>
            </w:tcMar>
            <w:vAlign w:val="bottom"/>
            <w:hideMark/>
          </w:tcPr>
          <w:p w14:paraId="73062EFB" w14:textId="77777777" w:rsidR="00000000" w:rsidRDefault="00EF48A2">
            <w:pPr>
              <w:pStyle w:val="a3"/>
              <w:spacing w:before="0" w:beforeAutospacing="0" w:after="0" w:afterAutospacing="0"/>
              <w:jc w:val="center"/>
              <w:rPr>
                <w:sz w:val="20"/>
                <w:szCs w:val="20"/>
              </w:rPr>
            </w:pPr>
            <w:r>
              <w:rPr>
                <w:sz w:val="20"/>
                <w:szCs w:val="20"/>
              </w:rPr>
              <w:t>/s/ Erez Shacha</w:t>
            </w:r>
            <w:r>
              <w:rPr>
                <w:sz w:val="20"/>
                <w:szCs w:val="20"/>
              </w:rPr>
              <w:t>r</w:t>
            </w:r>
          </w:p>
        </w:tc>
        <w:tc>
          <w:tcPr>
            <w:tcW w:w="0" w:type="auto"/>
            <w:tcMar>
              <w:top w:w="14" w:type="dxa"/>
              <w:left w:w="15" w:type="dxa"/>
              <w:bottom w:w="15" w:type="dxa"/>
              <w:right w:w="14" w:type="dxa"/>
            </w:tcMar>
            <w:vAlign w:val="bottom"/>
            <w:hideMark/>
          </w:tcPr>
          <w:p w14:paraId="4F453677"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D4740A2" w14:textId="77777777" w:rsidR="00000000" w:rsidRDefault="00EF48A2">
            <w:pPr>
              <w:pStyle w:val="a3"/>
              <w:spacing w:before="0" w:beforeAutospacing="0" w:after="0" w:afterAutospacing="0"/>
              <w:jc w:val="center"/>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14:paraId="218752A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F7BB028" w14:textId="77777777" w:rsidR="00000000" w:rsidRDefault="00EF48A2">
            <w:pPr>
              <w:pStyle w:val="a3"/>
              <w:spacing w:before="0" w:beforeAutospacing="0" w:after="0" w:afterAutospacing="0"/>
              <w:jc w:val="center"/>
              <w:rPr>
                <w:sz w:val="20"/>
                <w:szCs w:val="20"/>
              </w:rPr>
            </w:pPr>
            <w:r>
              <w:rPr>
                <w:sz w:val="20"/>
                <w:szCs w:val="20"/>
              </w:rPr>
              <w:t>March 10, 202</w:t>
            </w:r>
            <w:r>
              <w:rPr>
                <w:sz w:val="20"/>
                <w:szCs w:val="20"/>
              </w:rPr>
              <w:t>3</w:t>
            </w:r>
          </w:p>
        </w:tc>
      </w:tr>
      <w:tr w:rsidR="00000000" w14:paraId="7E710F8B" w14:textId="77777777">
        <w:trPr>
          <w:trHeight w:val="160"/>
          <w:tblCellSpacing w:w="15" w:type="dxa"/>
        </w:trPr>
        <w:tc>
          <w:tcPr>
            <w:tcW w:w="0" w:type="auto"/>
            <w:tcMar>
              <w:top w:w="14" w:type="dxa"/>
              <w:left w:w="15" w:type="dxa"/>
              <w:bottom w:w="15" w:type="dxa"/>
              <w:right w:w="14" w:type="dxa"/>
            </w:tcMar>
            <w:vAlign w:val="bottom"/>
            <w:hideMark/>
          </w:tcPr>
          <w:p w14:paraId="5680D124" w14:textId="77777777" w:rsidR="00000000" w:rsidRDefault="00EF48A2">
            <w:pPr>
              <w:pStyle w:val="a3"/>
              <w:spacing w:before="0" w:beforeAutospacing="0" w:after="0" w:afterAutospacing="0"/>
              <w:jc w:val="center"/>
              <w:rPr>
                <w:sz w:val="16"/>
                <w:szCs w:val="16"/>
              </w:rPr>
            </w:pPr>
            <w:r>
              <w:rPr>
                <w:b/>
                <w:bCs/>
                <w:sz w:val="16"/>
                <w:szCs w:val="16"/>
              </w:rPr>
              <w:t>Erez Shacha</w:t>
            </w:r>
            <w:r>
              <w:rPr>
                <w:b/>
                <w:bCs/>
                <w:sz w:val="16"/>
                <w:szCs w:val="16"/>
              </w:rPr>
              <w:t>r</w:t>
            </w:r>
          </w:p>
        </w:tc>
        <w:tc>
          <w:tcPr>
            <w:tcW w:w="0" w:type="auto"/>
            <w:tcMar>
              <w:top w:w="14" w:type="dxa"/>
              <w:left w:w="15" w:type="dxa"/>
              <w:bottom w:w="15" w:type="dxa"/>
              <w:right w:w="14" w:type="dxa"/>
            </w:tcMar>
            <w:vAlign w:val="bottom"/>
            <w:hideMark/>
          </w:tcPr>
          <w:p w14:paraId="26E42434"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194D955E" w14:textId="77777777" w:rsidR="00000000" w:rsidRDefault="00EF48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14:paraId="5067ECA6"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3DEE6A4E"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13F63ABE" w14:textId="77777777">
        <w:trPr>
          <w:trHeight w:val="80"/>
          <w:tblCellSpacing w:w="15" w:type="dxa"/>
        </w:trPr>
        <w:tc>
          <w:tcPr>
            <w:tcW w:w="0" w:type="auto"/>
            <w:tcMar>
              <w:top w:w="14" w:type="dxa"/>
              <w:left w:w="15" w:type="dxa"/>
              <w:bottom w:w="15" w:type="dxa"/>
              <w:right w:w="14" w:type="dxa"/>
            </w:tcMar>
            <w:vAlign w:val="bottom"/>
            <w:hideMark/>
          </w:tcPr>
          <w:p w14:paraId="526E4633"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6B87F25C"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59699979"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4331A015"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61D71966" w14:textId="77777777" w:rsidR="00000000" w:rsidRDefault="00EF48A2">
            <w:pPr>
              <w:pStyle w:val="a3"/>
              <w:spacing w:before="0" w:beforeAutospacing="0" w:after="0" w:afterAutospacing="0"/>
              <w:jc w:val="center"/>
              <w:rPr>
                <w:sz w:val="8"/>
                <w:szCs w:val="8"/>
              </w:rPr>
            </w:pPr>
            <w:r>
              <w:rPr>
                <w:sz w:val="8"/>
                <w:szCs w:val="8"/>
              </w:rPr>
              <w:t> </w:t>
            </w:r>
          </w:p>
        </w:tc>
      </w:tr>
      <w:tr w:rsidR="00000000" w14:paraId="7756137A" w14:textId="77777777">
        <w:trPr>
          <w:trHeight w:val="200"/>
          <w:tblCellSpacing w:w="15" w:type="dxa"/>
        </w:trPr>
        <w:tc>
          <w:tcPr>
            <w:tcW w:w="0" w:type="auto"/>
            <w:tcMar>
              <w:top w:w="14" w:type="dxa"/>
              <w:left w:w="15" w:type="dxa"/>
              <w:bottom w:w="15" w:type="dxa"/>
              <w:right w:w="14" w:type="dxa"/>
            </w:tcMar>
            <w:vAlign w:val="bottom"/>
            <w:hideMark/>
          </w:tcPr>
          <w:p w14:paraId="683858F2" w14:textId="77777777" w:rsidR="00000000" w:rsidRDefault="00EF48A2">
            <w:pPr>
              <w:pStyle w:val="a3"/>
              <w:spacing w:before="0" w:beforeAutospacing="0" w:after="0" w:afterAutospacing="0"/>
              <w:jc w:val="center"/>
              <w:rPr>
                <w:sz w:val="20"/>
                <w:szCs w:val="20"/>
              </w:rPr>
            </w:pPr>
            <w:r>
              <w:rPr>
                <w:sz w:val="20"/>
                <w:szCs w:val="20"/>
              </w:rPr>
              <w:t>/s/ Curtis Warfiel</w:t>
            </w:r>
            <w:r>
              <w:rPr>
                <w:sz w:val="20"/>
                <w:szCs w:val="20"/>
              </w:rPr>
              <w:t>d</w:t>
            </w:r>
          </w:p>
        </w:tc>
        <w:tc>
          <w:tcPr>
            <w:tcW w:w="0" w:type="auto"/>
            <w:tcMar>
              <w:top w:w="14" w:type="dxa"/>
              <w:left w:w="15" w:type="dxa"/>
              <w:bottom w:w="15" w:type="dxa"/>
              <w:right w:w="14" w:type="dxa"/>
            </w:tcMar>
            <w:vAlign w:val="bottom"/>
            <w:hideMark/>
          </w:tcPr>
          <w:p w14:paraId="54B93885"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0BA22C7" w14:textId="77777777" w:rsidR="00000000" w:rsidRDefault="00EF48A2">
            <w:pPr>
              <w:pStyle w:val="a3"/>
              <w:spacing w:before="0" w:beforeAutospacing="0" w:after="0" w:afterAutospacing="0"/>
              <w:jc w:val="center"/>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14:paraId="5FD50BAD"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B2DCE75" w14:textId="77777777" w:rsidR="00000000" w:rsidRDefault="00EF48A2">
            <w:pPr>
              <w:pStyle w:val="a3"/>
              <w:spacing w:before="0" w:beforeAutospacing="0" w:after="0" w:afterAutospacing="0"/>
              <w:jc w:val="center"/>
              <w:rPr>
                <w:sz w:val="20"/>
                <w:szCs w:val="20"/>
              </w:rPr>
            </w:pPr>
            <w:r>
              <w:rPr>
                <w:sz w:val="20"/>
                <w:szCs w:val="20"/>
              </w:rPr>
              <w:t> March 10, 202</w:t>
            </w:r>
            <w:r>
              <w:rPr>
                <w:sz w:val="20"/>
                <w:szCs w:val="20"/>
              </w:rPr>
              <w:t>3</w:t>
            </w:r>
          </w:p>
        </w:tc>
      </w:tr>
      <w:tr w:rsidR="00000000" w14:paraId="4B90E3E2" w14:textId="77777777">
        <w:trPr>
          <w:trHeight w:val="160"/>
          <w:tblCellSpacing w:w="15" w:type="dxa"/>
        </w:trPr>
        <w:tc>
          <w:tcPr>
            <w:tcW w:w="0" w:type="auto"/>
            <w:tcMar>
              <w:top w:w="14" w:type="dxa"/>
              <w:left w:w="15" w:type="dxa"/>
              <w:bottom w:w="15" w:type="dxa"/>
              <w:right w:w="14" w:type="dxa"/>
            </w:tcMar>
            <w:vAlign w:val="bottom"/>
            <w:hideMark/>
          </w:tcPr>
          <w:p w14:paraId="3C361945" w14:textId="77777777" w:rsidR="00000000" w:rsidRDefault="00EF48A2">
            <w:pPr>
              <w:pStyle w:val="a3"/>
              <w:spacing w:before="0" w:beforeAutospacing="0" w:after="0" w:afterAutospacing="0"/>
              <w:jc w:val="center"/>
              <w:rPr>
                <w:sz w:val="16"/>
                <w:szCs w:val="16"/>
              </w:rPr>
            </w:pPr>
            <w:r>
              <w:rPr>
                <w:b/>
                <w:bCs/>
                <w:sz w:val="16"/>
                <w:szCs w:val="16"/>
              </w:rPr>
              <w:t>Curtis Warfiel</w:t>
            </w:r>
            <w:r>
              <w:rPr>
                <w:b/>
                <w:bCs/>
                <w:sz w:val="16"/>
                <w:szCs w:val="16"/>
              </w:rPr>
              <w:t>d</w:t>
            </w:r>
          </w:p>
        </w:tc>
        <w:tc>
          <w:tcPr>
            <w:tcW w:w="0" w:type="auto"/>
            <w:tcMar>
              <w:top w:w="14" w:type="dxa"/>
              <w:left w:w="15" w:type="dxa"/>
              <w:bottom w:w="15" w:type="dxa"/>
              <w:right w:w="14" w:type="dxa"/>
            </w:tcMar>
            <w:vAlign w:val="bottom"/>
            <w:hideMark/>
          </w:tcPr>
          <w:p w14:paraId="02743FEA"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40C4B14D" w14:textId="77777777" w:rsidR="00000000" w:rsidRDefault="00EF48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14:paraId="54D2A0C7"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2F6EDFEA"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5A2FBDE5" w14:textId="77777777">
        <w:trPr>
          <w:trHeight w:val="80"/>
          <w:tblCellSpacing w:w="15" w:type="dxa"/>
        </w:trPr>
        <w:tc>
          <w:tcPr>
            <w:tcW w:w="0" w:type="auto"/>
            <w:tcMar>
              <w:top w:w="14" w:type="dxa"/>
              <w:left w:w="15" w:type="dxa"/>
              <w:bottom w:w="15" w:type="dxa"/>
              <w:right w:w="14" w:type="dxa"/>
            </w:tcMar>
            <w:vAlign w:val="bottom"/>
            <w:hideMark/>
          </w:tcPr>
          <w:p w14:paraId="108320B5"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118A7DCC"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0908BDE0"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2F68E7C8"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6690C057" w14:textId="77777777" w:rsidR="00000000" w:rsidRDefault="00EF48A2">
            <w:pPr>
              <w:pStyle w:val="a3"/>
              <w:spacing w:before="0" w:beforeAutospacing="0" w:after="0" w:afterAutospacing="0"/>
              <w:jc w:val="center"/>
              <w:rPr>
                <w:sz w:val="8"/>
                <w:szCs w:val="8"/>
              </w:rPr>
            </w:pPr>
            <w:r>
              <w:rPr>
                <w:sz w:val="8"/>
                <w:szCs w:val="8"/>
              </w:rPr>
              <w:t> </w:t>
            </w:r>
          </w:p>
        </w:tc>
      </w:tr>
      <w:tr w:rsidR="00000000" w14:paraId="2FBBF50D" w14:textId="77777777">
        <w:trPr>
          <w:trHeight w:val="200"/>
          <w:tblCellSpacing w:w="15" w:type="dxa"/>
        </w:trPr>
        <w:tc>
          <w:tcPr>
            <w:tcW w:w="0" w:type="auto"/>
            <w:tcMar>
              <w:top w:w="14" w:type="dxa"/>
              <w:left w:w="15" w:type="dxa"/>
              <w:bottom w:w="15" w:type="dxa"/>
              <w:right w:w="14" w:type="dxa"/>
            </w:tcMar>
            <w:vAlign w:val="bottom"/>
            <w:hideMark/>
          </w:tcPr>
          <w:p w14:paraId="7494D06E" w14:textId="77777777" w:rsidR="00000000" w:rsidRDefault="00EF48A2">
            <w:pPr>
              <w:pStyle w:val="a3"/>
              <w:spacing w:before="0" w:beforeAutospacing="0" w:after="0" w:afterAutospacing="0"/>
              <w:jc w:val="center"/>
              <w:rPr>
                <w:sz w:val="20"/>
                <w:szCs w:val="20"/>
              </w:rPr>
            </w:pPr>
            <w:r>
              <w:rPr>
                <w:sz w:val="20"/>
                <w:szCs w:val="20"/>
              </w:rPr>
              <w:t>/s/ Jacqueline Yeane</w:t>
            </w:r>
            <w:r>
              <w:rPr>
                <w:sz w:val="20"/>
                <w:szCs w:val="20"/>
              </w:rPr>
              <w:t>y</w:t>
            </w:r>
          </w:p>
        </w:tc>
        <w:tc>
          <w:tcPr>
            <w:tcW w:w="0" w:type="auto"/>
            <w:tcMar>
              <w:top w:w="14" w:type="dxa"/>
              <w:left w:w="15" w:type="dxa"/>
              <w:bottom w:w="15" w:type="dxa"/>
              <w:right w:w="14" w:type="dxa"/>
            </w:tcMar>
            <w:vAlign w:val="bottom"/>
            <w:hideMark/>
          </w:tcPr>
          <w:p w14:paraId="0C0D0ECA"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BFD148D" w14:textId="77777777" w:rsidR="00000000" w:rsidRDefault="00EF48A2">
            <w:pPr>
              <w:pStyle w:val="a3"/>
              <w:spacing w:before="0" w:beforeAutospacing="0" w:after="0" w:afterAutospacing="0"/>
              <w:jc w:val="center"/>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14:paraId="670A55C3"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2891374" w14:textId="77777777" w:rsidR="00000000" w:rsidRDefault="00EF48A2">
            <w:pPr>
              <w:pStyle w:val="a3"/>
              <w:spacing w:before="0" w:beforeAutospacing="0" w:after="0" w:afterAutospacing="0"/>
              <w:jc w:val="center"/>
              <w:rPr>
                <w:sz w:val="20"/>
                <w:szCs w:val="20"/>
              </w:rPr>
            </w:pPr>
            <w:r>
              <w:rPr>
                <w:sz w:val="20"/>
                <w:szCs w:val="20"/>
              </w:rPr>
              <w:t> March 10, 202</w:t>
            </w:r>
            <w:r>
              <w:rPr>
                <w:sz w:val="20"/>
                <w:szCs w:val="20"/>
              </w:rPr>
              <w:t>3</w:t>
            </w:r>
          </w:p>
        </w:tc>
      </w:tr>
      <w:tr w:rsidR="00000000" w14:paraId="295B03D1" w14:textId="77777777">
        <w:trPr>
          <w:trHeight w:val="160"/>
          <w:tblCellSpacing w:w="15" w:type="dxa"/>
        </w:trPr>
        <w:tc>
          <w:tcPr>
            <w:tcW w:w="0" w:type="auto"/>
            <w:tcMar>
              <w:top w:w="14" w:type="dxa"/>
              <w:left w:w="15" w:type="dxa"/>
              <w:bottom w:w="15" w:type="dxa"/>
              <w:right w:w="14" w:type="dxa"/>
            </w:tcMar>
            <w:vAlign w:val="bottom"/>
            <w:hideMark/>
          </w:tcPr>
          <w:p w14:paraId="58B4B822" w14:textId="77777777" w:rsidR="00000000" w:rsidRDefault="00EF48A2">
            <w:pPr>
              <w:pStyle w:val="a3"/>
              <w:spacing w:before="0" w:beforeAutospacing="0" w:after="0" w:afterAutospacing="0"/>
              <w:jc w:val="center"/>
              <w:rPr>
                <w:sz w:val="16"/>
                <w:szCs w:val="16"/>
              </w:rPr>
            </w:pPr>
            <w:r>
              <w:rPr>
                <w:b/>
                <w:bCs/>
                <w:sz w:val="16"/>
                <w:szCs w:val="16"/>
              </w:rPr>
              <w:t>Jacqueline Yeane</w:t>
            </w:r>
            <w:r>
              <w:rPr>
                <w:b/>
                <w:bCs/>
                <w:sz w:val="16"/>
                <w:szCs w:val="16"/>
              </w:rPr>
              <w:t>y</w:t>
            </w:r>
          </w:p>
        </w:tc>
        <w:tc>
          <w:tcPr>
            <w:tcW w:w="0" w:type="auto"/>
            <w:tcMar>
              <w:top w:w="14" w:type="dxa"/>
              <w:left w:w="15" w:type="dxa"/>
              <w:bottom w:w="15" w:type="dxa"/>
              <w:right w:w="14" w:type="dxa"/>
            </w:tcMar>
            <w:vAlign w:val="bottom"/>
            <w:hideMark/>
          </w:tcPr>
          <w:p w14:paraId="2808C3F9"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7352F634" w14:textId="77777777" w:rsidR="00000000" w:rsidRDefault="00EF48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14:paraId="50BC256C"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5CF475E0"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0302BB3E" w14:textId="77777777">
        <w:trPr>
          <w:trHeight w:val="80"/>
          <w:tblCellSpacing w:w="15" w:type="dxa"/>
        </w:trPr>
        <w:tc>
          <w:tcPr>
            <w:tcW w:w="0" w:type="auto"/>
            <w:tcMar>
              <w:top w:w="14" w:type="dxa"/>
              <w:left w:w="15" w:type="dxa"/>
              <w:bottom w:w="15" w:type="dxa"/>
              <w:right w:w="14" w:type="dxa"/>
            </w:tcMar>
            <w:vAlign w:val="bottom"/>
            <w:hideMark/>
          </w:tcPr>
          <w:p w14:paraId="23AE42EB"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6F49EA9D"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01BA808D"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6AE249E8"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063A3B54" w14:textId="77777777" w:rsidR="00000000" w:rsidRDefault="00EF48A2">
            <w:pPr>
              <w:pStyle w:val="a3"/>
              <w:spacing w:before="0" w:beforeAutospacing="0" w:after="0" w:afterAutospacing="0"/>
              <w:jc w:val="center"/>
              <w:rPr>
                <w:sz w:val="8"/>
                <w:szCs w:val="8"/>
              </w:rPr>
            </w:pPr>
            <w:r>
              <w:rPr>
                <w:sz w:val="8"/>
                <w:szCs w:val="8"/>
              </w:rPr>
              <w:t> </w:t>
            </w:r>
          </w:p>
        </w:tc>
      </w:tr>
      <w:tr w:rsidR="00000000" w14:paraId="124E2BF0" w14:textId="77777777">
        <w:trPr>
          <w:trHeight w:val="200"/>
          <w:tblCellSpacing w:w="15" w:type="dxa"/>
        </w:trPr>
        <w:tc>
          <w:tcPr>
            <w:tcW w:w="0" w:type="auto"/>
            <w:tcMar>
              <w:top w:w="14" w:type="dxa"/>
              <w:left w:w="15" w:type="dxa"/>
              <w:bottom w:w="15" w:type="dxa"/>
              <w:right w:w="14" w:type="dxa"/>
            </w:tcMar>
            <w:vAlign w:val="bottom"/>
            <w:hideMark/>
          </w:tcPr>
          <w:p w14:paraId="1AD5F611" w14:textId="77777777" w:rsidR="00000000" w:rsidRDefault="00EF48A2">
            <w:pPr>
              <w:pStyle w:val="a3"/>
              <w:spacing w:before="0" w:beforeAutospacing="0" w:after="0" w:afterAutospacing="0"/>
              <w:jc w:val="center"/>
              <w:rPr>
                <w:sz w:val="20"/>
                <w:szCs w:val="20"/>
              </w:rPr>
            </w:pPr>
            <w:r>
              <w:rPr>
                <w:sz w:val="20"/>
                <w:szCs w:val="20"/>
              </w:rPr>
              <w:t>/s/ Michael Hanse</w:t>
            </w:r>
            <w:r>
              <w:rPr>
                <w:sz w:val="20"/>
                <w:szCs w:val="20"/>
              </w:rPr>
              <w:t>n</w:t>
            </w:r>
          </w:p>
        </w:tc>
        <w:tc>
          <w:tcPr>
            <w:tcW w:w="0" w:type="auto"/>
            <w:tcMar>
              <w:top w:w="14" w:type="dxa"/>
              <w:left w:w="15" w:type="dxa"/>
              <w:bottom w:w="15" w:type="dxa"/>
              <w:right w:w="14" w:type="dxa"/>
            </w:tcMar>
            <w:vAlign w:val="bottom"/>
            <w:hideMark/>
          </w:tcPr>
          <w:p w14:paraId="1D4DBB07"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A0CC5A6" w14:textId="77777777" w:rsidR="00000000" w:rsidRDefault="00EF48A2">
            <w:pPr>
              <w:pStyle w:val="a3"/>
              <w:spacing w:before="0" w:beforeAutospacing="0" w:after="0" w:afterAutospacing="0"/>
              <w:jc w:val="center"/>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14:paraId="67073D6E"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BCC93C8" w14:textId="77777777" w:rsidR="00000000" w:rsidRDefault="00EF48A2">
            <w:pPr>
              <w:pStyle w:val="a3"/>
              <w:spacing w:before="0" w:beforeAutospacing="0" w:after="0" w:afterAutospacing="0"/>
              <w:jc w:val="center"/>
              <w:rPr>
                <w:sz w:val="20"/>
                <w:szCs w:val="20"/>
              </w:rPr>
            </w:pPr>
            <w:r>
              <w:rPr>
                <w:sz w:val="20"/>
                <w:szCs w:val="20"/>
              </w:rPr>
              <w:t> March 10, 202</w:t>
            </w:r>
            <w:r>
              <w:rPr>
                <w:sz w:val="20"/>
                <w:szCs w:val="20"/>
              </w:rPr>
              <w:t>3</w:t>
            </w:r>
          </w:p>
        </w:tc>
      </w:tr>
      <w:tr w:rsidR="00000000" w14:paraId="117CF9B2" w14:textId="77777777">
        <w:trPr>
          <w:trHeight w:val="160"/>
          <w:tblCellSpacing w:w="15" w:type="dxa"/>
        </w:trPr>
        <w:tc>
          <w:tcPr>
            <w:tcW w:w="0" w:type="auto"/>
            <w:tcMar>
              <w:top w:w="14" w:type="dxa"/>
              <w:left w:w="15" w:type="dxa"/>
              <w:bottom w:w="15" w:type="dxa"/>
              <w:right w:w="14" w:type="dxa"/>
            </w:tcMar>
            <w:vAlign w:val="bottom"/>
            <w:hideMark/>
          </w:tcPr>
          <w:p w14:paraId="5BF84637" w14:textId="77777777" w:rsidR="00000000" w:rsidRDefault="00EF48A2">
            <w:pPr>
              <w:pStyle w:val="a3"/>
              <w:spacing w:before="0" w:beforeAutospacing="0" w:after="0" w:afterAutospacing="0"/>
              <w:jc w:val="center"/>
              <w:rPr>
                <w:sz w:val="16"/>
                <w:szCs w:val="16"/>
              </w:rPr>
            </w:pPr>
            <w:r>
              <w:rPr>
                <w:b/>
                <w:bCs/>
                <w:sz w:val="16"/>
                <w:szCs w:val="16"/>
              </w:rPr>
              <w:t>Michael Hanse</w:t>
            </w:r>
            <w:r>
              <w:rPr>
                <w:b/>
                <w:bCs/>
                <w:sz w:val="16"/>
                <w:szCs w:val="16"/>
              </w:rPr>
              <w:t>n</w:t>
            </w:r>
          </w:p>
        </w:tc>
        <w:tc>
          <w:tcPr>
            <w:tcW w:w="0" w:type="auto"/>
            <w:tcMar>
              <w:top w:w="14" w:type="dxa"/>
              <w:left w:w="15" w:type="dxa"/>
              <w:bottom w:w="15" w:type="dxa"/>
              <w:right w:w="14" w:type="dxa"/>
            </w:tcMar>
            <w:vAlign w:val="bottom"/>
            <w:hideMark/>
          </w:tcPr>
          <w:p w14:paraId="5EAA9661"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5157DE61" w14:textId="77777777" w:rsidR="00000000" w:rsidRDefault="00EF48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14:paraId="32FB1298"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65052583" w14:textId="77777777" w:rsidR="00000000" w:rsidRDefault="00EF48A2">
            <w:pPr>
              <w:pStyle w:val="a3"/>
              <w:spacing w:before="0" w:beforeAutospacing="0" w:after="0" w:afterAutospacing="0"/>
              <w:jc w:val="center"/>
              <w:rPr>
                <w:sz w:val="16"/>
                <w:szCs w:val="16"/>
              </w:rPr>
            </w:pPr>
            <w:r>
              <w:rPr>
                <w:sz w:val="16"/>
                <w:szCs w:val="16"/>
              </w:rPr>
              <w:t> </w:t>
            </w:r>
          </w:p>
        </w:tc>
      </w:tr>
      <w:tr w:rsidR="00000000" w14:paraId="360F56C3" w14:textId="77777777">
        <w:trPr>
          <w:trHeight w:val="80"/>
          <w:tblCellSpacing w:w="15" w:type="dxa"/>
        </w:trPr>
        <w:tc>
          <w:tcPr>
            <w:tcW w:w="0" w:type="auto"/>
            <w:tcMar>
              <w:top w:w="14" w:type="dxa"/>
              <w:left w:w="15" w:type="dxa"/>
              <w:bottom w:w="15" w:type="dxa"/>
              <w:right w:w="14" w:type="dxa"/>
            </w:tcMar>
            <w:vAlign w:val="bottom"/>
            <w:hideMark/>
          </w:tcPr>
          <w:p w14:paraId="0283D2BF"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16389BE4"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14C13DA5"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546695D1"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7E8E5993" w14:textId="77777777" w:rsidR="00000000" w:rsidRDefault="00EF48A2">
            <w:pPr>
              <w:pStyle w:val="a3"/>
              <w:spacing w:before="0" w:beforeAutospacing="0" w:after="0" w:afterAutospacing="0"/>
              <w:jc w:val="center"/>
              <w:rPr>
                <w:sz w:val="8"/>
                <w:szCs w:val="8"/>
              </w:rPr>
            </w:pPr>
            <w:r>
              <w:rPr>
                <w:sz w:val="8"/>
                <w:szCs w:val="8"/>
              </w:rPr>
              <w:t> </w:t>
            </w:r>
          </w:p>
        </w:tc>
      </w:tr>
      <w:tr w:rsidR="00000000" w14:paraId="572BBA3D" w14:textId="77777777">
        <w:trPr>
          <w:trHeight w:val="200"/>
          <w:tblCellSpacing w:w="15" w:type="dxa"/>
        </w:trPr>
        <w:tc>
          <w:tcPr>
            <w:tcW w:w="0" w:type="auto"/>
            <w:tcMar>
              <w:top w:w="14" w:type="dxa"/>
              <w:left w:w="15" w:type="dxa"/>
              <w:bottom w:w="15" w:type="dxa"/>
              <w:right w:w="14" w:type="dxa"/>
            </w:tcMar>
            <w:vAlign w:val="bottom"/>
            <w:hideMark/>
          </w:tcPr>
          <w:p w14:paraId="05804226" w14:textId="77777777" w:rsidR="00000000" w:rsidRDefault="00EF48A2">
            <w:pPr>
              <w:pStyle w:val="a3"/>
              <w:spacing w:before="0" w:beforeAutospacing="0" w:after="0" w:afterAutospacing="0"/>
              <w:jc w:val="center"/>
              <w:rPr>
                <w:sz w:val="20"/>
                <w:szCs w:val="20"/>
              </w:rPr>
            </w:pPr>
            <w:r>
              <w:rPr>
                <w:sz w:val="20"/>
                <w:szCs w:val="20"/>
              </w:rPr>
              <w:t>/s/ Madhu Pawa</w:t>
            </w:r>
            <w:r>
              <w:rPr>
                <w:sz w:val="20"/>
                <w:szCs w:val="20"/>
              </w:rPr>
              <w:t>r</w:t>
            </w:r>
          </w:p>
        </w:tc>
        <w:tc>
          <w:tcPr>
            <w:tcW w:w="0" w:type="auto"/>
            <w:tcMar>
              <w:top w:w="14" w:type="dxa"/>
              <w:left w:w="15" w:type="dxa"/>
              <w:bottom w:w="15" w:type="dxa"/>
              <w:right w:w="14" w:type="dxa"/>
            </w:tcMar>
            <w:vAlign w:val="bottom"/>
            <w:hideMark/>
          </w:tcPr>
          <w:p w14:paraId="24764DF9"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99A1CB3" w14:textId="77777777" w:rsidR="00000000" w:rsidRDefault="00EF48A2">
            <w:pPr>
              <w:pStyle w:val="a3"/>
              <w:spacing w:before="0" w:beforeAutospacing="0" w:after="0" w:afterAutospacing="0"/>
              <w:jc w:val="center"/>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14:paraId="584BF7A9" w14:textId="77777777" w:rsidR="00000000" w:rsidRDefault="00EF48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568F92A" w14:textId="77777777" w:rsidR="00000000" w:rsidRDefault="00EF48A2">
            <w:pPr>
              <w:pStyle w:val="a3"/>
              <w:spacing w:before="0" w:beforeAutospacing="0" w:after="0" w:afterAutospacing="0"/>
              <w:jc w:val="center"/>
              <w:rPr>
                <w:sz w:val="20"/>
                <w:szCs w:val="20"/>
              </w:rPr>
            </w:pPr>
            <w:r>
              <w:rPr>
                <w:sz w:val="20"/>
                <w:szCs w:val="20"/>
              </w:rPr>
              <w:t> March 10, 202</w:t>
            </w:r>
            <w:r>
              <w:rPr>
                <w:sz w:val="20"/>
                <w:szCs w:val="20"/>
              </w:rPr>
              <w:t>3</w:t>
            </w:r>
          </w:p>
        </w:tc>
      </w:tr>
      <w:tr w:rsidR="00000000" w14:paraId="590C66F3" w14:textId="77777777">
        <w:trPr>
          <w:trHeight w:val="160"/>
          <w:tblCellSpacing w:w="15" w:type="dxa"/>
        </w:trPr>
        <w:tc>
          <w:tcPr>
            <w:tcW w:w="0" w:type="auto"/>
            <w:tcMar>
              <w:top w:w="14" w:type="dxa"/>
              <w:left w:w="15" w:type="dxa"/>
              <w:bottom w:w="15" w:type="dxa"/>
              <w:right w:w="14" w:type="dxa"/>
            </w:tcMar>
            <w:vAlign w:val="bottom"/>
            <w:hideMark/>
          </w:tcPr>
          <w:p w14:paraId="4394AB46" w14:textId="77777777" w:rsidR="00000000" w:rsidRDefault="00EF48A2">
            <w:pPr>
              <w:pStyle w:val="a3"/>
              <w:spacing w:before="0" w:beforeAutospacing="0" w:after="0" w:afterAutospacing="0"/>
              <w:jc w:val="center"/>
              <w:rPr>
                <w:sz w:val="16"/>
                <w:szCs w:val="16"/>
              </w:rPr>
            </w:pPr>
            <w:r>
              <w:rPr>
                <w:b/>
                <w:bCs/>
                <w:sz w:val="16"/>
                <w:szCs w:val="16"/>
              </w:rPr>
              <w:t>Madhu Pawa</w:t>
            </w:r>
            <w:r>
              <w:rPr>
                <w:b/>
                <w:bCs/>
                <w:sz w:val="16"/>
                <w:szCs w:val="16"/>
              </w:rPr>
              <w:t>r</w:t>
            </w:r>
          </w:p>
        </w:tc>
        <w:tc>
          <w:tcPr>
            <w:tcW w:w="0" w:type="auto"/>
            <w:tcMar>
              <w:top w:w="14" w:type="dxa"/>
              <w:left w:w="15" w:type="dxa"/>
              <w:bottom w:w="15" w:type="dxa"/>
              <w:right w:w="14" w:type="dxa"/>
            </w:tcMar>
            <w:vAlign w:val="bottom"/>
            <w:hideMark/>
          </w:tcPr>
          <w:p w14:paraId="397B7299"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4FE82D13" w14:textId="77777777" w:rsidR="00000000" w:rsidRDefault="00EF48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14:paraId="19161569" w14:textId="77777777" w:rsidR="00000000" w:rsidRDefault="00EF48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14:paraId="7F401902" w14:textId="77777777" w:rsidR="00000000" w:rsidRDefault="00EF48A2">
            <w:pPr>
              <w:pStyle w:val="a3"/>
              <w:spacing w:before="0" w:beforeAutospacing="0" w:after="0" w:afterAutospacing="0"/>
              <w:rPr>
                <w:sz w:val="16"/>
                <w:szCs w:val="16"/>
              </w:rPr>
            </w:pPr>
            <w:r>
              <w:rPr>
                <w:sz w:val="16"/>
                <w:szCs w:val="16"/>
              </w:rPr>
              <w:t> </w:t>
            </w:r>
          </w:p>
        </w:tc>
      </w:tr>
      <w:tr w:rsidR="00000000" w14:paraId="2BC1328B" w14:textId="77777777">
        <w:trPr>
          <w:trHeight w:val="80"/>
          <w:tblCellSpacing w:w="15" w:type="dxa"/>
        </w:trPr>
        <w:tc>
          <w:tcPr>
            <w:tcW w:w="0" w:type="auto"/>
            <w:tcMar>
              <w:top w:w="14" w:type="dxa"/>
              <w:left w:w="15" w:type="dxa"/>
              <w:bottom w:w="15" w:type="dxa"/>
              <w:right w:w="14" w:type="dxa"/>
            </w:tcMar>
            <w:vAlign w:val="bottom"/>
            <w:hideMark/>
          </w:tcPr>
          <w:p w14:paraId="4BD6509E" w14:textId="77777777" w:rsidR="00000000" w:rsidRDefault="00EF48A2">
            <w:pPr>
              <w:pStyle w:val="a3"/>
              <w:spacing w:before="0" w:beforeAutospacing="0" w:after="0" w:afterAutospacing="0"/>
              <w:jc w:val="center"/>
              <w:rPr>
                <w:sz w:val="8"/>
                <w:szCs w:val="8"/>
              </w:rPr>
            </w:pPr>
            <w:r>
              <w:rPr>
                <w:b/>
                <w:bCs/>
                <w:sz w:val="8"/>
                <w:szCs w:val="8"/>
              </w:rPr>
              <w:t> </w:t>
            </w:r>
          </w:p>
        </w:tc>
        <w:tc>
          <w:tcPr>
            <w:tcW w:w="0" w:type="auto"/>
            <w:tcMar>
              <w:top w:w="14" w:type="dxa"/>
              <w:left w:w="15" w:type="dxa"/>
              <w:bottom w:w="15" w:type="dxa"/>
              <w:right w:w="14" w:type="dxa"/>
            </w:tcMar>
            <w:vAlign w:val="bottom"/>
            <w:hideMark/>
          </w:tcPr>
          <w:p w14:paraId="77DF9D27"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589CE69D" w14:textId="77777777" w:rsidR="00000000" w:rsidRDefault="00EF48A2">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14:paraId="16480235" w14:textId="77777777" w:rsidR="00000000" w:rsidRDefault="00EF48A2">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14:paraId="638977AE" w14:textId="77777777" w:rsidR="00000000" w:rsidRDefault="00EF48A2">
            <w:pPr>
              <w:pStyle w:val="a3"/>
              <w:spacing w:before="0" w:beforeAutospacing="0" w:after="0" w:afterAutospacing="0"/>
              <w:rPr>
                <w:sz w:val="8"/>
                <w:szCs w:val="8"/>
              </w:rPr>
            </w:pPr>
            <w:r>
              <w:rPr>
                <w:sz w:val="8"/>
                <w:szCs w:val="8"/>
              </w:rPr>
              <w:t> </w:t>
            </w:r>
          </w:p>
        </w:tc>
      </w:tr>
    </w:tbl>
    <w:p w14:paraId="2DBCBA4A" w14:textId="77777777" w:rsidR="00000000" w:rsidRDefault="00EF48A2">
      <w:pPr>
        <w:pStyle w:val="a3"/>
        <w:spacing w:before="0" w:beforeAutospacing="0" w:after="0" w:afterAutospacing="0"/>
        <w:rPr>
          <w:sz w:val="20"/>
          <w:szCs w:val="20"/>
        </w:rPr>
      </w:pPr>
      <w:r>
        <w:rPr>
          <w:sz w:val="12"/>
          <w:szCs w:val="12"/>
        </w:rPr>
        <w:t> </w:t>
      </w:r>
    </w:p>
    <w:p w14:paraId="3C4380C6" w14:textId="77777777" w:rsidR="00000000" w:rsidRDefault="00EF48A2">
      <w:pPr>
        <w:pStyle w:val="a3"/>
        <w:spacing w:before="0" w:beforeAutospacing="0" w:after="0" w:afterAutospacing="0"/>
        <w:rPr>
          <w:sz w:val="20"/>
          <w:szCs w:val="20"/>
        </w:rPr>
      </w:pPr>
      <w:r>
        <w:rPr>
          <w:sz w:val="20"/>
          <w:szCs w:val="20"/>
        </w:rPr>
        <w:t> </w:t>
      </w:r>
    </w:p>
    <w:p w14:paraId="04B0083F" w14:textId="77777777" w:rsidR="00000000" w:rsidRDefault="00EF48A2">
      <w:pPr>
        <w:pStyle w:val="a3"/>
        <w:spacing w:before="0" w:beforeAutospacing="0" w:after="0" w:afterAutospacing="0"/>
        <w:jc w:val="center"/>
        <w:rPr>
          <w:sz w:val="20"/>
          <w:szCs w:val="20"/>
        </w:rPr>
      </w:pPr>
      <w:r>
        <w:rPr>
          <w:sz w:val="20"/>
          <w:szCs w:val="20"/>
        </w:rPr>
        <w:t>8</w:t>
      </w:r>
      <w:r>
        <w:rPr>
          <w:sz w:val="20"/>
          <w:szCs w:val="20"/>
        </w:rPr>
        <w:t>6</w:t>
      </w:r>
    </w:p>
    <w:p w14:paraId="703903F8" w14:textId="77777777" w:rsidR="00EF48A2" w:rsidRDefault="00EF48A2">
      <w:pPr>
        <w:rPr>
          <w:rFonts w:eastAsia="Times New Roman"/>
        </w:rPr>
      </w:pPr>
      <w:r>
        <w:rPr>
          <w:rFonts w:eastAsia="Times New Roman"/>
        </w:rPr>
        <w:pict w14:anchorId="6155CE10">
          <v:rect id="_x0000_i1113" style="width:0;height:1.5pt" o:hralign="center" o:hrstd="t" o:hr="t" fillcolor="#a0a0a0" stroked="f"/>
        </w:pict>
      </w:r>
    </w:p>
    <w:sectPr w:rsidR="00EF48A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48A2"/>
    <w:rsid w:val="00EF48A2"/>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xbrl.sec.gov/country/2022"/>
  <w:attachedSchema w:val="http://www.talkspace.com/20221231"/>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B997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97">
      <w:marLeft w:val="4"/>
      <w:marRight w:val="0"/>
      <w:marTop w:val="60"/>
      <w:marBottom w:val="0"/>
      <w:divBdr>
        <w:top w:val="none" w:sz="0" w:space="0" w:color="auto"/>
        <w:left w:val="none" w:sz="0" w:space="0" w:color="auto"/>
        <w:bottom w:val="none" w:sz="0" w:space="0" w:color="auto"/>
        <w:right w:val="none" w:sz="0" w:space="0" w:color="auto"/>
      </w:divBdr>
      <w:divsChild>
        <w:div w:id="751125739">
          <w:marLeft w:val="0"/>
          <w:marRight w:val="0"/>
          <w:marTop w:val="0"/>
          <w:marBottom w:val="0"/>
          <w:divBdr>
            <w:top w:val="none" w:sz="0" w:space="0" w:color="auto"/>
            <w:left w:val="none" w:sz="0" w:space="0" w:color="auto"/>
            <w:bottom w:val="none" w:sz="0" w:space="0" w:color="auto"/>
            <w:right w:val="none" w:sz="0" w:space="0" w:color="auto"/>
          </w:divBdr>
        </w:div>
      </w:divsChild>
    </w:div>
    <w:div w:id="21513271">
      <w:marLeft w:val="3"/>
      <w:marRight w:val="0"/>
      <w:marTop w:val="120"/>
      <w:marBottom w:val="0"/>
      <w:divBdr>
        <w:top w:val="none" w:sz="0" w:space="0" w:color="auto"/>
        <w:left w:val="none" w:sz="0" w:space="0" w:color="auto"/>
        <w:bottom w:val="none" w:sz="0" w:space="0" w:color="auto"/>
        <w:right w:val="none" w:sz="0" w:space="0" w:color="auto"/>
      </w:divBdr>
      <w:divsChild>
        <w:div w:id="495003527">
          <w:marLeft w:val="0"/>
          <w:marRight w:val="0"/>
          <w:marTop w:val="0"/>
          <w:marBottom w:val="0"/>
          <w:divBdr>
            <w:top w:val="none" w:sz="0" w:space="0" w:color="auto"/>
            <w:left w:val="none" w:sz="0" w:space="0" w:color="auto"/>
            <w:bottom w:val="none" w:sz="0" w:space="0" w:color="auto"/>
            <w:right w:val="none" w:sz="0" w:space="0" w:color="auto"/>
          </w:divBdr>
        </w:div>
      </w:divsChild>
    </w:div>
    <w:div w:id="53893565">
      <w:marLeft w:val="4"/>
      <w:marRight w:val="0"/>
      <w:marTop w:val="120"/>
      <w:marBottom w:val="0"/>
      <w:divBdr>
        <w:top w:val="none" w:sz="0" w:space="0" w:color="auto"/>
        <w:left w:val="none" w:sz="0" w:space="0" w:color="auto"/>
        <w:bottom w:val="none" w:sz="0" w:space="0" w:color="auto"/>
        <w:right w:val="none" w:sz="0" w:space="0" w:color="auto"/>
      </w:divBdr>
      <w:divsChild>
        <w:div w:id="1873684406">
          <w:marLeft w:val="0"/>
          <w:marRight w:val="0"/>
          <w:marTop w:val="0"/>
          <w:marBottom w:val="0"/>
          <w:divBdr>
            <w:top w:val="none" w:sz="0" w:space="0" w:color="auto"/>
            <w:left w:val="none" w:sz="0" w:space="0" w:color="auto"/>
            <w:bottom w:val="none" w:sz="0" w:space="0" w:color="auto"/>
            <w:right w:val="none" w:sz="0" w:space="0" w:color="auto"/>
          </w:divBdr>
        </w:div>
      </w:divsChild>
    </w:div>
    <w:div w:id="57749235">
      <w:marLeft w:val="0"/>
      <w:marRight w:val="0"/>
      <w:marTop w:val="40"/>
      <w:marBottom w:val="0"/>
      <w:divBdr>
        <w:top w:val="none" w:sz="0" w:space="0" w:color="auto"/>
        <w:left w:val="none" w:sz="0" w:space="0" w:color="auto"/>
        <w:bottom w:val="none" w:sz="0" w:space="0" w:color="auto"/>
        <w:right w:val="none" w:sz="0" w:space="0" w:color="auto"/>
      </w:divBdr>
      <w:divsChild>
        <w:div w:id="734743254">
          <w:marLeft w:val="0"/>
          <w:marRight w:val="0"/>
          <w:marTop w:val="0"/>
          <w:marBottom w:val="0"/>
          <w:divBdr>
            <w:top w:val="none" w:sz="0" w:space="0" w:color="auto"/>
            <w:left w:val="none" w:sz="0" w:space="0" w:color="auto"/>
            <w:bottom w:val="none" w:sz="0" w:space="0" w:color="auto"/>
            <w:right w:val="none" w:sz="0" w:space="0" w:color="auto"/>
          </w:divBdr>
        </w:div>
      </w:divsChild>
    </w:div>
    <w:div w:id="86318602">
      <w:marLeft w:val="4"/>
      <w:marRight w:val="0"/>
      <w:marTop w:val="60"/>
      <w:marBottom w:val="0"/>
      <w:divBdr>
        <w:top w:val="none" w:sz="0" w:space="0" w:color="auto"/>
        <w:left w:val="none" w:sz="0" w:space="0" w:color="auto"/>
        <w:bottom w:val="none" w:sz="0" w:space="0" w:color="auto"/>
        <w:right w:val="none" w:sz="0" w:space="0" w:color="auto"/>
      </w:divBdr>
      <w:divsChild>
        <w:div w:id="28536176">
          <w:marLeft w:val="0"/>
          <w:marRight w:val="0"/>
          <w:marTop w:val="0"/>
          <w:marBottom w:val="0"/>
          <w:divBdr>
            <w:top w:val="none" w:sz="0" w:space="0" w:color="auto"/>
            <w:left w:val="none" w:sz="0" w:space="0" w:color="auto"/>
            <w:bottom w:val="none" w:sz="0" w:space="0" w:color="auto"/>
            <w:right w:val="none" w:sz="0" w:space="0" w:color="auto"/>
          </w:divBdr>
        </w:div>
      </w:divsChild>
    </w:div>
    <w:div w:id="91052021">
      <w:marLeft w:val="9"/>
      <w:marRight w:val="0"/>
      <w:marTop w:val="120"/>
      <w:marBottom w:val="0"/>
      <w:divBdr>
        <w:top w:val="none" w:sz="0" w:space="0" w:color="auto"/>
        <w:left w:val="none" w:sz="0" w:space="0" w:color="auto"/>
        <w:bottom w:val="none" w:sz="0" w:space="0" w:color="auto"/>
        <w:right w:val="none" w:sz="0" w:space="0" w:color="auto"/>
      </w:divBdr>
      <w:divsChild>
        <w:div w:id="629478051">
          <w:marLeft w:val="0"/>
          <w:marRight w:val="0"/>
          <w:marTop w:val="0"/>
          <w:marBottom w:val="0"/>
          <w:divBdr>
            <w:top w:val="none" w:sz="0" w:space="0" w:color="auto"/>
            <w:left w:val="none" w:sz="0" w:space="0" w:color="auto"/>
            <w:bottom w:val="none" w:sz="0" w:space="0" w:color="auto"/>
            <w:right w:val="none" w:sz="0" w:space="0" w:color="auto"/>
          </w:divBdr>
        </w:div>
      </w:divsChild>
    </w:div>
    <w:div w:id="148598069">
      <w:marLeft w:val="3"/>
      <w:marRight w:val="0"/>
      <w:marTop w:val="120"/>
      <w:marBottom w:val="0"/>
      <w:divBdr>
        <w:top w:val="none" w:sz="0" w:space="0" w:color="auto"/>
        <w:left w:val="none" w:sz="0" w:space="0" w:color="auto"/>
        <w:bottom w:val="none" w:sz="0" w:space="0" w:color="auto"/>
        <w:right w:val="none" w:sz="0" w:space="0" w:color="auto"/>
      </w:divBdr>
      <w:divsChild>
        <w:div w:id="868294782">
          <w:marLeft w:val="0"/>
          <w:marRight w:val="0"/>
          <w:marTop w:val="0"/>
          <w:marBottom w:val="0"/>
          <w:divBdr>
            <w:top w:val="none" w:sz="0" w:space="0" w:color="auto"/>
            <w:left w:val="none" w:sz="0" w:space="0" w:color="auto"/>
            <w:bottom w:val="none" w:sz="0" w:space="0" w:color="auto"/>
            <w:right w:val="none" w:sz="0" w:space="0" w:color="auto"/>
          </w:divBdr>
        </w:div>
      </w:divsChild>
    </w:div>
    <w:div w:id="166603006">
      <w:marLeft w:val="4"/>
      <w:marRight w:val="0"/>
      <w:marTop w:val="60"/>
      <w:marBottom w:val="0"/>
      <w:divBdr>
        <w:top w:val="none" w:sz="0" w:space="0" w:color="auto"/>
        <w:left w:val="none" w:sz="0" w:space="0" w:color="auto"/>
        <w:bottom w:val="none" w:sz="0" w:space="0" w:color="auto"/>
        <w:right w:val="none" w:sz="0" w:space="0" w:color="auto"/>
      </w:divBdr>
      <w:divsChild>
        <w:div w:id="910046649">
          <w:marLeft w:val="0"/>
          <w:marRight w:val="0"/>
          <w:marTop w:val="0"/>
          <w:marBottom w:val="0"/>
          <w:divBdr>
            <w:top w:val="none" w:sz="0" w:space="0" w:color="auto"/>
            <w:left w:val="none" w:sz="0" w:space="0" w:color="auto"/>
            <w:bottom w:val="none" w:sz="0" w:space="0" w:color="auto"/>
            <w:right w:val="none" w:sz="0" w:space="0" w:color="auto"/>
          </w:divBdr>
        </w:div>
      </w:divsChild>
    </w:div>
    <w:div w:id="181358226">
      <w:marLeft w:val="4"/>
      <w:marRight w:val="0"/>
      <w:marTop w:val="240"/>
      <w:marBottom w:val="0"/>
      <w:divBdr>
        <w:top w:val="none" w:sz="0" w:space="0" w:color="auto"/>
        <w:left w:val="none" w:sz="0" w:space="0" w:color="auto"/>
        <w:bottom w:val="none" w:sz="0" w:space="0" w:color="auto"/>
        <w:right w:val="none" w:sz="0" w:space="0" w:color="auto"/>
      </w:divBdr>
      <w:divsChild>
        <w:div w:id="55932583">
          <w:marLeft w:val="0"/>
          <w:marRight w:val="0"/>
          <w:marTop w:val="0"/>
          <w:marBottom w:val="0"/>
          <w:divBdr>
            <w:top w:val="none" w:sz="0" w:space="0" w:color="auto"/>
            <w:left w:val="none" w:sz="0" w:space="0" w:color="auto"/>
            <w:bottom w:val="none" w:sz="0" w:space="0" w:color="auto"/>
            <w:right w:val="none" w:sz="0" w:space="0" w:color="auto"/>
          </w:divBdr>
        </w:div>
      </w:divsChild>
    </w:div>
    <w:div w:id="186530694">
      <w:marLeft w:val="3"/>
      <w:marRight w:val="0"/>
      <w:marTop w:val="120"/>
      <w:marBottom w:val="0"/>
      <w:divBdr>
        <w:top w:val="none" w:sz="0" w:space="0" w:color="auto"/>
        <w:left w:val="none" w:sz="0" w:space="0" w:color="auto"/>
        <w:bottom w:val="none" w:sz="0" w:space="0" w:color="auto"/>
        <w:right w:val="none" w:sz="0" w:space="0" w:color="auto"/>
      </w:divBdr>
      <w:divsChild>
        <w:div w:id="525101724">
          <w:marLeft w:val="0"/>
          <w:marRight w:val="0"/>
          <w:marTop w:val="0"/>
          <w:marBottom w:val="0"/>
          <w:divBdr>
            <w:top w:val="none" w:sz="0" w:space="0" w:color="auto"/>
            <w:left w:val="none" w:sz="0" w:space="0" w:color="auto"/>
            <w:bottom w:val="none" w:sz="0" w:space="0" w:color="auto"/>
            <w:right w:val="none" w:sz="0" w:space="0" w:color="auto"/>
          </w:divBdr>
        </w:div>
      </w:divsChild>
    </w:div>
    <w:div w:id="222254258">
      <w:marLeft w:val="4"/>
      <w:marRight w:val="0"/>
      <w:marTop w:val="60"/>
      <w:marBottom w:val="0"/>
      <w:divBdr>
        <w:top w:val="none" w:sz="0" w:space="0" w:color="auto"/>
        <w:left w:val="none" w:sz="0" w:space="0" w:color="auto"/>
        <w:bottom w:val="none" w:sz="0" w:space="0" w:color="auto"/>
        <w:right w:val="none" w:sz="0" w:space="0" w:color="auto"/>
      </w:divBdr>
      <w:divsChild>
        <w:div w:id="704644667">
          <w:marLeft w:val="0"/>
          <w:marRight w:val="0"/>
          <w:marTop w:val="0"/>
          <w:marBottom w:val="0"/>
          <w:divBdr>
            <w:top w:val="none" w:sz="0" w:space="0" w:color="auto"/>
            <w:left w:val="none" w:sz="0" w:space="0" w:color="auto"/>
            <w:bottom w:val="none" w:sz="0" w:space="0" w:color="auto"/>
            <w:right w:val="none" w:sz="0" w:space="0" w:color="auto"/>
          </w:divBdr>
        </w:div>
      </w:divsChild>
    </w:div>
    <w:div w:id="225771596">
      <w:marLeft w:val="4"/>
      <w:marRight w:val="0"/>
      <w:marTop w:val="60"/>
      <w:marBottom w:val="0"/>
      <w:divBdr>
        <w:top w:val="none" w:sz="0" w:space="0" w:color="auto"/>
        <w:left w:val="none" w:sz="0" w:space="0" w:color="auto"/>
        <w:bottom w:val="none" w:sz="0" w:space="0" w:color="auto"/>
        <w:right w:val="none" w:sz="0" w:space="0" w:color="auto"/>
      </w:divBdr>
      <w:divsChild>
        <w:div w:id="1387492877">
          <w:marLeft w:val="0"/>
          <w:marRight w:val="0"/>
          <w:marTop w:val="0"/>
          <w:marBottom w:val="0"/>
          <w:divBdr>
            <w:top w:val="none" w:sz="0" w:space="0" w:color="auto"/>
            <w:left w:val="none" w:sz="0" w:space="0" w:color="auto"/>
            <w:bottom w:val="none" w:sz="0" w:space="0" w:color="auto"/>
            <w:right w:val="none" w:sz="0" w:space="0" w:color="auto"/>
          </w:divBdr>
        </w:div>
      </w:divsChild>
    </w:div>
    <w:div w:id="226110566">
      <w:marLeft w:val="3"/>
      <w:marRight w:val="0"/>
      <w:marTop w:val="120"/>
      <w:marBottom w:val="0"/>
      <w:divBdr>
        <w:top w:val="none" w:sz="0" w:space="0" w:color="auto"/>
        <w:left w:val="none" w:sz="0" w:space="0" w:color="auto"/>
        <w:bottom w:val="none" w:sz="0" w:space="0" w:color="auto"/>
        <w:right w:val="none" w:sz="0" w:space="0" w:color="auto"/>
      </w:divBdr>
      <w:divsChild>
        <w:div w:id="1965228810">
          <w:marLeft w:val="0"/>
          <w:marRight w:val="0"/>
          <w:marTop w:val="0"/>
          <w:marBottom w:val="0"/>
          <w:divBdr>
            <w:top w:val="none" w:sz="0" w:space="0" w:color="auto"/>
            <w:left w:val="none" w:sz="0" w:space="0" w:color="auto"/>
            <w:bottom w:val="none" w:sz="0" w:space="0" w:color="auto"/>
            <w:right w:val="none" w:sz="0" w:space="0" w:color="auto"/>
          </w:divBdr>
        </w:div>
      </w:divsChild>
    </w:div>
    <w:div w:id="249774425">
      <w:marLeft w:val="3"/>
      <w:marRight w:val="0"/>
      <w:marTop w:val="120"/>
      <w:marBottom w:val="0"/>
      <w:divBdr>
        <w:top w:val="none" w:sz="0" w:space="0" w:color="auto"/>
        <w:left w:val="none" w:sz="0" w:space="0" w:color="auto"/>
        <w:bottom w:val="none" w:sz="0" w:space="0" w:color="auto"/>
        <w:right w:val="none" w:sz="0" w:space="0" w:color="auto"/>
      </w:divBdr>
      <w:divsChild>
        <w:div w:id="443967716">
          <w:marLeft w:val="0"/>
          <w:marRight w:val="0"/>
          <w:marTop w:val="0"/>
          <w:marBottom w:val="0"/>
          <w:divBdr>
            <w:top w:val="none" w:sz="0" w:space="0" w:color="auto"/>
            <w:left w:val="none" w:sz="0" w:space="0" w:color="auto"/>
            <w:bottom w:val="none" w:sz="0" w:space="0" w:color="auto"/>
            <w:right w:val="none" w:sz="0" w:space="0" w:color="auto"/>
          </w:divBdr>
        </w:div>
      </w:divsChild>
    </w:div>
    <w:div w:id="305552592">
      <w:marLeft w:val="0"/>
      <w:marRight w:val="0"/>
      <w:marTop w:val="0"/>
      <w:marBottom w:val="0"/>
      <w:divBdr>
        <w:top w:val="none" w:sz="0" w:space="0" w:color="auto"/>
        <w:left w:val="none" w:sz="0" w:space="0" w:color="auto"/>
        <w:bottom w:val="none" w:sz="0" w:space="0" w:color="auto"/>
        <w:right w:val="none" w:sz="0" w:space="0" w:color="auto"/>
      </w:divBdr>
    </w:div>
    <w:div w:id="311563346">
      <w:marLeft w:val="3"/>
      <w:marRight w:val="0"/>
      <w:marTop w:val="120"/>
      <w:marBottom w:val="0"/>
      <w:divBdr>
        <w:top w:val="none" w:sz="0" w:space="0" w:color="auto"/>
        <w:left w:val="none" w:sz="0" w:space="0" w:color="auto"/>
        <w:bottom w:val="none" w:sz="0" w:space="0" w:color="auto"/>
        <w:right w:val="none" w:sz="0" w:space="0" w:color="auto"/>
      </w:divBdr>
      <w:divsChild>
        <w:div w:id="316960643">
          <w:marLeft w:val="0"/>
          <w:marRight w:val="0"/>
          <w:marTop w:val="0"/>
          <w:marBottom w:val="0"/>
          <w:divBdr>
            <w:top w:val="none" w:sz="0" w:space="0" w:color="auto"/>
            <w:left w:val="none" w:sz="0" w:space="0" w:color="auto"/>
            <w:bottom w:val="none" w:sz="0" w:space="0" w:color="auto"/>
            <w:right w:val="none" w:sz="0" w:space="0" w:color="auto"/>
          </w:divBdr>
        </w:div>
      </w:divsChild>
    </w:div>
    <w:div w:id="315644740">
      <w:marLeft w:val="0"/>
      <w:marRight w:val="0"/>
      <w:marTop w:val="0"/>
      <w:marBottom w:val="0"/>
      <w:divBdr>
        <w:top w:val="none" w:sz="0" w:space="0" w:color="auto"/>
        <w:left w:val="none" w:sz="0" w:space="0" w:color="auto"/>
        <w:bottom w:val="none" w:sz="0" w:space="0" w:color="auto"/>
        <w:right w:val="none" w:sz="0" w:space="0" w:color="auto"/>
      </w:divBdr>
      <w:divsChild>
        <w:div w:id="947086470">
          <w:marLeft w:val="0"/>
          <w:marRight w:val="0"/>
          <w:marTop w:val="0"/>
          <w:marBottom w:val="0"/>
          <w:divBdr>
            <w:top w:val="none" w:sz="0" w:space="0" w:color="auto"/>
            <w:left w:val="none" w:sz="0" w:space="0" w:color="auto"/>
            <w:bottom w:val="none" w:sz="0" w:space="0" w:color="auto"/>
            <w:right w:val="none" w:sz="0" w:space="0" w:color="auto"/>
          </w:divBdr>
        </w:div>
      </w:divsChild>
    </w:div>
    <w:div w:id="367069920">
      <w:marLeft w:val="3"/>
      <w:marRight w:val="0"/>
      <w:marTop w:val="120"/>
      <w:marBottom w:val="0"/>
      <w:divBdr>
        <w:top w:val="none" w:sz="0" w:space="0" w:color="auto"/>
        <w:left w:val="none" w:sz="0" w:space="0" w:color="auto"/>
        <w:bottom w:val="none" w:sz="0" w:space="0" w:color="auto"/>
        <w:right w:val="none" w:sz="0" w:space="0" w:color="auto"/>
      </w:divBdr>
      <w:divsChild>
        <w:div w:id="456725282">
          <w:marLeft w:val="0"/>
          <w:marRight w:val="0"/>
          <w:marTop w:val="0"/>
          <w:marBottom w:val="0"/>
          <w:divBdr>
            <w:top w:val="none" w:sz="0" w:space="0" w:color="auto"/>
            <w:left w:val="none" w:sz="0" w:space="0" w:color="auto"/>
            <w:bottom w:val="none" w:sz="0" w:space="0" w:color="auto"/>
            <w:right w:val="none" w:sz="0" w:space="0" w:color="auto"/>
          </w:divBdr>
        </w:div>
      </w:divsChild>
    </w:div>
    <w:div w:id="396321753">
      <w:marLeft w:val="3"/>
      <w:marRight w:val="0"/>
      <w:marTop w:val="120"/>
      <w:marBottom w:val="0"/>
      <w:divBdr>
        <w:top w:val="none" w:sz="0" w:space="0" w:color="auto"/>
        <w:left w:val="none" w:sz="0" w:space="0" w:color="auto"/>
        <w:bottom w:val="none" w:sz="0" w:space="0" w:color="auto"/>
        <w:right w:val="none" w:sz="0" w:space="0" w:color="auto"/>
      </w:divBdr>
      <w:divsChild>
        <w:div w:id="1011252804">
          <w:marLeft w:val="0"/>
          <w:marRight w:val="0"/>
          <w:marTop w:val="0"/>
          <w:marBottom w:val="0"/>
          <w:divBdr>
            <w:top w:val="none" w:sz="0" w:space="0" w:color="auto"/>
            <w:left w:val="none" w:sz="0" w:space="0" w:color="auto"/>
            <w:bottom w:val="none" w:sz="0" w:space="0" w:color="auto"/>
            <w:right w:val="none" w:sz="0" w:space="0" w:color="auto"/>
          </w:divBdr>
        </w:div>
      </w:divsChild>
    </w:div>
    <w:div w:id="397901753">
      <w:marLeft w:val="0"/>
      <w:marRight w:val="0"/>
      <w:marTop w:val="0"/>
      <w:marBottom w:val="0"/>
      <w:divBdr>
        <w:top w:val="none" w:sz="0" w:space="0" w:color="auto"/>
        <w:left w:val="none" w:sz="0" w:space="0" w:color="auto"/>
        <w:bottom w:val="none" w:sz="0" w:space="0" w:color="auto"/>
        <w:right w:val="none" w:sz="0" w:space="0" w:color="auto"/>
      </w:divBdr>
    </w:div>
    <w:div w:id="406146908">
      <w:marLeft w:val="0"/>
      <w:marRight w:val="0"/>
      <w:marTop w:val="0"/>
      <w:marBottom w:val="0"/>
      <w:divBdr>
        <w:top w:val="none" w:sz="0" w:space="0" w:color="auto"/>
        <w:left w:val="none" w:sz="0" w:space="0" w:color="auto"/>
        <w:bottom w:val="none" w:sz="0" w:space="0" w:color="auto"/>
        <w:right w:val="none" w:sz="0" w:space="0" w:color="auto"/>
      </w:divBdr>
      <w:divsChild>
        <w:div w:id="757483619">
          <w:marLeft w:val="0"/>
          <w:marRight w:val="0"/>
          <w:marTop w:val="0"/>
          <w:marBottom w:val="0"/>
          <w:divBdr>
            <w:top w:val="none" w:sz="0" w:space="0" w:color="auto"/>
            <w:left w:val="none" w:sz="0" w:space="0" w:color="auto"/>
            <w:bottom w:val="none" w:sz="0" w:space="0" w:color="auto"/>
            <w:right w:val="none" w:sz="0" w:space="0" w:color="auto"/>
          </w:divBdr>
        </w:div>
      </w:divsChild>
    </w:div>
    <w:div w:id="415978143">
      <w:marLeft w:val="0"/>
      <w:marRight w:val="0"/>
      <w:marTop w:val="0"/>
      <w:marBottom w:val="0"/>
      <w:divBdr>
        <w:top w:val="none" w:sz="0" w:space="0" w:color="auto"/>
        <w:left w:val="none" w:sz="0" w:space="0" w:color="auto"/>
        <w:bottom w:val="none" w:sz="0" w:space="0" w:color="auto"/>
        <w:right w:val="none" w:sz="0" w:space="0" w:color="auto"/>
      </w:divBdr>
      <w:divsChild>
        <w:div w:id="1290358069">
          <w:marLeft w:val="0"/>
          <w:marRight w:val="0"/>
          <w:marTop w:val="0"/>
          <w:marBottom w:val="0"/>
          <w:divBdr>
            <w:top w:val="none" w:sz="0" w:space="0" w:color="auto"/>
            <w:left w:val="none" w:sz="0" w:space="0" w:color="auto"/>
            <w:bottom w:val="none" w:sz="0" w:space="0" w:color="auto"/>
            <w:right w:val="none" w:sz="0" w:space="0" w:color="auto"/>
          </w:divBdr>
        </w:div>
        <w:div w:id="62606735">
          <w:marLeft w:val="0"/>
          <w:marRight w:val="0"/>
          <w:marTop w:val="0"/>
          <w:marBottom w:val="0"/>
          <w:divBdr>
            <w:top w:val="none" w:sz="0" w:space="0" w:color="auto"/>
            <w:left w:val="none" w:sz="0" w:space="0" w:color="auto"/>
            <w:bottom w:val="none" w:sz="0" w:space="0" w:color="auto"/>
            <w:right w:val="none" w:sz="0" w:space="0" w:color="auto"/>
          </w:divBdr>
        </w:div>
        <w:div w:id="2007588631">
          <w:marLeft w:val="0"/>
          <w:marRight w:val="0"/>
          <w:marTop w:val="0"/>
          <w:marBottom w:val="0"/>
          <w:divBdr>
            <w:top w:val="none" w:sz="0" w:space="0" w:color="auto"/>
            <w:left w:val="none" w:sz="0" w:space="0" w:color="auto"/>
            <w:bottom w:val="none" w:sz="0" w:space="0" w:color="auto"/>
            <w:right w:val="none" w:sz="0" w:space="0" w:color="auto"/>
          </w:divBdr>
        </w:div>
      </w:divsChild>
    </w:div>
    <w:div w:id="417754425">
      <w:marLeft w:val="3"/>
      <w:marRight w:val="0"/>
      <w:marTop w:val="120"/>
      <w:marBottom w:val="0"/>
      <w:divBdr>
        <w:top w:val="none" w:sz="0" w:space="0" w:color="auto"/>
        <w:left w:val="none" w:sz="0" w:space="0" w:color="auto"/>
        <w:bottom w:val="none" w:sz="0" w:space="0" w:color="auto"/>
        <w:right w:val="none" w:sz="0" w:space="0" w:color="auto"/>
      </w:divBdr>
      <w:divsChild>
        <w:div w:id="1260064386">
          <w:marLeft w:val="0"/>
          <w:marRight w:val="0"/>
          <w:marTop w:val="0"/>
          <w:marBottom w:val="0"/>
          <w:divBdr>
            <w:top w:val="none" w:sz="0" w:space="0" w:color="auto"/>
            <w:left w:val="none" w:sz="0" w:space="0" w:color="auto"/>
            <w:bottom w:val="none" w:sz="0" w:space="0" w:color="auto"/>
            <w:right w:val="none" w:sz="0" w:space="0" w:color="auto"/>
          </w:divBdr>
        </w:div>
      </w:divsChild>
    </w:div>
    <w:div w:id="421949153">
      <w:marLeft w:val="4"/>
      <w:marRight w:val="0"/>
      <w:marTop w:val="120"/>
      <w:marBottom w:val="0"/>
      <w:divBdr>
        <w:top w:val="none" w:sz="0" w:space="0" w:color="auto"/>
        <w:left w:val="none" w:sz="0" w:space="0" w:color="auto"/>
        <w:bottom w:val="none" w:sz="0" w:space="0" w:color="auto"/>
        <w:right w:val="none" w:sz="0" w:space="0" w:color="auto"/>
      </w:divBdr>
      <w:divsChild>
        <w:div w:id="1181698828">
          <w:marLeft w:val="0"/>
          <w:marRight w:val="0"/>
          <w:marTop w:val="0"/>
          <w:marBottom w:val="0"/>
          <w:divBdr>
            <w:top w:val="none" w:sz="0" w:space="0" w:color="auto"/>
            <w:left w:val="none" w:sz="0" w:space="0" w:color="auto"/>
            <w:bottom w:val="none" w:sz="0" w:space="0" w:color="auto"/>
            <w:right w:val="none" w:sz="0" w:space="0" w:color="auto"/>
          </w:divBdr>
        </w:div>
      </w:divsChild>
    </w:div>
    <w:div w:id="457452249">
      <w:marLeft w:val="3"/>
      <w:marRight w:val="0"/>
      <w:marTop w:val="120"/>
      <w:marBottom w:val="0"/>
      <w:divBdr>
        <w:top w:val="none" w:sz="0" w:space="0" w:color="auto"/>
        <w:left w:val="none" w:sz="0" w:space="0" w:color="auto"/>
        <w:bottom w:val="none" w:sz="0" w:space="0" w:color="auto"/>
        <w:right w:val="none" w:sz="0" w:space="0" w:color="auto"/>
      </w:divBdr>
      <w:divsChild>
        <w:div w:id="939799509">
          <w:marLeft w:val="0"/>
          <w:marRight w:val="0"/>
          <w:marTop w:val="0"/>
          <w:marBottom w:val="0"/>
          <w:divBdr>
            <w:top w:val="none" w:sz="0" w:space="0" w:color="auto"/>
            <w:left w:val="none" w:sz="0" w:space="0" w:color="auto"/>
            <w:bottom w:val="none" w:sz="0" w:space="0" w:color="auto"/>
            <w:right w:val="none" w:sz="0" w:space="0" w:color="auto"/>
          </w:divBdr>
        </w:div>
      </w:divsChild>
    </w:div>
    <w:div w:id="500631310">
      <w:marLeft w:val="4"/>
      <w:marRight w:val="0"/>
      <w:marTop w:val="240"/>
      <w:marBottom w:val="0"/>
      <w:divBdr>
        <w:top w:val="none" w:sz="0" w:space="0" w:color="auto"/>
        <w:left w:val="none" w:sz="0" w:space="0" w:color="auto"/>
        <w:bottom w:val="none" w:sz="0" w:space="0" w:color="auto"/>
        <w:right w:val="none" w:sz="0" w:space="0" w:color="auto"/>
      </w:divBdr>
      <w:divsChild>
        <w:div w:id="1488551212">
          <w:marLeft w:val="0"/>
          <w:marRight w:val="0"/>
          <w:marTop w:val="0"/>
          <w:marBottom w:val="0"/>
          <w:divBdr>
            <w:top w:val="none" w:sz="0" w:space="0" w:color="auto"/>
            <w:left w:val="none" w:sz="0" w:space="0" w:color="auto"/>
            <w:bottom w:val="none" w:sz="0" w:space="0" w:color="auto"/>
            <w:right w:val="none" w:sz="0" w:space="0" w:color="auto"/>
          </w:divBdr>
        </w:div>
      </w:divsChild>
    </w:div>
    <w:div w:id="501120957">
      <w:marLeft w:val="0"/>
      <w:marRight w:val="0"/>
      <w:marTop w:val="0"/>
      <w:marBottom w:val="0"/>
      <w:divBdr>
        <w:top w:val="none" w:sz="0" w:space="0" w:color="auto"/>
        <w:left w:val="none" w:sz="0" w:space="0" w:color="auto"/>
        <w:bottom w:val="none" w:sz="0" w:space="0" w:color="auto"/>
        <w:right w:val="none" w:sz="0" w:space="0" w:color="auto"/>
      </w:divBdr>
      <w:divsChild>
        <w:div w:id="1669867854">
          <w:marLeft w:val="0"/>
          <w:marRight w:val="0"/>
          <w:marTop w:val="0"/>
          <w:marBottom w:val="0"/>
          <w:divBdr>
            <w:top w:val="none" w:sz="0" w:space="0" w:color="auto"/>
            <w:left w:val="none" w:sz="0" w:space="0" w:color="auto"/>
            <w:bottom w:val="none" w:sz="0" w:space="0" w:color="auto"/>
            <w:right w:val="none" w:sz="0" w:space="0" w:color="auto"/>
          </w:divBdr>
        </w:div>
      </w:divsChild>
    </w:div>
    <w:div w:id="505174743">
      <w:marLeft w:val="4"/>
      <w:marRight w:val="0"/>
      <w:marTop w:val="60"/>
      <w:marBottom w:val="0"/>
      <w:divBdr>
        <w:top w:val="none" w:sz="0" w:space="0" w:color="auto"/>
        <w:left w:val="none" w:sz="0" w:space="0" w:color="auto"/>
        <w:bottom w:val="none" w:sz="0" w:space="0" w:color="auto"/>
        <w:right w:val="none" w:sz="0" w:space="0" w:color="auto"/>
      </w:divBdr>
      <w:divsChild>
        <w:div w:id="2009554811">
          <w:marLeft w:val="0"/>
          <w:marRight w:val="0"/>
          <w:marTop w:val="0"/>
          <w:marBottom w:val="0"/>
          <w:divBdr>
            <w:top w:val="none" w:sz="0" w:space="0" w:color="auto"/>
            <w:left w:val="none" w:sz="0" w:space="0" w:color="auto"/>
            <w:bottom w:val="none" w:sz="0" w:space="0" w:color="auto"/>
            <w:right w:val="none" w:sz="0" w:space="0" w:color="auto"/>
          </w:divBdr>
        </w:div>
      </w:divsChild>
    </w:div>
    <w:div w:id="555513345">
      <w:marLeft w:val="9"/>
      <w:marRight w:val="0"/>
      <w:marTop w:val="120"/>
      <w:marBottom w:val="0"/>
      <w:divBdr>
        <w:top w:val="none" w:sz="0" w:space="0" w:color="auto"/>
        <w:left w:val="none" w:sz="0" w:space="0" w:color="auto"/>
        <w:bottom w:val="none" w:sz="0" w:space="0" w:color="auto"/>
        <w:right w:val="none" w:sz="0" w:space="0" w:color="auto"/>
      </w:divBdr>
      <w:divsChild>
        <w:div w:id="1674256600">
          <w:marLeft w:val="0"/>
          <w:marRight w:val="0"/>
          <w:marTop w:val="0"/>
          <w:marBottom w:val="0"/>
          <w:divBdr>
            <w:top w:val="none" w:sz="0" w:space="0" w:color="auto"/>
            <w:left w:val="none" w:sz="0" w:space="0" w:color="auto"/>
            <w:bottom w:val="none" w:sz="0" w:space="0" w:color="auto"/>
            <w:right w:val="none" w:sz="0" w:space="0" w:color="auto"/>
          </w:divBdr>
        </w:div>
      </w:divsChild>
    </w:div>
    <w:div w:id="587542092">
      <w:marLeft w:val="3"/>
      <w:marRight w:val="0"/>
      <w:marTop w:val="120"/>
      <w:marBottom w:val="0"/>
      <w:divBdr>
        <w:top w:val="none" w:sz="0" w:space="0" w:color="auto"/>
        <w:left w:val="none" w:sz="0" w:space="0" w:color="auto"/>
        <w:bottom w:val="none" w:sz="0" w:space="0" w:color="auto"/>
        <w:right w:val="none" w:sz="0" w:space="0" w:color="auto"/>
      </w:divBdr>
      <w:divsChild>
        <w:div w:id="1233126374">
          <w:marLeft w:val="0"/>
          <w:marRight w:val="0"/>
          <w:marTop w:val="0"/>
          <w:marBottom w:val="0"/>
          <w:divBdr>
            <w:top w:val="none" w:sz="0" w:space="0" w:color="auto"/>
            <w:left w:val="none" w:sz="0" w:space="0" w:color="auto"/>
            <w:bottom w:val="none" w:sz="0" w:space="0" w:color="auto"/>
            <w:right w:val="none" w:sz="0" w:space="0" w:color="auto"/>
          </w:divBdr>
        </w:div>
      </w:divsChild>
    </w:div>
    <w:div w:id="602111138">
      <w:marLeft w:val="4"/>
      <w:marRight w:val="0"/>
      <w:marTop w:val="60"/>
      <w:marBottom w:val="0"/>
      <w:divBdr>
        <w:top w:val="none" w:sz="0" w:space="0" w:color="auto"/>
        <w:left w:val="none" w:sz="0" w:space="0" w:color="auto"/>
        <w:bottom w:val="none" w:sz="0" w:space="0" w:color="auto"/>
        <w:right w:val="none" w:sz="0" w:space="0" w:color="auto"/>
      </w:divBdr>
      <w:divsChild>
        <w:div w:id="1649555904">
          <w:marLeft w:val="0"/>
          <w:marRight w:val="0"/>
          <w:marTop w:val="0"/>
          <w:marBottom w:val="0"/>
          <w:divBdr>
            <w:top w:val="none" w:sz="0" w:space="0" w:color="auto"/>
            <w:left w:val="none" w:sz="0" w:space="0" w:color="auto"/>
            <w:bottom w:val="none" w:sz="0" w:space="0" w:color="auto"/>
            <w:right w:val="none" w:sz="0" w:space="0" w:color="auto"/>
          </w:divBdr>
        </w:div>
      </w:divsChild>
    </w:div>
    <w:div w:id="602883783">
      <w:marLeft w:val="3"/>
      <w:marRight w:val="0"/>
      <w:marTop w:val="120"/>
      <w:marBottom w:val="0"/>
      <w:divBdr>
        <w:top w:val="none" w:sz="0" w:space="0" w:color="auto"/>
        <w:left w:val="none" w:sz="0" w:space="0" w:color="auto"/>
        <w:bottom w:val="none" w:sz="0" w:space="0" w:color="auto"/>
        <w:right w:val="none" w:sz="0" w:space="0" w:color="auto"/>
      </w:divBdr>
      <w:divsChild>
        <w:div w:id="669941459">
          <w:marLeft w:val="0"/>
          <w:marRight w:val="0"/>
          <w:marTop w:val="0"/>
          <w:marBottom w:val="0"/>
          <w:divBdr>
            <w:top w:val="none" w:sz="0" w:space="0" w:color="auto"/>
            <w:left w:val="none" w:sz="0" w:space="0" w:color="auto"/>
            <w:bottom w:val="none" w:sz="0" w:space="0" w:color="auto"/>
            <w:right w:val="none" w:sz="0" w:space="0" w:color="auto"/>
          </w:divBdr>
        </w:div>
      </w:divsChild>
    </w:div>
    <w:div w:id="612250287">
      <w:marLeft w:val="3"/>
      <w:marRight w:val="0"/>
      <w:marTop w:val="120"/>
      <w:marBottom w:val="0"/>
      <w:divBdr>
        <w:top w:val="none" w:sz="0" w:space="0" w:color="auto"/>
        <w:left w:val="none" w:sz="0" w:space="0" w:color="auto"/>
        <w:bottom w:val="none" w:sz="0" w:space="0" w:color="auto"/>
        <w:right w:val="none" w:sz="0" w:space="0" w:color="auto"/>
      </w:divBdr>
      <w:divsChild>
        <w:div w:id="708843849">
          <w:marLeft w:val="0"/>
          <w:marRight w:val="0"/>
          <w:marTop w:val="0"/>
          <w:marBottom w:val="0"/>
          <w:divBdr>
            <w:top w:val="none" w:sz="0" w:space="0" w:color="auto"/>
            <w:left w:val="none" w:sz="0" w:space="0" w:color="auto"/>
            <w:bottom w:val="none" w:sz="0" w:space="0" w:color="auto"/>
            <w:right w:val="none" w:sz="0" w:space="0" w:color="auto"/>
          </w:divBdr>
        </w:div>
      </w:divsChild>
    </w:div>
    <w:div w:id="650838836">
      <w:marLeft w:val="0"/>
      <w:marRight w:val="0"/>
      <w:marTop w:val="0"/>
      <w:marBottom w:val="0"/>
      <w:divBdr>
        <w:top w:val="none" w:sz="0" w:space="0" w:color="auto"/>
        <w:left w:val="none" w:sz="0" w:space="0" w:color="auto"/>
        <w:bottom w:val="none" w:sz="0" w:space="0" w:color="auto"/>
        <w:right w:val="none" w:sz="0" w:space="0" w:color="auto"/>
      </w:divBdr>
    </w:div>
    <w:div w:id="672680241">
      <w:marLeft w:val="0"/>
      <w:marRight w:val="0"/>
      <w:marTop w:val="0"/>
      <w:marBottom w:val="0"/>
      <w:divBdr>
        <w:top w:val="none" w:sz="0" w:space="0" w:color="auto"/>
        <w:left w:val="none" w:sz="0" w:space="0" w:color="auto"/>
        <w:bottom w:val="none" w:sz="0" w:space="0" w:color="auto"/>
        <w:right w:val="none" w:sz="0" w:space="0" w:color="auto"/>
      </w:divBdr>
      <w:divsChild>
        <w:div w:id="1743986478">
          <w:marLeft w:val="0"/>
          <w:marRight w:val="0"/>
          <w:marTop w:val="0"/>
          <w:marBottom w:val="0"/>
          <w:divBdr>
            <w:top w:val="none" w:sz="0" w:space="0" w:color="auto"/>
            <w:left w:val="none" w:sz="0" w:space="0" w:color="auto"/>
            <w:bottom w:val="none" w:sz="0" w:space="0" w:color="auto"/>
            <w:right w:val="none" w:sz="0" w:space="0" w:color="auto"/>
          </w:divBdr>
        </w:div>
      </w:divsChild>
    </w:div>
    <w:div w:id="676467130">
      <w:marLeft w:val="4"/>
      <w:marRight w:val="0"/>
      <w:marTop w:val="120"/>
      <w:marBottom w:val="0"/>
      <w:divBdr>
        <w:top w:val="none" w:sz="0" w:space="0" w:color="auto"/>
        <w:left w:val="none" w:sz="0" w:space="0" w:color="auto"/>
        <w:bottom w:val="none" w:sz="0" w:space="0" w:color="auto"/>
        <w:right w:val="none" w:sz="0" w:space="0" w:color="auto"/>
      </w:divBdr>
    </w:div>
    <w:div w:id="684552719">
      <w:marLeft w:val="3"/>
      <w:marRight w:val="0"/>
      <w:marTop w:val="120"/>
      <w:marBottom w:val="0"/>
      <w:divBdr>
        <w:top w:val="none" w:sz="0" w:space="0" w:color="auto"/>
        <w:left w:val="none" w:sz="0" w:space="0" w:color="auto"/>
        <w:bottom w:val="none" w:sz="0" w:space="0" w:color="auto"/>
        <w:right w:val="none" w:sz="0" w:space="0" w:color="auto"/>
      </w:divBdr>
      <w:divsChild>
        <w:div w:id="351106834">
          <w:marLeft w:val="0"/>
          <w:marRight w:val="0"/>
          <w:marTop w:val="0"/>
          <w:marBottom w:val="0"/>
          <w:divBdr>
            <w:top w:val="none" w:sz="0" w:space="0" w:color="auto"/>
            <w:left w:val="none" w:sz="0" w:space="0" w:color="auto"/>
            <w:bottom w:val="none" w:sz="0" w:space="0" w:color="auto"/>
            <w:right w:val="none" w:sz="0" w:space="0" w:color="auto"/>
          </w:divBdr>
        </w:div>
      </w:divsChild>
    </w:div>
    <w:div w:id="686323336">
      <w:marLeft w:val="4"/>
      <w:marRight w:val="0"/>
      <w:marTop w:val="60"/>
      <w:marBottom w:val="0"/>
      <w:divBdr>
        <w:top w:val="none" w:sz="0" w:space="0" w:color="auto"/>
        <w:left w:val="none" w:sz="0" w:space="0" w:color="auto"/>
        <w:bottom w:val="none" w:sz="0" w:space="0" w:color="auto"/>
        <w:right w:val="none" w:sz="0" w:space="0" w:color="auto"/>
      </w:divBdr>
      <w:divsChild>
        <w:div w:id="1203127535">
          <w:marLeft w:val="0"/>
          <w:marRight w:val="0"/>
          <w:marTop w:val="0"/>
          <w:marBottom w:val="0"/>
          <w:divBdr>
            <w:top w:val="none" w:sz="0" w:space="0" w:color="auto"/>
            <w:left w:val="none" w:sz="0" w:space="0" w:color="auto"/>
            <w:bottom w:val="none" w:sz="0" w:space="0" w:color="auto"/>
            <w:right w:val="none" w:sz="0" w:space="0" w:color="auto"/>
          </w:divBdr>
        </w:div>
      </w:divsChild>
    </w:div>
    <w:div w:id="702249862">
      <w:marLeft w:val="4"/>
      <w:marRight w:val="0"/>
      <w:marTop w:val="60"/>
      <w:marBottom w:val="0"/>
      <w:divBdr>
        <w:top w:val="none" w:sz="0" w:space="0" w:color="auto"/>
        <w:left w:val="none" w:sz="0" w:space="0" w:color="auto"/>
        <w:bottom w:val="none" w:sz="0" w:space="0" w:color="auto"/>
        <w:right w:val="none" w:sz="0" w:space="0" w:color="auto"/>
      </w:divBdr>
      <w:divsChild>
        <w:div w:id="1725594270">
          <w:marLeft w:val="0"/>
          <w:marRight w:val="0"/>
          <w:marTop w:val="0"/>
          <w:marBottom w:val="0"/>
          <w:divBdr>
            <w:top w:val="none" w:sz="0" w:space="0" w:color="auto"/>
            <w:left w:val="none" w:sz="0" w:space="0" w:color="auto"/>
            <w:bottom w:val="none" w:sz="0" w:space="0" w:color="auto"/>
            <w:right w:val="none" w:sz="0" w:space="0" w:color="auto"/>
          </w:divBdr>
        </w:div>
      </w:divsChild>
    </w:div>
    <w:div w:id="741605442">
      <w:marLeft w:val="4"/>
      <w:marRight w:val="0"/>
      <w:marTop w:val="60"/>
      <w:marBottom w:val="0"/>
      <w:divBdr>
        <w:top w:val="none" w:sz="0" w:space="0" w:color="auto"/>
        <w:left w:val="none" w:sz="0" w:space="0" w:color="auto"/>
        <w:bottom w:val="none" w:sz="0" w:space="0" w:color="auto"/>
        <w:right w:val="none" w:sz="0" w:space="0" w:color="auto"/>
      </w:divBdr>
      <w:divsChild>
        <w:div w:id="512913006">
          <w:marLeft w:val="0"/>
          <w:marRight w:val="0"/>
          <w:marTop w:val="0"/>
          <w:marBottom w:val="0"/>
          <w:divBdr>
            <w:top w:val="none" w:sz="0" w:space="0" w:color="auto"/>
            <w:left w:val="none" w:sz="0" w:space="0" w:color="auto"/>
            <w:bottom w:val="none" w:sz="0" w:space="0" w:color="auto"/>
            <w:right w:val="none" w:sz="0" w:space="0" w:color="auto"/>
          </w:divBdr>
        </w:div>
      </w:divsChild>
    </w:div>
    <w:div w:id="742802624">
      <w:marLeft w:val="3"/>
      <w:marRight w:val="0"/>
      <w:marTop w:val="120"/>
      <w:marBottom w:val="0"/>
      <w:divBdr>
        <w:top w:val="none" w:sz="0" w:space="0" w:color="auto"/>
        <w:left w:val="none" w:sz="0" w:space="0" w:color="auto"/>
        <w:bottom w:val="none" w:sz="0" w:space="0" w:color="auto"/>
        <w:right w:val="none" w:sz="0" w:space="0" w:color="auto"/>
      </w:divBdr>
      <w:divsChild>
        <w:div w:id="443616885">
          <w:marLeft w:val="0"/>
          <w:marRight w:val="0"/>
          <w:marTop w:val="0"/>
          <w:marBottom w:val="0"/>
          <w:divBdr>
            <w:top w:val="none" w:sz="0" w:space="0" w:color="auto"/>
            <w:left w:val="none" w:sz="0" w:space="0" w:color="auto"/>
            <w:bottom w:val="none" w:sz="0" w:space="0" w:color="auto"/>
            <w:right w:val="none" w:sz="0" w:space="0" w:color="auto"/>
          </w:divBdr>
        </w:div>
      </w:divsChild>
    </w:div>
    <w:div w:id="746852821">
      <w:marLeft w:val="4"/>
      <w:marRight w:val="0"/>
      <w:marTop w:val="120"/>
      <w:marBottom w:val="0"/>
      <w:divBdr>
        <w:top w:val="none" w:sz="0" w:space="0" w:color="auto"/>
        <w:left w:val="none" w:sz="0" w:space="0" w:color="auto"/>
        <w:bottom w:val="none" w:sz="0" w:space="0" w:color="auto"/>
        <w:right w:val="none" w:sz="0" w:space="0" w:color="auto"/>
      </w:divBdr>
      <w:divsChild>
        <w:div w:id="1664888876">
          <w:marLeft w:val="0"/>
          <w:marRight w:val="0"/>
          <w:marTop w:val="0"/>
          <w:marBottom w:val="0"/>
          <w:divBdr>
            <w:top w:val="none" w:sz="0" w:space="0" w:color="auto"/>
            <w:left w:val="none" w:sz="0" w:space="0" w:color="auto"/>
            <w:bottom w:val="none" w:sz="0" w:space="0" w:color="auto"/>
            <w:right w:val="none" w:sz="0" w:space="0" w:color="auto"/>
          </w:divBdr>
        </w:div>
      </w:divsChild>
    </w:div>
    <w:div w:id="751778516">
      <w:marLeft w:val="9"/>
      <w:marRight w:val="0"/>
      <w:marTop w:val="120"/>
      <w:marBottom w:val="0"/>
      <w:divBdr>
        <w:top w:val="none" w:sz="0" w:space="0" w:color="auto"/>
        <w:left w:val="none" w:sz="0" w:space="0" w:color="auto"/>
        <w:bottom w:val="none" w:sz="0" w:space="0" w:color="auto"/>
        <w:right w:val="none" w:sz="0" w:space="0" w:color="auto"/>
      </w:divBdr>
      <w:divsChild>
        <w:div w:id="541790217">
          <w:marLeft w:val="0"/>
          <w:marRight w:val="0"/>
          <w:marTop w:val="0"/>
          <w:marBottom w:val="0"/>
          <w:divBdr>
            <w:top w:val="none" w:sz="0" w:space="0" w:color="auto"/>
            <w:left w:val="none" w:sz="0" w:space="0" w:color="auto"/>
            <w:bottom w:val="none" w:sz="0" w:space="0" w:color="auto"/>
            <w:right w:val="none" w:sz="0" w:space="0" w:color="auto"/>
          </w:divBdr>
        </w:div>
      </w:divsChild>
    </w:div>
    <w:div w:id="777484500">
      <w:marLeft w:val="3"/>
      <w:marRight w:val="0"/>
      <w:marTop w:val="120"/>
      <w:marBottom w:val="0"/>
      <w:divBdr>
        <w:top w:val="none" w:sz="0" w:space="0" w:color="auto"/>
        <w:left w:val="none" w:sz="0" w:space="0" w:color="auto"/>
        <w:bottom w:val="none" w:sz="0" w:space="0" w:color="auto"/>
        <w:right w:val="none" w:sz="0" w:space="0" w:color="auto"/>
      </w:divBdr>
      <w:divsChild>
        <w:div w:id="1543133421">
          <w:marLeft w:val="0"/>
          <w:marRight w:val="0"/>
          <w:marTop w:val="0"/>
          <w:marBottom w:val="0"/>
          <w:divBdr>
            <w:top w:val="none" w:sz="0" w:space="0" w:color="auto"/>
            <w:left w:val="none" w:sz="0" w:space="0" w:color="auto"/>
            <w:bottom w:val="none" w:sz="0" w:space="0" w:color="auto"/>
            <w:right w:val="none" w:sz="0" w:space="0" w:color="auto"/>
          </w:divBdr>
        </w:div>
      </w:divsChild>
    </w:div>
    <w:div w:id="794056903">
      <w:marLeft w:val="4"/>
      <w:marRight w:val="0"/>
      <w:marTop w:val="60"/>
      <w:marBottom w:val="0"/>
      <w:divBdr>
        <w:top w:val="none" w:sz="0" w:space="0" w:color="auto"/>
        <w:left w:val="none" w:sz="0" w:space="0" w:color="auto"/>
        <w:bottom w:val="none" w:sz="0" w:space="0" w:color="auto"/>
        <w:right w:val="none" w:sz="0" w:space="0" w:color="auto"/>
      </w:divBdr>
      <w:divsChild>
        <w:div w:id="1686982753">
          <w:marLeft w:val="0"/>
          <w:marRight w:val="0"/>
          <w:marTop w:val="0"/>
          <w:marBottom w:val="0"/>
          <w:divBdr>
            <w:top w:val="none" w:sz="0" w:space="0" w:color="auto"/>
            <w:left w:val="none" w:sz="0" w:space="0" w:color="auto"/>
            <w:bottom w:val="none" w:sz="0" w:space="0" w:color="auto"/>
            <w:right w:val="none" w:sz="0" w:space="0" w:color="auto"/>
          </w:divBdr>
        </w:div>
      </w:divsChild>
    </w:div>
    <w:div w:id="801193467">
      <w:marLeft w:val="4"/>
      <w:marRight w:val="0"/>
      <w:marTop w:val="120"/>
      <w:marBottom w:val="0"/>
      <w:divBdr>
        <w:top w:val="none" w:sz="0" w:space="0" w:color="auto"/>
        <w:left w:val="none" w:sz="0" w:space="0" w:color="auto"/>
        <w:bottom w:val="none" w:sz="0" w:space="0" w:color="auto"/>
        <w:right w:val="none" w:sz="0" w:space="0" w:color="auto"/>
      </w:divBdr>
      <w:divsChild>
        <w:div w:id="987395325">
          <w:marLeft w:val="0"/>
          <w:marRight w:val="0"/>
          <w:marTop w:val="0"/>
          <w:marBottom w:val="0"/>
          <w:divBdr>
            <w:top w:val="none" w:sz="0" w:space="0" w:color="auto"/>
            <w:left w:val="none" w:sz="0" w:space="0" w:color="auto"/>
            <w:bottom w:val="none" w:sz="0" w:space="0" w:color="auto"/>
            <w:right w:val="none" w:sz="0" w:space="0" w:color="auto"/>
          </w:divBdr>
        </w:div>
      </w:divsChild>
    </w:div>
    <w:div w:id="820855843">
      <w:marLeft w:val="4"/>
      <w:marRight w:val="0"/>
      <w:marTop w:val="60"/>
      <w:marBottom w:val="0"/>
      <w:divBdr>
        <w:top w:val="none" w:sz="0" w:space="0" w:color="auto"/>
        <w:left w:val="none" w:sz="0" w:space="0" w:color="auto"/>
        <w:bottom w:val="none" w:sz="0" w:space="0" w:color="auto"/>
        <w:right w:val="none" w:sz="0" w:space="0" w:color="auto"/>
      </w:divBdr>
      <w:divsChild>
        <w:div w:id="2038120994">
          <w:marLeft w:val="0"/>
          <w:marRight w:val="0"/>
          <w:marTop w:val="0"/>
          <w:marBottom w:val="0"/>
          <w:divBdr>
            <w:top w:val="none" w:sz="0" w:space="0" w:color="auto"/>
            <w:left w:val="none" w:sz="0" w:space="0" w:color="auto"/>
            <w:bottom w:val="none" w:sz="0" w:space="0" w:color="auto"/>
            <w:right w:val="none" w:sz="0" w:space="0" w:color="auto"/>
          </w:divBdr>
        </w:div>
      </w:divsChild>
    </w:div>
    <w:div w:id="840042921">
      <w:marLeft w:val="4"/>
      <w:marRight w:val="0"/>
      <w:marTop w:val="60"/>
      <w:marBottom w:val="0"/>
      <w:divBdr>
        <w:top w:val="none" w:sz="0" w:space="0" w:color="auto"/>
        <w:left w:val="none" w:sz="0" w:space="0" w:color="auto"/>
        <w:bottom w:val="none" w:sz="0" w:space="0" w:color="auto"/>
        <w:right w:val="none" w:sz="0" w:space="0" w:color="auto"/>
      </w:divBdr>
      <w:divsChild>
        <w:div w:id="1560088198">
          <w:marLeft w:val="0"/>
          <w:marRight w:val="0"/>
          <w:marTop w:val="0"/>
          <w:marBottom w:val="0"/>
          <w:divBdr>
            <w:top w:val="none" w:sz="0" w:space="0" w:color="auto"/>
            <w:left w:val="none" w:sz="0" w:space="0" w:color="auto"/>
            <w:bottom w:val="none" w:sz="0" w:space="0" w:color="auto"/>
            <w:right w:val="none" w:sz="0" w:space="0" w:color="auto"/>
          </w:divBdr>
        </w:div>
      </w:divsChild>
    </w:div>
    <w:div w:id="877887452">
      <w:marLeft w:val="4"/>
      <w:marRight w:val="0"/>
      <w:marTop w:val="60"/>
      <w:marBottom w:val="0"/>
      <w:divBdr>
        <w:top w:val="none" w:sz="0" w:space="0" w:color="auto"/>
        <w:left w:val="none" w:sz="0" w:space="0" w:color="auto"/>
        <w:bottom w:val="none" w:sz="0" w:space="0" w:color="auto"/>
        <w:right w:val="none" w:sz="0" w:space="0" w:color="auto"/>
      </w:divBdr>
      <w:divsChild>
        <w:div w:id="573198313">
          <w:marLeft w:val="0"/>
          <w:marRight w:val="0"/>
          <w:marTop w:val="0"/>
          <w:marBottom w:val="0"/>
          <w:divBdr>
            <w:top w:val="none" w:sz="0" w:space="0" w:color="auto"/>
            <w:left w:val="none" w:sz="0" w:space="0" w:color="auto"/>
            <w:bottom w:val="none" w:sz="0" w:space="0" w:color="auto"/>
            <w:right w:val="none" w:sz="0" w:space="0" w:color="auto"/>
          </w:divBdr>
        </w:div>
      </w:divsChild>
    </w:div>
    <w:div w:id="885138690">
      <w:marLeft w:val="4"/>
      <w:marRight w:val="0"/>
      <w:marTop w:val="60"/>
      <w:marBottom w:val="0"/>
      <w:divBdr>
        <w:top w:val="none" w:sz="0" w:space="0" w:color="auto"/>
        <w:left w:val="none" w:sz="0" w:space="0" w:color="auto"/>
        <w:bottom w:val="none" w:sz="0" w:space="0" w:color="auto"/>
        <w:right w:val="none" w:sz="0" w:space="0" w:color="auto"/>
      </w:divBdr>
      <w:divsChild>
        <w:div w:id="367802540">
          <w:marLeft w:val="0"/>
          <w:marRight w:val="0"/>
          <w:marTop w:val="0"/>
          <w:marBottom w:val="0"/>
          <w:divBdr>
            <w:top w:val="none" w:sz="0" w:space="0" w:color="auto"/>
            <w:left w:val="none" w:sz="0" w:space="0" w:color="auto"/>
            <w:bottom w:val="none" w:sz="0" w:space="0" w:color="auto"/>
            <w:right w:val="none" w:sz="0" w:space="0" w:color="auto"/>
          </w:divBdr>
        </w:div>
      </w:divsChild>
    </w:div>
    <w:div w:id="918563846">
      <w:marLeft w:val="4"/>
      <w:marRight w:val="0"/>
      <w:marTop w:val="60"/>
      <w:marBottom w:val="0"/>
      <w:divBdr>
        <w:top w:val="none" w:sz="0" w:space="0" w:color="auto"/>
        <w:left w:val="none" w:sz="0" w:space="0" w:color="auto"/>
        <w:bottom w:val="none" w:sz="0" w:space="0" w:color="auto"/>
        <w:right w:val="none" w:sz="0" w:space="0" w:color="auto"/>
      </w:divBdr>
      <w:divsChild>
        <w:div w:id="1023823876">
          <w:marLeft w:val="0"/>
          <w:marRight w:val="0"/>
          <w:marTop w:val="0"/>
          <w:marBottom w:val="0"/>
          <w:divBdr>
            <w:top w:val="none" w:sz="0" w:space="0" w:color="auto"/>
            <w:left w:val="none" w:sz="0" w:space="0" w:color="auto"/>
            <w:bottom w:val="none" w:sz="0" w:space="0" w:color="auto"/>
            <w:right w:val="none" w:sz="0" w:space="0" w:color="auto"/>
          </w:divBdr>
        </w:div>
      </w:divsChild>
    </w:div>
    <w:div w:id="919602308">
      <w:marLeft w:val="3"/>
      <w:marRight w:val="0"/>
      <w:marTop w:val="120"/>
      <w:marBottom w:val="0"/>
      <w:divBdr>
        <w:top w:val="none" w:sz="0" w:space="0" w:color="auto"/>
        <w:left w:val="none" w:sz="0" w:space="0" w:color="auto"/>
        <w:bottom w:val="none" w:sz="0" w:space="0" w:color="auto"/>
        <w:right w:val="none" w:sz="0" w:space="0" w:color="auto"/>
      </w:divBdr>
      <w:divsChild>
        <w:div w:id="1929149327">
          <w:marLeft w:val="0"/>
          <w:marRight w:val="0"/>
          <w:marTop w:val="0"/>
          <w:marBottom w:val="0"/>
          <w:divBdr>
            <w:top w:val="none" w:sz="0" w:space="0" w:color="auto"/>
            <w:left w:val="none" w:sz="0" w:space="0" w:color="auto"/>
            <w:bottom w:val="none" w:sz="0" w:space="0" w:color="auto"/>
            <w:right w:val="none" w:sz="0" w:space="0" w:color="auto"/>
          </w:divBdr>
        </w:div>
      </w:divsChild>
    </w:div>
    <w:div w:id="951400550">
      <w:marLeft w:val="4"/>
      <w:marRight w:val="0"/>
      <w:marTop w:val="60"/>
      <w:marBottom w:val="0"/>
      <w:divBdr>
        <w:top w:val="none" w:sz="0" w:space="0" w:color="auto"/>
        <w:left w:val="none" w:sz="0" w:space="0" w:color="auto"/>
        <w:bottom w:val="none" w:sz="0" w:space="0" w:color="auto"/>
        <w:right w:val="none" w:sz="0" w:space="0" w:color="auto"/>
      </w:divBdr>
      <w:divsChild>
        <w:div w:id="1920674867">
          <w:marLeft w:val="0"/>
          <w:marRight w:val="0"/>
          <w:marTop w:val="0"/>
          <w:marBottom w:val="0"/>
          <w:divBdr>
            <w:top w:val="none" w:sz="0" w:space="0" w:color="auto"/>
            <w:left w:val="none" w:sz="0" w:space="0" w:color="auto"/>
            <w:bottom w:val="none" w:sz="0" w:space="0" w:color="auto"/>
            <w:right w:val="none" w:sz="0" w:space="0" w:color="auto"/>
          </w:divBdr>
        </w:div>
      </w:divsChild>
    </w:div>
    <w:div w:id="970482290">
      <w:marLeft w:val="4"/>
      <w:marRight w:val="0"/>
      <w:marTop w:val="120"/>
      <w:marBottom w:val="0"/>
      <w:divBdr>
        <w:top w:val="none" w:sz="0" w:space="0" w:color="auto"/>
        <w:left w:val="none" w:sz="0" w:space="0" w:color="auto"/>
        <w:bottom w:val="none" w:sz="0" w:space="0" w:color="auto"/>
        <w:right w:val="none" w:sz="0" w:space="0" w:color="auto"/>
      </w:divBdr>
      <w:divsChild>
        <w:div w:id="1702591435">
          <w:marLeft w:val="0"/>
          <w:marRight w:val="0"/>
          <w:marTop w:val="0"/>
          <w:marBottom w:val="0"/>
          <w:divBdr>
            <w:top w:val="none" w:sz="0" w:space="0" w:color="auto"/>
            <w:left w:val="none" w:sz="0" w:space="0" w:color="auto"/>
            <w:bottom w:val="none" w:sz="0" w:space="0" w:color="auto"/>
            <w:right w:val="none" w:sz="0" w:space="0" w:color="auto"/>
          </w:divBdr>
        </w:div>
      </w:divsChild>
    </w:div>
    <w:div w:id="1007291856">
      <w:marLeft w:val="0"/>
      <w:marRight w:val="0"/>
      <w:marTop w:val="0"/>
      <w:marBottom w:val="0"/>
      <w:divBdr>
        <w:top w:val="none" w:sz="0" w:space="0" w:color="auto"/>
        <w:left w:val="none" w:sz="0" w:space="0" w:color="auto"/>
        <w:bottom w:val="none" w:sz="0" w:space="0" w:color="auto"/>
        <w:right w:val="none" w:sz="0" w:space="0" w:color="auto"/>
      </w:divBdr>
      <w:divsChild>
        <w:div w:id="249239375">
          <w:marLeft w:val="0"/>
          <w:marRight w:val="0"/>
          <w:marTop w:val="0"/>
          <w:marBottom w:val="0"/>
          <w:divBdr>
            <w:top w:val="none" w:sz="0" w:space="0" w:color="auto"/>
            <w:left w:val="none" w:sz="0" w:space="0" w:color="auto"/>
            <w:bottom w:val="none" w:sz="0" w:space="0" w:color="auto"/>
            <w:right w:val="none" w:sz="0" w:space="0" w:color="auto"/>
          </w:divBdr>
        </w:div>
        <w:div w:id="1231698613">
          <w:marLeft w:val="0"/>
          <w:marRight w:val="0"/>
          <w:marTop w:val="0"/>
          <w:marBottom w:val="0"/>
          <w:divBdr>
            <w:top w:val="none" w:sz="0" w:space="0" w:color="auto"/>
            <w:left w:val="none" w:sz="0" w:space="0" w:color="auto"/>
            <w:bottom w:val="none" w:sz="0" w:space="0" w:color="auto"/>
            <w:right w:val="none" w:sz="0" w:space="0" w:color="auto"/>
          </w:divBdr>
        </w:div>
        <w:div w:id="942147592">
          <w:marLeft w:val="0"/>
          <w:marRight w:val="0"/>
          <w:marTop w:val="0"/>
          <w:marBottom w:val="0"/>
          <w:divBdr>
            <w:top w:val="none" w:sz="0" w:space="0" w:color="auto"/>
            <w:left w:val="none" w:sz="0" w:space="0" w:color="auto"/>
            <w:bottom w:val="none" w:sz="0" w:space="0" w:color="auto"/>
            <w:right w:val="none" w:sz="0" w:space="0" w:color="auto"/>
          </w:divBdr>
        </w:div>
        <w:div w:id="479927432">
          <w:marLeft w:val="0"/>
          <w:marRight w:val="0"/>
          <w:marTop w:val="0"/>
          <w:marBottom w:val="0"/>
          <w:divBdr>
            <w:top w:val="none" w:sz="0" w:space="0" w:color="auto"/>
            <w:left w:val="none" w:sz="0" w:space="0" w:color="auto"/>
            <w:bottom w:val="none" w:sz="0" w:space="0" w:color="auto"/>
            <w:right w:val="none" w:sz="0" w:space="0" w:color="auto"/>
          </w:divBdr>
        </w:div>
        <w:div w:id="662660724">
          <w:marLeft w:val="0"/>
          <w:marRight w:val="0"/>
          <w:marTop w:val="0"/>
          <w:marBottom w:val="0"/>
          <w:divBdr>
            <w:top w:val="none" w:sz="0" w:space="0" w:color="auto"/>
            <w:left w:val="none" w:sz="0" w:space="0" w:color="auto"/>
            <w:bottom w:val="none" w:sz="0" w:space="0" w:color="auto"/>
            <w:right w:val="none" w:sz="0" w:space="0" w:color="auto"/>
          </w:divBdr>
        </w:div>
        <w:div w:id="664556750">
          <w:marLeft w:val="0"/>
          <w:marRight w:val="0"/>
          <w:marTop w:val="0"/>
          <w:marBottom w:val="0"/>
          <w:divBdr>
            <w:top w:val="none" w:sz="0" w:space="0" w:color="auto"/>
            <w:left w:val="none" w:sz="0" w:space="0" w:color="auto"/>
            <w:bottom w:val="none" w:sz="0" w:space="0" w:color="auto"/>
            <w:right w:val="none" w:sz="0" w:space="0" w:color="auto"/>
          </w:divBdr>
        </w:div>
        <w:div w:id="156700979">
          <w:marLeft w:val="0"/>
          <w:marRight w:val="0"/>
          <w:marTop w:val="0"/>
          <w:marBottom w:val="0"/>
          <w:divBdr>
            <w:top w:val="none" w:sz="0" w:space="0" w:color="auto"/>
            <w:left w:val="none" w:sz="0" w:space="0" w:color="auto"/>
            <w:bottom w:val="none" w:sz="0" w:space="0" w:color="auto"/>
            <w:right w:val="none" w:sz="0" w:space="0" w:color="auto"/>
          </w:divBdr>
        </w:div>
        <w:div w:id="250353378">
          <w:marLeft w:val="0"/>
          <w:marRight w:val="0"/>
          <w:marTop w:val="0"/>
          <w:marBottom w:val="0"/>
          <w:divBdr>
            <w:top w:val="none" w:sz="0" w:space="0" w:color="auto"/>
            <w:left w:val="none" w:sz="0" w:space="0" w:color="auto"/>
            <w:bottom w:val="none" w:sz="0" w:space="0" w:color="auto"/>
            <w:right w:val="none" w:sz="0" w:space="0" w:color="auto"/>
          </w:divBdr>
          <w:divsChild>
            <w:div w:id="1181431722">
              <w:marLeft w:val="0"/>
              <w:marRight w:val="0"/>
              <w:marTop w:val="0"/>
              <w:marBottom w:val="0"/>
              <w:divBdr>
                <w:top w:val="none" w:sz="0" w:space="0" w:color="auto"/>
                <w:left w:val="none" w:sz="0" w:space="0" w:color="auto"/>
                <w:bottom w:val="none" w:sz="0" w:space="0" w:color="auto"/>
                <w:right w:val="none" w:sz="0" w:space="0" w:color="auto"/>
              </w:divBdr>
            </w:div>
          </w:divsChild>
        </w:div>
        <w:div w:id="1548184674">
          <w:marLeft w:val="0"/>
          <w:marRight w:val="0"/>
          <w:marTop w:val="0"/>
          <w:marBottom w:val="0"/>
          <w:divBdr>
            <w:top w:val="none" w:sz="0" w:space="0" w:color="auto"/>
            <w:left w:val="none" w:sz="0" w:space="0" w:color="auto"/>
            <w:bottom w:val="none" w:sz="0" w:space="0" w:color="auto"/>
            <w:right w:val="none" w:sz="0" w:space="0" w:color="auto"/>
          </w:divBdr>
        </w:div>
        <w:div w:id="441072420">
          <w:marLeft w:val="0"/>
          <w:marRight w:val="0"/>
          <w:marTop w:val="0"/>
          <w:marBottom w:val="0"/>
          <w:divBdr>
            <w:top w:val="none" w:sz="0" w:space="0" w:color="auto"/>
            <w:left w:val="none" w:sz="0" w:space="0" w:color="auto"/>
            <w:bottom w:val="none" w:sz="0" w:space="0" w:color="auto"/>
            <w:right w:val="none" w:sz="0" w:space="0" w:color="auto"/>
          </w:divBdr>
        </w:div>
        <w:div w:id="1697462111">
          <w:marLeft w:val="0"/>
          <w:marRight w:val="0"/>
          <w:marTop w:val="0"/>
          <w:marBottom w:val="0"/>
          <w:divBdr>
            <w:top w:val="none" w:sz="0" w:space="0" w:color="auto"/>
            <w:left w:val="none" w:sz="0" w:space="0" w:color="auto"/>
            <w:bottom w:val="none" w:sz="0" w:space="0" w:color="auto"/>
            <w:right w:val="none" w:sz="0" w:space="0" w:color="auto"/>
          </w:divBdr>
        </w:div>
        <w:div w:id="1578520229">
          <w:marLeft w:val="0"/>
          <w:marRight w:val="0"/>
          <w:marTop w:val="0"/>
          <w:marBottom w:val="0"/>
          <w:divBdr>
            <w:top w:val="none" w:sz="0" w:space="0" w:color="auto"/>
            <w:left w:val="none" w:sz="0" w:space="0" w:color="auto"/>
            <w:bottom w:val="none" w:sz="0" w:space="0" w:color="auto"/>
            <w:right w:val="none" w:sz="0" w:space="0" w:color="auto"/>
          </w:divBdr>
        </w:div>
        <w:div w:id="1107504393">
          <w:marLeft w:val="0"/>
          <w:marRight w:val="0"/>
          <w:marTop w:val="0"/>
          <w:marBottom w:val="0"/>
          <w:divBdr>
            <w:top w:val="none" w:sz="0" w:space="0" w:color="auto"/>
            <w:left w:val="none" w:sz="0" w:space="0" w:color="auto"/>
            <w:bottom w:val="none" w:sz="0" w:space="0" w:color="auto"/>
            <w:right w:val="none" w:sz="0" w:space="0" w:color="auto"/>
          </w:divBdr>
        </w:div>
        <w:div w:id="1321347775">
          <w:marLeft w:val="0"/>
          <w:marRight w:val="0"/>
          <w:marTop w:val="0"/>
          <w:marBottom w:val="0"/>
          <w:divBdr>
            <w:top w:val="none" w:sz="0" w:space="0" w:color="auto"/>
            <w:left w:val="none" w:sz="0" w:space="0" w:color="auto"/>
            <w:bottom w:val="none" w:sz="0" w:space="0" w:color="auto"/>
            <w:right w:val="none" w:sz="0" w:space="0" w:color="auto"/>
          </w:divBdr>
        </w:div>
        <w:div w:id="1963533174">
          <w:marLeft w:val="0"/>
          <w:marRight w:val="0"/>
          <w:marTop w:val="0"/>
          <w:marBottom w:val="0"/>
          <w:divBdr>
            <w:top w:val="none" w:sz="0" w:space="0" w:color="auto"/>
            <w:left w:val="none" w:sz="0" w:space="0" w:color="auto"/>
            <w:bottom w:val="none" w:sz="0" w:space="0" w:color="auto"/>
            <w:right w:val="none" w:sz="0" w:space="0" w:color="auto"/>
          </w:divBdr>
        </w:div>
        <w:div w:id="126750348">
          <w:marLeft w:val="0"/>
          <w:marRight w:val="0"/>
          <w:marTop w:val="0"/>
          <w:marBottom w:val="0"/>
          <w:divBdr>
            <w:top w:val="none" w:sz="0" w:space="0" w:color="auto"/>
            <w:left w:val="none" w:sz="0" w:space="0" w:color="auto"/>
            <w:bottom w:val="none" w:sz="0" w:space="0" w:color="auto"/>
            <w:right w:val="none" w:sz="0" w:space="0" w:color="auto"/>
          </w:divBdr>
        </w:div>
        <w:div w:id="200095669">
          <w:marLeft w:val="0"/>
          <w:marRight w:val="0"/>
          <w:marTop w:val="0"/>
          <w:marBottom w:val="0"/>
          <w:divBdr>
            <w:top w:val="none" w:sz="0" w:space="0" w:color="auto"/>
            <w:left w:val="none" w:sz="0" w:space="0" w:color="auto"/>
            <w:bottom w:val="none" w:sz="0" w:space="0" w:color="auto"/>
            <w:right w:val="none" w:sz="0" w:space="0" w:color="auto"/>
          </w:divBdr>
        </w:div>
      </w:divsChild>
    </w:div>
    <w:div w:id="1010448336">
      <w:marLeft w:val="4"/>
      <w:marRight w:val="0"/>
      <w:marTop w:val="60"/>
      <w:marBottom w:val="0"/>
      <w:divBdr>
        <w:top w:val="none" w:sz="0" w:space="0" w:color="auto"/>
        <w:left w:val="none" w:sz="0" w:space="0" w:color="auto"/>
        <w:bottom w:val="none" w:sz="0" w:space="0" w:color="auto"/>
        <w:right w:val="none" w:sz="0" w:space="0" w:color="auto"/>
      </w:divBdr>
      <w:divsChild>
        <w:div w:id="351422330">
          <w:marLeft w:val="0"/>
          <w:marRight w:val="0"/>
          <w:marTop w:val="0"/>
          <w:marBottom w:val="0"/>
          <w:divBdr>
            <w:top w:val="none" w:sz="0" w:space="0" w:color="auto"/>
            <w:left w:val="none" w:sz="0" w:space="0" w:color="auto"/>
            <w:bottom w:val="none" w:sz="0" w:space="0" w:color="auto"/>
            <w:right w:val="none" w:sz="0" w:space="0" w:color="auto"/>
          </w:divBdr>
        </w:div>
      </w:divsChild>
    </w:div>
    <w:div w:id="1018585741">
      <w:marLeft w:val="3"/>
      <w:marRight w:val="0"/>
      <w:marTop w:val="120"/>
      <w:marBottom w:val="0"/>
      <w:divBdr>
        <w:top w:val="none" w:sz="0" w:space="0" w:color="auto"/>
        <w:left w:val="none" w:sz="0" w:space="0" w:color="auto"/>
        <w:bottom w:val="none" w:sz="0" w:space="0" w:color="auto"/>
        <w:right w:val="none" w:sz="0" w:space="0" w:color="auto"/>
      </w:divBdr>
      <w:divsChild>
        <w:div w:id="402989567">
          <w:marLeft w:val="0"/>
          <w:marRight w:val="0"/>
          <w:marTop w:val="0"/>
          <w:marBottom w:val="0"/>
          <w:divBdr>
            <w:top w:val="none" w:sz="0" w:space="0" w:color="auto"/>
            <w:left w:val="none" w:sz="0" w:space="0" w:color="auto"/>
            <w:bottom w:val="none" w:sz="0" w:space="0" w:color="auto"/>
            <w:right w:val="none" w:sz="0" w:space="0" w:color="auto"/>
          </w:divBdr>
        </w:div>
      </w:divsChild>
    </w:div>
    <w:div w:id="1018779112">
      <w:marLeft w:val="4"/>
      <w:marRight w:val="0"/>
      <w:marTop w:val="60"/>
      <w:marBottom w:val="0"/>
      <w:divBdr>
        <w:top w:val="none" w:sz="0" w:space="0" w:color="auto"/>
        <w:left w:val="none" w:sz="0" w:space="0" w:color="auto"/>
        <w:bottom w:val="none" w:sz="0" w:space="0" w:color="auto"/>
        <w:right w:val="none" w:sz="0" w:space="0" w:color="auto"/>
      </w:divBdr>
      <w:divsChild>
        <w:div w:id="708264789">
          <w:marLeft w:val="0"/>
          <w:marRight w:val="0"/>
          <w:marTop w:val="0"/>
          <w:marBottom w:val="0"/>
          <w:divBdr>
            <w:top w:val="none" w:sz="0" w:space="0" w:color="auto"/>
            <w:left w:val="none" w:sz="0" w:space="0" w:color="auto"/>
            <w:bottom w:val="none" w:sz="0" w:space="0" w:color="auto"/>
            <w:right w:val="none" w:sz="0" w:space="0" w:color="auto"/>
          </w:divBdr>
        </w:div>
      </w:divsChild>
    </w:div>
    <w:div w:id="1021664068">
      <w:marLeft w:val="4"/>
      <w:marRight w:val="0"/>
      <w:marTop w:val="60"/>
      <w:marBottom w:val="0"/>
      <w:divBdr>
        <w:top w:val="none" w:sz="0" w:space="0" w:color="auto"/>
        <w:left w:val="none" w:sz="0" w:space="0" w:color="auto"/>
        <w:bottom w:val="none" w:sz="0" w:space="0" w:color="auto"/>
        <w:right w:val="none" w:sz="0" w:space="0" w:color="auto"/>
      </w:divBdr>
      <w:divsChild>
        <w:div w:id="972909804">
          <w:marLeft w:val="0"/>
          <w:marRight w:val="0"/>
          <w:marTop w:val="0"/>
          <w:marBottom w:val="0"/>
          <w:divBdr>
            <w:top w:val="none" w:sz="0" w:space="0" w:color="auto"/>
            <w:left w:val="none" w:sz="0" w:space="0" w:color="auto"/>
            <w:bottom w:val="none" w:sz="0" w:space="0" w:color="auto"/>
            <w:right w:val="none" w:sz="0" w:space="0" w:color="auto"/>
          </w:divBdr>
        </w:div>
      </w:divsChild>
    </w:div>
    <w:div w:id="1031615843">
      <w:marLeft w:val="4"/>
      <w:marRight w:val="0"/>
      <w:marTop w:val="60"/>
      <w:marBottom w:val="0"/>
      <w:divBdr>
        <w:top w:val="none" w:sz="0" w:space="0" w:color="auto"/>
        <w:left w:val="none" w:sz="0" w:space="0" w:color="auto"/>
        <w:bottom w:val="none" w:sz="0" w:space="0" w:color="auto"/>
        <w:right w:val="none" w:sz="0" w:space="0" w:color="auto"/>
      </w:divBdr>
      <w:divsChild>
        <w:div w:id="574704493">
          <w:marLeft w:val="0"/>
          <w:marRight w:val="0"/>
          <w:marTop w:val="0"/>
          <w:marBottom w:val="0"/>
          <w:divBdr>
            <w:top w:val="none" w:sz="0" w:space="0" w:color="auto"/>
            <w:left w:val="none" w:sz="0" w:space="0" w:color="auto"/>
            <w:bottom w:val="none" w:sz="0" w:space="0" w:color="auto"/>
            <w:right w:val="none" w:sz="0" w:space="0" w:color="auto"/>
          </w:divBdr>
        </w:div>
      </w:divsChild>
    </w:div>
    <w:div w:id="1039823276">
      <w:marLeft w:val="4"/>
      <w:marRight w:val="0"/>
      <w:marTop w:val="60"/>
      <w:marBottom w:val="0"/>
      <w:divBdr>
        <w:top w:val="none" w:sz="0" w:space="0" w:color="auto"/>
        <w:left w:val="none" w:sz="0" w:space="0" w:color="auto"/>
        <w:bottom w:val="none" w:sz="0" w:space="0" w:color="auto"/>
        <w:right w:val="none" w:sz="0" w:space="0" w:color="auto"/>
      </w:divBdr>
      <w:divsChild>
        <w:div w:id="1225723196">
          <w:marLeft w:val="0"/>
          <w:marRight w:val="0"/>
          <w:marTop w:val="0"/>
          <w:marBottom w:val="0"/>
          <w:divBdr>
            <w:top w:val="none" w:sz="0" w:space="0" w:color="auto"/>
            <w:left w:val="none" w:sz="0" w:space="0" w:color="auto"/>
            <w:bottom w:val="none" w:sz="0" w:space="0" w:color="auto"/>
            <w:right w:val="none" w:sz="0" w:space="0" w:color="auto"/>
          </w:divBdr>
        </w:div>
      </w:divsChild>
    </w:div>
    <w:div w:id="1045056922">
      <w:marLeft w:val="4"/>
      <w:marRight w:val="0"/>
      <w:marTop w:val="60"/>
      <w:marBottom w:val="0"/>
      <w:divBdr>
        <w:top w:val="none" w:sz="0" w:space="0" w:color="auto"/>
        <w:left w:val="none" w:sz="0" w:space="0" w:color="auto"/>
        <w:bottom w:val="none" w:sz="0" w:space="0" w:color="auto"/>
        <w:right w:val="none" w:sz="0" w:space="0" w:color="auto"/>
      </w:divBdr>
      <w:divsChild>
        <w:div w:id="31530423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3"/>
      <w:marRight w:val="0"/>
      <w:marTop w:val="120"/>
      <w:marBottom w:val="0"/>
      <w:divBdr>
        <w:top w:val="none" w:sz="0" w:space="0" w:color="auto"/>
        <w:left w:val="none" w:sz="0" w:space="0" w:color="auto"/>
        <w:bottom w:val="none" w:sz="0" w:space="0" w:color="auto"/>
        <w:right w:val="none" w:sz="0" w:space="0" w:color="auto"/>
      </w:divBdr>
      <w:divsChild>
        <w:div w:id="1527675097">
          <w:marLeft w:val="0"/>
          <w:marRight w:val="0"/>
          <w:marTop w:val="0"/>
          <w:marBottom w:val="0"/>
          <w:divBdr>
            <w:top w:val="none" w:sz="0" w:space="0" w:color="auto"/>
            <w:left w:val="none" w:sz="0" w:space="0" w:color="auto"/>
            <w:bottom w:val="none" w:sz="0" w:space="0" w:color="auto"/>
            <w:right w:val="none" w:sz="0" w:space="0" w:color="auto"/>
          </w:divBdr>
        </w:div>
      </w:divsChild>
    </w:div>
    <w:div w:id="1093819992">
      <w:marLeft w:val="3"/>
      <w:marRight w:val="0"/>
      <w:marTop w:val="120"/>
      <w:marBottom w:val="0"/>
      <w:divBdr>
        <w:top w:val="none" w:sz="0" w:space="0" w:color="auto"/>
        <w:left w:val="none" w:sz="0" w:space="0" w:color="auto"/>
        <w:bottom w:val="none" w:sz="0" w:space="0" w:color="auto"/>
        <w:right w:val="none" w:sz="0" w:space="0" w:color="auto"/>
      </w:divBdr>
      <w:divsChild>
        <w:div w:id="238295293">
          <w:marLeft w:val="0"/>
          <w:marRight w:val="0"/>
          <w:marTop w:val="0"/>
          <w:marBottom w:val="0"/>
          <w:divBdr>
            <w:top w:val="none" w:sz="0" w:space="0" w:color="auto"/>
            <w:left w:val="none" w:sz="0" w:space="0" w:color="auto"/>
            <w:bottom w:val="none" w:sz="0" w:space="0" w:color="auto"/>
            <w:right w:val="none" w:sz="0" w:space="0" w:color="auto"/>
          </w:divBdr>
        </w:div>
      </w:divsChild>
    </w:div>
    <w:div w:id="1096906161">
      <w:marLeft w:val="3"/>
      <w:marRight w:val="0"/>
      <w:marTop w:val="120"/>
      <w:marBottom w:val="0"/>
      <w:divBdr>
        <w:top w:val="none" w:sz="0" w:space="0" w:color="auto"/>
        <w:left w:val="none" w:sz="0" w:space="0" w:color="auto"/>
        <w:bottom w:val="none" w:sz="0" w:space="0" w:color="auto"/>
        <w:right w:val="none" w:sz="0" w:space="0" w:color="auto"/>
      </w:divBdr>
      <w:divsChild>
        <w:div w:id="1615596319">
          <w:marLeft w:val="0"/>
          <w:marRight w:val="0"/>
          <w:marTop w:val="0"/>
          <w:marBottom w:val="0"/>
          <w:divBdr>
            <w:top w:val="none" w:sz="0" w:space="0" w:color="auto"/>
            <w:left w:val="none" w:sz="0" w:space="0" w:color="auto"/>
            <w:bottom w:val="none" w:sz="0" w:space="0" w:color="auto"/>
            <w:right w:val="none" w:sz="0" w:space="0" w:color="auto"/>
          </w:divBdr>
        </w:div>
      </w:divsChild>
    </w:div>
    <w:div w:id="1137989001">
      <w:marLeft w:val="3"/>
      <w:marRight w:val="0"/>
      <w:marTop w:val="120"/>
      <w:marBottom w:val="0"/>
      <w:divBdr>
        <w:top w:val="none" w:sz="0" w:space="0" w:color="auto"/>
        <w:left w:val="none" w:sz="0" w:space="0" w:color="auto"/>
        <w:bottom w:val="none" w:sz="0" w:space="0" w:color="auto"/>
        <w:right w:val="none" w:sz="0" w:space="0" w:color="auto"/>
      </w:divBdr>
      <w:divsChild>
        <w:div w:id="1773084813">
          <w:marLeft w:val="0"/>
          <w:marRight w:val="0"/>
          <w:marTop w:val="0"/>
          <w:marBottom w:val="0"/>
          <w:divBdr>
            <w:top w:val="none" w:sz="0" w:space="0" w:color="auto"/>
            <w:left w:val="none" w:sz="0" w:space="0" w:color="auto"/>
            <w:bottom w:val="none" w:sz="0" w:space="0" w:color="auto"/>
            <w:right w:val="none" w:sz="0" w:space="0" w:color="auto"/>
          </w:divBdr>
        </w:div>
      </w:divsChild>
    </w:div>
    <w:div w:id="1141729291">
      <w:marLeft w:val="4"/>
      <w:marRight w:val="0"/>
      <w:marTop w:val="60"/>
      <w:marBottom w:val="0"/>
      <w:divBdr>
        <w:top w:val="none" w:sz="0" w:space="0" w:color="auto"/>
        <w:left w:val="none" w:sz="0" w:space="0" w:color="auto"/>
        <w:bottom w:val="none" w:sz="0" w:space="0" w:color="auto"/>
        <w:right w:val="none" w:sz="0" w:space="0" w:color="auto"/>
      </w:divBdr>
      <w:divsChild>
        <w:div w:id="152990389">
          <w:marLeft w:val="0"/>
          <w:marRight w:val="0"/>
          <w:marTop w:val="0"/>
          <w:marBottom w:val="0"/>
          <w:divBdr>
            <w:top w:val="none" w:sz="0" w:space="0" w:color="auto"/>
            <w:left w:val="none" w:sz="0" w:space="0" w:color="auto"/>
            <w:bottom w:val="none" w:sz="0" w:space="0" w:color="auto"/>
            <w:right w:val="none" w:sz="0" w:space="0" w:color="auto"/>
          </w:divBdr>
        </w:div>
      </w:divsChild>
    </w:div>
    <w:div w:id="1145394956">
      <w:marLeft w:val="4"/>
      <w:marRight w:val="0"/>
      <w:marTop w:val="60"/>
      <w:marBottom w:val="0"/>
      <w:divBdr>
        <w:top w:val="none" w:sz="0" w:space="0" w:color="auto"/>
        <w:left w:val="none" w:sz="0" w:space="0" w:color="auto"/>
        <w:bottom w:val="none" w:sz="0" w:space="0" w:color="auto"/>
        <w:right w:val="none" w:sz="0" w:space="0" w:color="auto"/>
      </w:divBdr>
      <w:divsChild>
        <w:div w:id="2058622806">
          <w:marLeft w:val="0"/>
          <w:marRight w:val="0"/>
          <w:marTop w:val="0"/>
          <w:marBottom w:val="0"/>
          <w:divBdr>
            <w:top w:val="none" w:sz="0" w:space="0" w:color="auto"/>
            <w:left w:val="none" w:sz="0" w:space="0" w:color="auto"/>
            <w:bottom w:val="none" w:sz="0" w:space="0" w:color="auto"/>
            <w:right w:val="none" w:sz="0" w:space="0" w:color="auto"/>
          </w:divBdr>
        </w:div>
      </w:divsChild>
    </w:div>
    <w:div w:id="1151680523">
      <w:marLeft w:val="0"/>
      <w:marRight w:val="0"/>
      <w:marTop w:val="0"/>
      <w:marBottom w:val="0"/>
      <w:divBdr>
        <w:top w:val="none" w:sz="0" w:space="0" w:color="auto"/>
        <w:left w:val="none" w:sz="0" w:space="0" w:color="auto"/>
        <w:bottom w:val="none" w:sz="0" w:space="0" w:color="auto"/>
        <w:right w:val="none" w:sz="0" w:space="0" w:color="auto"/>
      </w:divBdr>
    </w:div>
    <w:div w:id="1252812168">
      <w:marLeft w:val="3"/>
      <w:marRight w:val="0"/>
      <w:marTop w:val="120"/>
      <w:marBottom w:val="0"/>
      <w:divBdr>
        <w:top w:val="none" w:sz="0" w:space="0" w:color="auto"/>
        <w:left w:val="none" w:sz="0" w:space="0" w:color="auto"/>
        <w:bottom w:val="none" w:sz="0" w:space="0" w:color="auto"/>
        <w:right w:val="none" w:sz="0" w:space="0" w:color="auto"/>
      </w:divBdr>
      <w:divsChild>
        <w:div w:id="1844127919">
          <w:marLeft w:val="0"/>
          <w:marRight w:val="0"/>
          <w:marTop w:val="0"/>
          <w:marBottom w:val="0"/>
          <w:divBdr>
            <w:top w:val="none" w:sz="0" w:space="0" w:color="auto"/>
            <w:left w:val="none" w:sz="0" w:space="0" w:color="auto"/>
            <w:bottom w:val="none" w:sz="0" w:space="0" w:color="auto"/>
            <w:right w:val="none" w:sz="0" w:space="0" w:color="auto"/>
          </w:divBdr>
        </w:div>
      </w:divsChild>
    </w:div>
    <w:div w:id="1253856112">
      <w:marLeft w:val="3"/>
      <w:marRight w:val="0"/>
      <w:marTop w:val="120"/>
      <w:marBottom w:val="0"/>
      <w:divBdr>
        <w:top w:val="none" w:sz="0" w:space="0" w:color="auto"/>
        <w:left w:val="none" w:sz="0" w:space="0" w:color="auto"/>
        <w:bottom w:val="none" w:sz="0" w:space="0" w:color="auto"/>
        <w:right w:val="none" w:sz="0" w:space="0" w:color="auto"/>
      </w:divBdr>
      <w:divsChild>
        <w:div w:id="1362853392">
          <w:marLeft w:val="0"/>
          <w:marRight w:val="0"/>
          <w:marTop w:val="0"/>
          <w:marBottom w:val="0"/>
          <w:divBdr>
            <w:top w:val="none" w:sz="0" w:space="0" w:color="auto"/>
            <w:left w:val="none" w:sz="0" w:space="0" w:color="auto"/>
            <w:bottom w:val="none" w:sz="0" w:space="0" w:color="auto"/>
            <w:right w:val="none" w:sz="0" w:space="0" w:color="auto"/>
          </w:divBdr>
        </w:div>
      </w:divsChild>
    </w:div>
    <w:div w:id="1256591005">
      <w:marLeft w:val="3"/>
      <w:marRight w:val="0"/>
      <w:marTop w:val="120"/>
      <w:marBottom w:val="0"/>
      <w:divBdr>
        <w:top w:val="none" w:sz="0" w:space="0" w:color="auto"/>
        <w:left w:val="none" w:sz="0" w:space="0" w:color="auto"/>
        <w:bottom w:val="none" w:sz="0" w:space="0" w:color="auto"/>
        <w:right w:val="none" w:sz="0" w:space="0" w:color="auto"/>
      </w:divBdr>
      <w:divsChild>
        <w:div w:id="864517214">
          <w:marLeft w:val="0"/>
          <w:marRight w:val="0"/>
          <w:marTop w:val="0"/>
          <w:marBottom w:val="0"/>
          <w:divBdr>
            <w:top w:val="none" w:sz="0" w:space="0" w:color="auto"/>
            <w:left w:val="none" w:sz="0" w:space="0" w:color="auto"/>
            <w:bottom w:val="none" w:sz="0" w:space="0" w:color="auto"/>
            <w:right w:val="none" w:sz="0" w:space="0" w:color="auto"/>
          </w:divBdr>
        </w:div>
      </w:divsChild>
    </w:div>
    <w:div w:id="1272665347">
      <w:marLeft w:val="3"/>
      <w:marRight w:val="0"/>
      <w:marTop w:val="120"/>
      <w:marBottom w:val="0"/>
      <w:divBdr>
        <w:top w:val="none" w:sz="0" w:space="0" w:color="auto"/>
        <w:left w:val="none" w:sz="0" w:space="0" w:color="auto"/>
        <w:bottom w:val="none" w:sz="0" w:space="0" w:color="auto"/>
        <w:right w:val="none" w:sz="0" w:space="0" w:color="auto"/>
      </w:divBdr>
      <w:divsChild>
        <w:div w:id="573928965">
          <w:marLeft w:val="0"/>
          <w:marRight w:val="0"/>
          <w:marTop w:val="0"/>
          <w:marBottom w:val="0"/>
          <w:divBdr>
            <w:top w:val="none" w:sz="0" w:space="0" w:color="auto"/>
            <w:left w:val="none" w:sz="0" w:space="0" w:color="auto"/>
            <w:bottom w:val="none" w:sz="0" w:space="0" w:color="auto"/>
            <w:right w:val="none" w:sz="0" w:space="0" w:color="auto"/>
          </w:divBdr>
        </w:div>
      </w:divsChild>
    </w:div>
    <w:div w:id="1274047690">
      <w:marLeft w:val="4"/>
      <w:marRight w:val="0"/>
      <w:marTop w:val="60"/>
      <w:marBottom w:val="0"/>
      <w:divBdr>
        <w:top w:val="none" w:sz="0" w:space="0" w:color="auto"/>
        <w:left w:val="none" w:sz="0" w:space="0" w:color="auto"/>
        <w:bottom w:val="none" w:sz="0" w:space="0" w:color="auto"/>
        <w:right w:val="none" w:sz="0" w:space="0" w:color="auto"/>
      </w:divBdr>
      <w:divsChild>
        <w:div w:id="1551576156">
          <w:marLeft w:val="0"/>
          <w:marRight w:val="0"/>
          <w:marTop w:val="0"/>
          <w:marBottom w:val="0"/>
          <w:divBdr>
            <w:top w:val="none" w:sz="0" w:space="0" w:color="auto"/>
            <w:left w:val="none" w:sz="0" w:space="0" w:color="auto"/>
            <w:bottom w:val="none" w:sz="0" w:space="0" w:color="auto"/>
            <w:right w:val="none" w:sz="0" w:space="0" w:color="auto"/>
          </w:divBdr>
        </w:div>
      </w:divsChild>
    </w:div>
    <w:div w:id="1282228158">
      <w:marLeft w:val="4"/>
      <w:marRight w:val="0"/>
      <w:marTop w:val="120"/>
      <w:marBottom w:val="0"/>
      <w:divBdr>
        <w:top w:val="none" w:sz="0" w:space="0" w:color="auto"/>
        <w:left w:val="none" w:sz="0" w:space="0" w:color="auto"/>
        <w:bottom w:val="none" w:sz="0" w:space="0" w:color="auto"/>
        <w:right w:val="none" w:sz="0" w:space="0" w:color="auto"/>
      </w:divBdr>
      <w:divsChild>
        <w:div w:id="1089423764">
          <w:marLeft w:val="0"/>
          <w:marRight w:val="0"/>
          <w:marTop w:val="0"/>
          <w:marBottom w:val="0"/>
          <w:divBdr>
            <w:top w:val="none" w:sz="0" w:space="0" w:color="auto"/>
            <w:left w:val="none" w:sz="0" w:space="0" w:color="auto"/>
            <w:bottom w:val="none" w:sz="0" w:space="0" w:color="auto"/>
            <w:right w:val="none" w:sz="0" w:space="0" w:color="auto"/>
          </w:divBdr>
        </w:div>
      </w:divsChild>
    </w:div>
    <w:div w:id="1312753565">
      <w:marLeft w:val="4"/>
      <w:marRight w:val="0"/>
      <w:marTop w:val="120"/>
      <w:marBottom w:val="0"/>
      <w:divBdr>
        <w:top w:val="none" w:sz="0" w:space="0" w:color="auto"/>
        <w:left w:val="none" w:sz="0" w:space="0" w:color="auto"/>
        <w:bottom w:val="none" w:sz="0" w:space="0" w:color="auto"/>
        <w:right w:val="none" w:sz="0" w:space="0" w:color="auto"/>
      </w:divBdr>
      <w:divsChild>
        <w:div w:id="2003653173">
          <w:marLeft w:val="0"/>
          <w:marRight w:val="0"/>
          <w:marTop w:val="0"/>
          <w:marBottom w:val="0"/>
          <w:divBdr>
            <w:top w:val="none" w:sz="0" w:space="0" w:color="auto"/>
            <w:left w:val="none" w:sz="0" w:space="0" w:color="auto"/>
            <w:bottom w:val="none" w:sz="0" w:space="0" w:color="auto"/>
            <w:right w:val="none" w:sz="0" w:space="0" w:color="auto"/>
          </w:divBdr>
        </w:div>
      </w:divsChild>
    </w:div>
    <w:div w:id="1316178961">
      <w:marLeft w:val="4"/>
      <w:marRight w:val="0"/>
      <w:marTop w:val="60"/>
      <w:marBottom w:val="0"/>
      <w:divBdr>
        <w:top w:val="none" w:sz="0" w:space="0" w:color="auto"/>
        <w:left w:val="none" w:sz="0" w:space="0" w:color="auto"/>
        <w:bottom w:val="none" w:sz="0" w:space="0" w:color="auto"/>
        <w:right w:val="none" w:sz="0" w:space="0" w:color="auto"/>
      </w:divBdr>
      <w:divsChild>
        <w:div w:id="851645974">
          <w:marLeft w:val="0"/>
          <w:marRight w:val="0"/>
          <w:marTop w:val="0"/>
          <w:marBottom w:val="0"/>
          <w:divBdr>
            <w:top w:val="none" w:sz="0" w:space="0" w:color="auto"/>
            <w:left w:val="none" w:sz="0" w:space="0" w:color="auto"/>
            <w:bottom w:val="none" w:sz="0" w:space="0" w:color="auto"/>
            <w:right w:val="none" w:sz="0" w:space="0" w:color="auto"/>
          </w:divBdr>
        </w:div>
      </w:divsChild>
    </w:div>
    <w:div w:id="1340279399">
      <w:marLeft w:val="4"/>
      <w:marRight w:val="0"/>
      <w:marTop w:val="60"/>
      <w:marBottom w:val="0"/>
      <w:divBdr>
        <w:top w:val="none" w:sz="0" w:space="0" w:color="auto"/>
        <w:left w:val="none" w:sz="0" w:space="0" w:color="auto"/>
        <w:bottom w:val="none" w:sz="0" w:space="0" w:color="auto"/>
        <w:right w:val="none" w:sz="0" w:space="0" w:color="auto"/>
      </w:divBdr>
      <w:divsChild>
        <w:div w:id="1121025502">
          <w:marLeft w:val="0"/>
          <w:marRight w:val="0"/>
          <w:marTop w:val="0"/>
          <w:marBottom w:val="0"/>
          <w:divBdr>
            <w:top w:val="none" w:sz="0" w:space="0" w:color="auto"/>
            <w:left w:val="none" w:sz="0" w:space="0" w:color="auto"/>
            <w:bottom w:val="none" w:sz="0" w:space="0" w:color="auto"/>
            <w:right w:val="none" w:sz="0" w:space="0" w:color="auto"/>
          </w:divBdr>
        </w:div>
      </w:divsChild>
    </w:div>
    <w:div w:id="1342076544">
      <w:marLeft w:val="4"/>
      <w:marRight w:val="0"/>
      <w:marTop w:val="60"/>
      <w:marBottom w:val="0"/>
      <w:divBdr>
        <w:top w:val="none" w:sz="0" w:space="0" w:color="auto"/>
        <w:left w:val="none" w:sz="0" w:space="0" w:color="auto"/>
        <w:bottom w:val="none" w:sz="0" w:space="0" w:color="auto"/>
        <w:right w:val="none" w:sz="0" w:space="0" w:color="auto"/>
      </w:divBdr>
      <w:divsChild>
        <w:div w:id="433138042">
          <w:marLeft w:val="0"/>
          <w:marRight w:val="0"/>
          <w:marTop w:val="0"/>
          <w:marBottom w:val="0"/>
          <w:divBdr>
            <w:top w:val="none" w:sz="0" w:space="0" w:color="auto"/>
            <w:left w:val="none" w:sz="0" w:space="0" w:color="auto"/>
            <w:bottom w:val="none" w:sz="0" w:space="0" w:color="auto"/>
            <w:right w:val="none" w:sz="0" w:space="0" w:color="auto"/>
          </w:divBdr>
        </w:div>
      </w:divsChild>
    </w:div>
    <w:div w:id="1365903998">
      <w:marLeft w:val="3"/>
      <w:marRight w:val="0"/>
      <w:marTop w:val="120"/>
      <w:marBottom w:val="0"/>
      <w:divBdr>
        <w:top w:val="none" w:sz="0" w:space="0" w:color="auto"/>
        <w:left w:val="none" w:sz="0" w:space="0" w:color="auto"/>
        <w:bottom w:val="none" w:sz="0" w:space="0" w:color="auto"/>
        <w:right w:val="none" w:sz="0" w:space="0" w:color="auto"/>
      </w:divBdr>
      <w:divsChild>
        <w:div w:id="2065642091">
          <w:marLeft w:val="0"/>
          <w:marRight w:val="0"/>
          <w:marTop w:val="0"/>
          <w:marBottom w:val="0"/>
          <w:divBdr>
            <w:top w:val="none" w:sz="0" w:space="0" w:color="auto"/>
            <w:left w:val="none" w:sz="0" w:space="0" w:color="auto"/>
            <w:bottom w:val="none" w:sz="0" w:space="0" w:color="auto"/>
            <w:right w:val="none" w:sz="0" w:space="0" w:color="auto"/>
          </w:divBdr>
        </w:div>
      </w:divsChild>
    </w:div>
    <w:div w:id="1380669294">
      <w:marLeft w:val="3"/>
      <w:marRight w:val="0"/>
      <w:marTop w:val="120"/>
      <w:marBottom w:val="0"/>
      <w:divBdr>
        <w:top w:val="none" w:sz="0" w:space="0" w:color="auto"/>
        <w:left w:val="none" w:sz="0" w:space="0" w:color="auto"/>
        <w:bottom w:val="none" w:sz="0" w:space="0" w:color="auto"/>
        <w:right w:val="none" w:sz="0" w:space="0" w:color="auto"/>
      </w:divBdr>
      <w:divsChild>
        <w:div w:id="1578520076">
          <w:marLeft w:val="0"/>
          <w:marRight w:val="0"/>
          <w:marTop w:val="0"/>
          <w:marBottom w:val="0"/>
          <w:divBdr>
            <w:top w:val="none" w:sz="0" w:space="0" w:color="auto"/>
            <w:left w:val="none" w:sz="0" w:space="0" w:color="auto"/>
            <w:bottom w:val="none" w:sz="0" w:space="0" w:color="auto"/>
            <w:right w:val="none" w:sz="0" w:space="0" w:color="auto"/>
          </w:divBdr>
        </w:div>
      </w:divsChild>
    </w:div>
    <w:div w:id="1384207313">
      <w:marLeft w:val="4"/>
      <w:marRight w:val="0"/>
      <w:marTop w:val="60"/>
      <w:marBottom w:val="0"/>
      <w:divBdr>
        <w:top w:val="none" w:sz="0" w:space="0" w:color="auto"/>
        <w:left w:val="none" w:sz="0" w:space="0" w:color="auto"/>
        <w:bottom w:val="none" w:sz="0" w:space="0" w:color="auto"/>
        <w:right w:val="none" w:sz="0" w:space="0" w:color="auto"/>
      </w:divBdr>
      <w:divsChild>
        <w:div w:id="566918502">
          <w:marLeft w:val="0"/>
          <w:marRight w:val="0"/>
          <w:marTop w:val="0"/>
          <w:marBottom w:val="0"/>
          <w:divBdr>
            <w:top w:val="none" w:sz="0" w:space="0" w:color="auto"/>
            <w:left w:val="none" w:sz="0" w:space="0" w:color="auto"/>
            <w:bottom w:val="none" w:sz="0" w:space="0" w:color="auto"/>
            <w:right w:val="none" w:sz="0" w:space="0" w:color="auto"/>
          </w:divBdr>
        </w:div>
      </w:divsChild>
    </w:div>
    <w:div w:id="1394698979">
      <w:marLeft w:val="3"/>
      <w:marRight w:val="0"/>
      <w:marTop w:val="120"/>
      <w:marBottom w:val="0"/>
      <w:divBdr>
        <w:top w:val="none" w:sz="0" w:space="0" w:color="auto"/>
        <w:left w:val="none" w:sz="0" w:space="0" w:color="auto"/>
        <w:bottom w:val="none" w:sz="0" w:space="0" w:color="auto"/>
        <w:right w:val="none" w:sz="0" w:space="0" w:color="auto"/>
      </w:divBdr>
      <w:divsChild>
        <w:div w:id="1843814429">
          <w:marLeft w:val="0"/>
          <w:marRight w:val="0"/>
          <w:marTop w:val="0"/>
          <w:marBottom w:val="0"/>
          <w:divBdr>
            <w:top w:val="none" w:sz="0" w:space="0" w:color="auto"/>
            <w:left w:val="none" w:sz="0" w:space="0" w:color="auto"/>
            <w:bottom w:val="none" w:sz="0" w:space="0" w:color="auto"/>
            <w:right w:val="none" w:sz="0" w:space="0" w:color="auto"/>
          </w:divBdr>
        </w:div>
      </w:divsChild>
    </w:div>
    <w:div w:id="1419252169">
      <w:marLeft w:val="3"/>
      <w:marRight w:val="0"/>
      <w:marTop w:val="120"/>
      <w:marBottom w:val="0"/>
      <w:divBdr>
        <w:top w:val="none" w:sz="0" w:space="0" w:color="auto"/>
        <w:left w:val="none" w:sz="0" w:space="0" w:color="auto"/>
        <w:bottom w:val="none" w:sz="0" w:space="0" w:color="auto"/>
        <w:right w:val="none" w:sz="0" w:space="0" w:color="auto"/>
      </w:divBdr>
      <w:divsChild>
        <w:div w:id="256596714">
          <w:marLeft w:val="0"/>
          <w:marRight w:val="0"/>
          <w:marTop w:val="0"/>
          <w:marBottom w:val="0"/>
          <w:divBdr>
            <w:top w:val="none" w:sz="0" w:space="0" w:color="auto"/>
            <w:left w:val="none" w:sz="0" w:space="0" w:color="auto"/>
            <w:bottom w:val="none" w:sz="0" w:space="0" w:color="auto"/>
            <w:right w:val="none" w:sz="0" w:space="0" w:color="auto"/>
          </w:divBdr>
        </w:div>
      </w:divsChild>
    </w:div>
    <w:div w:id="1446387204">
      <w:marLeft w:val="3"/>
      <w:marRight w:val="0"/>
      <w:marTop w:val="120"/>
      <w:marBottom w:val="0"/>
      <w:divBdr>
        <w:top w:val="none" w:sz="0" w:space="0" w:color="auto"/>
        <w:left w:val="none" w:sz="0" w:space="0" w:color="auto"/>
        <w:bottom w:val="none" w:sz="0" w:space="0" w:color="auto"/>
        <w:right w:val="none" w:sz="0" w:space="0" w:color="auto"/>
      </w:divBdr>
      <w:divsChild>
        <w:div w:id="1470241169">
          <w:marLeft w:val="0"/>
          <w:marRight w:val="0"/>
          <w:marTop w:val="0"/>
          <w:marBottom w:val="0"/>
          <w:divBdr>
            <w:top w:val="none" w:sz="0" w:space="0" w:color="auto"/>
            <w:left w:val="none" w:sz="0" w:space="0" w:color="auto"/>
            <w:bottom w:val="none" w:sz="0" w:space="0" w:color="auto"/>
            <w:right w:val="none" w:sz="0" w:space="0" w:color="auto"/>
          </w:divBdr>
        </w:div>
      </w:divsChild>
    </w:div>
    <w:div w:id="1519199629">
      <w:marLeft w:val="0"/>
      <w:marRight w:val="0"/>
      <w:marTop w:val="0"/>
      <w:marBottom w:val="0"/>
      <w:divBdr>
        <w:top w:val="none" w:sz="0" w:space="0" w:color="auto"/>
        <w:left w:val="none" w:sz="0" w:space="0" w:color="auto"/>
        <w:bottom w:val="none" w:sz="0" w:space="0" w:color="auto"/>
        <w:right w:val="none" w:sz="0" w:space="0" w:color="auto"/>
      </w:divBdr>
      <w:divsChild>
        <w:div w:id="279652100">
          <w:marLeft w:val="0"/>
          <w:marRight w:val="0"/>
          <w:marTop w:val="0"/>
          <w:marBottom w:val="0"/>
          <w:divBdr>
            <w:top w:val="none" w:sz="0" w:space="0" w:color="auto"/>
            <w:left w:val="none" w:sz="0" w:space="0" w:color="auto"/>
            <w:bottom w:val="none" w:sz="0" w:space="0" w:color="auto"/>
            <w:right w:val="none" w:sz="0" w:space="0" w:color="auto"/>
          </w:divBdr>
        </w:div>
      </w:divsChild>
    </w:div>
    <w:div w:id="1537081735">
      <w:marLeft w:val="3"/>
      <w:marRight w:val="0"/>
      <w:marTop w:val="120"/>
      <w:marBottom w:val="0"/>
      <w:divBdr>
        <w:top w:val="none" w:sz="0" w:space="0" w:color="auto"/>
        <w:left w:val="none" w:sz="0" w:space="0" w:color="auto"/>
        <w:bottom w:val="none" w:sz="0" w:space="0" w:color="auto"/>
        <w:right w:val="none" w:sz="0" w:space="0" w:color="auto"/>
      </w:divBdr>
      <w:divsChild>
        <w:div w:id="792871149">
          <w:marLeft w:val="0"/>
          <w:marRight w:val="0"/>
          <w:marTop w:val="0"/>
          <w:marBottom w:val="0"/>
          <w:divBdr>
            <w:top w:val="none" w:sz="0" w:space="0" w:color="auto"/>
            <w:left w:val="none" w:sz="0" w:space="0" w:color="auto"/>
            <w:bottom w:val="none" w:sz="0" w:space="0" w:color="auto"/>
            <w:right w:val="none" w:sz="0" w:space="0" w:color="auto"/>
          </w:divBdr>
        </w:div>
      </w:divsChild>
    </w:div>
    <w:div w:id="1539514406">
      <w:marLeft w:val="3"/>
      <w:marRight w:val="0"/>
      <w:marTop w:val="120"/>
      <w:marBottom w:val="0"/>
      <w:divBdr>
        <w:top w:val="none" w:sz="0" w:space="0" w:color="auto"/>
        <w:left w:val="none" w:sz="0" w:space="0" w:color="auto"/>
        <w:bottom w:val="none" w:sz="0" w:space="0" w:color="auto"/>
        <w:right w:val="none" w:sz="0" w:space="0" w:color="auto"/>
      </w:divBdr>
      <w:divsChild>
        <w:div w:id="942693221">
          <w:marLeft w:val="0"/>
          <w:marRight w:val="0"/>
          <w:marTop w:val="0"/>
          <w:marBottom w:val="0"/>
          <w:divBdr>
            <w:top w:val="none" w:sz="0" w:space="0" w:color="auto"/>
            <w:left w:val="none" w:sz="0" w:space="0" w:color="auto"/>
            <w:bottom w:val="none" w:sz="0" w:space="0" w:color="auto"/>
            <w:right w:val="none" w:sz="0" w:space="0" w:color="auto"/>
          </w:divBdr>
        </w:div>
      </w:divsChild>
    </w:div>
    <w:div w:id="1564366658">
      <w:marLeft w:val="3"/>
      <w:marRight w:val="0"/>
      <w:marTop w:val="120"/>
      <w:marBottom w:val="0"/>
      <w:divBdr>
        <w:top w:val="none" w:sz="0" w:space="0" w:color="auto"/>
        <w:left w:val="none" w:sz="0" w:space="0" w:color="auto"/>
        <w:bottom w:val="none" w:sz="0" w:space="0" w:color="auto"/>
        <w:right w:val="none" w:sz="0" w:space="0" w:color="auto"/>
      </w:divBdr>
      <w:divsChild>
        <w:div w:id="1946646969">
          <w:marLeft w:val="0"/>
          <w:marRight w:val="0"/>
          <w:marTop w:val="0"/>
          <w:marBottom w:val="0"/>
          <w:divBdr>
            <w:top w:val="none" w:sz="0" w:space="0" w:color="auto"/>
            <w:left w:val="none" w:sz="0" w:space="0" w:color="auto"/>
            <w:bottom w:val="none" w:sz="0" w:space="0" w:color="auto"/>
            <w:right w:val="none" w:sz="0" w:space="0" w:color="auto"/>
          </w:divBdr>
        </w:div>
      </w:divsChild>
    </w:div>
    <w:div w:id="1564831319">
      <w:marLeft w:val="0"/>
      <w:marRight w:val="0"/>
      <w:marTop w:val="0"/>
      <w:marBottom w:val="0"/>
      <w:divBdr>
        <w:top w:val="none" w:sz="0" w:space="0" w:color="auto"/>
        <w:left w:val="none" w:sz="0" w:space="0" w:color="auto"/>
        <w:bottom w:val="none" w:sz="0" w:space="0" w:color="auto"/>
        <w:right w:val="none" w:sz="0" w:space="0" w:color="auto"/>
      </w:divBdr>
    </w:div>
    <w:div w:id="1568876231">
      <w:marLeft w:val="4"/>
      <w:marRight w:val="0"/>
      <w:marTop w:val="60"/>
      <w:marBottom w:val="0"/>
      <w:divBdr>
        <w:top w:val="none" w:sz="0" w:space="0" w:color="auto"/>
        <w:left w:val="none" w:sz="0" w:space="0" w:color="auto"/>
        <w:bottom w:val="none" w:sz="0" w:space="0" w:color="auto"/>
        <w:right w:val="none" w:sz="0" w:space="0" w:color="auto"/>
      </w:divBdr>
      <w:divsChild>
        <w:div w:id="1411346626">
          <w:marLeft w:val="0"/>
          <w:marRight w:val="0"/>
          <w:marTop w:val="0"/>
          <w:marBottom w:val="0"/>
          <w:divBdr>
            <w:top w:val="none" w:sz="0" w:space="0" w:color="auto"/>
            <w:left w:val="none" w:sz="0" w:space="0" w:color="auto"/>
            <w:bottom w:val="none" w:sz="0" w:space="0" w:color="auto"/>
            <w:right w:val="none" w:sz="0" w:space="0" w:color="auto"/>
          </w:divBdr>
        </w:div>
      </w:divsChild>
    </w:div>
    <w:div w:id="1588147309">
      <w:marLeft w:val="3"/>
      <w:marRight w:val="0"/>
      <w:marTop w:val="120"/>
      <w:marBottom w:val="0"/>
      <w:divBdr>
        <w:top w:val="none" w:sz="0" w:space="0" w:color="auto"/>
        <w:left w:val="none" w:sz="0" w:space="0" w:color="auto"/>
        <w:bottom w:val="none" w:sz="0" w:space="0" w:color="auto"/>
        <w:right w:val="none" w:sz="0" w:space="0" w:color="auto"/>
      </w:divBdr>
      <w:divsChild>
        <w:div w:id="1505975738">
          <w:marLeft w:val="0"/>
          <w:marRight w:val="0"/>
          <w:marTop w:val="0"/>
          <w:marBottom w:val="0"/>
          <w:divBdr>
            <w:top w:val="none" w:sz="0" w:space="0" w:color="auto"/>
            <w:left w:val="none" w:sz="0" w:space="0" w:color="auto"/>
            <w:bottom w:val="none" w:sz="0" w:space="0" w:color="auto"/>
            <w:right w:val="none" w:sz="0" w:space="0" w:color="auto"/>
          </w:divBdr>
        </w:div>
      </w:divsChild>
    </w:div>
    <w:div w:id="1598245195">
      <w:marLeft w:val="3"/>
      <w:marRight w:val="0"/>
      <w:marTop w:val="120"/>
      <w:marBottom w:val="0"/>
      <w:divBdr>
        <w:top w:val="none" w:sz="0" w:space="0" w:color="auto"/>
        <w:left w:val="none" w:sz="0" w:space="0" w:color="auto"/>
        <w:bottom w:val="none" w:sz="0" w:space="0" w:color="auto"/>
        <w:right w:val="none" w:sz="0" w:space="0" w:color="auto"/>
      </w:divBdr>
      <w:divsChild>
        <w:div w:id="1382241622">
          <w:marLeft w:val="0"/>
          <w:marRight w:val="0"/>
          <w:marTop w:val="0"/>
          <w:marBottom w:val="0"/>
          <w:divBdr>
            <w:top w:val="none" w:sz="0" w:space="0" w:color="auto"/>
            <w:left w:val="none" w:sz="0" w:space="0" w:color="auto"/>
            <w:bottom w:val="none" w:sz="0" w:space="0" w:color="auto"/>
            <w:right w:val="none" w:sz="0" w:space="0" w:color="auto"/>
          </w:divBdr>
        </w:div>
      </w:divsChild>
    </w:div>
    <w:div w:id="1612014090">
      <w:marLeft w:val="3"/>
      <w:marRight w:val="0"/>
      <w:marTop w:val="120"/>
      <w:marBottom w:val="0"/>
      <w:divBdr>
        <w:top w:val="none" w:sz="0" w:space="0" w:color="auto"/>
        <w:left w:val="none" w:sz="0" w:space="0" w:color="auto"/>
        <w:bottom w:val="none" w:sz="0" w:space="0" w:color="auto"/>
        <w:right w:val="none" w:sz="0" w:space="0" w:color="auto"/>
      </w:divBdr>
      <w:divsChild>
        <w:div w:id="1297292532">
          <w:marLeft w:val="0"/>
          <w:marRight w:val="0"/>
          <w:marTop w:val="0"/>
          <w:marBottom w:val="0"/>
          <w:divBdr>
            <w:top w:val="none" w:sz="0" w:space="0" w:color="auto"/>
            <w:left w:val="none" w:sz="0" w:space="0" w:color="auto"/>
            <w:bottom w:val="none" w:sz="0" w:space="0" w:color="auto"/>
            <w:right w:val="none" w:sz="0" w:space="0" w:color="auto"/>
          </w:divBdr>
        </w:div>
      </w:divsChild>
    </w:div>
    <w:div w:id="1618754443">
      <w:marLeft w:val="0"/>
      <w:marRight w:val="0"/>
      <w:marTop w:val="0"/>
      <w:marBottom w:val="0"/>
      <w:divBdr>
        <w:top w:val="none" w:sz="0" w:space="0" w:color="auto"/>
        <w:left w:val="none" w:sz="0" w:space="0" w:color="auto"/>
        <w:bottom w:val="none" w:sz="0" w:space="0" w:color="auto"/>
        <w:right w:val="none" w:sz="0" w:space="0" w:color="auto"/>
      </w:divBdr>
      <w:divsChild>
        <w:div w:id="949362165">
          <w:marLeft w:val="0"/>
          <w:marRight w:val="0"/>
          <w:marTop w:val="0"/>
          <w:marBottom w:val="0"/>
          <w:divBdr>
            <w:top w:val="none" w:sz="0" w:space="0" w:color="auto"/>
            <w:left w:val="none" w:sz="0" w:space="0" w:color="auto"/>
            <w:bottom w:val="none" w:sz="0" w:space="0" w:color="auto"/>
            <w:right w:val="none" w:sz="0" w:space="0" w:color="auto"/>
          </w:divBdr>
        </w:div>
      </w:divsChild>
    </w:div>
    <w:div w:id="1652370264">
      <w:marLeft w:val="3"/>
      <w:marRight w:val="0"/>
      <w:marTop w:val="120"/>
      <w:marBottom w:val="0"/>
      <w:divBdr>
        <w:top w:val="none" w:sz="0" w:space="0" w:color="auto"/>
        <w:left w:val="none" w:sz="0" w:space="0" w:color="auto"/>
        <w:bottom w:val="none" w:sz="0" w:space="0" w:color="auto"/>
        <w:right w:val="none" w:sz="0" w:space="0" w:color="auto"/>
      </w:divBdr>
      <w:divsChild>
        <w:div w:id="2057730239">
          <w:marLeft w:val="0"/>
          <w:marRight w:val="0"/>
          <w:marTop w:val="0"/>
          <w:marBottom w:val="0"/>
          <w:divBdr>
            <w:top w:val="none" w:sz="0" w:space="0" w:color="auto"/>
            <w:left w:val="none" w:sz="0" w:space="0" w:color="auto"/>
            <w:bottom w:val="none" w:sz="0" w:space="0" w:color="auto"/>
            <w:right w:val="none" w:sz="0" w:space="0" w:color="auto"/>
          </w:divBdr>
        </w:div>
      </w:divsChild>
    </w:div>
    <w:div w:id="1653296266">
      <w:marLeft w:val="4"/>
      <w:marRight w:val="0"/>
      <w:marTop w:val="60"/>
      <w:marBottom w:val="0"/>
      <w:divBdr>
        <w:top w:val="none" w:sz="0" w:space="0" w:color="auto"/>
        <w:left w:val="none" w:sz="0" w:space="0" w:color="auto"/>
        <w:bottom w:val="none" w:sz="0" w:space="0" w:color="auto"/>
        <w:right w:val="none" w:sz="0" w:space="0" w:color="auto"/>
      </w:divBdr>
      <w:divsChild>
        <w:div w:id="180898450">
          <w:marLeft w:val="0"/>
          <w:marRight w:val="0"/>
          <w:marTop w:val="0"/>
          <w:marBottom w:val="0"/>
          <w:divBdr>
            <w:top w:val="none" w:sz="0" w:space="0" w:color="auto"/>
            <w:left w:val="none" w:sz="0" w:space="0" w:color="auto"/>
            <w:bottom w:val="none" w:sz="0" w:space="0" w:color="auto"/>
            <w:right w:val="none" w:sz="0" w:space="0" w:color="auto"/>
          </w:divBdr>
        </w:div>
      </w:divsChild>
    </w:div>
    <w:div w:id="1657227443">
      <w:marLeft w:val="4"/>
      <w:marRight w:val="0"/>
      <w:marTop w:val="60"/>
      <w:marBottom w:val="0"/>
      <w:divBdr>
        <w:top w:val="none" w:sz="0" w:space="0" w:color="auto"/>
        <w:left w:val="none" w:sz="0" w:space="0" w:color="auto"/>
        <w:bottom w:val="none" w:sz="0" w:space="0" w:color="auto"/>
        <w:right w:val="none" w:sz="0" w:space="0" w:color="auto"/>
      </w:divBdr>
      <w:divsChild>
        <w:div w:id="1842038137">
          <w:marLeft w:val="0"/>
          <w:marRight w:val="0"/>
          <w:marTop w:val="0"/>
          <w:marBottom w:val="0"/>
          <w:divBdr>
            <w:top w:val="none" w:sz="0" w:space="0" w:color="auto"/>
            <w:left w:val="none" w:sz="0" w:space="0" w:color="auto"/>
            <w:bottom w:val="none" w:sz="0" w:space="0" w:color="auto"/>
            <w:right w:val="none" w:sz="0" w:space="0" w:color="auto"/>
          </w:divBdr>
        </w:div>
      </w:divsChild>
    </w:div>
    <w:div w:id="1667785870">
      <w:marLeft w:val="3"/>
      <w:marRight w:val="0"/>
      <w:marTop w:val="120"/>
      <w:marBottom w:val="0"/>
      <w:divBdr>
        <w:top w:val="none" w:sz="0" w:space="0" w:color="auto"/>
        <w:left w:val="none" w:sz="0" w:space="0" w:color="auto"/>
        <w:bottom w:val="none" w:sz="0" w:space="0" w:color="auto"/>
        <w:right w:val="none" w:sz="0" w:space="0" w:color="auto"/>
      </w:divBdr>
      <w:divsChild>
        <w:div w:id="1056586218">
          <w:marLeft w:val="0"/>
          <w:marRight w:val="0"/>
          <w:marTop w:val="0"/>
          <w:marBottom w:val="0"/>
          <w:divBdr>
            <w:top w:val="none" w:sz="0" w:space="0" w:color="auto"/>
            <w:left w:val="none" w:sz="0" w:space="0" w:color="auto"/>
            <w:bottom w:val="none" w:sz="0" w:space="0" w:color="auto"/>
            <w:right w:val="none" w:sz="0" w:space="0" w:color="auto"/>
          </w:divBdr>
        </w:div>
      </w:divsChild>
    </w:div>
    <w:div w:id="1759253617">
      <w:marLeft w:val="3"/>
      <w:marRight w:val="0"/>
      <w:marTop w:val="120"/>
      <w:marBottom w:val="0"/>
      <w:divBdr>
        <w:top w:val="none" w:sz="0" w:space="0" w:color="auto"/>
        <w:left w:val="none" w:sz="0" w:space="0" w:color="auto"/>
        <w:bottom w:val="none" w:sz="0" w:space="0" w:color="auto"/>
        <w:right w:val="none" w:sz="0" w:space="0" w:color="auto"/>
      </w:divBdr>
      <w:divsChild>
        <w:div w:id="250628464">
          <w:marLeft w:val="0"/>
          <w:marRight w:val="0"/>
          <w:marTop w:val="0"/>
          <w:marBottom w:val="0"/>
          <w:divBdr>
            <w:top w:val="none" w:sz="0" w:space="0" w:color="auto"/>
            <w:left w:val="none" w:sz="0" w:space="0" w:color="auto"/>
            <w:bottom w:val="none" w:sz="0" w:space="0" w:color="auto"/>
            <w:right w:val="none" w:sz="0" w:space="0" w:color="auto"/>
          </w:divBdr>
        </w:div>
      </w:divsChild>
    </w:div>
    <w:div w:id="1765371821">
      <w:marLeft w:val="0"/>
      <w:marRight w:val="0"/>
      <w:marTop w:val="0"/>
      <w:marBottom w:val="0"/>
      <w:divBdr>
        <w:top w:val="none" w:sz="0" w:space="0" w:color="auto"/>
        <w:left w:val="none" w:sz="0" w:space="0" w:color="auto"/>
        <w:bottom w:val="none" w:sz="0" w:space="0" w:color="auto"/>
        <w:right w:val="none" w:sz="0" w:space="0" w:color="auto"/>
      </w:divBdr>
      <w:divsChild>
        <w:div w:id="2029677417">
          <w:marLeft w:val="0"/>
          <w:marRight w:val="0"/>
          <w:marTop w:val="0"/>
          <w:marBottom w:val="0"/>
          <w:divBdr>
            <w:top w:val="none" w:sz="0" w:space="0" w:color="auto"/>
            <w:left w:val="none" w:sz="0" w:space="0" w:color="auto"/>
            <w:bottom w:val="none" w:sz="0" w:space="0" w:color="auto"/>
            <w:right w:val="none" w:sz="0" w:space="0" w:color="auto"/>
          </w:divBdr>
          <w:divsChild>
            <w:div w:id="1540627846">
              <w:marLeft w:val="4"/>
              <w:marRight w:val="0"/>
              <w:marTop w:val="0"/>
              <w:marBottom w:val="0"/>
              <w:divBdr>
                <w:top w:val="none" w:sz="0" w:space="0" w:color="auto"/>
                <w:left w:val="none" w:sz="0" w:space="0" w:color="auto"/>
                <w:bottom w:val="none" w:sz="0" w:space="0" w:color="auto"/>
                <w:right w:val="none" w:sz="0" w:space="0" w:color="auto"/>
              </w:divBdr>
              <w:divsChild>
                <w:div w:id="1249969905">
                  <w:marLeft w:val="0"/>
                  <w:marRight w:val="0"/>
                  <w:marTop w:val="0"/>
                  <w:marBottom w:val="0"/>
                  <w:divBdr>
                    <w:top w:val="none" w:sz="0" w:space="0" w:color="auto"/>
                    <w:left w:val="none" w:sz="0" w:space="0" w:color="auto"/>
                    <w:bottom w:val="none" w:sz="0" w:space="0" w:color="auto"/>
                    <w:right w:val="none" w:sz="0" w:space="0" w:color="auto"/>
                  </w:divBdr>
                </w:div>
              </w:divsChild>
            </w:div>
            <w:div w:id="1864399607">
              <w:marLeft w:val="4"/>
              <w:marRight w:val="0"/>
              <w:marTop w:val="40"/>
              <w:marBottom w:val="0"/>
              <w:divBdr>
                <w:top w:val="none" w:sz="0" w:space="0" w:color="auto"/>
                <w:left w:val="none" w:sz="0" w:space="0" w:color="auto"/>
                <w:bottom w:val="none" w:sz="0" w:space="0" w:color="auto"/>
                <w:right w:val="none" w:sz="0" w:space="0" w:color="auto"/>
              </w:divBdr>
              <w:divsChild>
                <w:div w:id="9149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8608">
          <w:marLeft w:val="0"/>
          <w:marRight w:val="0"/>
          <w:marTop w:val="0"/>
          <w:marBottom w:val="0"/>
          <w:divBdr>
            <w:top w:val="none" w:sz="0" w:space="0" w:color="auto"/>
            <w:left w:val="none" w:sz="0" w:space="0" w:color="auto"/>
            <w:bottom w:val="none" w:sz="0" w:space="0" w:color="auto"/>
            <w:right w:val="none" w:sz="0" w:space="0" w:color="auto"/>
          </w:divBdr>
          <w:divsChild>
            <w:div w:id="324012851">
              <w:marLeft w:val="4"/>
              <w:marRight w:val="0"/>
              <w:marTop w:val="0"/>
              <w:marBottom w:val="0"/>
              <w:divBdr>
                <w:top w:val="none" w:sz="0" w:space="0" w:color="auto"/>
                <w:left w:val="none" w:sz="0" w:space="0" w:color="auto"/>
                <w:bottom w:val="none" w:sz="0" w:space="0" w:color="auto"/>
                <w:right w:val="none" w:sz="0" w:space="0" w:color="auto"/>
              </w:divBdr>
              <w:divsChild>
                <w:div w:id="357241354">
                  <w:marLeft w:val="0"/>
                  <w:marRight w:val="0"/>
                  <w:marTop w:val="0"/>
                  <w:marBottom w:val="0"/>
                  <w:divBdr>
                    <w:top w:val="none" w:sz="0" w:space="0" w:color="auto"/>
                    <w:left w:val="none" w:sz="0" w:space="0" w:color="auto"/>
                    <w:bottom w:val="none" w:sz="0" w:space="0" w:color="auto"/>
                    <w:right w:val="none" w:sz="0" w:space="0" w:color="auto"/>
                  </w:divBdr>
                </w:div>
              </w:divsChild>
            </w:div>
            <w:div w:id="1870026695">
              <w:marLeft w:val="4"/>
              <w:marRight w:val="0"/>
              <w:marTop w:val="40"/>
              <w:marBottom w:val="0"/>
              <w:divBdr>
                <w:top w:val="none" w:sz="0" w:space="0" w:color="auto"/>
                <w:left w:val="none" w:sz="0" w:space="0" w:color="auto"/>
                <w:bottom w:val="none" w:sz="0" w:space="0" w:color="auto"/>
                <w:right w:val="none" w:sz="0" w:space="0" w:color="auto"/>
              </w:divBdr>
              <w:divsChild>
                <w:div w:id="1095058516">
                  <w:marLeft w:val="0"/>
                  <w:marRight w:val="0"/>
                  <w:marTop w:val="0"/>
                  <w:marBottom w:val="0"/>
                  <w:divBdr>
                    <w:top w:val="none" w:sz="0" w:space="0" w:color="auto"/>
                    <w:left w:val="none" w:sz="0" w:space="0" w:color="auto"/>
                    <w:bottom w:val="none" w:sz="0" w:space="0" w:color="auto"/>
                    <w:right w:val="none" w:sz="0" w:space="0" w:color="auto"/>
                  </w:divBdr>
                </w:div>
              </w:divsChild>
            </w:div>
            <w:div w:id="2101370881">
              <w:marLeft w:val="4"/>
              <w:marRight w:val="0"/>
              <w:marTop w:val="40"/>
              <w:marBottom w:val="0"/>
              <w:divBdr>
                <w:top w:val="none" w:sz="0" w:space="0" w:color="auto"/>
                <w:left w:val="none" w:sz="0" w:space="0" w:color="auto"/>
                <w:bottom w:val="none" w:sz="0" w:space="0" w:color="auto"/>
                <w:right w:val="none" w:sz="0" w:space="0" w:color="auto"/>
              </w:divBdr>
              <w:divsChild>
                <w:div w:id="151919618">
                  <w:marLeft w:val="0"/>
                  <w:marRight w:val="0"/>
                  <w:marTop w:val="0"/>
                  <w:marBottom w:val="0"/>
                  <w:divBdr>
                    <w:top w:val="none" w:sz="0" w:space="0" w:color="auto"/>
                    <w:left w:val="none" w:sz="0" w:space="0" w:color="auto"/>
                    <w:bottom w:val="none" w:sz="0" w:space="0" w:color="auto"/>
                    <w:right w:val="none" w:sz="0" w:space="0" w:color="auto"/>
                  </w:divBdr>
                </w:div>
              </w:divsChild>
            </w:div>
            <w:div w:id="1511410888">
              <w:marLeft w:val="4"/>
              <w:marRight w:val="0"/>
              <w:marTop w:val="40"/>
              <w:marBottom w:val="0"/>
              <w:divBdr>
                <w:top w:val="none" w:sz="0" w:space="0" w:color="auto"/>
                <w:left w:val="none" w:sz="0" w:space="0" w:color="auto"/>
                <w:bottom w:val="none" w:sz="0" w:space="0" w:color="auto"/>
                <w:right w:val="none" w:sz="0" w:space="0" w:color="auto"/>
              </w:divBdr>
              <w:divsChild>
                <w:div w:id="938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62">
          <w:marLeft w:val="0"/>
          <w:marRight w:val="0"/>
          <w:marTop w:val="0"/>
          <w:marBottom w:val="0"/>
          <w:divBdr>
            <w:top w:val="none" w:sz="0" w:space="0" w:color="auto"/>
            <w:left w:val="none" w:sz="0" w:space="0" w:color="auto"/>
            <w:bottom w:val="none" w:sz="0" w:space="0" w:color="auto"/>
            <w:right w:val="none" w:sz="0" w:space="0" w:color="auto"/>
          </w:divBdr>
        </w:div>
        <w:div w:id="1375344527">
          <w:marLeft w:val="0"/>
          <w:marRight w:val="0"/>
          <w:marTop w:val="0"/>
          <w:marBottom w:val="0"/>
          <w:divBdr>
            <w:top w:val="none" w:sz="0" w:space="0" w:color="auto"/>
            <w:left w:val="none" w:sz="0" w:space="0" w:color="auto"/>
            <w:bottom w:val="none" w:sz="0" w:space="0" w:color="auto"/>
            <w:right w:val="none" w:sz="0" w:space="0" w:color="auto"/>
          </w:divBdr>
        </w:div>
      </w:divsChild>
    </w:div>
    <w:div w:id="1766416739">
      <w:marLeft w:val="3"/>
      <w:marRight w:val="0"/>
      <w:marTop w:val="120"/>
      <w:marBottom w:val="0"/>
      <w:divBdr>
        <w:top w:val="none" w:sz="0" w:space="0" w:color="auto"/>
        <w:left w:val="none" w:sz="0" w:space="0" w:color="auto"/>
        <w:bottom w:val="none" w:sz="0" w:space="0" w:color="auto"/>
        <w:right w:val="none" w:sz="0" w:space="0" w:color="auto"/>
      </w:divBdr>
      <w:divsChild>
        <w:div w:id="1032415602">
          <w:marLeft w:val="0"/>
          <w:marRight w:val="0"/>
          <w:marTop w:val="0"/>
          <w:marBottom w:val="0"/>
          <w:divBdr>
            <w:top w:val="none" w:sz="0" w:space="0" w:color="auto"/>
            <w:left w:val="none" w:sz="0" w:space="0" w:color="auto"/>
            <w:bottom w:val="none" w:sz="0" w:space="0" w:color="auto"/>
            <w:right w:val="none" w:sz="0" w:space="0" w:color="auto"/>
          </w:divBdr>
        </w:div>
      </w:divsChild>
    </w:div>
    <w:div w:id="1771973413">
      <w:marLeft w:val="0"/>
      <w:marRight w:val="0"/>
      <w:marTop w:val="0"/>
      <w:marBottom w:val="0"/>
      <w:divBdr>
        <w:top w:val="none" w:sz="0" w:space="0" w:color="auto"/>
        <w:left w:val="none" w:sz="0" w:space="0" w:color="auto"/>
        <w:bottom w:val="none" w:sz="0" w:space="0" w:color="auto"/>
        <w:right w:val="none" w:sz="0" w:space="0" w:color="auto"/>
      </w:divBdr>
    </w:div>
    <w:div w:id="1795177192">
      <w:marLeft w:val="4"/>
      <w:marRight w:val="0"/>
      <w:marTop w:val="120"/>
      <w:marBottom w:val="0"/>
      <w:divBdr>
        <w:top w:val="none" w:sz="0" w:space="0" w:color="auto"/>
        <w:left w:val="none" w:sz="0" w:space="0" w:color="auto"/>
        <w:bottom w:val="none" w:sz="0" w:space="0" w:color="auto"/>
        <w:right w:val="none" w:sz="0" w:space="0" w:color="auto"/>
      </w:divBdr>
      <w:divsChild>
        <w:div w:id="373769270">
          <w:marLeft w:val="0"/>
          <w:marRight w:val="0"/>
          <w:marTop w:val="0"/>
          <w:marBottom w:val="0"/>
          <w:divBdr>
            <w:top w:val="none" w:sz="0" w:space="0" w:color="auto"/>
            <w:left w:val="none" w:sz="0" w:space="0" w:color="auto"/>
            <w:bottom w:val="none" w:sz="0" w:space="0" w:color="auto"/>
            <w:right w:val="none" w:sz="0" w:space="0" w:color="auto"/>
          </w:divBdr>
        </w:div>
      </w:divsChild>
    </w:div>
    <w:div w:id="1806003202">
      <w:marLeft w:val="4"/>
      <w:marRight w:val="0"/>
      <w:marTop w:val="120"/>
      <w:marBottom w:val="0"/>
      <w:divBdr>
        <w:top w:val="none" w:sz="0" w:space="0" w:color="auto"/>
        <w:left w:val="none" w:sz="0" w:space="0" w:color="auto"/>
        <w:bottom w:val="none" w:sz="0" w:space="0" w:color="auto"/>
        <w:right w:val="none" w:sz="0" w:space="0" w:color="auto"/>
      </w:divBdr>
      <w:divsChild>
        <w:div w:id="355234940">
          <w:marLeft w:val="0"/>
          <w:marRight w:val="0"/>
          <w:marTop w:val="0"/>
          <w:marBottom w:val="0"/>
          <w:divBdr>
            <w:top w:val="none" w:sz="0" w:space="0" w:color="auto"/>
            <w:left w:val="none" w:sz="0" w:space="0" w:color="auto"/>
            <w:bottom w:val="none" w:sz="0" w:space="0" w:color="auto"/>
            <w:right w:val="none" w:sz="0" w:space="0" w:color="auto"/>
          </w:divBdr>
        </w:div>
      </w:divsChild>
    </w:div>
    <w:div w:id="1816070734">
      <w:marLeft w:val="3"/>
      <w:marRight w:val="0"/>
      <w:marTop w:val="120"/>
      <w:marBottom w:val="0"/>
      <w:divBdr>
        <w:top w:val="none" w:sz="0" w:space="0" w:color="auto"/>
        <w:left w:val="none" w:sz="0" w:space="0" w:color="auto"/>
        <w:bottom w:val="none" w:sz="0" w:space="0" w:color="auto"/>
        <w:right w:val="none" w:sz="0" w:space="0" w:color="auto"/>
      </w:divBdr>
      <w:divsChild>
        <w:div w:id="1274288386">
          <w:marLeft w:val="0"/>
          <w:marRight w:val="0"/>
          <w:marTop w:val="0"/>
          <w:marBottom w:val="0"/>
          <w:divBdr>
            <w:top w:val="none" w:sz="0" w:space="0" w:color="auto"/>
            <w:left w:val="none" w:sz="0" w:space="0" w:color="auto"/>
            <w:bottom w:val="none" w:sz="0" w:space="0" w:color="auto"/>
            <w:right w:val="none" w:sz="0" w:space="0" w:color="auto"/>
          </w:divBdr>
        </w:div>
      </w:divsChild>
    </w:div>
    <w:div w:id="1845436965">
      <w:marLeft w:val="3"/>
      <w:marRight w:val="0"/>
      <w:marTop w:val="120"/>
      <w:marBottom w:val="0"/>
      <w:divBdr>
        <w:top w:val="none" w:sz="0" w:space="0" w:color="auto"/>
        <w:left w:val="none" w:sz="0" w:space="0" w:color="auto"/>
        <w:bottom w:val="none" w:sz="0" w:space="0" w:color="auto"/>
        <w:right w:val="none" w:sz="0" w:space="0" w:color="auto"/>
      </w:divBdr>
      <w:divsChild>
        <w:div w:id="1402098710">
          <w:marLeft w:val="0"/>
          <w:marRight w:val="0"/>
          <w:marTop w:val="0"/>
          <w:marBottom w:val="0"/>
          <w:divBdr>
            <w:top w:val="none" w:sz="0" w:space="0" w:color="auto"/>
            <w:left w:val="none" w:sz="0" w:space="0" w:color="auto"/>
            <w:bottom w:val="none" w:sz="0" w:space="0" w:color="auto"/>
            <w:right w:val="none" w:sz="0" w:space="0" w:color="auto"/>
          </w:divBdr>
        </w:div>
      </w:divsChild>
    </w:div>
    <w:div w:id="1863274543">
      <w:marLeft w:val="0"/>
      <w:marRight w:val="0"/>
      <w:marTop w:val="0"/>
      <w:marBottom w:val="0"/>
      <w:divBdr>
        <w:top w:val="none" w:sz="0" w:space="0" w:color="auto"/>
        <w:left w:val="none" w:sz="0" w:space="0" w:color="auto"/>
        <w:bottom w:val="none" w:sz="0" w:space="0" w:color="auto"/>
        <w:right w:val="none" w:sz="0" w:space="0" w:color="auto"/>
      </w:divBdr>
    </w:div>
    <w:div w:id="1864246442">
      <w:marLeft w:val="0"/>
      <w:marRight w:val="0"/>
      <w:marTop w:val="0"/>
      <w:marBottom w:val="0"/>
      <w:divBdr>
        <w:top w:val="none" w:sz="0" w:space="0" w:color="auto"/>
        <w:left w:val="none" w:sz="0" w:space="0" w:color="auto"/>
        <w:bottom w:val="none" w:sz="0" w:space="0" w:color="auto"/>
        <w:right w:val="none" w:sz="0" w:space="0" w:color="auto"/>
      </w:divBdr>
      <w:divsChild>
        <w:div w:id="1698121252">
          <w:marLeft w:val="0"/>
          <w:marRight w:val="0"/>
          <w:marTop w:val="0"/>
          <w:marBottom w:val="0"/>
          <w:divBdr>
            <w:top w:val="none" w:sz="0" w:space="0" w:color="auto"/>
            <w:left w:val="none" w:sz="0" w:space="0" w:color="auto"/>
            <w:bottom w:val="none" w:sz="0" w:space="0" w:color="auto"/>
            <w:right w:val="none" w:sz="0" w:space="0" w:color="auto"/>
          </w:divBdr>
        </w:div>
      </w:divsChild>
    </w:div>
    <w:div w:id="1872764009">
      <w:marLeft w:val="4"/>
      <w:marRight w:val="0"/>
      <w:marTop w:val="60"/>
      <w:marBottom w:val="0"/>
      <w:divBdr>
        <w:top w:val="none" w:sz="0" w:space="0" w:color="auto"/>
        <w:left w:val="none" w:sz="0" w:space="0" w:color="auto"/>
        <w:bottom w:val="none" w:sz="0" w:space="0" w:color="auto"/>
        <w:right w:val="none" w:sz="0" w:space="0" w:color="auto"/>
      </w:divBdr>
      <w:divsChild>
        <w:div w:id="1757707869">
          <w:marLeft w:val="0"/>
          <w:marRight w:val="0"/>
          <w:marTop w:val="0"/>
          <w:marBottom w:val="0"/>
          <w:divBdr>
            <w:top w:val="none" w:sz="0" w:space="0" w:color="auto"/>
            <w:left w:val="none" w:sz="0" w:space="0" w:color="auto"/>
            <w:bottom w:val="none" w:sz="0" w:space="0" w:color="auto"/>
            <w:right w:val="none" w:sz="0" w:space="0" w:color="auto"/>
          </w:divBdr>
        </w:div>
      </w:divsChild>
    </w:div>
    <w:div w:id="1875146178">
      <w:marLeft w:val="0"/>
      <w:marRight w:val="0"/>
      <w:marTop w:val="0"/>
      <w:marBottom w:val="0"/>
      <w:divBdr>
        <w:top w:val="none" w:sz="0" w:space="0" w:color="auto"/>
        <w:left w:val="none" w:sz="0" w:space="0" w:color="auto"/>
        <w:bottom w:val="none" w:sz="0" w:space="0" w:color="auto"/>
        <w:right w:val="none" w:sz="0" w:space="0" w:color="auto"/>
      </w:divBdr>
      <w:divsChild>
        <w:div w:id="1699623908">
          <w:marLeft w:val="0"/>
          <w:marRight w:val="0"/>
          <w:marTop w:val="0"/>
          <w:marBottom w:val="0"/>
          <w:divBdr>
            <w:top w:val="none" w:sz="0" w:space="0" w:color="auto"/>
            <w:left w:val="none" w:sz="0" w:space="0" w:color="auto"/>
            <w:bottom w:val="none" w:sz="0" w:space="0" w:color="auto"/>
            <w:right w:val="none" w:sz="0" w:space="0" w:color="auto"/>
          </w:divBdr>
        </w:div>
        <w:div w:id="1745910088">
          <w:marLeft w:val="0"/>
          <w:marRight w:val="0"/>
          <w:marTop w:val="0"/>
          <w:marBottom w:val="0"/>
          <w:divBdr>
            <w:top w:val="none" w:sz="0" w:space="0" w:color="auto"/>
            <w:left w:val="none" w:sz="0" w:space="0" w:color="auto"/>
            <w:bottom w:val="none" w:sz="0" w:space="0" w:color="auto"/>
            <w:right w:val="none" w:sz="0" w:space="0" w:color="auto"/>
          </w:divBdr>
        </w:div>
      </w:divsChild>
    </w:div>
    <w:div w:id="1893033905">
      <w:marLeft w:val="3"/>
      <w:marRight w:val="0"/>
      <w:marTop w:val="120"/>
      <w:marBottom w:val="0"/>
      <w:divBdr>
        <w:top w:val="none" w:sz="0" w:space="0" w:color="auto"/>
        <w:left w:val="none" w:sz="0" w:space="0" w:color="auto"/>
        <w:bottom w:val="none" w:sz="0" w:space="0" w:color="auto"/>
        <w:right w:val="none" w:sz="0" w:space="0" w:color="auto"/>
      </w:divBdr>
      <w:divsChild>
        <w:div w:id="1163202764">
          <w:marLeft w:val="0"/>
          <w:marRight w:val="0"/>
          <w:marTop w:val="0"/>
          <w:marBottom w:val="0"/>
          <w:divBdr>
            <w:top w:val="none" w:sz="0" w:space="0" w:color="auto"/>
            <w:left w:val="none" w:sz="0" w:space="0" w:color="auto"/>
            <w:bottom w:val="none" w:sz="0" w:space="0" w:color="auto"/>
            <w:right w:val="none" w:sz="0" w:space="0" w:color="auto"/>
          </w:divBdr>
        </w:div>
      </w:divsChild>
    </w:div>
    <w:div w:id="1941060644">
      <w:marLeft w:val="3"/>
      <w:marRight w:val="0"/>
      <w:marTop w:val="120"/>
      <w:marBottom w:val="0"/>
      <w:divBdr>
        <w:top w:val="none" w:sz="0" w:space="0" w:color="auto"/>
        <w:left w:val="none" w:sz="0" w:space="0" w:color="auto"/>
        <w:bottom w:val="none" w:sz="0" w:space="0" w:color="auto"/>
        <w:right w:val="none" w:sz="0" w:space="0" w:color="auto"/>
      </w:divBdr>
      <w:divsChild>
        <w:div w:id="714159457">
          <w:marLeft w:val="0"/>
          <w:marRight w:val="0"/>
          <w:marTop w:val="0"/>
          <w:marBottom w:val="0"/>
          <w:divBdr>
            <w:top w:val="none" w:sz="0" w:space="0" w:color="auto"/>
            <w:left w:val="none" w:sz="0" w:space="0" w:color="auto"/>
            <w:bottom w:val="none" w:sz="0" w:space="0" w:color="auto"/>
            <w:right w:val="none" w:sz="0" w:space="0" w:color="auto"/>
          </w:divBdr>
        </w:div>
      </w:divsChild>
    </w:div>
    <w:div w:id="1952544808">
      <w:marLeft w:val="4"/>
      <w:marRight w:val="0"/>
      <w:marTop w:val="60"/>
      <w:marBottom w:val="0"/>
      <w:divBdr>
        <w:top w:val="none" w:sz="0" w:space="0" w:color="auto"/>
        <w:left w:val="none" w:sz="0" w:space="0" w:color="auto"/>
        <w:bottom w:val="none" w:sz="0" w:space="0" w:color="auto"/>
        <w:right w:val="none" w:sz="0" w:space="0" w:color="auto"/>
      </w:divBdr>
      <w:divsChild>
        <w:div w:id="1778060475">
          <w:marLeft w:val="0"/>
          <w:marRight w:val="0"/>
          <w:marTop w:val="0"/>
          <w:marBottom w:val="0"/>
          <w:divBdr>
            <w:top w:val="none" w:sz="0" w:space="0" w:color="auto"/>
            <w:left w:val="none" w:sz="0" w:space="0" w:color="auto"/>
            <w:bottom w:val="none" w:sz="0" w:space="0" w:color="auto"/>
            <w:right w:val="none" w:sz="0" w:space="0" w:color="auto"/>
          </w:divBdr>
        </w:div>
      </w:divsChild>
    </w:div>
    <w:div w:id="1968465525">
      <w:marLeft w:val="3"/>
      <w:marRight w:val="0"/>
      <w:marTop w:val="120"/>
      <w:marBottom w:val="0"/>
      <w:divBdr>
        <w:top w:val="none" w:sz="0" w:space="0" w:color="auto"/>
        <w:left w:val="none" w:sz="0" w:space="0" w:color="auto"/>
        <w:bottom w:val="none" w:sz="0" w:space="0" w:color="auto"/>
        <w:right w:val="none" w:sz="0" w:space="0" w:color="auto"/>
      </w:divBdr>
      <w:divsChild>
        <w:div w:id="750589263">
          <w:marLeft w:val="0"/>
          <w:marRight w:val="0"/>
          <w:marTop w:val="0"/>
          <w:marBottom w:val="0"/>
          <w:divBdr>
            <w:top w:val="none" w:sz="0" w:space="0" w:color="auto"/>
            <w:left w:val="none" w:sz="0" w:space="0" w:color="auto"/>
            <w:bottom w:val="none" w:sz="0" w:space="0" w:color="auto"/>
            <w:right w:val="none" w:sz="0" w:space="0" w:color="auto"/>
          </w:divBdr>
        </w:div>
      </w:divsChild>
    </w:div>
    <w:div w:id="1973052909">
      <w:marLeft w:val="4"/>
      <w:marRight w:val="0"/>
      <w:marTop w:val="60"/>
      <w:marBottom w:val="0"/>
      <w:divBdr>
        <w:top w:val="none" w:sz="0" w:space="0" w:color="auto"/>
        <w:left w:val="none" w:sz="0" w:space="0" w:color="auto"/>
        <w:bottom w:val="none" w:sz="0" w:space="0" w:color="auto"/>
        <w:right w:val="none" w:sz="0" w:space="0" w:color="auto"/>
      </w:divBdr>
      <w:divsChild>
        <w:div w:id="611669888">
          <w:marLeft w:val="0"/>
          <w:marRight w:val="0"/>
          <w:marTop w:val="0"/>
          <w:marBottom w:val="0"/>
          <w:divBdr>
            <w:top w:val="none" w:sz="0" w:space="0" w:color="auto"/>
            <w:left w:val="none" w:sz="0" w:space="0" w:color="auto"/>
            <w:bottom w:val="none" w:sz="0" w:space="0" w:color="auto"/>
            <w:right w:val="none" w:sz="0" w:space="0" w:color="auto"/>
          </w:divBdr>
        </w:div>
      </w:divsChild>
    </w:div>
    <w:div w:id="2036269824">
      <w:marLeft w:val="4"/>
      <w:marRight w:val="0"/>
      <w:marTop w:val="60"/>
      <w:marBottom w:val="0"/>
      <w:divBdr>
        <w:top w:val="none" w:sz="0" w:space="0" w:color="auto"/>
        <w:left w:val="none" w:sz="0" w:space="0" w:color="auto"/>
        <w:bottom w:val="none" w:sz="0" w:space="0" w:color="auto"/>
        <w:right w:val="none" w:sz="0" w:space="0" w:color="auto"/>
      </w:divBdr>
      <w:divsChild>
        <w:div w:id="1215852888">
          <w:marLeft w:val="0"/>
          <w:marRight w:val="0"/>
          <w:marTop w:val="0"/>
          <w:marBottom w:val="0"/>
          <w:divBdr>
            <w:top w:val="none" w:sz="0" w:space="0" w:color="auto"/>
            <w:left w:val="none" w:sz="0" w:space="0" w:color="auto"/>
            <w:bottom w:val="none" w:sz="0" w:space="0" w:color="auto"/>
            <w:right w:val="none" w:sz="0" w:space="0" w:color="auto"/>
          </w:divBdr>
        </w:div>
      </w:divsChild>
    </w:div>
    <w:div w:id="2039961211">
      <w:marLeft w:val="3"/>
      <w:marRight w:val="0"/>
      <w:marTop w:val="120"/>
      <w:marBottom w:val="0"/>
      <w:divBdr>
        <w:top w:val="none" w:sz="0" w:space="0" w:color="auto"/>
        <w:left w:val="none" w:sz="0" w:space="0" w:color="auto"/>
        <w:bottom w:val="none" w:sz="0" w:space="0" w:color="auto"/>
        <w:right w:val="none" w:sz="0" w:space="0" w:color="auto"/>
      </w:divBdr>
      <w:divsChild>
        <w:div w:id="587421005">
          <w:marLeft w:val="0"/>
          <w:marRight w:val="0"/>
          <w:marTop w:val="0"/>
          <w:marBottom w:val="0"/>
          <w:divBdr>
            <w:top w:val="none" w:sz="0" w:space="0" w:color="auto"/>
            <w:left w:val="none" w:sz="0" w:space="0" w:color="auto"/>
            <w:bottom w:val="none" w:sz="0" w:space="0" w:color="auto"/>
            <w:right w:val="none" w:sz="0" w:space="0" w:color="auto"/>
          </w:divBdr>
        </w:div>
      </w:divsChild>
    </w:div>
    <w:div w:id="2048985598">
      <w:marLeft w:val="3"/>
      <w:marRight w:val="0"/>
      <w:marTop w:val="120"/>
      <w:marBottom w:val="0"/>
      <w:divBdr>
        <w:top w:val="none" w:sz="0" w:space="0" w:color="auto"/>
        <w:left w:val="none" w:sz="0" w:space="0" w:color="auto"/>
        <w:bottom w:val="none" w:sz="0" w:space="0" w:color="auto"/>
        <w:right w:val="none" w:sz="0" w:space="0" w:color="auto"/>
      </w:divBdr>
      <w:divsChild>
        <w:div w:id="534657571">
          <w:marLeft w:val="0"/>
          <w:marRight w:val="0"/>
          <w:marTop w:val="0"/>
          <w:marBottom w:val="0"/>
          <w:divBdr>
            <w:top w:val="none" w:sz="0" w:space="0" w:color="auto"/>
            <w:left w:val="none" w:sz="0" w:space="0" w:color="auto"/>
            <w:bottom w:val="none" w:sz="0" w:space="0" w:color="auto"/>
            <w:right w:val="none" w:sz="0" w:space="0" w:color="auto"/>
          </w:divBdr>
        </w:div>
      </w:divsChild>
    </w:div>
    <w:div w:id="2084720963">
      <w:marLeft w:val="3"/>
      <w:marRight w:val="0"/>
      <w:marTop w:val="120"/>
      <w:marBottom w:val="0"/>
      <w:divBdr>
        <w:top w:val="none" w:sz="0" w:space="0" w:color="auto"/>
        <w:left w:val="none" w:sz="0" w:space="0" w:color="auto"/>
        <w:bottom w:val="none" w:sz="0" w:space="0" w:color="auto"/>
        <w:right w:val="none" w:sz="0" w:space="0" w:color="auto"/>
      </w:divBdr>
      <w:divsChild>
        <w:div w:id="1382707801">
          <w:marLeft w:val="0"/>
          <w:marRight w:val="0"/>
          <w:marTop w:val="0"/>
          <w:marBottom w:val="0"/>
          <w:divBdr>
            <w:top w:val="none" w:sz="0" w:space="0" w:color="auto"/>
            <w:left w:val="none" w:sz="0" w:space="0" w:color="auto"/>
            <w:bottom w:val="none" w:sz="0" w:space="0" w:color="auto"/>
            <w:right w:val="none" w:sz="0" w:space="0" w:color="auto"/>
          </w:divBdr>
        </w:div>
      </w:divsChild>
    </w:div>
    <w:div w:id="2098091691">
      <w:marLeft w:val="4"/>
      <w:marRight w:val="0"/>
      <w:marTop w:val="120"/>
      <w:marBottom w:val="0"/>
      <w:divBdr>
        <w:top w:val="none" w:sz="0" w:space="0" w:color="auto"/>
        <w:left w:val="none" w:sz="0" w:space="0" w:color="auto"/>
        <w:bottom w:val="none" w:sz="0" w:space="0" w:color="auto"/>
        <w:right w:val="none" w:sz="0" w:space="0" w:color="auto"/>
      </w:divBdr>
      <w:divsChild>
        <w:div w:id="1674455466">
          <w:marLeft w:val="0"/>
          <w:marRight w:val="0"/>
          <w:marTop w:val="0"/>
          <w:marBottom w:val="0"/>
          <w:divBdr>
            <w:top w:val="none" w:sz="0" w:space="0" w:color="auto"/>
            <w:left w:val="none" w:sz="0" w:space="0" w:color="auto"/>
            <w:bottom w:val="none" w:sz="0" w:space="0" w:color="auto"/>
            <w:right w:val="none" w:sz="0" w:space="0" w:color="auto"/>
          </w:divBdr>
        </w:div>
      </w:divsChild>
    </w:div>
    <w:div w:id="2125466591">
      <w:marLeft w:val="3"/>
      <w:marRight w:val="0"/>
      <w:marTop w:val="120"/>
      <w:marBottom w:val="0"/>
      <w:divBdr>
        <w:top w:val="none" w:sz="0" w:space="0" w:color="auto"/>
        <w:left w:val="none" w:sz="0" w:space="0" w:color="auto"/>
        <w:bottom w:val="none" w:sz="0" w:space="0" w:color="auto"/>
        <w:right w:val="none" w:sz="0" w:space="0" w:color="auto"/>
      </w:divBdr>
      <w:divsChild>
        <w:div w:id="13598911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1803901/000119312521197353/d136958dex101.htm" TargetMode="External"/><Relationship Id="rId21" Type="http://schemas.openxmlformats.org/officeDocument/2006/relationships/hyperlink" Target="https://www.sec.gov/Archives/edgar/data/0001803901/000119312521260654/d552255dex992.htm" TargetMode="External"/><Relationship Id="rId42" Type="http://schemas.openxmlformats.org/officeDocument/2006/relationships/hyperlink" Target="https://www.sec.gov/Archives/edgar/data/0001803901/000095017021005127/talk-ex10_1.htm" TargetMode="External"/><Relationship Id="rId47" Type="http://schemas.openxmlformats.org/officeDocument/2006/relationships/hyperlink" Target="https://www.sec.gov/Archives/edgar/data/1803901/000095017022002102/talk-ex10_18.htm" TargetMode="External"/><Relationship Id="rId63" Type="http://schemas.openxmlformats.org/officeDocument/2006/relationships/hyperlink" Target="talk-ex31_2.htm" TargetMode="External"/><Relationship Id="rId68" Type="http://schemas.openxmlformats.org/officeDocument/2006/relationships/hyperlink" Target="talk-ex32_2.htm" TargetMode="External"/><Relationship Id="rId7" Type="http://schemas.openxmlformats.org/officeDocument/2006/relationships/hyperlink" Target="https://www.sec.gov/Archives/edgar/data/1803901/000119312521197385/d182715dex31.htm" TargetMode="External"/><Relationship Id="rId2" Type="http://schemas.openxmlformats.org/officeDocument/2006/relationships/settings" Target="settings.xml"/><Relationship Id="rId16" Type="http://schemas.openxmlformats.org/officeDocument/2006/relationships/hyperlink" Target="https://www.sec.gov/Archives/edgar/data/0001803901/000119312521167533/d119648dex45.htm" TargetMode="External"/><Relationship Id="rId29" Type="http://schemas.openxmlformats.org/officeDocument/2006/relationships/hyperlink" Target="https://www.sec.gov/Archives/edgar/data/0001803901/000119312521197353/d136958dex103.htm" TargetMode="External"/><Relationship Id="rId11" Type="http://schemas.openxmlformats.org/officeDocument/2006/relationships/hyperlink" Target="https://www.sec.gov/Archives/edgar/data/0001803901/000119312520166711/d937996dex41.htm" TargetMode="External"/><Relationship Id="rId24" Type="http://schemas.openxmlformats.org/officeDocument/2006/relationships/hyperlink" Target="https://www.sec.gov/Archives/edgar/data/0001803901/000119312521260654/d552255dex993.htm" TargetMode="External"/><Relationship Id="rId32" Type="http://schemas.openxmlformats.org/officeDocument/2006/relationships/hyperlink" Target="https://www.sec.gov/Archives/edgar/data/0001803901/000119312521197353/d136958dex107a.htm" TargetMode="External"/><Relationship Id="rId37" Type="http://schemas.openxmlformats.org/officeDocument/2006/relationships/hyperlink" Target="https://www.sec.gov/Archives/edgar/data/0001803901/000119312521106573/d119648dex1019.htm" TargetMode="External"/><Relationship Id="rId40" Type="http://schemas.openxmlformats.org/officeDocument/2006/relationships/hyperlink" Target="https://www.sec.gov/Archives/edgar/data/0001803901/000095017021001074/talk-20210630ex10_14.htm" TargetMode="External"/><Relationship Id="rId45" Type="http://schemas.openxmlformats.org/officeDocument/2006/relationships/hyperlink" Target="https://www.sec.gov/Archives/edgar/data/1803901/000095017022002102/talk-ex10_17.htm" TargetMode="External"/><Relationship Id="rId53" Type="http://schemas.openxmlformats.org/officeDocument/2006/relationships/hyperlink" Target="https://www.sec.gov/Archives/edgar/data/1803901/000095017022002102/talk-ex10_21.htm" TargetMode="External"/><Relationship Id="rId58" Type="http://schemas.openxmlformats.org/officeDocument/2006/relationships/hyperlink" Target="talk-ex21_1.htm" TargetMode="External"/><Relationship Id="rId66" Type="http://schemas.openxmlformats.org/officeDocument/2006/relationships/hyperlink" Target="talk-ex32_1.htm" TargetMode="External"/><Relationship Id="rId5" Type="http://schemas.openxmlformats.org/officeDocument/2006/relationships/hyperlink" Target="https://www.sec.gov/Archives/edgar/data/1803901/000119312521025013/d119648ds4.htm" TargetMode="External"/><Relationship Id="rId61" Type="http://schemas.openxmlformats.org/officeDocument/2006/relationships/hyperlink" Target="talk-ex31_1.htm" TargetMode="External"/><Relationship Id="rId19" Type="http://schemas.openxmlformats.org/officeDocument/2006/relationships/hyperlink" Target="https://www.sec.gov/Archives/edgar/data/0001803901/000119312521260654/d552255dex991.htm" TargetMode="External"/><Relationship Id="rId14" Type="http://schemas.openxmlformats.org/officeDocument/2006/relationships/hyperlink" Target="https://www.sec.gov/Archives/edgar/data/0001803901/000119312520161434/d846732dex43.htm" TargetMode="External"/><Relationship Id="rId22" Type="http://schemas.openxmlformats.org/officeDocument/2006/relationships/hyperlink" Target="https://www.sec.gov/Archives/edgar/data/0001803901/000119312521260654/d552255dex992.htm" TargetMode="External"/><Relationship Id="rId27" Type="http://schemas.openxmlformats.org/officeDocument/2006/relationships/hyperlink" Target="https://www.sec.gov/Archives/edgar/data/0001803901/000119312521197353/d136958dex102.htm" TargetMode="External"/><Relationship Id="rId30" Type="http://schemas.openxmlformats.org/officeDocument/2006/relationships/hyperlink" Target="https://www.sec.gov/Archives/edgar/data/0001803901/000119312521197353/d136958dex103.htm" TargetMode="External"/><Relationship Id="rId35" Type="http://schemas.openxmlformats.org/officeDocument/2006/relationships/hyperlink" Target="https://www.sec.gov/Archives/edgar/data/0001803901/000119312521197353/d136958dex109.htm" TargetMode="External"/><Relationship Id="rId43" Type="http://schemas.openxmlformats.org/officeDocument/2006/relationships/hyperlink" Target="https://www.sec.gov/Archives/edgar/data/1803901/000095017022002102/talk-ex10_16.htm" TargetMode="External"/><Relationship Id="rId48" Type="http://schemas.openxmlformats.org/officeDocument/2006/relationships/hyperlink" Target="https://www.sec.gov/Archives/edgar/data/1803901/000095017022002102/talk-ex10_18.htm" TargetMode="External"/><Relationship Id="rId56" Type="http://schemas.openxmlformats.org/officeDocument/2006/relationships/hyperlink" Target="talk-ex10_22.htm" TargetMode="External"/><Relationship Id="rId64" Type="http://schemas.openxmlformats.org/officeDocument/2006/relationships/hyperlink" Target="talk-ex31_2.htm" TargetMode="External"/><Relationship Id="rId69" Type="http://schemas.openxmlformats.org/officeDocument/2006/relationships/fontTable" Target="fontTable.xml"/><Relationship Id="rId8" Type="http://schemas.openxmlformats.org/officeDocument/2006/relationships/hyperlink" Target="https://www.sec.gov/Archives/edgar/data/1803901/000119312521197385/d182715dex31.htm" TargetMode="External"/><Relationship Id="rId51" Type="http://schemas.openxmlformats.org/officeDocument/2006/relationships/hyperlink" Target="https://www.sec.gov/Archives/edgar/data/1803901/000095017022002102/talk-ex10_20.htm" TargetMode="External"/><Relationship Id="rId3" Type="http://schemas.openxmlformats.org/officeDocument/2006/relationships/webSettings" Target="webSettings.xml"/><Relationship Id="rId12" Type="http://schemas.openxmlformats.org/officeDocument/2006/relationships/hyperlink" Target="https://www.sec.gov/Archives/edgar/data/0001803901/000119312520166711/d937996dex41.htm" TargetMode="External"/><Relationship Id="rId17" Type="http://schemas.openxmlformats.org/officeDocument/2006/relationships/hyperlink" Target="https://www.sec.gov/Archives/edgar/data/1803901/000095017022002102/talk-ex4_4.htm" TargetMode="External"/><Relationship Id="rId25" Type="http://schemas.openxmlformats.org/officeDocument/2006/relationships/hyperlink" Target="https://www.sec.gov/Archives/edgar/data/0001803901/000119312521197353/d136958dex101.htm" TargetMode="External"/><Relationship Id="rId33" Type="http://schemas.openxmlformats.org/officeDocument/2006/relationships/hyperlink" Target="https://www.sec.gov/Archives/edgar/data/0001803901/000119312521197353/d136958dex107b.htm" TargetMode="External"/><Relationship Id="rId38" Type="http://schemas.openxmlformats.org/officeDocument/2006/relationships/hyperlink" Target="https://www.sec.gov/Archives/edgar/data/0001803901/000119312521106573/d119648dex1019.htm" TargetMode="External"/><Relationship Id="rId46" Type="http://schemas.openxmlformats.org/officeDocument/2006/relationships/hyperlink" Target="https://www.sec.gov/Archives/edgar/data/1803901/000095017022002102/talk-ex10_17.htm" TargetMode="External"/><Relationship Id="rId59" Type="http://schemas.openxmlformats.org/officeDocument/2006/relationships/hyperlink" Target="talk-ex23_1.htm" TargetMode="External"/><Relationship Id="rId67" Type="http://schemas.openxmlformats.org/officeDocument/2006/relationships/hyperlink" Target="talk-ex32_2.htm" TargetMode="External"/><Relationship Id="rId20" Type="http://schemas.openxmlformats.org/officeDocument/2006/relationships/hyperlink" Target="https://www.sec.gov/Archives/edgar/data/0001803901/000119312521260654/d552255dex991.htm" TargetMode="External"/><Relationship Id="rId41" Type="http://schemas.openxmlformats.org/officeDocument/2006/relationships/hyperlink" Target="https://www.sec.gov/Archives/edgar/data/0001803901/000095017021005127/talk-ex10_1.htm" TargetMode="External"/><Relationship Id="rId54" Type="http://schemas.openxmlformats.org/officeDocument/2006/relationships/hyperlink" Target="https://www.sec.gov/Archives/edgar/data/1803901/000095017022002102/talk-ex10_21.htm" TargetMode="External"/><Relationship Id="rId62" Type="http://schemas.openxmlformats.org/officeDocument/2006/relationships/hyperlink" Target="talk-ex31_1.htm"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803901/000119312521025013/d119648ds4.htm" TargetMode="External"/><Relationship Id="rId15" Type="http://schemas.openxmlformats.org/officeDocument/2006/relationships/hyperlink" Target="https://www.sec.gov/Archives/edgar/data/0001803901/000119312521167533/d119648dex45.htm" TargetMode="External"/><Relationship Id="rId23" Type="http://schemas.openxmlformats.org/officeDocument/2006/relationships/hyperlink" Target="https://www.sec.gov/Archives/edgar/data/0001803901/000119312521260654/d552255dex993.htm" TargetMode="External"/><Relationship Id="rId28" Type="http://schemas.openxmlformats.org/officeDocument/2006/relationships/hyperlink" Target="https://www.sec.gov/Archives/edgar/data/0001803901/000119312521197353/d136958dex102.htm" TargetMode="External"/><Relationship Id="rId36" Type="http://schemas.openxmlformats.org/officeDocument/2006/relationships/hyperlink" Target="https://www.sec.gov/Archives/edgar/data/0001803901/000119312521197353/d136958dex109.htm" TargetMode="External"/><Relationship Id="rId49" Type="http://schemas.openxmlformats.org/officeDocument/2006/relationships/hyperlink" Target="https://www.sec.gov/Archives/edgar/data/1803901/000095017022002102/talk-ex10_19.htm" TargetMode="External"/><Relationship Id="rId57" Type="http://schemas.openxmlformats.org/officeDocument/2006/relationships/hyperlink" Target="talk-ex21_1.htm" TargetMode="External"/><Relationship Id="rId10" Type="http://schemas.openxmlformats.org/officeDocument/2006/relationships/hyperlink" Target="https://www.sec.gov/Archives/edgar/data/1803901/000119312521197385/d182715dex32.htm" TargetMode="External"/><Relationship Id="rId31" Type="http://schemas.openxmlformats.org/officeDocument/2006/relationships/hyperlink" Target="https://www.sec.gov/Archives/edgar/data/0001803901/000119312521197353/d136958dex107a.htm" TargetMode="External"/><Relationship Id="rId44" Type="http://schemas.openxmlformats.org/officeDocument/2006/relationships/hyperlink" Target="https://www.sec.gov/Archives/edgar/data/1803901/000095017022002102/talk-ex10_16.htm" TargetMode="External"/><Relationship Id="rId52" Type="http://schemas.openxmlformats.org/officeDocument/2006/relationships/hyperlink" Target="https://www.sec.gov/Archives/edgar/data/1803901/000095017022002102/talk-ex10_20.htm" TargetMode="External"/><Relationship Id="rId60" Type="http://schemas.openxmlformats.org/officeDocument/2006/relationships/hyperlink" Target="talk-ex23_1.htm" TargetMode="External"/><Relationship Id="rId65" Type="http://schemas.openxmlformats.org/officeDocument/2006/relationships/hyperlink" Target="talk-ex32_1.htm" TargetMode="External"/><Relationship Id="rId4" Type="http://schemas.openxmlformats.org/officeDocument/2006/relationships/image" Target="file:///E:\projects\LLMs\new_data_collection\data_new\htm\Talkspace,%20Inc\img104046142_0.jpg" TargetMode="External"/><Relationship Id="rId9" Type="http://schemas.openxmlformats.org/officeDocument/2006/relationships/hyperlink" Target="https://www.sec.gov/Archives/edgar/data/1803901/000119312521197385/d182715dex32.htm" TargetMode="External"/><Relationship Id="rId13" Type="http://schemas.openxmlformats.org/officeDocument/2006/relationships/hyperlink" Target="https://www.sec.gov/Archives/edgar/data/0001803901/000119312520161434/d846732dex43.htm" TargetMode="External"/><Relationship Id="rId18" Type="http://schemas.openxmlformats.org/officeDocument/2006/relationships/hyperlink" Target="https://www.sec.gov/Archives/edgar/data/1803901/000095017022002102/talk-ex4_4.htm" TargetMode="External"/><Relationship Id="rId39" Type="http://schemas.openxmlformats.org/officeDocument/2006/relationships/hyperlink" Target="https://www.sec.gov/Archives/edgar/data/0001803901/000095017021001074/talk-20210630ex10_14.htm" TargetMode="External"/><Relationship Id="rId34" Type="http://schemas.openxmlformats.org/officeDocument/2006/relationships/hyperlink" Target="https://www.sec.gov/Archives/edgar/data/0001803901/000119312521197353/d136958dex107b.htm" TargetMode="External"/><Relationship Id="rId50" Type="http://schemas.openxmlformats.org/officeDocument/2006/relationships/hyperlink" Target="https://www.sec.gov/Archives/edgar/data/1803901/000095017022002102/talk-ex10_19.htm" TargetMode="External"/><Relationship Id="rId55" Type="http://schemas.openxmlformats.org/officeDocument/2006/relationships/hyperlink" Target="talk-ex10_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58172</Words>
  <Characters>331585</Characters>
  <Application>Microsoft Office Word</Application>
  <DocSecurity>0</DocSecurity>
  <Lines>2763</Lines>
  <Paragraphs>777</Paragraphs>
  <ScaleCrop>false</ScaleCrop>
  <Company/>
  <LinksUpToDate>false</LinksUpToDate>
  <CharactersWithSpaces>388980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